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317BB" w:rsidR="001C53ED" w:rsidP="00B51B32" w:rsidRDefault="001C53ED" w14:paraId="36A4BBC5" w14:textId="3A0485D7">
      <w:pPr>
        <w:jc w:val="right"/>
        <w:rPr>
          <w:rFonts w:cs="Times New Roman"/>
          <w:b/>
          <w:szCs w:val="24"/>
        </w:rPr>
      </w:pPr>
      <w:r w:rsidRPr="00C317BB">
        <w:rPr>
          <w:rFonts w:cs="Times New Roman"/>
          <w:szCs w:val="24"/>
        </w:rPr>
        <w:t>BILLING</w:t>
      </w:r>
      <w:r w:rsidR="005613B2">
        <w:rPr>
          <w:rFonts w:cs="Times New Roman"/>
          <w:szCs w:val="24"/>
        </w:rPr>
        <w:t xml:space="preserve"> </w:t>
      </w:r>
      <w:r w:rsidRPr="00C317BB">
        <w:rPr>
          <w:rFonts w:cs="Times New Roman"/>
          <w:szCs w:val="24"/>
        </w:rPr>
        <w:t>CODE</w:t>
      </w:r>
      <w:r w:rsidR="005613B2">
        <w:rPr>
          <w:rFonts w:cs="Times New Roman"/>
          <w:szCs w:val="24"/>
        </w:rPr>
        <w:t xml:space="preserve"> </w:t>
      </w:r>
      <w:r w:rsidRPr="00C317BB" w:rsidR="00AC5C71">
        <w:rPr>
          <w:rFonts w:cs="Times New Roman"/>
          <w:szCs w:val="24"/>
        </w:rPr>
        <w:t>6560-50-P</w:t>
      </w:r>
    </w:p>
    <w:p w:rsidRPr="00C317BB" w:rsidR="002C327D" w:rsidP="00CE0494" w:rsidRDefault="002C327D" w14:paraId="78DBBDC3" w14:textId="6327ED3C">
      <w:pPr>
        <w:pStyle w:val="Heading1"/>
        <w:rPr>
          <w:rFonts w:cs="Times New Roman"/>
          <w:b w:val="0"/>
          <w:color w:val="000000" w:themeColor="text1"/>
          <w:szCs w:val="24"/>
        </w:rPr>
      </w:pPr>
      <w:r w:rsidRPr="00C317BB">
        <w:t>ENVIRONMENTAL</w:t>
      </w:r>
      <w:r w:rsidR="005613B2">
        <w:t xml:space="preserve"> </w:t>
      </w:r>
      <w:r w:rsidRPr="00C317BB">
        <w:t>PROTECTION</w:t>
      </w:r>
      <w:r w:rsidR="005613B2">
        <w:t xml:space="preserve"> </w:t>
      </w:r>
      <w:r w:rsidRPr="00C317BB">
        <w:t>AGENCY</w:t>
      </w:r>
    </w:p>
    <w:p w:rsidRPr="00C317BB" w:rsidR="00C57FEA" w:rsidP="00CE0494" w:rsidRDefault="00C57FEA" w14:paraId="0B38F3C9" w14:textId="0EDC8136">
      <w:pPr>
        <w:pStyle w:val="Heading1"/>
        <w:rPr>
          <w:rFonts w:cs="Times New Roman"/>
          <w:b w:val="0"/>
          <w:color w:val="000000" w:themeColor="text1"/>
          <w:szCs w:val="24"/>
        </w:rPr>
      </w:pPr>
      <w:r w:rsidRPr="00C317BB">
        <w:t>40</w:t>
      </w:r>
      <w:r w:rsidR="005613B2">
        <w:t xml:space="preserve"> </w:t>
      </w:r>
      <w:r w:rsidRPr="00C317BB">
        <w:t>CFR</w:t>
      </w:r>
      <w:r w:rsidR="005613B2">
        <w:t xml:space="preserve"> </w:t>
      </w:r>
      <w:r w:rsidRPr="00C317BB">
        <w:t>Part</w:t>
      </w:r>
      <w:r w:rsidR="005613B2">
        <w:t xml:space="preserve"> </w:t>
      </w:r>
      <w:r w:rsidRPr="00C317BB" w:rsidR="00C155F5">
        <w:rPr>
          <w:rFonts w:cs="Times New Roman"/>
          <w:color w:val="000000" w:themeColor="text1"/>
          <w:szCs w:val="24"/>
        </w:rPr>
        <w:t>7</w:t>
      </w:r>
      <w:r w:rsidRPr="00C317BB" w:rsidR="00BE74B1">
        <w:rPr>
          <w:rFonts w:cs="Times New Roman"/>
          <w:color w:val="000000" w:themeColor="text1"/>
          <w:szCs w:val="24"/>
        </w:rPr>
        <w:t>51</w:t>
      </w:r>
    </w:p>
    <w:p w:rsidRPr="00C317BB" w:rsidR="009F6677" w:rsidP="00CE0494" w:rsidRDefault="00AC5C71" w14:paraId="06FD75DC" w14:textId="194F5C97">
      <w:pPr>
        <w:pStyle w:val="Heading1"/>
        <w:rPr>
          <w:rFonts w:cs="Times New Roman"/>
          <w:b w:val="0"/>
          <w:color w:val="000000" w:themeColor="text1"/>
          <w:szCs w:val="24"/>
        </w:rPr>
      </w:pPr>
      <w:r w:rsidRPr="00C317BB">
        <w:t>[</w:t>
      </w:r>
      <w:r w:rsidRPr="00C317BB" w:rsidR="0056128F">
        <w:rPr>
          <w:rFonts w:cs="Times New Roman"/>
          <w:color w:val="000000" w:themeColor="text1"/>
          <w:szCs w:val="24"/>
        </w:rPr>
        <w:t>EPA-HQ-OPPT-2021-0057</w:t>
      </w:r>
      <w:r w:rsidRPr="00C317BB" w:rsidR="009F6677">
        <w:rPr>
          <w:rFonts w:cs="Times New Roman"/>
          <w:color w:val="000000" w:themeColor="text1"/>
          <w:szCs w:val="24"/>
        </w:rPr>
        <w:t>;</w:t>
      </w:r>
      <w:r w:rsidRPr="00C317BB"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F6677">
        <w:rPr>
          <w:rFonts w:cs="Times New Roman"/>
          <w:color w:val="000000" w:themeColor="text1"/>
          <w:szCs w:val="24"/>
        </w:rPr>
        <w:t>FRL-</w:t>
      </w:r>
      <w:r w:rsidRPr="00C317BB">
        <w:rPr>
          <w:rFonts w:cs="Times New Roman"/>
          <w:color w:val="000000" w:themeColor="text1"/>
          <w:szCs w:val="24"/>
        </w:rPr>
        <w:t>8332-02-OCSPP]</w:t>
      </w:r>
    </w:p>
    <w:p w:rsidRPr="00C317BB" w:rsidR="009F6677" w:rsidP="00CE0494" w:rsidRDefault="008E1003" w14:paraId="3DE3C79B" w14:textId="09A6A7A1">
      <w:pPr>
        <w:pStyle w:val="Heading1"/>
      </w:pPr>
      <w:r w:rsidRPr="00C317BB">
        <w:t>RIN</w:t>
      </w:r>
      <w:r w:rsidR="005613B2">
        <w:t xml:space="preserve"> </w:t>
      </w:r>
      <w:r w:rsidRPr="00C317BB" w:rsidR="00A35D87">
        <w:t>2070</w:t>
      </w:r>
      <w:r w:rsidRPr="00C317BB" w:rsidR="005B7331">
        <w:t>-AK86</w:t>
      </w:r>
    </w:p>
    <w:p w:rsidRPr="00C317BB" w:rsidR="00C155F5" w:rsidP="00CE0494" w:rsidRDefault="0074005F" w14:paraId="31FDBD7D" w14:textId="142EE358">
      <w:pPr>
        <w:pStyle w:val="Heading1"/>
        <w:rPr>
          <w:rFonts w:cs="Times New Roman"/>
          <w:b w:val="0"/>
          <w:color w:val="000000" w:themeColor="text1"/>
          <w:szCs w:val="24"/>
        </w:rPr>
      </w:pPr>
      <w:r w:rsidRPr="00C317BB">
        <w:t>Asbestos</w:t>
      </w:r>
      <w:r w:rsidR="005613B2">
        <w:t xml:space="preserve"> </w:t>
      </w:r>
      <w:r w:rsidRPr="00C317BB">
        <w:t>Part</w:t>
      </w:r>
      <w:r w:rsidR="005613B2">
        <w:t xml:space="preserve"> </w:t>
      </w:r>
      <w:r w:rsidRPr="00C317BB" w:rsidR="0090427C">
        <w:rPr>
          <w:rFonts w:cs="Times New Roman"/>
          <w:color w:val="000000" w:themeColor="text1"/>
          <w:szCs w:val="24"/>
        </w:rPr>
        <w:t>1</w:t>
      </w:r>
      <w:r w:rsidRPr="00C317BB">
        <w:rPr>
          <w:rFonts w:cs="Times New Roman"/>
          <w:color w:val="000000" w:themeColor="text1"/>
          <w:szCs w:val="24"/>
        </w:rPr>
        <w:t>:</w:t>
      </w:r>
      <w:r w:rsidRPr="00C317BB"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Chrysotile</w:t>
      </w:r>
      <w:r w:rsidRPr="00C317BB"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</w:t>
      </w:r>
      <w:r w:rsidRPr="00C317BB" w:rsidR="00080340">
        <w:rPr>
          <w:rFonts w:cs="Times New Roman"/>
          <w:color w:val="000000" w:themeColor="text1"/>
          <w:szCs w:val="24"/>
        </w:rPr>
        <w:t>;</w:t>
      </w:r>
      <w:r w:rsidRPr="00C317BB"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E053B">
        <w:rPr>
          <w:rFonts w:cs="Times New Roman"/>
          <w:color w:val="000000" w:themeColor="text1"/>
          <w:szCs w:val="24"/>
        </w:rPr>
        <w:t>Regulation</w:t>
      </w:r>
      <w:r w:rsidRPr="00C317BB"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E053B">
        <w:rPr>
          <w:rFonts w:cs="Times New Roman"/>
          <w:color w:val="000000" w:themeColor="text1"/>
          <w:szCs w:val="24"/>
        </w:rPr>
        <w:t>of</w:t>
      </w:r>
      <w:r w:rsidRPr="00C317BB"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841D1">
        <w:rPr>
          <w:rFonts w:cs="Times New Roman"/>
          <w:color w:val="000000" w:themeColor="text1"/>
          <w:szCs w:val="24"/>
        </w:rPr>
        <w:t>Certain</w:t>
      </w:r>
      <w:r w:rsidRPr="00C317BB"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F2A80">
        <w:rPr>
          <w:rFonts w:cs="Times New Roman"/>
          <w:color w:val="000000" w:themeColor="text1"/>
          <w:szCs w:val="24"/>
        </w:rPr>
        <w:t>Conditions</w:t>
      </w:r>
      <w:r w:rsidRPr="00C317BB"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F2A80">
        <w:rPr>
          <w:rFonts w:cs="Times New Roman"/>
          <w:color w:val="000000" w:themeColor="text1"/>
          <w:szCs w:val="24"/>
        </w:rPr>
        <w:t>of</w:t>
      </w:r>
      <w:r w:rsidRPr="00C317BB"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841D1">
        <w:rPr>
          <w:rFonts w:cs="Times New Roman"/>
          <w:color w:val="000000" w:themeColor="text1"/>
          <w:szCs w:val="24"/>
        </w:rPr>
        <w:t>Use</w:t>
      </w:r>
      <w:r w:rsidRPr="00C317BB"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155F5">
        <w:rPr>
          <w:rFonts w:cs="Times New Roman"/>
          <w:color w:val="000000" w:themeColor="text1"/>
          <w:szCs w:val="24"/>
        </w:rPr>
        <w:t>under</w:t>
      </w:r>
      <w:r w:rsidRPr="00C317BB" w:rsidR="005613B2">
        <w:rPr>
          <w:rFonts w:cs="Times New Roman"/>
          <w:color w:val="000000" w:themeColor="text1"/>
          <w:szCs w:val="24"/>
        </w:rPr>
        <w:t xml:space="preserve"> </w:t>
      </w:r>
      <w:r w:rsidRPr="00A37F85" w:rsidR="00A37F85">
        <w:rPr>
          <w:rFonts w:cs="Times New Roman"/>
          <w:color w:val="000000" w:themeColor="text1"/>
          <w:szCs w:val="24"/>
        </w:rPr>
        <w:t>Section 6(a) of the Toxic Substances Control Act (TSCA)</w:t>
      </w:r>
    </w:p>
    <w:p w:rsidRPr="00C317BB" w:rsidR="00C57FEA" w:rsidP="00F27167" w:rsidRDefault="00C57FEA" w14:paraId="0397A987" w14:textId="77777777">
      <w:pPr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b/>
          <w:color w:val="000000" w:themeColor="text1"/>
          <w:szCs w:val="24"/>
        </w:rPr>
        <w:t>AGENCY:</w:t>
      </w:r>
      <w:r w:rsidR="005613B2">
        <w:rPr>
          <w:rFonts w:cs="Times New Roman"/>
          <w:b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Environmental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Protection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Agency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(EPA).</w:t>
      </w:r>
    </w:p>
    <w:p w:rsidRPr="00C317BB" w:rsidR="00C57FEA" w:rsidP="00F27167" w:rsidRDefault="00C57FEA" w14:paraId="6EB0F342" w14:textId="445CF0D3">
      <w:pPr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b/>
          <w:color w:val="000000" w:themeColor="text1"/>
          <w:szCs w:val="24"/>
        </w:rPr>
        <w:t>ACTION:</w:t>
      </w:r>
      <w:r w:rsidR="005613B2">
        <w:rPr>
          <w:rFonts w:cs="Times New Roman"/>
          <w:b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rule.</w:t>
      </w:r>
    </w:p>
    <w:p w:rsidRPr="00C317BB" w:rsidR="00C57FEA" w:rsidP="00F27167" w:rsidRDefault="00C57FEA" w14:paraId="061DF5B2" w14:textId="701DC314">
      <w:pPr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b/>
          <w:color w:val="000000" w:themeColor="text1"/>
          <w:szCs w:val="24"/>
        </w:rPr>
        <w:t>SUMMARY: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bookmarkStart w:name="_Hlk15998650" w:id="0"/>
      <w:bookmarkStart w:name="_Hlk15998101" w:id="1"/>
      <w:r w:rsidRPr="00C317BB" w:rsidR="004A2FD7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A2FD7">
        <w:rPr>
          <w:rFonts w:cs="Times New Roman"/>
          <w:color w:val="000000" w:themeColor="text1"/>
          <w:szCs w:val="24"/>
        </w:rPr>
        <w:t>Environmental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A2FD7">
        <w:rPr>
          <w:rFonts w:cs="Times New Roman"/>
          <w:color w:val="000000" w:themeColor="text1"/>
          <w:szCs w:val="24"/>
        </w:rPr>
        <w:t>Protection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A2FD7">
        <w:rPr>
          <w:rFonts w:cs="Times New Roman"/>
          <w:color w:val="000000" w:themeColor="text1"/>
          <w:szCs w:val="24"/>
        </w:rPr>
        <w:t>Agency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A2FD7">
        <w:rPr>
          <w:rFonts w:cs="Times New Roman"/>
          <w:color w:val="000000" w:themeColor="text1"/>
          <w:szCs w:val="24"/>
        </w:rPr>
        <w:t>(EPA)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A2FD7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A2FD7">
        <w:rPr>
          <w:rFonts w:cs="Times New Roman"/>
          <w:color w:val="000000" w:themeColor="text1"/>
          <w:szCs w:val="24"/>
        </w:rPr>
        <w:t>proposing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A2FD7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A2FD7">
        <w:rPr>
          <w:rFonts w:cs="Times New Roman"/>
          <w:color w:val="000000" w:themeColor="text1"/>
          <w:szCs w:val="24"/>
        </w:rPr>
        <w:t>rule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A2FD7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A2FD7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bookmarkStart w:name="_Hlk100039276" w:id="2"/>
      <w:r w:rsidRPr="00C317BB" w:rsidR="004A2FD7">
        <w:rPr>
          <w:rFonts w:cs="Times New Roman"/>
          <w:color w:val="000000" w:themeColor="text1"/>
          <w:szCs w:val="24"/>
        </w:rPr>
        <w:t>Toxic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A2FD7">
        <w:rPr>
          <w:rFonts w:cs="Times New Roman"/>
          <w:color w:val="000000" w:themeColor="text1"/>
          <w:szCs w:val="24"/>
        </w:rPr>
        <w:t>Substances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A2FD7">
        <w:rPr>
          <w:rFonts w:cs="Times New Roman"/>
          <w:color w:val="000000" w:themeColor="text1"/>
          <w:szCs w:val="24"/>
        </w:rPr>
        <w:t>Control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A2FD7">
        <w:rPr>
          <w:rFonts w:cs="Times New Roman"/>
          <w:color w:val="000000" w:themeColor="text1"/>
          <w:szCs w:val="24"/>
        </w:rPr>
        <w:t>Act</w:t>
      </w:r>
      <w:bookmarkEnd w:id="2"/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A2FD7">
        <w:rPr>
          <w:rFonts w:cs="Times New Roman"/>
          <w:color w:val="000000" w:themeColor="text1"/>
          <w:szCs w:val="24"/>
        </w:rPr>
        <w:t>(TSCA)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bookmarkStart w:name="_Hlk100039314" w:id="3"/>
      <w:r w:rsidRPr="00C317BB" w:rsidR="004A2FD7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A2FD7">
        <w:rPr>
          <w:rFonts w:cs="Times New Roman"/>
          <w:color w:val="000000" w:themeColor="text1"/>
          <w:szCs w:val="24"/>
        </w:rPr>
        <w:t>address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4533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A2FD7">
        <w:rPr>
          <w:rFonts w:cs="Times New Roman"/>
          <w:color w:val="000000" w:themeColor="text1"/>
          <w:szCs w:val="24"/>
        </w:rPr>
        <w:t>unreasonable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A2FD7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A2FD7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A2FD7">
        <w:rPr>
          <w:rFonts w:cs="Times New Roman"/>
          <w:color w:val="000000" w:themeColor="text1"/>
          <w:szCs w:val="24"/>
        </w:rPr>
        <w:t>injury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A2FD7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A2FD7">
        <w:rPr>
          <w:rFonts w:cs="Times New Roman"/>
          <w:color w:val="000000" w:themeColor="text1"/>
          <w:szCs w:val="24"/>
        </w:rPr>
        <w:t>health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A2FD7">
        <w:rPr>
          <w:rFonts w:cs="Times New Roman"/>
          <w:color w:val="000000" w:themeColor="text1"/>
          <w:szCs w:val="24"/>
        </w:rPr>
        <w:t>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A2FD7">
        <w:rPr>
          <w:rFonts w:cs="Times New Roman"/>
          <w:color w:val="000000" w:themeColor="text1"/>
          <w:szCs w:val="24"/>
        </w:rPr>
        <w:t>has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A2FD7">
        <w:rPr>
          <w:rFonts w:cs="Times New Roman"/>
          <w:color w:val="000000" w:themeColor="text1"/>
          <w:szCs w:val="24"/>
        </w:rPr>
        <w:t>identified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A2FD7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F7E59">
        <w:rPr>
          <w:rFonts w:cs="Times New Roman"/>
          <w:color w:val="000000" w:themeColor="text1"/>
          <w:szCs w:val="24"/>
        </w:rPr>
        <w:t>conditions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F7E59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A2FD7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A2FD7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35428">
        <w:rPr>
          <w:rFonts w:cs="Times New Roman"/>
          <w:color w:val="000000" w:themeColor="text1"/>
          <w:szCs w:val="24"/>
        </w:rPr>
        <w:t>c</w:t>
      </w:r>
      <w:r w:rsidRPr="00C317BB" w:rsidR="0074005F">
        <w:rPr>
          <w:rFonts w:cs="Times New Roman"/>
          <w:color w:val="000000" w:themeColor="text1"/>
          <w:szCs w:val="24"/>
        </w:rPr>
        <w:t>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35428">
        <w:rPr>
          <w:rFonts w:cs="Times New Roman"/>
          <w:color w:val="000000" w:themeColor="text1"/>
          <w:szCs w:val="24"/>
        </w:rPr>
        <w:t>a</w:t>
      </w:r>
      <w:r w:rsidRPr="00C317BB" w:rsidR="0074005F">
        <w:rPr>
          <w:rFonts w:cs="Times New Roman"/>
          <w:color w:val="000000" w:themeColor="text1"/>
          <w:szCs w:val="24"/>
        </w:rPr>
        <w:t>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85DF4">
        <w:rPr>
          <w:rFonts w:cs="Times New Roman"/>
          <w:color w:val="000000" w:themeColor="text1"/>
          <w:szCs w:val="24"/>
        </w:rPr>
        <w:t>following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85DF4">
        <w:rPr>
          <w:rFonts w:cs="Times New Roman"/>
          <w:color w:val="000000" w:themeColor="text1"/>
          <w:szCs w:val="24"/>
        </w:rPr>
        <w:t>completion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41945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bookmarkStart w:name="_Hlk87859155" w:id="4"/>
      <w:r w:rsidRPr="00C317BB" w:rsidR="00285DF4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4533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41945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41945">
        <w:rPr>
          <w:rFonts w:cs="Times New Roman"/>
          <w:color w:val="000000" w:themeColor="text1"/>
          <w:szCs w:val="24"/>
        </w:rPr>
        <w:t>Evaluation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41945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85DF4">
        <w:rPr>
          <w:rFonts w:cs="Times New Roman"/>
          <w:color w:val="000000" w:themeColor="text1"/>
          <w:szCs w:val="24"/>
        </w:rPr>
        <w:t>Asbestos,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85DF4">
        <w:rPr>
          <w:rFonts w:cs="Times New Roman"/>
          <w:color w:val="000000" w:themeColor="text1"/>
          <w:szCs w:val="24"/>
        </w:rPr>
        <w:t>Part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85DF4">
        <w:rPr>
          <w:rFonts w:cs="Times New Roman"/>
          <w:color w:val="000000" w:themeColor="text1"/>
          <w:szCs w:val="24"/>
        </w:rPr>
        <w:t>1: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85DF4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85DF4">
        <w:rPr>
          <w:rFonts w:cs="Times New Roman"/>
          <w:color w:val="000000" w:themeColor="text1"/>
          <w:szCs w:val="24"/>
        </w:rPr>
        <w:t>Asbestos</w:t>
      </w:r>
      <w:bookmarkEnd w:id="4"/>
      <w:r w:rsidRPr="00C317BB" w:rsidR="004A2FD7">
        <w:rPr>
          <w:rFonts w:cs="Times New Roman"/>
          <w:color w:val="000000" w:themeColor="text1"/>
          <w:szCs w:val="24"/>
        </w:rPr>
        <w:t>.</w:t>
      </w:r>
      <w:bookmarkEnd w:id="3"/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0700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0700">
        <w:rPr>
          <w:rFonts w:cs="Times New Roman"/>
          <w:color w:val="000000" w:themeColor="text1"/>
          <w:szCs w:val="24"/>
        </w:rPr>
        <w:t>requires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0700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0700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0700">
        <w:rPr>
          <w:rFonts w:cs="Times New Roman"/>
          <w:color w:val="000000" w:themeColor="text1"/>
          <w:szCs w:val="24"/>
        </w:rPr>
        <w:t>address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0700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0700">
        <w:rPr>
          <w:rFonts w:cs="Times New Roman"/>
          <w:color w:val="000000" w:themeColor="text1"/>
          <w:szCs w:val="24"/>
        </w:rPr>
        <w:t>unreasonable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0700">
        <w:rPr>
          <w:rFonts w:cs="Times New Roman"/>
          <w:color w:val="000000" w:themeColor="text1"/>
          <w:szCs w:val="24"/>
        </w:rPr>
        <w:t>risks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0700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0700">
        <w:rPr>
          <w:rFonts w:cs="Times New Roman"/>
          <w:color w:val="000000" w:themeColor="text1"/>
          <w:szCs w:val="24"/>
        </w:rPr>
        <w:t>injury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0700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0700">
        <w:rPr>
          <w:rFonts w:cs="Times New Roman"/>
          <w:color w:val="000000" w:themeColor="text1"/>
          <w:szCs w:val="24"/>
        </w:rPr>
        <w:t>health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0700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0700">
        <w:rPr>
          <w:rFonts w:cs="Times New Roman"/>
          <w:color w:val="000000" w:themeColor="text1"/>
          <w:szCs w:val="24"/>
        </w:rPr>
        <w:t>environment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0700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0700">
        <w:rPr>
          <w:rFonts w:cs="Times New Roman"/>
          <w:color w:val="000000" w:themeColor="text1"/>
          <w:szCs w:val="24"/>
        </w:rPr>
        <w:t>rule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0700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0700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0700">
        <w:rPr>
          <w:rFonts w:cs="Times New Roman"/>
          <w:color w:val="000000" w:themeColor="text1"/>
          <w:szCs w:val="24"/>
        </w:rPr>
        <w:t>apply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0700">
        <w:rPr>
          <w:rFonts w:cs="Times New Roman"/>
          <w:color w:val="000000" w:themeColor="text1"/>
          <w:szCs w:val="24"/>
        </w:rPr>
        <w:t>requirements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0700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0700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0700">
        <w:rPr>
          <w:rFonts w:cs="Times New Roman"/>
          <w:color w:val="000000" w:themeColor="text1"/>
          <w:szCs w:val="24"/>
        </w:rPr>
        <w:t>extent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0700">
        <w:rPr>
          <w:rFonts w:cs="Times New Roman"/>
          <w:color w:val="000000" w:themeColor="text1"/>
          <w:szCs w:val="24"/>
        </w:rPr>
        <w:t>necessary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7A9F">
        <w:rPr>
          <w:rFonts w:cs="Times New Roman"/>
          <w:color w:val="000000" w:themeColor="text1"/>
          <w:szCs w:val="24"/>
        </w:rPr>
        <w:t>so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7A9F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7A9F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7A9F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7A9F">
        <w:rPr>
          <w:rFonts w:cs="Times New Roman"/>
          <w:color w:val="000000" w:themeColor="text1"/>
          <w:szCs w:val="24"/>
        </w:rPr>
        <w:t>no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7A9F">
        <w:rPr>
          <w:rFonts w:cs="Times New Roman"/>
          <w:color w:val="000000" w:themeColor="text1"/>
          <w:szCs w:val="24"/>
        </w:rPr>
        <w:t>longer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7A9F">
        <w:rPr>
          <w:rFonts w:cs="Times New Roman"/>
          <w:color w:val="000000" w:themeColor="text1"/>
          <w:szCs w:val="24"/>
        </w:rPr>
        <w:t>presents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7A9F">
        <w:rPr>
          <w:rFonts w:cs="Times New Roman"/>
          <w:color w:val="000000" w:themeColor="text1"/>
          <w:szCs w:val="24"/>
        </w:rPr>
        <w:t>such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7A9F">
        <w:rPr>
          <w:rFonts w:cs="Times New Roman"/>
          <w:color w:val="000000" w:themeColor="text1"/>
          <w:szCs w:val="24"/>
        </w:rPr>
        <w:t>risks.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7A9F">
        <w:rPr>
          <w:rFonts w:cs="Times New Roman"/>
          <w:color w:val="000000" w:themeColor="text1"/>
          <w:szCs w:val="24"/>
        </w:rPr>
        <w:t>Therefore,</w:t>
      </w:r>
      <w:r w:rsidR="005613B2">
        <w:rPr>
          <w:rFonts w:cs="Times New Roman"/>
          <w:b/>
          <w:color w:val="000000" w:themeColor="text1"/>
          <w:szCs w:val="24"/>
        </w:rPr>
        <w:t xml:space="preserve"> </w:t>
      </w:r>
      <w:bookmarkStart w:name="_Hlk22550597" w:id="5"/>
      <w:r w:rsidRPr="00C317BB" w:rsidR="002C2DB5">
        <w:rPr>
          <w:rFonts w:cs="Times New Roman"/>
          <w:color w:val="000000" w:themeColor="text1"/>
          <w:szCs w:val="24"/>
        </w:rPr>
        <w:t>t</w:t>
      </w:r>
      <w:r w:rsidRPr="00C317BB" w:rsidR="00D939B6">
        <w:rPr>
          <w:rFonts w:cs="Times New Roman"/>
          <w:color w:val="000000" w:themeColor="text1"/>
          <w:szCs w:val="24"/>
        </w:rPr>
        <w:t>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39B6">
        <w:rPr>
          <w:rFonts w:cs="Times New Roman"/>
          <w:color w:val="000000" w:themeColor="text1"/>
          <w:szCs w:val="24"/>
        </w:rPr>
        <w:t>address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39B6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39B6">
        <w:rPr>
          <w:rFonts w:cs="Times New Roman"/>
          <w:color w:val="000000" w:themeColor="text1"/>
          <w:szCs w:val="24"/>
        </w:rPr>
        <w:t>unreasonable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39B6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39B6">
        <w:rPr>
          <w:rFonts w:cs="Times New Roman"/>
          <w:color w:val="000000" w:themeColor="text1"/>
          <w:szCs w:val="24"/>
        </w:rPr>
        <w:t>identified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39B6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39B6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39B6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39B6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39B6">
        <w:rPr>
          <w:rFonts w:cs="Times New Roman"/>
          <w:color w:val="000000" w:themeColor="text1"/>
          <w:szCs w:val="24"/>
        </w:rPr>
        <w:t>Evaluation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39B6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39B6">
        <w:rPr>
          <w:rFonts w:cs="Times New Roman"/>
          <w:color w:val="000000" w:themeColor="text1"/>
          <w:szCs w:val="24"/>
        </w:rPr>
        <w:t>Asbestos</w:t>
      </w:r>
      <w:r w:rsidRPr="00C317BB" w:rsidR="00961E9F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39B6">
        <w:rPr>
          <w:rFonts w:cs="Times New Roman"/>
          <w:color w:val="000000" w:themeColor="text1"/>
          <w:szCs w:val="24"/>
        </w:rPr>
        <w:t>Part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39B6">
        <w:rPr>
          <w:rFonts w:cs="Times New Roman"/>
          <w:color w:val="000000" w:themeColor="text1"/>
          <w:szCs w:val="24"/>
        </w:rPr>
        <w:t>1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39B6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39B6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39B6">
        <w:rPr>
          <w:rFonts w:cs="Times New Roman"/>
          <w:color w:val="000000" w:themeColor="text1"/>
          <w:szCs w:val="24"/>
        </w:rPr>
        <w:t>asbestos,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39B6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39B6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39B6">
        <w:rPr>
          <w:rFonts w:cs="Times New Roman"/>
          <w:color w:val="000000" w:themeColor="text1"/>
          <w:szCs w:val="24"/>
        </w:rPr>
        <w:t>proposing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39B6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39B6">
        <w:rPr>
          <w:rFonts w:cs="Times New Roman"/>
          <w:color w:val="000000" w:themeColor="text1"/>
          <w:szCs w:val="24"/>
        </w:rPr>
        <w:t>prohibit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39B6">
        <w:rPr>
          <w:rFonts w:cs="Times New Roman"/>
          <w:color w:val="000000" w:themeColor="text1"/>
          <w:szCs w:val="24"/>
        </w:rPr>
        <w:t>manufacture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39B6">
        <w:rPr>
          <w:rFonts w:cs="Times New Roman"/>
          <w:color w:val="000000" w:themeColor="text1"/>
          <w:szCs w:val="24"/>
        </w:rPr>
        <w:t>(including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39B6">
        <w:rPr>
          <w:rFonts w:cs="Times New Roman"/>
          <w:color w:val="000000" w:themeColor="text1"/>
          <w:szCs w:val="24"/>
        </w:rPr>
        <w:t>import),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39B6">
        <w:rPr>
          <w:rFonts w:cs="Times New Roman"/>
          <w:color w:val="000000" w:themeColor="text1"/>
          <w:szCs w:val="24"/>
        </w:rPr>
        <w:t>processing,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39B6">
        <w:rPr>
          <w:rFonts w:cs="Times New Roman"/>
          <w:color w:val="000000" w:themeColor="text1"/>
          <w:szCs w:val="24"/>
        </w:rPr>
        <w:t>distribution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39B6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39B6">
        <w:rPr>
          <w:rFonts w:cs="Times New Roman"/>
          <w:color w:val="000000" w:themeColor="text1"/>
          <w:szCs w:val="24"/>
        </w:rPr>
        <w:t>commerce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39B6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39B6">
        <w:rPr>
          <w:rFonts w:cs="Times New Roman"/>
          <w:color w:val="000000" w:themeColor="text1"/>
          <w:szCs w:val="24"/>
        </w:rPr>
        <w:t>commercial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39B6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39B6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39B6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39B6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39B6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39B6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39B6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39B6">
        <w:rPr>
          <w:rFonts w:cs="Times New Roman"/>
          <w:color w:val="000000" w:themeColor="text1"/>
          <w:szCs w:val="24"/>
        </w:rPr>
        <w:t>diaphragms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39B6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39B6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39B6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39B6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39B6">
        <w:rPr>
          <w:rFonts w:cs="Times New Roman"/>
          <w:color w:val="000000" w:themeColor="text1"/>
          <w:szCs w:val="24"/>
        </w:rPr>
        <w:t>chlor-alkali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39B6">
        <w:rPr>
          <w:rFonts w:cs="Times New Roman"/>
          <w:color w:val="000000" w:themeColor="text1"/>
          <w:szCs w:val="24"/>
        </w:rPr>
        <w:t>industry,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39B6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39B6">
        <w:rPr>
          <w:rFonts w:cs="Times New Roman"/>
          <w:color w:val="000000" w:themeColor="text1"/>
          <w:szCs w:val="24"/>
        </w:rPr>
        <w:t>asbestos-containing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39B6">
        <w:rPr>
          <w:rFonts w:cs="Times New Roman"/>
          <w:color w:val="000000" w:themeColor="text1"/>
          <w:szCs w:val="24"/>
        </w:rPr>
        <w:t>sheet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39B6">
        <w:rPr>
          <w:rFonts w:cs="Times New Roman"/>
          <w:color w:val="000000" w:themeColor="text1"/>
          <w:szCs w:val="24"/>
        </w:rPr>
        <w:t>gaskets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39B6">
        <w:rPr>
          <w:rFonts w:cs="Times New Roman"/>
          <w:color w:val="000000" w:themeColor="text1"/>
          <w:szCs w:val="24"/>
        </w:rPr>
        <w:t>used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39B6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39B6">
        <w:rPr>
          <w:rFonts w:cs="Times New Roman"/>
          <w:color w:val="000000" w:themeColor="text1"/>
          <w:szCs w:val="24"/>
        </w:rPr>
        <w:t>chemical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39B6">
        <w:rPr>
          <w:rFonts w:cs="Times New Roman"/>
          <w:color w:val="000000" w:themeColor="text1"/>
          <w:szCs w:val="24"/>
        </w:rPr>
        <w:t>production,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39B6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39B6">
        <w:rPr>
          <w:rFonts w:cs="Times New Roman"/>
          <w:color w:val="000000" w:themeColor="text1"/>
          <w:szCs w:val="24"/>
        </w:rPr>
        <w:t>asbestos-containing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39B6">
        <w:rPr>
          <w:rFonts w:cs="Times New Roman"/>
          <w:color w:val="000000" w:themeColor="text1"/>
          <w:szCs w:val="24"/>
        </w:rPr>
        <w:t>brake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39B6">
        <w:rPr>
          <w:rFonts w:cs="Times New Roman"/>
          <w:color w:val="000000" w:themeColor="text1"/>
          <w:szCs w:val="24"/>
        </w:rPr>
        <w:t>blocks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39B6">
        <w:rPr>
          <w:rFonts w:cs="Times New Roman"/>
          <w:color w:val="000000" w:themeColor="text1"/>
          <w:szCs w:val="24"/>
        </w:rPr>
        <w:t>used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39B6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39B6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39B6">
        <w:rPr>
          <w:rFonts w:cs="Times New Roman"/>
          <w:color w:val="000000" w:themeColor="text1"/>
          <w:szCs w:val="24"/>
        </w:rPr>
        <w:t>oil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39B6">
        <w:rPr>
          <w:rFonts w:cs="Times New Roman"/>
          <w:color w:val="000000" w:themeColor="text1"/>
          <w:szCs w:val="24"/>
        </w:rPr>
        <w:t>industry,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39B6">
        <w:rPr>
          <w:rFonts w:cs="Times New Roman"/>
          <w:color w:val="000000" w:themeColor="text1"/>
          <w:szCs w:val="24"/>
        </w:rPr>
        <w:t>aftermarket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39B6">
        <w:rPr>
          <w:rFonts w:cs="Times New Roman"/>
          <w:color w:val="000000" w:themeColor="text1"/>
          <w:szCs w:val="24"/>
        </w:rPr>
        <w:t>automotive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39B6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39B6">
        <w:rPr>
          <w:rFonts w:cs="Times New Roman"/>
          <w:color w:val="000000" w:themeColor="text1"/>
          <w:szCs w:val="24"/>
        </w:rPr>
        <w:t>asbestos-containing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39B6">
        <w:rPr>
          <w:rFonts w:cs="Times New Roman"/>
          <w:color w:val="000000" w:themeColor="text1"/>
          <w:szCs w:val="24"/>
        </w:rPr>
        <w:t>brakes/linings,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39B6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39B6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39B6">
        <w:rPr>
          <w:rFonts w:cs="Times New Roman"/>
          <w:color w:val="000000" w:themeColor="text1"/>
          <w:szCs w:val="24"/>
        </w:rPr>
        <w:t>asbestos-containing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39B6">
        <w:rPr>
          <w:rFonts w:cs="Times New Roman"/>
          <w:color w:val="000000" w:themeColor="text1"/>
          <w:szCs w:val="24"/>
        </w:rPr>
        <w:t>vehicle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39B6">
        <w:rPr>
          <w:rFonts w:cs="Times New Roman"/>
          <w:color w:val="000000" w:themeColor="text1"/>
          <w:szCs w:val="24"/>
        </w:rPr>
        <w:t>friction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39B6">
        <w:rPr>
          <w:rFonts w:cs="Times New Roman"/>
          <w:color w:val="000000" w:themeColor="text1"/>
          <w:szCs w:val="24"/>
        </w:rPr>
        <w:t>products,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39B6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39B6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39B6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39B6">
        <w:rPr>
          <w:rFonts w:cs="Times New Roman"/>
          <w:color w:val="000000" w:themeColor="text1"/>
          <w:szCs w:val="24"/>
        </w:rPr>
        <w:t>asbestos-containing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39B6">
        <w:rPr>
          <w:rFonts w:cs="Times New Roman"/>
          <w:color w:val="000000" w:themeColor="text1"/>
          <w:szCs w:val="24"/>
        </w:rPr>
        <w:t>gaskets.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39B6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39B6">
        <w:rPr>
          <w:rFonts w:cs="Times New Roman"/>
          <w:color w:val="000000" w:themeColor="text1"/>
          <w:szCs w:val="24"/>
        </w:rPr>
        <w:t>also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39B6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39B6">
        <w:rPr>
          <w:rFonts w:cs="Times New Roman"/>
          <w:color w:val="000000" w:themeColor="text1"/>
          <w:szCs w:val="24"/>
        </w:rPr>
        <w:t>proposing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39B6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39B6">
        <w:rPr>
          <w:rFonts w:cs="Times New Roman"/>
          <w:color w:val="000000" w:themeColor="text1"/>
          <w:szCs w:val="24"/>
        </w:rPr>
        <w:t>prohibit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39B6">
        <w:rPr>
          <w:rFonts w:cs="Times New Roman"/>
          <w:color w:val="000000" w:themeColor="text1"/>
          <w:szCs w:val="24"/>
        </w:rPr>
        <w:t>manufacture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39B6">
        <w:rPr>
          <w:rFonts w:cs="Times New Roman"/>
          <w:color w:val="000000" w:themeColor="text1"/>
          <w:szCs w:val="24"/>
        </w:rPr>
        <w:t>(including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39B6">
        <w:rPr>
          <w:rFonts w:cs="Times New Roman"/>
          <w:color w:val="000000" w:themeColor="text1"/>
          <w:szCs w:val="24"/>
        </w:rPr>
        <w:t>import),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39B6">
        <w:rPr>
          <w:rFonts w:cs="Times New Roman"/>
          <w:color w:val="000000" w:themeColor="text1"/>
          <w:szCs w:val="24"/>
        </w:rPr>
        <w:t>processing,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39B6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39B6">
        <w:rPr>
          <w:rFonts w:cs="Times New Roman"/>
          <w:color w:val="000000" w:themeColor="text1"/>
          <w:szCs w:val="24"/>
        </w:rPr>
        <w:t>distribution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39B6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39B6">
        <w:rPr>
          <w:rFonts w:cs="Times New Roman"/>
          <w:color w:val="000000" w:themeColor="text1"/>
          <w:szCs w:val="24"/>
        </w:rPr>
        <w:lastRenderedPageBreak/>
        <w:t>commerce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39B6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39B6">
        <w:rPr>
          <w:rFonts w:cs="Times New Roman"/>
          <w:color w:val="000000" w:themeColor="text1"/>
          <w:szCs w:val="24"/>
        </w:rPr>
        <w:t>aftermarket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39B6">
        <w:rPr>
          <w:rFonts w:cs="Times New Roman"/>
          <w:color w:val="000000" w:themeColor="text1"/>
          <w:szCs w:val="24"/>
        </w:rPr>
        <w:t>automotive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39B6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39B6">
        <w:rPr>
          <w:rFonts w:cs="Times New Roman"/>
          <w:color w:val="000000" w:themeColor="text1"/>
          <w:szCs w:val="24"/>
        </w:rPr>
        <w:t>asbestos-containing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39B6">
        <w:rPr>
          <w:rFonts w:cs="Times New Roman"/>
          <w:color w:val="000000" w:themeColor="text1"/>
          <w:szCs w:val="24"/>
        </w:rPr>
        <w:t>brakes/linings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39B6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39B6">
        <w:rPr>
          <w:rFonts w:cs="Times New Roman"/>
          <w:color w:val="000000" w:themeColor="text1"/>
          <w:szCs w:val="24"/>
        </w:rPr>
        <w:t>consumer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39B6">
        <w:rPr>
          <w:rFonts w:cs="Times New Roman"/>
          <w:color w:val="000000" w:themeColor="text1"/>
          <w:szCs w:val="24"/>
        </w:rPr>
        <w:t>use,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39B6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39B6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39B6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39B6">
        <w:rPr>
          <w:rFonts w:cs="Times New Roman"/>
          <w:color w:val="000000" w:themeColor="text1"/>
          <w:szCs w:val="24"/>
        </w:rPr>
        <w:t>asbestos-containing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39B6">
        <w:rPr>
          <w:rFonts w:cs="Times New Roman"/>
          <w:color w:val="000000" w:themeColor="text1"/>
          <w:szCs w:val="24"/>
        </w:rPr>
        <w:t>gaskets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39B6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39B6">
        <w:rPr>
          <w:rFonts w:cs="Times New Roman"/>
          <w:color w:val="000000" w:themeColor="text1"/>
          <w:szCs w:val="24"/>
        </w:rPr>
        <w:t>consumer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39B6">
        <w:rPr>
          <w:rFonts w:cs="Times New Roman"/>
          <w:color w:val="000000" w:themeColor="text1"/>
          <w:szCs w:val="24"/>
        </w:rPr>
        <w:t>use.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44EDE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44EDE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44EDE">
        <w:rPr>
          <w:rFonts w:cs="Times New Roman"/>
          <w:color w:val="000000" w:themeColor="text1"/>
          <w:szCs w:val="24"/>
        </w:rPr>
        <w:t>also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44EDE">
        <w:rPr>
          <w:rFonts w:cs="Times New Roman"/>
          <w:color w:val="000000" w:themeColor="text1"/>
          <w:szCs w:val="24"/>
        </w:rPr>
        <w:t>proposing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44EDE">
        <w:rPr>
          <w:rFonts w:cs="Times New Roman"/>
          <w:color w:val="000000" w:themeColor="text1"/>
          <w:szCs w:val="24"/>
        </w:rPr>
        <w:t>disposal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44EDE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44EDE">
        <w:rPr>
          <w:rFonts w:cs="Times New Roman"/>
          <w:color w:val="000000" w:themeColor="text1"/>
          <w:szCs w:val="24"/>
        </w:rPr>
        <w:t>recordkeeping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44EDE">
        <w:rPr>
          <w:rFonts w:cs="Times New Roman"/>
          <w:color w:val="000000" w:themeColor="text1"/>
          <w:szCs w:val="24"/>
        </w:rPr>
        <w:t>requirements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44EDE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44EDE">
        <w:rPr>
          <w:rFonts w:cs="Times New Roman"/>
          <w:color w:val="000000" w:themeColor="text1"/>
          <w:szCs w:val="24"/>
        </w:rPr>
        <w:t>these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44EDE">
        <w:rPr>
          <w:rFonts w:cs="Times New Roman"/>
          <w:color w:val="000000" w:themeColor="text1"/>
          <w:szCs w:val="24"/>
        </w:rPr>
        <w:t>conditions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44EDE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44EDE">
        <w:rPr>
          <w:rFonts w:cs="Times New Roman"/>
          <w:color w:val="000000" w:themeColor="text1"/>
          <w:szCs w:val="24"/>
        </w:rPr>
        <w:t>use.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bookmarkEnd w:id="0"/>
    </w:p>
    <w:bookmarkEnd w:id="1"/>
    <w:bookmarkEnd w:id="5"/>
    <w:p w:rsidRPr="00C317BB" w:rsidR="00C57FEA" w:rsidP="00F27167" w:rsidRDefault="00C57FEA" w14:paraId="5532BFCB" w14:textId="603D400E">
      <w:pPr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b/>
          <w:color w:val="000000" w:themeColor="text1"/>
          <w:szCs w:val="24"/>
        </w:rPr>
        <w:t>DATES:</w:t>
      </w:r>
      <w:r w:rsidR="005613B2">
        <w:rPr>
          <w:rFonts w:cs="Times New Roman"/>
          <w:b/>
          <w:color w:val="000000" w:themeColor="text1"/>
          <w:szCs w:val="24"/>
        </w:rPr>
        <w:t xml:space="preserve"> </w:t>
      </w:r>
      <w:r w:rsidRPr="00C317BB" w:rsidR="008D0D93">
        <w:rPr>
          <w:rFonts w:cs="Times New Roman"/>
          <w:color w:val="000000" w:themeColor="text1"/>
          <w:szCs w:val="24"/>
        </w:rPr>
        <w:t>C</w:t>
      </w:r>
      <w:r w:rsidRPr="00C317BB">
        <w:rPr>
          <w:rFonts w:cs="Times New Roman"/>
          <w:color w:val="000000" w:themeColor="text1"/>
          <w:szCs w:val="24"/>
        </w:rPr>
        <w:t>omments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must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received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before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829E0">
        <w:rPr>
          <w:rFonts w:cs="Times New Roman"/>
          <w:color w:val="000000" w:themeColor="text1"/>
          <w:szCs w:val="24"/>
        </w:rPr>
        <w:t>[INSERT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829E0">
        <w:rPr>
          <w:rFonts w:cs="Times New Roman"/>
          <w:color w:val="000000" w:themeColor="text1"/>
          <w:szCs w:val="24"/>
        </w:rPr>
        <w:t>DATE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829E0">
        <w:rPr>
          <w:rFonts w:cs="Times New Roman"/>
          <w:color w:val="000000" w:themeColor="text1"/>
          <w:szCs w:val="24"/>
        </w:rPr>
        <w:t>60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829E0">
        <w:rPr>
          <w:rFonts w:cs="Times New Roman"/>
          <w:color w:val="000000" w:themeColor="text1"/>
          <w:szCs w:val="24"/>
        </w:rPr>
        <w:t>DAYS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829E0">
        <w:rPr>
          <w:rFonts w:cs="Times New Roman"/>
          <w:color w:val="000000" w:themeColor="text1"/>
          <w:szCs w:val="24"/>
        </w:rPr>
        <w:t>AFTER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829E0">
        <w:rPr>
          <w:rFonts w:cs="Times New Roman"/>
          <w:color w:val="000000" w:themeColor="text1"/>
          <w:szCs w:val="24"/>
        </w:rPr>
        <w:t>DATE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829E0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829E0">
        <w:rPr>
          <w:rFonts w:cs="Times New Roman"/>
          <w:color w:val="000000" w:themeColor="text1"/>
          <w:szCs w:val="24"/>
        </w:rPr>
        <w:t>PUBLICATION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829E0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829E0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829E0">
        <w:rPr>
          <w:rFonts w:cs="Times New Roman"/>
          <w:b/>
          <w:i/>
          <w:color w:val="000000" w:themeColor="text1"/>
          <w:szCs w:val="24"/>
        </w:rPr>
        <w:t>FEDERAL</w:t>
      </w:r>
      <w:r w:rsidR="005613B2">
        <w:rPr>
          <w:rFonts w:cs="Times New Roman"/>
          <w:b/>
          <w:i/>
          <w:color w:val="000000" w:themeColor="text1"/>
          <w:szCs w:val="24"/>
        </w:rPr>
        <w:t xml:space="preserve"> </w:t>
      </w:r>
      <w:r w:rsidRPr="00C317BB" w:rsidR="002829E0">
        <w:rPr>
          <w:rFonts w:cs="Times New Roman"/>
          <w:b/>
          <w:i/>
          <w:color w:val="000000" w:themeColor="text1"/>
          <w:szCs w:val="24"/>
        </w:rPr>
        <w:t>REGISTER</w:t>
      </w:r>
      <w:r w:rsidRPr="00C317BB" w:rsidR="002829E0">
        <w:rPr>
          <w:rFonts w:cs="Times New Roman"/>
          <w:color w:val="000000" w:themeColor="text1"/>
          <w:szCs w:val="24"/>
        </w:rPr>
        <w:t>]</w:t>
      </w:r>
      <w:r w:rsidRPr="00C317BB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5613B2" w:rsidR="004D1465" w:rsidP="005613B2" w:rsidRDefault="00C57FEA" w14:paraId="225F17FD" w14:textId="1341A64D">
      <w:pPr>
        <w:rPr>
          <w:rFonts w:cs="Times New Roman"/>
          <w:szCs w:val="24"/>
        </w:rPr>
      </w:pPr>
      <w:r w:rsidRPr="00C317BB">
        <w:rPr>
          <w:rFonts w:cs="Times New Roman"/>
          <w:b/>
          <w:szCs w:val="24"/>
        </w:rPr>
        <w:t>ADDRESSES:</w:t>
      </w:r>
      <w:r w:rsidR="005613B2">
        <w:rPr>
          <w:rFonts w:cs="Times New Roman"/>
          <w:b/>
          <w:szCs w:val="24"/>
        </w:rPr>
        <w:t xml:space="preserve"> </w:t>
      </w:r>
      <w:r w:rsidRPr="00C317BB" w:rsidR="005D71C0">
        <w:rPr>
          <w:rStyle w:val="normaltextrun"/>
          <w:rFonts w:cs="Times New Roman"/>
          <w:color w:val="000000" w:themeColor="text1"/>
          <w:szCs w:val="24"/>
        </w:rPr>
        <w:t>Submit</w:t>
      </w:r>
      <w:r w:rsidR="005613B2">
        <w:rPr>
          <w:rStyle w:val="normaltextrun"/>
          <w:rFonts w:cs="Times New Roman"/>
          <w:color w:val="000000" w:themeColor="text1"/>
          <w:szCs w:val="24"/>
        </w:rPr>
        <w:t xml:space="preserve"> </w:t>
      </w:r>
      <w:r w:rsidRPr="00C317BB" w:rsidR="005D71C0">
        <w:rPr>
          <w:rStyle w:val="normaltextrun"/>
          <w:rFonts w:cs="Times New Roman"/>
          <w:color w:val="000000" w:themeColor="text1"/>
          <w:szCs w:val="24"/>
        </w:rPr>
        <w:t>your</w:t>
      </w:r>
      <w:r w:rsidR="005613B2">
        <w:rPr>
          <w:rStyle w:val="normaltextrun"/>
          <w:rFonts w:cs="Times New Roman"/>
          <w:color w:val="000000" w:themeColor="text1"/>
          <w:szCs w:val="24"/>
        </w:rPr>
        <w:t xml:space="preserve"> </w:t>
      </w:r>
      <w:r w:rsidRPr="00C317BB" w:rsidR="005D71C0">
        <w:rPr>
          <w:rStyle w:val="normaltextrun"/>
          <w:rFonts w:cs="Times New Roman"/>
          <w:color w:val="000000" w:themeColor="text1"/>
          <w:szCs w:val="24"/>
        </w:rPr>
        <w:t>comments,</w:t>
      </w:r>
      <w:r w:rsidR="005613B2">
        <w:rPr>
          <w:rStyle w:val="normaltextrun"/>
          <w:rFonts w:cs="Times New Roman"/>
          <w:color w:val="000000" w:themeColor="text1"/>
          <w:szCs w:val="24"/>
        </w:rPr>
        <w:t xml:space="preserve"> </w:t>
      </w:r>
      <w:r w:rsidRPr="00C317BB" w:rsidR="005D71C0">
        <w:rPr>
          <w:rStyle w:val="normaltextrun"/>
          <w:rFonts w:cs="Times New Roman"/>
          <w:color w:val="000000" w:themeColor="text1"/>
          <w:szCs w:val="24"/>
        </w:rPr>
        <w:t>identified</w:t>
      </w:r>
      <w:r w:rsidR="005613B2">
        <w:rPr>
          <w:rStyle w:val="normaltextrun"/>
          <w:rFonts w:cs="Times New Roman"/>
          <w:color w:val="000000" w:themeColor="text1"/>
          <w:szCs w:val="24"/>
        </w:rPr>
        <w:t xml:space="preserve"> </w:t>
      </w:r>
      <w:r w:rsidRPr="00C317BB" w:rsidR="005D71C0">
        <w:rPr>
          <w:rStyle w:val="normaltextrun"/>
          <w:rFonts w:cs="Times New Roman"/>
          <w:color w:val="000000" w:themeColor="text1"/>
          <w:szCs w:val="24"/>
        </w:rPr>
        <w:t>by</w:t>
      </w:r>
      <w:r w:rsidR="005613B2">
        <w:rPr>
          <w:rStyle w:val="normaltextrun"/>
          <w:rFonts w:cs="Times New Roman"/>
          <w:color w:val="000000" w:themeColor="text1"/>
          <w:szCs w:val="24"/>
        </w:rPr>
        <w:t xml:space="preserve"> </w:t>
      </w:r>
      <w:r w:rsidRPr="00C317BB" w:rsidR="005D71C0">
        <w:rPr>
          <w:rStyle w:val="normaltextrun"/>
          <w:rFonts w:cs="Times New Roman"/>
          <w:color w:val="000000" w:themeColor="text1"/>
          <w:szCs w:val="24"/>
        </w:rPr>
        <w:t>docket</w:t>
      </w:r>
      <w:r w:rsidR="005613B2">
        <w:rPr>
          <w:rStyle w:val="normaltextrun"/>
          <w:rFonts w:cs="Times New Roman"/>
          <w:color w:val="000000" w:themeColor="text1"/>
          <w:szCs w:val="24"/>
        </w:rPr>
        <w:t xml:space="preserve"> </w:t>
      </w:r>
      <w:r w:rsidRPr="00C317BB" w:rsidR="005D71C0">
        <w:rPr>
          <w:rStyle w:val="normaltextrun"/>
          <w:rFonts w:cs="Times New Roman"/>
          <w:color w:val="000000" w:themeColor="text1"/>
          <w:szCs w:val="24"/>
        </w:rPr>
        <w:t>identification</w:t>
      </w:r>
      <w:r w:rsidR="005613B2">
        <w:rPr>
          <w:rStyle w:val="normaltextrun"/>
          <w:rFonts w:cs="Times New Roman"/>
          <w:color w:val="000000" w:themeColor="text1"/>
          <w:szCs w:val="24"/>
        </w:rPr>
        <w:t xml:space="preserve"> </w:t>
      </w:r>
      <w:r w:rsidRPr="00C317BB" w:rsidR="005D71C0">
        <w:rPr>
          <w:rStyle w:val="normaltextrun"/>
          <w:rFonts w:cs="Times New Roman"/>
          <w:color w:val="000000" w:themeColor="text1"/>
          <w:szCs w:val="24"/>
        </w:rPr>
        <w:t>(ID)</w:t>
      </w:r>
      <w:r w:rsidR="005613B2">
        <w:rPr>
          <w:rStyle w:val="normaltextrun"/>
          <w:rFonts w:cs="Times New Roman"/>
          <w:color w:val="000000" w:themeColor="text1"/>
          <w:szCs w:val="24"/>
        </w:rPr>
        <w:t xml:space="preserve"> </w:t>
      </w:r>
      <w:r w:rsidRPr="00C317BB" w:rsidR="005D71C0">
        <w:rPr>
          <w:rStyle w:val="normaltextrun"/>
          <w:rFonts w:cs="Times New Roman"/>
          <w:color w:val="000000" w:themeColor="text1"/>
          <w:szCs w:val="24"/>
        </w:rPr>
        <w:t>number</w:t>
      </w:r>
      <w:r w:rsidR="005613B2">
        <w:rPr>
          <w:rStyle w:val="normaltextrun"/>
          <w:rFonts w:cs="Times New Roman"/>
          <w:color w:val="000000" w:themeColor="text1"/>
          <w:szCs w:val="24"/>
        </w:rPr>
        <w:t xml:space="preserve"> </w:t>
      </w:r>
      <w:r w:rsidRPr="00C317BB" w:rsidR="005D71C0">
        <w:rPr>
          <w:rStyle w:val="normaltextrun"/>
          <w:rFonts w:cs="Times New Roman"/>
          <w:color w:val="000000" w:themeColor="text1"/>
          <w:szCs w:val="24"/>
        </w:rPr>
        <w:t>EPA-HQ-OPPT-2021-0057,</w:t>
      </w:r>
      <w:r w:rsidR="005613B2">
        <w:rPr>
          <w:rStyle w:val="normaltextrun"/>
          <w:rFonts w:cs="Times New Roman"/>
          <w:color w:val="000000" w:themeColor="text1"/>
          <w:szCs w:val="24"/>
        </w:rPr>
        <w:t xml:space="preserve"> </w:t>
      </w:r>
      <w:r w:rsidRPr="00C317BB" w:rsidR="005D71C0">
        <w:rPr>
          <w:rStyle w:val="normaltextrun"/>
          <w:rFonts w:cs="Times New Roman"/>
          <w:color w:val="000000" w:themeColor="text1"/>
          <w:szCs w:val="24"/>
        </w:rPr>
        <w:t>using</w:t>
      </w:r>
      <w:r w:rsidR="005613B2">
        <w:rPr>
          <w:rStyle w:val="normaltextrun"/>
          <w:rFonts w:cs="Times New Roman"/>
          <w:color w:val="000000" w:themeColor="text1"/>
          <w:szCs w:val="24"/>
        </w:rPr>
        <w:t xml:space="preserve"> </w:t>
      </w:r>
      <w:r w:rsidRPr="00C317BB" w:rsidR="005D71C0">
        <w:rPr>
          <w:rStyle w:val="normaltextrun"/>
          <w:rFonts w:cs="Times New Roman"/>
          <w:color w:val="000000" w:themeColor="text1"/>
          <w:szCs w:val="24"/>
        </w:rPr>
        <w:t>the</w:t>
      </w:r>
      <w:r w:rsidR="005613B2">
        <w:rPr>
          <w:rStyle w:val="normaltextrun"/>
          <w:rFonts w:cs="Times New Roman"/>
          <w:color w:val="000000" w:themeColor="text1"/>
          <w:szCs w:val="24"/>
        </w:rPr>
        <w:t xml:space="preserve"> </w:t>
      </w:r>
      <w:r w:rsidRPr="00C317BB" w:rsidR="005D71C0">
        <w:rPr>
          <w:rStyle w:val="normaltextrun"/>
          <w:rFonts w:cs="Times New Roman"/>
          <w:color w:val="000000" w:themeColor="text1"/>
          <w:szCs w:val="24"/>
        </w:rPr>
        <w:t>Federal</w:t>
      </w:r>
      <w:r w:rsidR="005613B2">
        <w:rPr>
          <w:rStyle w:val="normaltextrun"/>
          <w:rFonts w:cs="Times New Roman"/>
          <w:color w:val="000000" w:themeColor="text1"/>
          <w:szCs w:val="24"/>
        </w:rPr>
        <w:t xml:space="preserve"> </w:t>
      </w:r>
      <w:r w:rsidRPr="00C317BB" w:rsidR="005D71C0">
        <w:rPr>
          <w:rStyle w:val="normaltextrun"/>
          <w:rFonts w:cs="Times New Roman"/>
          <w:color w:val="000000" w:themeColor="text1"/>
          <w:szCs w:val="24"/>
        </w:rPr>
        <w:t>eRulemaking</w:t>
      </w:r>
      <w:r w:rsidR="005613B2">
        <w:rPr>
          <w:rStyle w:val="normaltextrun"/>
          <w:rFonts w:cs="Times New Roman"/>
          <w:color w:val="000000" w:themeColor="text1"/>
          <w:szCs w:val="24"/>
        </w:rPr>
        <w:t xml:space="preserve"> </w:t>
      </w:r>
      <w:r w:rsidRPr="00C317BB" w:rsidR="005D71C0">
        <w:rPr>
          <w:rStyle w:val="normaltextrun"/>
          <w:rFonts w:cs="Times New Roman"/>
          <w:color w:val="000000" w:themeColor="text1"/>
          <w:szCs w:val="24"/>
        </w:rPr>
        <w:t>Portal</w:t>
      </w:r>
      <w:r w:rsidR="005613B2">
        <w:rPr>
          <w:rStyle w:val="normaltextrun"/>
          <w:rFonts w:cs="Times New Roman"/>
          <w:color w:val="000000" w:themeColor="text1"/>
          <w:szCs w:val="24"/>
        </w:rPr>
        <w:t xml:space="preserve"> </w:t>
      </w:r>
      <w:r w:rsidRPr="00C317BB" w:rsidR="005D71C0">
        <w:rPr>
          <w:rStyle w:val="normaltextrun"/>
          <w:rFonts w:cs="Times New Roman"/>
          <w:color w:val="000000" w:themeColor="text1"/>
          <w:szCs w:val="24"/>
        </w:rPr>
        <w:t>at</w:t>
      </w:r>
      <w:r w:rsidR="005613B2">
        <w:rPr>
          <w:rStyle w:val="normaltextrun"/>
          <w:rFonts w:cs="Times New Roman"/>
          <w:color w:val="000000" w:themeColor="text1"/>
          <w:szCs w:val="24"/>
        </w:rPr>
        <w:t xml:space="preserve"> </w:t>
      </w:r>
      <w:r w:rsidRPr="00C317BB" w:rsidR="005D71C0">
        <w:rPr>
          <w:rStyle w:val="normaltextrun"/>
          <w:rFonts w:cs="Times New Roman"/>
          <w:i/>
          <w:color w:val="000000" w:themeColor="text1"/>
          <w:szCs w:val="24"/>
        </w:rPr>
        <w:t>https://www.regulations.gov</w:t>
      </w:r>
      <w:r w:rsidRPr="00C317BB" w:rsidR="005D71C0">
        <w:rPr>
          <w:rStyle w:val="normaltextrun"/>
          <w:rFonts w:cs="Times New Roman"/>
          <w:color w:val="000000" w:themeColor="text1"/>
          <w:szCs w:val="24"/>
        </w:rPr>
        <w:t>.</w:t>
      </w:r>
      <w:r w:rsidR="005613B2">
        <w:rPr>
          <w:rStyle w:val="normaltextrun"/>
          <w:rFonts w:cs="Times New Roman"/>
          <w:color w:val="000000" w:themeColor="text1"/>
          <w:szCs w:val="24"/>
        </w:rPr>
        <w:t xml:space="preserve"> </w:t>
      </w:r>
      <w:r w:rsidRPr="00C317BB" w:rsidR="005D71C0">
        <w:rPr>
          <w:rStyle w:val="normaltextrun"/>
          <w:rFonts w:cs="Times New Roman"/>
          <w:color w:val="000000" w:themeColor="text1"/>
          <w:szCs w:val="24"/>
        </w:rPr>
        <w:t>Follow</w:t>
      </w:r>
      <w:r w:rsidR="005613B2">
        <w:rPr>
          <w:rStyle w:val="normaltextrun"/>
          <w:rFonts w:cs="Times New Roman"/>
          <w:color w:val="000000" w:themeColor="text1"/>
          <w:szCs w:val="24"/>
        </w:rPr>
        <w:t xml:space="preserve"> </w:t>
      </w:r>
      <w:r w:rsidRPr="00C317BB" w:rsidR="005D71C0">
        <w:rPr>
          <w:rStyle w:val="normaltextrun"/>
          <w:rFonts w:cs="Times New Roman"/>
          <w:color w:val="000000" w:themeColor="text1"/>
          <w:szCs w:val="24"/>
        </w:rPr>
        <w:t>the</w:t>
      </w:r>
      <w:r w:rsidR="005613B2">
        <w:rPr>
          <w:rStyle w:val="normaltextrun"/>
          <w:rFonts w:cs="Times New Roman"/>
          <w:color w:val="000000" w:themeColor="text1"/>
          <w:szCs w:val="24"/>
        </w:rPr>
        <w:t xml:space="preserve"> </w:t>
      </w:r>
      <w:r w:rsidRPr="00C317BB" w:rsidR="005D71C0">
        <w:rPr>
          <w:rStyle w:val="normaltextrun"/>
          <w:rFonts w:cs="Times New Roman"/>
          <w:color w:val="000000" w:themeColor="text1"/>
          <w:szCs w:val="24"/>
        </w:rPr>
        <w:t>online</w:t>
      </w:r>
      <w:r w:rsidR="005613B2">
        <w:rPr>
          <w:rStyle w:val="normaltextrun"/>
          <w:rFonts w:cs="Times New Roman"/>
          <w:color w:val="000000" w:themeColor="text1"/>
          <w:szCs w:val="24"/>
        </w:rPr>
        <w:t xml:space="preserve"> </w:t>
      </w:r>
      <w:r w:rsidRPr="00C317BB" w:rsidR="005D71C0">
        <w:rPr>
          <w:rStyle w:val="normaltextrun"/>
          <w:rFonts w:cs="Times New Roman"/>
          <w:color w:val="000000" w:themeColor="text1"/>
          <w:szCs w:val="24"/>
        </w:rPr>
        <w:t>instructions</w:t>
      </w:r>
      <w:r w:rsidR="005613B2">
        <w:rPr>
          <w:rStyle w:val="normaltextrun"/>
          <w:rFonts w:cs="Times New Roman"/>
          <w:color w:val="000000" w:themeColor="text1"/>
          <w:szCs w:val="24"/>
        </w:rPr>
        <w:t xml:space="preserve"> </w:t>
      </w:r>
      <w:r w:rsidRPr="00C317BB" w:rsidR="005D71C0">
        <w:rPr>
          <w:rStyle w:val="normaltextrun"/>
          <w:rFonts w:cs="Times New Roman"/>
          <w:color w:val="000000" w:themeColor="text1"/>
          <w:szCs w:val="24"/>
        </w:rPr>
        <w:t>for</w:t>
      </w:r>
      <w:r w:rsidR="005613B2">
        <w:rPr>
          <w:rStyle w:val="normaltextrun"/>
          <w:rFonts w:cs="Times New Roman"/>
          <w:color w:val="000000" w:themeColor="text1"/>
          <w:szCs w:val="24"/>
        </w:rPr>
        <w:t xml:space="preserve"> </w:t>
      </w:r>
      <w:r w:rsidRPr="00C317BB" w:rsidR="005D71C0">
        <w:rPr>
          <w:rStyle w:val="normaltextrun"/>
          <w:rFonts w:cs="Times New Roman"/>
          <w:color w:val="000000" w:themeColor="text1"/>
          <w:szCs w:val="24"/>
        </w:rPr>
        <w:t>submitting</w:t>
      </w:r>
      <w:r w:rsidR="005613B2">
        <w:rPr>
          <w:rStyle w:val="normaltextrun"/>
          <w:rFonts w:cs="Times New Roman"/>
          <w:color w:val="000000" w:themeColor="text1"/>
          <w:szCs w:val="24"/>
        </w:rPr>
        <w:t xml:space="preserve"> </w:t>
      </w:r>
      <w:r w:rsidRPr="00C317BB" w:rsidR="005D71C0">
        <w:rPr>
          <w:rStyle w:val="normaltextrun"/>
          <w:rFonts w:cs="Times New Roman"/>
          <w:color w:val="000000" w:themeColor="text1"/>
          <w:szCs w:val="24"/>
        </w:rPr>
        <w:t>comments.</w:t>
      </w:r>
      <w:r w:rsidR="005613B2">
        <w:rPr>
          <w:rStyle w:val="normaltextrun"/>
          <w:rFonts w:cs="Times New Roman"/>
          <w:color w:val="000000" w:themeColor="text1"/>
          <w:szCs w:val="24"/>
        </w:rPr>
        <w:t xml:space="preserve"> </w:t>
      </w:r>
      <w:r w:rsidRPr="00C317BB" w:rsidR="005D71C0">
        <w:rPr>
          <w:rStyle w:val="normaltextrun"/>
          <w:rFonts w:cs="Times New Roman"/>
          <w:color w:val="000000" w:themeColor="text1"/>
          <w:szCs w:val="24"/>
        </w:rPr>
        <w:t>Do</w:t>
      </w:r>
      <w:r w:rsidR="005613B2">
        <w:rPr>
          <w:rStyle w:val="normaltextrun"/>
          <w:rFonts w:cs="Times New Roman"/>
          <w:color w:val="000000" w:themeColor="text1"/>
          <w:szCs w:val="24"/>
        </w:rPr>
        <w:t xml:space="preserve"> </w:t>
      </w:r>
      <w:r w:rsidRPr="00C317BB" w:rsidR="005D71C0">
        <w:rPr>
          <w:rStyle w:val="normaltextrun"/>
          <w:rFonts w:cs="Times New Roman"/>
          <w:color w:val="000000" w:themeColor="text1"/>
          <w:szCs w:val="24"/>
        </w:rPr>
        <w:t>not</w:t>
      </w:r>
      <w:r w:rsidR="005613B2">
        <w:rPr>
          <w:rStyle w:val="normaltextrun"/>
          <w:rFonts w:cs="Times New Roman"/>
          <w:color w:val="000000" w:themeColor="text1"/>
          <w:szCs w:val="24"/>
        </w:rPr>
        <w:t xml:space="preserve"> </w:t>
      </w:r>
      <w:r w:rsidRPr="00C317BB" w:rsidR="005D71C0">
        <w:rPr>
          <w:rStyle w:val="normaltextrun"/>
          <w:rFonts w:cs="Times New Roman"/>
          <w:color w:val="000000" w:themeColor="text1"/>
          <w:szCs w:val="24"/>
        </w:rPr>
        <w:t>submit</w:t>
      </w:r>
      <w:r w:rsidR="005613B2">
        <w:rPr>
          <w:rStyle w:val="normaltextrun"/>
          <w:rFonts w:cs="Times New Roman"/>
          <w:color w:val="000000" w:themeColor="text1"/>
          <w:szCs w:val="24"/>
        </w:rPr>
        <w:t xml:space="preserve"> </w:t>
      </w:r>
      <w:r w:rsidRPr="00C317BB" w:rsidR="005D71C0">
        <w:rPr>
          <w:rStyle w:val="normaltextrun"/>
          <w:rFonts w:cs="Times New Roman"/>
          <w:color w:val="000000" w:themeColor="text1"/>
          <w:szCs w:val="24"/>
        </w:rPr>
        <w:t>electronically</w:t>
      </w:r>
      <w:r w:rsidR="005613B2">
        <w:rPr>
          <w:rStyle w:val="normaltextrun"/>
          <w:rFonts w:cs="Times New Roman"/>
          <w:color w:val="000000" w:themeColor="text1"/>
          <w:szCs w:val="24"/>
        </w:rPr>
        <w:t xml:space="preserve"> </w:t>
      </w:r>
      <w:r w:rsidRPr="00C317BB" w:rsidR="005D71C0">
        <w:rPr>
          <w:rStyle w:val="normaltextrun"/>
          <w:rFonts w:cs="Times New Roman"/>
          <w:color w:val="000000" w:themeColor="text1"/>
          <w:szCs w:val="24"/>
        </w:rPr>
        <w:t>any</w:t>
      </w:r>
      <w:r w:rsidR="005613B2">
        <w:rPr>
          <w:rStyle w:val="normaltextrun"/>
          <w:rFonts w:cs="Times New Roman"/>
          <w:color w:val="000000" w:themeColor="text1"/>
          <w:szCs w:val="24"/>
        </w:rPr>
        <w:t xml:space="preserve"> </w:t>
      </w:r>
      <w:r w:rsidRPr="00C317BB" w:rsidR="005D71C0">
        <w:rPr>
          <w:rStyle w:val="normaltextrun"/>
          <w:rFonts w:cs="Times New Roman"/>
          <w:color w:val="000000" w:themeColor="text1"/>
          <w:szCs w:val="24"/>
        </w:rPr>
        <w:t>information</w:t>
      </w:r>
      <w:r w:rsidR="005613B2">
        <w:rPr>
          <w:rStyle w:val="normaltextrun"/>
          <w:rFonts w:cs="Times New Roman"/>
          <w:color w:val="000000" w:themeColor="text1"/>
          <w:szCs w:val="24"/>
        </w:rPr>
        <w:t xml:space="preserve"> </w:t>
      </w:r>
      <w:r w:rsidRPr="00C317BB" w:rsidR="005D71C0">
        <w:rPr>
          <w:rStyle w:val="normaltextrun"/>
          <w:rFonts w:cs="Times New Roman"/>
          <w:color w:val="000000" w:themeColor="text1"/>
          <w:szCs w:val="24"/>
        </w:rPr>
        <w:t>you</w:t>
      </w:r>
      <w:r w:rsidR="005613B2">
        <w:rPr>
          <w:rStyle w:val="normaltextrun"/>
          <w:rFonts w:cs="Times New Roman"/>
          <w:color w:val="000000" w:themeColor="text1"/>
          <w:szCs w:val="24"/>
        </w:rPr>
        <w:t xml:space="preserve"> </w:t>
      </w:r>
      <w:r w:rsidRPr="00C317BB" w:rsidR="005D71C0">
        <w:rPr>
          <w:rStyle w:val="normaltextrun"/>
          <w:rFonts w:cs="Times New Roman"/>
          <w:color w:val="000000" w:themeColor="text1"/>
          <w:szCs w:val="24"/>
        </w:rPr>
        <w:t>consider</w:t>
      </w:r>
      <w:r w:rsidR="005613B2">
        <w:rPr>
          <w:rStyle w:val="normaltextrun"/>
          <w:rFonts w:cs="Times New Roman"/>
          <w:color w:val="000000" w:themeColor="text1"/>
          <w:szCs w:val="24"/>
        </w:rPr>
        <w:t xml:space="preserve"> </w:t>
      </w:r>
      <w:r w:rsidRPr="00C317BB" w:rsidR="005D71C0">
        <w:rPr>
          <w:rStyle w:val="normaltextrun"/>
          <w:rFonts w:cs="Times New Roman"/>
          <w:color w:val="000000" w:themeColor="text1"/>
          <w:szCs w:val="24"/>
        </w:rPr>
        <w:t>to</w:t>
      </w:r>
      <w:r w:rsidR="005613B2">
        <w:rPr>
          <w:rStyle w:val="normaltextrun"/>
          <w:rFonts w:cs="Times New Roman"/>
          <w:color w:val="000000" w:themeColor="text1"/>
          <w:szCs w:val="24"/>
        </w:rPr>
        <w:t xml:space="preserve"> </w:t>
      </w:r>
      <w:r w:rsidRPr="00C317BB" w:rsidR="005D71C0">
        <w:rPr>
          <w:rStyle w:val="normaltextrun"/>
          <w:rFonts w:cs="Times New Roman"/>
          <w:color w:val="000000" w:themeColor="text1"/>
          <w:szCs w:val="24"/>
        </w:rPr>
        <w:t>be</w:t>
      </w:r>
      <w:r w:rsidR="005613B2">
        <w:rPr>
          <w:rStyle w:val="normaltextrun"/>
          <w:rFonts w:cs="Times New Roman"/>
          <w:color w:val="000000" w:themeColor="text1"/>
          <w:szCs w:val="24"/>
        </w:rPr>
        <w:t xml:space="preserve"> </w:t>
      </w:r>
      <w:r w:rsidRPr="00C317BB" w:rsidR="005D71C0">
        <w:rPr>
          <w:rStyle w:val="normaltextrun"/>
          <w:rFonts w:cs="Times New Roman"/>
          <w:color w:val="000000" w:themeColor="text1"/>
          <w:szCs w:val="24"/>
        </w:rPr>
        <w:t>Confidential</w:t>
      </w:r>
      <w:r w:rsidR="005613B2">
        <w:rPr>
          <w:rStyle w:val="normaltextrun"/>
          <w:rFonts w:cs="Times New Roman"/>
          <w:color w:val="000000" w:themeColor="text1"/>
          <w:szCs w:val="24"/>
        </w:rPr>
        <w:t xml:space="preserve"> </w:t>
      </w:r>
      <w:r w:rsidRPr="00C317BB" w:rsidR="005D71C0">
        <w:rPr>
          <w:rStyle w:val="normaltextrun"/>
          <w:rFonts w:cs="Times New Roman"/>
          <w:color w:val="000000" w:themeColor="text1"/>
          <w:szCs w:val="24"/>
        </w:rPr>
        <w:t>Business</w:t>
      </w:r>
      <w:r w:rsidR="005613B2">
        <w:rPr>
          <w:rStyle w:val="normaltextrun"/>
          <w:rFonts w:cs="Times New Roman"/>
          <w:color w:val="000000" w:themeColor="text1"/>
          <w:szCs w:val="24"/>
        </w:rPr>
        <w:t xml:space="preserve"> </w:t>
      </w:r>
      <w:r w:rsidRPr="00C317BB" w:rsidR="005D71C0">
        <w:rPr>
          <w:rStyle w:val="normaltextrun"/>
          <w:rFonts w:cs="Times New Roman"/>
          <w:color w:val="000000" w:themeColor="text1"/>
          <w:szCs w:val="24"/>
        </w:rPr>
        <w:t>Information</w:t>
      </w:r>
      <w:r w:rsidR="005613B2">
        <w:rPr>
          <w:rStyle w:val="normaltextrun"/>
          <w:rFonts w:cs="Times New Roman"/>
          <w:color w:val="000000" w:themeColor="text1"/>
          <w:szCs w:val="24"/>
        </w:rPr>
        <w:t xml:space="preserve"> </w:t>
      </w:r>
      <w:r w:rsidRPr="00C317BB" w:rsidR="005D71C0">
        <w:rPr>
          <w:rStyle w:val="normaltextrun"/>
          <w:rFonts w:cs="Times New Roman"/>
          <w:color w:val="000000" w:themeColor="text1"/>
          <w:szCs w:val="24"/>
        </w:rPr>
        <w:t>(CBI)</w:t>
      </w:r>
      <w:r w:rsidR="005613B2">
        <w:rPr>
          <w:rStyle w:val="normaltextrun"/>
          <w:rFonts w:cs="Times New Roman"/>
          <w:color w:val="000000" w:themeColor="text1"/>
          <w:szCs w:val="24"/>
        </w:rPr>
        <w:t xml:space="preserve"> </w:t>
      </w:r>
      <w:r w:rsidRPr="00C317BB" w:rsidR="005D71C0">
        <w:rPr>
          <w:rStyle w:val="normaltextrun"/>
          <w:rFonts w:cs="Times New Roman"/>
          <w:color w:val="000000" w:themeColor="text1"/>
          <w:szCs w:val="24"/>
        </w:rPr>
        <w:t>or</w:t>
      </w:r>
      <w:r w:rsidR="005613B2">
        <w:rPr>
          <w:rStyle w:val="normaltextrun"/>
          <w:rFonts w:cs="Times New Roman"/>
          <w:color w:val="000000" w:themeColor="text1"/>
          <w:szCs w:val="24"/>
        </w:rPr>
        <w:t xml:space="preserve"> </w:t>
      </w:r>
      <w:r w:rsidRPr="00C317BB" w:rsidR="005D71C0">
        <w:rPr>
          <w:rStyle w:val="normaltextrun"/>
          <w:rFonts w:cs="Times New Roman"/>
          <w:color w:val="000000" w:themeColor="text1"/>
          <w:szCs w:val="24"/>
        </w:rPr>
        <w:t>other</w:t>
      </w:r>
      <w:r w:rsidR="005613B2">
        <w:rPr>
          <w:rStyle w:val="normaltextrun"/>
          <w:rFonts w:cs="Times New Roman"/>
          <w:color w:val="000000" w:themeColor="text1"/>
          <w:szCs w:val="24"/>
        </w:rPr>
        <w:t xml:space="preserve"> </w:t>
      </w:r>
      <w:r w:rsidRPr="00C317BB" w:rsidR="005D71C0">
        <w:rPr>
          <w:rStyle w:val="normaltextrun"/>
          <w:rFonts w:cs="Times New Roman"/>
          <w:color w:val="000000" w:themeColor="text1"/>
          <w:szCs w:val="24"/>
        </w:rPr>
        <w:t>information</w:t>
      </w:r>
      <w:r w:rsidR="005613B2">
        <w:rPr>
          <w:rStyle w:val="normaltextrun"/>
          <w:rFonts w:cs="Times New Roman"/>
          <w:color w:val="000000" w:themeColor="text1"/>
          <w:szCs w:val="24"/>
        </w:rPr>
        <w:t xml:space="preserve"> </w:t>
      </w:r>
      <w:r w:rsidRPr="00C317BB" w:rsidR="005D71C0">
        <w:rPr>
          <w:rStyle w:val="normaltextrun"/>
          <w:rFonts w:cs="Times New Roman"/>
          <w:color w:val="000000" w:themeColor="text1"/>
          <w:szCs w:val="24"/>
        </w:rPr>
        <w:t>whose</w:t>
      </w:r>
      <w:r w:rsidR="005613B2">
        <w:rPr>
          <w:rStyle w:val="normaltextrun"/>
          <w:rFonts w:cs="Times New Roman"/>
          <w:color w:val="000000" w:themeColor="text1"/>
          <w:szCs w:val="24"/>
        </w:rPr>
        <w:t xml:space="preserve"> </w:t>
      </w:r>
      <w:r w:rsidRPr="00C317BB" w:rsidR="005D71C0">
        <w:rPr>
          <w:rStyle w:val="normaltextrun"/>
          <w:rFonts w:cs="Times New Roman"/>
          <w:color w:val="000000" w:themeColor="text1"/>
          <w:szCs w:val="24"/>
        </w:rPr>
        <w:t>disclosure</w:t>
      </w:r>
      <w:r w:rsidR="005613B2">
        <w:rPr>
          <w:rStyle w:val="normaltextrun"/>
          <w:rFonts w:cs="Times New Roman"/>
          <w:color w:val="000000" w:themeColor="text1"/>
          <w:szCs w:val="24"/>
        </w:rPr>
        <w:t xml:space="preserve"> </w:t>
      </w:r>
      <w:r w:rsidRPr="00C317BB" w:rsidR="005D71C0">
        <w:rPr>
          <w:rStyle w:val="normaltextrun"/>
          <w:rFonts w:cs="Times New Roman"/>
          <w:color w:val="000000" w:themeColor="text1"/>
          <w:szCs w:val="24"/>
        </w:rPr>
        <w:t>is</w:t>
      </w:r>
      <w:r w:rsidR="005613B2">
        <w:rPr>
          <w:rStyle w:val="normaltextrun"/>
          <w:rFonts w:cs="Times New Roman"/>
          <w:color w:val="000000" w:themeColor="text1"/>
          <w:szCs w:val="24"/>
        </w:rPr>
        <w:t xml:space="preserve"> </w:t>
      </w:r>
      <w:r w:rsidRPr="00C317BB" w:rsidR="005D71C0">
        <w:rPr>
          <w:rStyle w:val="normaltextrun"/>
          <w:rFonts w:cs="Times New Roman"/>
          <w:color w:val="000000" w:themeColor="text1"/>
          <w:szCs w:val="24"/>
        </w:rPr>
        <w:t>restricted</w:t>
      </w:r>
      <w:r w:rsidR="005613B2">
        <w:rPr>
          <w:rStyle w:val="normaltextrun"/>
          <w:rFonts w:cs="Times New Roman"/>
          <w:color w:val="000000" w:themeColor="text1"/>
          <w:szCs w:val="24"/>
        </w:rPr>
        <w:t xml:space="preserve"> </w:t>
      </w:r>
      <w:r w:rsidRPr="00C317BB" w:rsidR="005D71C0">
        <w:rPr>
          <w:rStyle w:val="normaltextrun"/>
          <w:rFonts w:cs="Times New Roman"/>
          <w:color w:val="000000" w:themeColor="text1"/>
          <w:szCs w:val="24"/>
        </w:rPr>
        <w:t>by</w:t>
      </w:r>
      <w:r w:rsidR="005613B2">
        <w:rPr>
          <w:rStyle w:val="normaltextrun"/>
          <w:rFonts w:cs="Times New Roman"/>
          <w:color w:val="000000" w:themeColor="text1"/>
          <w:szCs w:val="24"/>
        </w:rPr>
        <w:t xml:space="preserve"> </w:t>
      </w:r>
      <w:r w:rsidRPr="00C317BB" w:rsidR="005D71C0">
        <w:rPr>
          <w:rStyle w:val="normaltextrun"/>
          <w:rFonts w:cs="Times New Roman"/>
          <w:color w:val="000000" w:themeColor="text1"/>
          <w:szCs w:val="24"/>
        </w:rPr>
        <w:t>statute.</w:t>
      </w:r>
      <w:r w:rsidR="005613B2">
        <w:rPr>
          <w:rStyle w:val="normaltextrun"/>
          <w:rFonts w:cs="Times New Roman"/>
          <w:color w:val="000000" w:themeColor="text1"/>
          <w:szCs w:val="24"/>
        </w:rPr>
        <w:t xml:space="preserve"> </w:t>
      </w:r>
      <w:r w:rsidRPr="00C317BB" w:rsidR="005D71C0">
        <w:rPr>
          <w:rStyle w:val="normaltextrun"/>
          <w:rFonts w:cs="Times New Roman"/>
          <w:color w:val="000000" w:themeColor="text1"/>
          <w:szCs w:val="24"/>
        </w:rPr>
        <w:t>Due</w:t>
      </w:r>
      <w:r w:rsidR="005613B2">
        <w:rPr>
          <w:rStyle w:val="normaltextrun"/>
          <w:rFonts w:cs="Times New Roman"/>
          <w:color w:val="000000" w:themeColor="text1"/>
          <w:szCs w:val="24"/>
        </w:rPr>
        <w:t xml:space="preserve"> </w:t>
      </w:r>
      <w:r w:rsidRPr="00C317BB" w:rsidR="005D71C0">
        <w:rPr>
          <w:rStyle w:val="normaltextrun"/>
          <w:rFonts w:cs="Times New Roman"/>
          <w:color w:val="000000" w:themeColor="text1"/>
          <w:szCs w:val="24"/>
        </w:rPr>
        <w:t>to</w:t>
      </w:r>
      <w:r w:rsidR="005613B2">
        <w:rPr>
          <w:rStyle w:val="normaltextrun"/>
          <w:rFonts w:cs="Times New Roman"/>
          <w:color w:val="000000" w:themeColor="text1"/>
          <w:szCs w:val="24"/>
        </w:rPr>
        <w:t xml:space="preserve"> </w:t>
      </w:r>
      <w:r w:rsidRPr="00C317BB" w:rsidR="005D71C0">
        <w:rPr>
          <w:rStyle w:val="normaltextrun"/>
          <w:rFonts w:cs="Times New Roman"/>
          <w:color w:val="000000" w:themeColor="text1"/>
          <w:szCs w:val="24"/>
        </w:rPr>
        <w:t>the</w:t>
      </w:r>
      <w:r w:rsidR="005613B2">
        <w:rPr>
          <w:rStyle w:val="normaltextrun"/>
          <w:rFonts w:cs="Times New Roman"/>
          <w:color w:val="000000" w:themeColor="text1"/>
          <w:szCs w:val="24"/>
        </w:rPr>
        <w:t xml:space="preserve"> </w:t>
      </w:r>
      <w:r w:rsidRPr="00C317BB" w:rsidR="005D71C0">
        <w:rPr>
          <w:rStyle w:val="normaltextrun"/>
          <w:rFonts w:cs="Times New Roman"/>
          <w:color w:val="000000" w:themeColor="text1"/>
          <w:szCs w:val="24"/>
        </w:rPr>
        <w:t>public</w:t>
      </w:r>
      <w:r w:rsidR="005613B2">
        <w:rPr>
          <w:rStyle w:val="normaltextrun"/>
          <w:rFonts w:cs="Times New Roman"/>
          <w:color w:val="000000" w:themeColor="text1"/>
          <w:szCs w:val="24"/>
        </w:rPr>
        <w:t xml:space="preserve"> </w:t>
      </w:r>
      <w:r w:rsidRPr="00C317BB" w:rsidR="005D71C0">
        <w:rPr>
          <w:rStyle w:val="normaltextrun"/>
          <w:rFonts w:cs="Times New Roman"/>
          <w:color w:val="000000" w:themeColor="text1"/>
          <w:szCs w:val="24"/>
        </w:rPr>
        <w:t>health</w:t>
      </w:r>
      <w:r w:rsidR="005613B2">
        <w:rPr>
          <w:rStyle w:val="normaltextrun"/>
          <w:rFonts w:cs="Times New Roman"/>
          <w:color w:val="000000" w:themeColor="text1"/>
          <w:szCs w:val="24"/>
        </w:rPr>
        <w:t xml:space="preserve"> </w:t>
      </w:r>
      <w:r w:rsidRPr="00C317BB" w:rsidR="005D71C0">
        <w:rPr>
          <w:rStyle w:val="normaltextrun"/>
          <w:rFonts w:cs="Times New Roman"/>
          <w:color w:val="000000" w:themeColor="text1"/>
          <w:szCs w:val="24"/>
        </w:rPr>
        <w:t>concerns</w:t>
      </w:r>
      <w:r w:rsidR="005613B2">
        <w:rPr>
          <w:rStyle w:val="normaltextrun"/>
          <w:rFonts w:cs="Times New Roman"/>
          <w:color w:val="000000" w:themeColor="text1"/>
          <w:szCs w:val="24"/>
        </w:rPr>
        <w:t xml:space="preserve"> </w:t>
      </w:r>
      <w:r w:rsidRPr="00C317BB" w:rsidR="005D71C0">
        <w:rPr>
          <w:rStyle w:val="normaltextrun"/>
          <w:rFonts w:cs="Times New Roman"/>
          <w:color w:val="000000" w:themeColor="text1"/>
          <w:szCs w:val="24"/>
        </w:rPr>
        <w:t>related</w:t>
      </w:r>
      <w:r w:rsidR="005613B2">
        <w:rPr>
          <w:rStyle w:val="normaltextrun"/>
          <w:rFonts w:cs="Times New Roman"/>
          <w:color w:val="000000" w:themeColor="text1"/>
          <w:szCs w:val="24"/>
        </w:rPr>
        <w:t xml:space="preserve"> </w:t>
      </w:r>
      <w:r w:rsidRPr="00C317BB" w:rsidR="005D71C0">
        <w:rPr>
          <w:rStyle w:val="normaltextrun"/>
          <w:rFonts w:cs="Times New Roman"/>
          <w:color w:val="000000" w:themeColor="text1"/>
          <w:szCs w:val="24"/>
        </w:rPr>
        <w:t>to</w:t>
      </w:r>
      <w:r w:rsidR="005613B2">
        <w:rPr>
          <w:rStyle w:val="normaltextrun"/>
          <w:rFonts w:cs="Times New Roman"/>
          <w:color w:val="000000" w:themeColor="text1"/>
          <w:szCs w:val="24"/>
        </w:rPr>
        <w:t xml:space="preserve"> </w:t>
      </w:r>
      <w:r w:rsidRPr="00C317BB" w:rsidR="005D71C0">
        <w:rPr>
          <w:rStyle w:val="normaltextrun"/>
          <w:rFonts w:cs="Times New Roman"/>
          <w:color w:val="000000" w:themeColor="text1"/>
          <w:szCs w:val="24"/>
        </w:rPr>
        <w:t>COVID-19,</w:t>
      </w:r>
      <w:r w:rsidR="005613B2">
        <w:rPr>
          <w:rStyle w:val="normaltextrun"/>
          <w:rFonts w:cs="Times New Roman"/>
          <w:color w:val="000000" w:themeColor="text1"/>
          <w:szCs w:val="24"/>
        </w:rPr>
        <w:t xml:space="preserve"> </w:t>
      </w:r>
      <w:r w:rsidRPr="00C317BB" w:rsidR="005D71C0">
        <w:rPr>
          <w:rStyle w:val="normaltextrun"/>
          <w:rFonts w:cs="Times New Roman"/>
          <w:color w:val="000000" w:themeColor="text1"/>
          <w:szCs w:val="24"/>
        </w:rPr>
        <w:t>the</w:t>
      </w:r>
      <w:r w:rsidR="005613B2">
        <w:rPr>
          <w:rStyle w:val="normaltextrun"/>
          <w:rFonts w:cs="Times New Roman"/>
          <w:color w:val="000000" w:themeColor="text1"/>
          <w:szCs w:val="24"/>
        </w:rPr>
        <w:t xml:space="preserve"> </w:t>
      </w:r>
      <w:r w:rsidRPr="00C317BB" w:rsidR="005D71C0">
        <w:rPr>
          <w:rStyle w:val="normaltextrun"/>
          <w:rFonts w:cs="Times New Roman"/>
          <w:color w:val="000000" w:themeColor="text1"/>
          <w:szCs w:val="24"/>
        </w:rPr>
        <w:t>EPA</w:t>
      </w:r>
      <w:r w:rsidR="005613B2">
        <w:rPr>
          <w:rStyle w:val="normaltextrun"/>
          <w:rFonts w:cs="Times New Roman"/>
          <w:color w:val="000000" w:themeColor="text1"/>
          <w:szCs w:val="24"/>
        </w:rPr>
        <w:t xml:space="preserve"> </w:t>
      </w:r>
      <w:r w:rsidRPr="00C317BB" w:rsidR="005D71C0">
        <w:rPr>
          <w:rStyle w:val="normaltextrun"/>
          <w:rFonts w:cs="Times New Roman"/>
          <w:color w:val="000000" w:themeColor="text1"/>
          <w:szCs w:val="24"/>
        </w:rPr>
        <w:t>Docket</w:t>
      </w:r>
      <w:r w:rsidR="005613B2">
        <w:rPr>
          <w:rStyle w:val="normaltextrun"/>
          <w:rFonts w:cs="Times New Roman"/>
          <w:color w:val="000000" w:themeColor="text1"/>
          <w:szCs w:val="24"/>
        </w:rPr>
        <w:t xml:space="preserve"> </w:t>
      </w:r>
      <w:r w:rsidRPr="00C317BB" w:rsidR="005D71C0">
        <w:rPr>
          <w:rStyle w:val="normaltextrun"/>
          <w:rFonts w:cs="Times New Roman"/>
          <w:color w:val="000000" w:themeColor="text1"/>
          <w:szCs w:val="24"/>
        </w:rPr>
        <w:t>Center</w:t>
      </w:r>
      <w:r w:rsidR="005613B2">
        <w:rPr>
          <w:rStyle w:val="normaltextrun"/>
          <w:rFonts w:cs="Times New Roman"/>
          <w:color w:val="000000" w:themeColor="text1"/>
          <w:szCs w:val="24"/>
        </w:rPr>
        <w:t xml:space="preserve"> </w:t>
      </w:r>
      <w:r w:rsidRPr="00C317BB" w:rsidR="005D71C0">
        <w:rPr>
          <w:rStyle w:val="normaltextrun"/>
          <w:rFonts w:cs="Times New Roman"/>
          <w:color w:val="000000" w:themeColor="text1"/>
          <w:szCs w:val="24"/>
        </w:rPr>
        <w:t>(EPA/DC)</w:t>
      </w:r>
      <w:r w:rsidR="005613B2">
        <w:rPr>
          <w:rStyle w:val="normaltextrun"/>
          <w:rFonts w:cs="Times New Roman"/>
          <w:color w:val="000000" w:themeColor="text1"/>
          <w:szCs w:val="24"/>
        </w:rPr>
        <w:t xml:space="preserve"> </w:t>
      </w:r>
      <w:r w:rsidRPr="00C317BB" w:rsidR="005D71C0">
        <w:rPr>
          <w:rStyle w:val="normaltextrun"/>
          <w:rFonts w:cs="Times New Roman"/>
          <w:color w:val="000000" w:themeColor="text1"/>
          <w:szCs w:val="24"/>
        </w:rPr>
        <w:t>and</w:t>
      </w:r>
      <w:r w:rsidR="005613B2">
        <w:rPr>
          <w:rStyle w:val="normaltextrun"/>
          <w:rFonts w:cs="Times New Roman"/>
          <w:color w:val="000000" w:themeColor="text1"/>
          <w:szCs w:val="24"/>
        </w:rPr>
        <w:t xml:space="preserve"> </w:t>
      </w:r>
      <w:r w:rsidRPr="00C317BB" w:rsidR="005D71C0">
        <w:rPr>
          <w:rStyle w:val="normaltextrun"/>
          <w:rFonts w:cs="Times New Roman"/>
          <w:color w:val="000000" w:themeColor="text1"/>
          <w:szCs w:val="24"/>
        </w:rPr>
        <w:t>Reading</w:t>
      </w:r>
      <w:r w:rsidR="005613B2">
        <w:rPr>
          <w:rStyle w:val="normaltextrun"/>
          <w:rFonts w:cs="Times New Roman"/>
          <w:color w:val="000000" w:themeColor="text1"/>
          <w:szCs w:val="24"/>
        </w:rPr>
        <w:t xml:space="preserve"> </w:t>
      </w:r>
      <w:r w:rsidRPr="00C317BB" w:rsidR="005D71C0">
        <w:rPr>
          <w:rStyle w:val="normaltextrun"/>
          <w:rFonts w:cs="Times New Roman"/>
          <w:color w:val="000000" w:themeColor="text1"/>
          <w:szCs w:val="24"/>
        </w:rPr>
        <w:t>Room</w:t>
      </w:r>
      <w:r w:rsidR="005613B2">
        <w:rPr>
          <w:rStyle w:val="normaltextrun"/>
          <w:rFonts w:cs="Times New Roman"/>
          <w:color w:val="000000" w:themeColor="text1"/>
          <w:szCs w:val="24"/>
        </w:rPr>
        <w:t xml:space="preserve"> </w:t>
      </w:r>
      <w:r w:rsidRPr="00C317BB" w:rsidR="005D71C0">
        <w:rPr>
          <w:rStyle w:val="normaltextrun"/>
          <w:rFonts w:cs="Times New Roman"/>
          <w:color w:val="000000" w:themeColor="text1"/>
          <w:szCs w:val="24"/>
        </w:rPr>
        <w:t>is</w:t>
      </w:r>
      <w:r w:rsidR="005613B2">
        <w:rPr>
          <w:rStyle w:val="normaltextrun"/>
          <w:rFonts w:cs="Times New Roman"/>
          <w:color w:val="000000" w:themeColor="text1"/>
          <w:szCs w:val="24"/>
        </w:rPr>
        <w:t xml:space="preserve"> </w:t>
      </w:r>
      <w:r w:rsidR="008248E3">
        <w:rPr>
          <w:rStyle w:val="normaltextrun"/>
          <w:rFonts w:cs="Times New Roman"/>
          <w:color w:val="000000" w:themeColor="text1"/>
          <w:szCs w:val="24"/>
        </w:rPr>
        <w:t>open</w:t>
      </w:r>
      <w:r w:rsidR="005613B2">
        <w:rPr>
          <w:rStyle w:val="normaltextrun"/>
          <w:rFonts w:cs="Times New Roman"/>
          <w:color w:val="000000" w:themeColor="text1"/>
          <w:szCs w:val="24"/>
        </w:rPr>
        <w:t xml:space="preserve"> </w:t>
      </w:r>
      <w:r w:rsidRPr="00C317BB" w:rsidR="005D71C0">
        <w:rPr>
          <w:rStyle w:val="normaltextrun"/>
          <w:rFonts w:cs="Times New Roman"/>
          <w:color w:val="000000" w:themeColor="text1"/>
          <w:szCs w:val="24"/>
        </w:rPr>
        <w:t>to</w:t>
      </w:r>
      <w:r w:rsidR="005613B2">
        <w:rPr>
          <w:rStyle w:val="normaltextrun"/>
          <w:rFonts w:cs="Times New Roman"/>
          <w:color w:val="000000" w:themeColor="text1"/>
          <w:szCs w:val="24"/>
        </w:rPr>
        <w:t xml:space="preserve"> </w:t>
      </w:r>
      <w:r w:rsidRPr="00C317BB" w:rsidR="005D71C0">
        <w:rPr>
          <w:rStyle w:val="normaltextrun"/>
          <w:rFonts w:cs="Times New Roman"/>
          <w:color w:val="000000" w:themeColor="text1"/>
          <w:szCs w:val="24"/>
        </w:rPr>
        <w:t>visitors</w:t>
      </w:r>
      <w:r w:rsidR="005613B2">
        <w:rPr>
          <w:rStyle w:val="normaltextrun"/>
          <w:rFonts w:cs="Times New Roman"/>
          <w:color w:val="000000" w:themeColor="text1"/>
          <w:szCs w:val="24"/>
        </w:rPr>
        <w:t xml:space="preserve"> </w:t>
      </w:r>
      <w:r w:rsidR="008248E3">
        <w:rPr>
          <w:rStyle w:val="normaltextrun"/>
          <w:rFonts w:cs="Times New Roman"/>
          <w:color w:val="000000" w:themeColor="text1"/>
          <w:szCs w:val="24"/>
        </w:rPr>
        <w:t>by</w:t>
      </w:r>
      <w:r w:rsidR="005613B2">
        <w:rPr>
          <w:rStyle w:val="normaltextrun"/>
          <w:rFonts w:cs="Times New Roman"/>
          <w:color w:val="000000" w:themeColor="text1"/>
          <w:szCs w:val="24"/>
        </w:rPr>
        <w:t xml:space="preserve"> </w:t>
      </w:r>
      <w:r w:rsidR="008248E3">
        <w:rPr>
          <w:rStyle w:val="normaltextrun"/>
          <w:rFonts w:cs="Times New Roman"/>
          <w:color w:val="000000" w:themeColor="text1"/>
          <w:szCs w:val="24"/>
        </w:rPr>
        <w:t>appointments</w:t>
      </w:r>
      <w:r w:rsidRPr="00C317BB" w:rsidR="005D71C0">
        <w:rPr>
          <w:rStyle w:val="normaltextrun"/>
          <w:rFonts w:cs="Times New Roman"/>
          <w:color w:val="000000" w:themeColor="text1"/>
          <w:szCs w:val="24"/>
        </w:rPr>
        <w:t>.</w:t>
      </w:r>
      <w:r w:rsidR="005613B2">
        <w:rPr>
          <w:rStyle w:val="normaltextrun"/>
          <w:rFonts w:cs="Times New Roman"/>
          <w:color w:val="000000" w:themeColor="text1"/>
          <w:szCs w:val="24"/>
        </w:rPr>
        <w:t xml:space="preserve"> </w:t>
      </w:r>
      <w:r w:rsidRPr="00C317BB" w:rsidR="005D71C0">
        <w:rPr>
          <w:rStyle w:val="normaltextrun"/>
          <w:rFonts w:cs="Times New Roman"/>
          <w:color w:val="000000" w:themeColor="text1"/>
          <w:szCs w:val="24"/>
        </w:rPr>
        <w:t>For</w:t>
      </w:r>
      <w:r w:rsidR="005613B2">
        <w:rPr>
          <w:rStyle w:val="normaltextrun"/>
          <w:rFonts w:cs="Times New Roman"/>
          <w:color w:val="000000" w:themeColor="text1"/>
          <w:szCs w:val="24"/>
        </w:rPr>
        <w:t xml:space="preserve"> </w:t>
      </w:r>
      <w:r w:rsidRPr="00C317BB" w:rsidR="005D71C0">
        <w:rPr>
          <w:rStyle w:val="normaltextrun"/>
          <w:rFonts w:cs="Times New Roman"/>
          <w:color w:val="000000" w:themeColor="text1"/>
          <w:szCs w:val="24"/>
        </w:rPr>
        <w:t>the</w:t>
      </w:r>
      <w:r w:rsidR="005613B2">
        <w:rPr>
          <w:rStyle w:val="normaltextrun"/>
          <w:rFonts w:cs="Times New Roman"/>
          <w:color w:val="000000" w:themeColor="text1"/>
          <w:szCs w:val="24"/>
        </w:rPr>
        <w:t xml:space="preserve"> </w:t>
      </w:r>
      <w:r w:rsidRPr="00C317BB" w:rsidR="005D71C0">
        <w:rPr>
          <w:rStyle w:val="normaltextrun"/>
          <w:rFonts w:cs="Times New Roman"/>
          <w:color w:val="000000" w:themeColor="text1"/>
          <w:szCs w:val="24"/>
        </w:rPr>
        <w:t>latest</w:t>
      </w:r>
      <w:r w:rsidR="005613B2">
        <w:rPr>
          <w:rStyle w:val="normaltextrun"/>
          <w:rFonts w:cs="Times New Roman"/>
          <w:color w:val="000000" w:themeColor="text1"/>
          <w:szCs w:val="24"/>
        </w:rPr>
        <w:t xml:space="preserve"> </w:t>
      </w:r>
      <w:r w:rsidRPr="00C317BB" w:rsidR="005D71C0">
        <w:rPr>
          <w:rStyle w:val="normaltextrun"/>
          <w:rFonts w:cs="Times New Roman"/>
          <w:color w:val="000000" w:themeColor="text1"/>
          <w:szCs w:val="24"/>
        </w:rPr>
        <w:t>status</w:t>
      </w:r>
      <w:r w:rsidR="005613B2">
        <w:rPr>
          <w:rStyle w:val="normaltextrun"/>
          <w:rFonts w:cs="Times New Roman"/>
          <w:color w:val="000000" w:themeColor="text1"/>
          <w:szCs w:val="24"/>
        </w:rPr>
        <w:t xml:space="preserve"> </w:t>
      </w:r>
      <w:r w:rsidRPr="00C317BB" w:rsidR="005D71C0">
        <w:rPr>
          <w:rStyle w:val="normaltextrun"/>
          <w:rFonts w:cs="Times New Roman"/>
          <w:color w:val="000000" w:themeColor="text1"/>
          <w:szCs w:val="24"/>
        </w:rPr>
        <w:t>information</w:t>
      </w:r>
      <w:r w:rsidR="005613B2">
        <w:rPr>
          <w:rStyle w:val="normaltextrun"/>
          <w:rFonts w:cs="Times New Roman"/>
          <w:color w:val="000000" w:themeColor="text1"/>
          <w:szCs w:val="24"/>
        </w:rPr>
        <w:t xml:space="preserve"> </w:t>
      </w:r>
      <w:r w:rsidRPr="00C317BB" w:rsidR="005D71C0">
        <w:rPr>
          <w:rStyle w:val="normaltextrun"/>
          <w:rFonts w:cs="Times New Roman"/>
          <w:color w:val="000000" w:themeColor="text1"/>
          <w:szCs w:val="24"/>
        </w:rPr>
        <w:t>on</w:t>
      </w:r>
      <w:r w:rsidR="005613B2">
        <w:rPr>
          <w:rStyle w:val="normaltextrun"/>
          <w:rFonts w:cs="Times New Roman"/>
          <w:color w:val="000000" w:themeColor="text1"/>
          <w:szCs w:val="24"/>
        </w:rPr>
        <w:t xml:space="preserve"> </w:t>
      </w:r>
      <w:r w:rsidRPr="00C317BB" w:rsidR="005D71C0">
        <w:rPr>
          <w:rStyle w:val="normaltextrun"/>
          <w:rFonts w:cs="Times New Roman"/>
          <w:color w:val="000000" w:themeColor="text1"/>
          <w:szCs w:val="24"/>
        </w:rPr>
        <w:t>EPA/DC</w:t>
      </w:r>
      <w:r w:rsidR="005613B2">
        <w:rPr>
          <w:rStyle w:val="normaltextrun"/>
          <w:rFonts w:cs="Times New Roman"/>
          <w:color w:val="000000" w:themeColor="text1"/>
          <w:szCs w:val="24"/>
        </w:rPr>
        <w:t xml:space="preserve"> </w:t>
      </w:r>
      <w:r w:rsidRPr="00C317BB" w:rsidR="005D71C0">
        <w:rPr>
          <w:rStyle w:val="normaltextrun"/>
          <w:rFonts w:cs="Times New Roman"/>
          <w:color w:val="000000" w:themeColor="text1"/>
          <w:szCs w:val="24"/>
        </w:rPr>
        <w:t>services</w:t>
      </w:r>
      <w:r w:rsidR="005613B2">
        <w:rPr>
          <w:rStyle w:val="normaltextrun"/>
          <w:rFonts w:cs="Times New Roman"/>
          <w:color w:val="000000" w:themeColor="text1"/>
          <w:szCs w:val="24"/>
        </w:rPr>
        <w:t xml:space="preserve"> </w:t>
      </w:r>
      <w:r w:rsidRPr="00C317BB" w:rsidR="005D71C0">
        <w:rPr>
          <w:rStyle w:val="normaltextrun"/>
          <w:rFonts w:cs="Times New Roman"/>
          <w:color w:val="000000" w:themeColor="text1"/>
          <w:szCs w:val="24"/>
        </w:rPr>
        <w:t>and</w:t>
      </w:r>
      <w:r w:rsidR="005613B2">
        <w:rPr>
          <w:rStyle w:val="normaltextrun"/>
          <w:rFonts w:cs="Times New Roman"/>
          <w:color w:val="000000" w:themeColor="text1"/>
          <w:szCs w:val="24"/>
        </w:rPr>
        <w:t xml:space="preserve"> </w:t>
      </w:r>
      <w:r w:rsidRPr="00C317BB" w:rsidR="005D71C0">
        <w:rPr>
          <w:rStyle w:val="normaltextrun"/>
          <w:rFonts w:cs="Times New Roman"/>
          <w:color w:val="000000" w:themeColor="text1"/>
          <w:szCs w:val="24"/>
        </w:rPr>
        <w:t>docket</w:t>
      </w:r>
      <w:r w:rsidR="005613B2">
        <w:rPr>
          <w:rStyle w:val="normaltextrun"/>
          <w:rFonts w:cs="Times New Roman"/>
          <w:color w:val="000000" w:themeColor="text1"/>
          <w:szCs w:val="24"/>
        </w:rPr>
        <w:t xml:space="preserve"> </w:t>
      </w:r>
      <w:r w:rsidRPr="00C317BB" w:rsidR="005D71C0">
        <w:rPr>
          <w:rStyle w:val="normaltextrun"/>
          <w:rFonts w:cs="Times New Roman"/>
          <w:color w:val="000000" w:themeColor="text1"/>
          <w:szCs w:val="24"/>
        </w:rPr>
        <w:t>access,</w:t>
      </w:r>
      <w:r w:rsidR="005613B2">
        <w:rPr>
          <w:rStyle w:val="normaltextrun"/>
          <w:rFonts w:cs="Times New Roman"/>
          <w:color w:val="000000" w:themeColor="text1"/>
          <w:szCs w:val="24"/>
        </w:rPr>
        <w:t xml:space="preserve"> </w:t>
      </w:r>
      <w:r w:rsidRPr="00C317BB" w:rsidR="005D71C0">
        <w:rPr>
          <w:rStyle w:val="normaltextrun"/>
          <w:rFonts w:cs="Times New Roman"/>
          <w:color w:val="000000" w:themeColor="text1"/>
          <w:szCs w:val="24"/>
        </w:rPr>
        <w:t>visit</w:t>
      </w:r>
      <w:r w:rsidR="005613B2">
        <w:rPr>
          <w:rStyle w:val="normaltextrun"/>
          <w:rFonts w:cs="Times New Roman"/>
          <w:color w:val="000000" w:themeColor="text1"/>
          <w:szCs w:val="24"/>
        </w:rPr>
        <w:t xml:space="preserve"> </w:t>
      </w:r>
      <w:r w:rsidRPr="00C317BB" w:rsidR="005D71C0">
        <w:rPr>
          <w:rStyle w:val="normaltextrun"/>
          <w:rFonts w:cs="Times New Roman"/>
          <w:i/>
          <w:color w:val="000000" w:themeColor="text1"/>
          <w:szCs w:val="24"/>
        </w:rPr>
        <w:t>https://www.epa.gov/dockets</w:t>
      </w:r>
      <w:r w:rsidRPr="00C317BB" w:rsidR="005D71C0">
        <w:rPr>
          <w:rStyle w:val="normaltextrun"/>
          <w:rFonts w:cs="Times New Roman"/>
          <w:color w:val="000000" w:themeColor="text1"/>
          <w:szCs w:val="24"/>
        </w:rPr>
        <w:t>.</w:t>
      </w:r>
      <w:r w:rsidR="005613B2">
        <w:rPr>
          <w:rStyle w:val="eop"/>
          <w:rFonts w:cs="Times New Roman"/>
          <w:color w:val="000000" w:themeColor="text1"/>
          <w:szCs w:val="24"/>
        </w:rPr>
        <w:t xml:space="preserve"> </w:t>
      </w:r>
    </w:p>
    <w:p w:rsidRPr="00C317BB" w:rsidR="007B7B06" w:rsidP="00F27167" w:rsidRDefault="00C57FEA" w14:paraId="6F2D5E71" w14:textId="49FDBE5B">
      <w:pPr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b/>
          <w:color w:val="000000" w:themeColor="text1"/>
          <w:szCs w:val="24"/>
        </w:rPr>
        <w:t>FOR</w:t>
      </w:r>
      <w:r w:rsidR="005613B2">
        <w:rPr>
          <w:rFonts w:cs="Times New Roman"/>
          <w:b/>
          <w:color w:val="000000" w:themeColor="text1"/>
          <w:szCs w:val="24"/>
        </w:rPr>
        <w:t xml:space="preserve"> </w:t>
      </w:r>
      <w:r w:rsidRPr="00C317BB">
        <w:rPr>
          <w:rFonts w:cs="Times New Roman"/>
          <w:b/>
          <w:color w:val="000000" w:themeColor="text1"/>
          <w:szCs w:val="24"/>
        </w:rPr>
        <w:t>FURTHER</w:t>
      </w:r>
      <w:r w:rsidR="005613B2">
        <w:rPr>
          <w:rFonts w:cs="Times New Roman"/>
          <w:b/>
          <w:color w:val="000000" w:themeColor="text1"/>
          <w:szCs w:val="24"/>
        </w:rPr>
        <w:t xml:space="preserve"> </w:t>
      </w:r>
      <w:r w:rsidRPr="00C317BB">
        <w:rPr>
          <w:rFonts w:cs="Times New Roman"/>
          <w:b/>
          <w:color w:val="000000" w:themeColor="text1"/>
          <w:szCs w:val="24"/>
        </w:rPr>
        <w:t>INFORMATION</w:t>
      </w:r>
      <w:r w:rsidR="005613B2">
        <w:rPr>
          <w:rFonts w:cs="Times New Roman"/>
          <w:b/>
          <w:color w:val="000000" w:themeColor="text1"/>
          <w:szCs w:val="24"/>
        </w:rPr>
        <w:t xml:space="preserve"> </w:t>
      </w:r>
      <w:r w:rsidRPr="00C317BB">
        <w:rPr>
          <w:rFonts w:cs="Times New Roman"/>
          <w:b/>
          <w:color w:val="000000" w:themeColor="text1"/>
          <w:szCs w:val="24"/>
        </w:rPr>
        <w:t>CONTACT:</w:t>
      </w:r>
      <w:r w:rsidR="005613B2">
        <w:rPr>
          <w:rFonts w:cs="Times New Roman"/>
          <w:b/>
          <w:color w:val="000000" w:themeColor="text1"/>
          <w:szCs w:val="24"/>
        </w:rPr>
        <w:t xml:space="preserve"> </w:t>
      </w:r>
      <w:r w:rsidRPr="00C317BB" w:rsidR="00703B94">
        <w:rPr>
          <w:rFonts w:cs="Times New Roman"/>
          <w:i/>
          <w:color w:val="000000" w:themeColor="text1"/>
          <w:szCs w:val="24"/>
        </w:rPr>
        <w:t>For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703B94">
        <w:rPr>
          <w:rFonts w:cs="Times New Roman"/>
          <w:i/>
          <w:color w:val="000000" w:themeColor="text1"/>
          <w:szCs w:val="24"/>
        </w:rPr>
        <w:t>technical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703B94">
        <w:rPr>
          <w:rFonts w:cs="Times New Roman"/>
          <w:i/>
          <w:color w:val="000000" w:themeColor="text1"/>
          <w:szCs w:val="24"/>
        </w:rPr>
        <w:t>information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703B94">
        <w:rPr>
          <w:rFonts w:cs="Times New Roman"/>
          <w:i/>
          <w:color w:val="000000" w:themeColor="text1"/>
          <w:szCs w:val="24"/>
        </w:rPr>
        <w:t>contact</w:t>
      </w:r>
      <w:r w:rsidRPr="00C317BB" w:rsidR="00703B94">
        <w:rPr>
          <w:rFonts w:cs="Times New Roman"/>
          <w:color w:val="000000" w:themeColor="text1"/>
          <w:szCs w:val="24"/>
        </w:rPr>
        <w:t>: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="007B4985">
        <w:rPr>
          <w:rFonts w:cs="Times New Roman"/>
          <w:color w:val="000000" w:themeColor="text1"/>
          <w:szCs w:val="24"/>
        </w:rPr>
        <w:t>Peter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="007B4985">
        <w:rPr>
          <w:rFonts w:cs="Times New Roman"/>
          <w:color w:val="000000" w:themeColor="text1"/>
          <w:szCs w:val="24"/>
        </w:rPr>
        <w:t>Gimlin</w:t>
      </w:r>
      <w:r w:rsidRPr="00C317BB" w:rsidR="00703B94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64D8">
        <w:rPr>
          <w:rFonts w:cs="Times New Roman"/>
          <w:color w:val="000000" w:themeColor="text1"/>
          <w:szCs w:val="24"/>
        </w:rPr>
        <w:t>Existing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44F3">
        <w:rPr>
          <w:rFonts w:cs="Times New Roman"/>
          <w:color w:val="000000" w:themeColor="text1"/>
          <w:szCs w:val="24"/>
        </w:rPr>
        <w:t>Chemical</w:t>
      </w:r>
      <w:r w:rsidRPr="00C317BB" w:rsidR="005564D8">
        <w:rPr>
          <w:rFonts w:cs="Times New Roman"/>
          <w:color w:val="000000" w:themeColor="text1"/>
          <w:szCs w:val="24"/>
        </w:rPr>
        <w:t>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64D8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64D8">
        <w:rPr>
          <w:rFonts w:cs="Times New Roman"/>
          <w:color w:val="000000" w:themeColor="text1"/>
          <w:szCs w:val="24"/>
        </w:rPr>
        <w:t>Management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44F3">
        <w:rPr>
          <w:rFonts w:cs="Times New Roman"/>
          <w:color w:val="000000" w:themeColor="text1"/>
          <w:szCs w:val="24"/>
        </w:rPr>
        <w:t>Division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43F79">
        <w:rPr>
          <w:rFonts w:cs="Times New Roman"/>
          <w:color w:val="000000" w:themeColor="text1"/>
          <w:szCs w:val="24"/>
        </w:rPr>
        <w:t>(7405M)</w:t>
      </w:r>
      <w:r w:rsidRPr="00C317BB" w:rsidR="00703B94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03B94">
        <w:rPr>
          <w:rFonts w:cs="Times New Roman"/>
          <w:color w:val="000000" w:themeColor="text1"/>
          <w:szCs w:val="24"/>
        </w:rPr>
        <w:t>Office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03B94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03B94">
        <w:rPr>
          <w:rFonts w:cs="Times New Roman"/>
          <w:color w:val="000000" w:themeColor="text1"/>
          <w:szCs w:val="24"/>
        </w:rPr>
        <w:t>Pollution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03B94">
        <w:rPr>
          <w:rFonts w:cs="Times New Roman"/>
          <w:color w:val="000000" w:themeColor="text1"/>
          <w:szCs w:val="24"/>
        </w:rPr>
        <w:t>Prevention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03B94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03B94">
        <w:rPr>
          <w:rFonts w:cs="Times New Roman"/>
          <w:color w:val="000000" w:themeColor="text1"/>
          <w:szCs w:val="24"/>
        </w:rPr>
        <w:t>Toxics,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03B94">
        <w:rPr>
          <w:rFonts w:cs="Times New Roman"/>
          <w:color w:val="000000" w:themeColor="text1"/>
          <w:szCs w:val="24"/>
        </w:rPr>
        <w:t>Environmental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03B94">
        <w:rPr>
          <w:rFonts w:cs="Times New Roman"/>
          <w:color w:val="000000" w:themeColor="text1"/>
          <w:szCs w:val="24"/>
        </w:rPr>
        <w:t>Protection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03B94">
        <w:rPr>
          <w:rFonts w:cs="Times New Roman"/>
          <w:color w:val="000000" w:themeColor="text1"/>
          <w:szCs w:val="24"/>
        </w:rPr>
        <w:t>Agency,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03B94">
        <w:rPr>
          <w:rFonts w:cs="Times New Roman"/>
          <w:color w:val="000000" w:themeColor="text1"/>
          <w:szCs w:val="24"/>
        </w:rPr>
        <w:t>1200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03B94">
        <w:rPr>
          <w:rFonts w:cs="Times New Roman"/>
          <w:color w:val="000000" w:themeColor="text1"/>
          <w:szCs w:val="24"/>
        </w:rPr>
        <w:t>Pennsylvania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03B94">
        <w:rPr>
          <w:rFonts w:cs="Times New Roman"/>
          <w:color w:val="000000" w:themeColor="text1"/>
          <w:szCs w:val="24"/>
        </w:rPr>
        <w:t>Ave.,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03B94">
        <w:rPr>
          <w:rFonts w:cs="Times New Roman"/>
          <w:color w:val="000000" w:themeColor="text1"/>
          <w:szCs w:val="24"/>
        </w:rPr>
        <w:t>NW.,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03B94">
        <w:rPr>
          <w:rFonts w:cs="Times New Roman"/>
          <w:color w:val="000000" w:themeColor="text1"/>
          <w:szCs w:val="24"/>
        </w:rPr>
        <w:t>Washington,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03B94">
        <w:rPr>
          <w:rFonts w:cs="Times New Roman"/>
          <w:color w:val="000000" w:themeColor="text1"/>
          <w:szCs w:val="24"/>
        </w:rPr>
        <w:t>DC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03B94">
        <w:rPr>
          <w:rFonts w:cs="Times New Roman"/>
          <w:color w:val="000000" w:themeColor="text1"/>
          <w:szCs w:val="24"/>
        </w:rPr>
        <w:t>20460</w:t>
      </w:r>
      <w:r w:rsidRPr="00C317BB" w:rsidR="007449DC">
        <w:rPr>
          <w:rFonts w:cs="Times New Roman"/>
          <w:color w:val="000000" w:themeColor="text1"/>
          <w:szCs w:val="24"/>
        </w:rPr>
        <w:t>-</w:t>
      </w:r>
      <w:r w:rsidRPr="00C317BB" w:rsidR="00703B94">
        <w:rPr>
          <w:rFonts w:cs="Times New Roman"/>
          <w:color w:val="000000" w:themeColor="text1"/>
          <w:szCs w:val="24"/>
        </w:rPr>
        <w:t>0001;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03B94">
        <w:rPr>
          <w:rFonts w:cs="Times New Roman"/>
          <w:color w:val="000000" w:themeColor="text1"/>
          <w:szCs w:val="24"/>
        </w:rPr>
        <w:t>telephone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03B94">
        <w:rPr>
          <w:rFonts w:cs="Times New Roman"/>
          <w:color w:val="000000" w:themeColor="text1"/>
          <w:szCs w:val="24"/>
        </w:rPr>
        <w:t>number: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D68ED">
        <w:rPr>
          <w:rFonts w:cs="Times New Roman"/>
          <w:color w:val="000000" w:themeColor="text1"/>
          <w:szCs w:val="24"/>
        </w:rPr>
        <w:t>(202)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7457B">
        <w:rPr>
          <w:rFonts w:cs="Times New Roman"/>
          <w:color w:val="000000" w:themeColor="text1"/>
          <w:szCs w:val="24"/>
        </w:rPr>
        <w:t>56</w:t>
      </w:r>
      <w:r w:rsidRPr="00C317BB" w:rsidR="001C2D6F">
        <w:rPr>
          <w:rFonts w:cs="Times New Roman"/>
          <w:color w:val="000000" w:themeColor="text1"/>
          <w:szCs w:val="24"/>
        </w:rPr>
        <w:t>6</w:t>
      </w:r>
      <w:r w:rsidRPr="00C317BB" w:rsidR="00E7457B">
        <w:rPr>
          <w:rFonts w:cs="Times New Roman"/>
          <w:color w:val="000000" w:themeColor="text1"/>
          <w:szCs w:val="24"/>
        </w:rPr>
        <w:t>-</w:t>
      </w:r>
      <w:r w:rsidR="007B4985">
        <w:rPr>
          <w:rFonts w:cs="Times New Roman"/>
          <w:color w:val="000000" w:themeColor="text1"/>
          <w:szCs w:val="24"/>
        </w:rPr>
        <w:t>0515</w:t>
      </w:r>
      <w:r w:rsidRPr="00C317BB" w:rsidR="00703B94">
        <w:rPr>
          <w:rFonts w:cs="Times New Roman"/>
          <w:color w:val="000000" w:themeColor="text1"/>
          <w:szCs w:val="24"/>
        </w:rPr>
        <w:t>;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03B94">
        <w:rPr>
          <w:rFonts w:cs="Times New Roman"/>
          <w:color w:val="000000" w:themeColor="text1"/>
          <w:szCs w:val="24"/>
        </w:rPr>
        <w:t>email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03B94">
        <w:rPr>
          <w:rFonts w:cs="Times New Roman"/>
          <w:color w:val="000000" w:themeColor="text1"/>
          <w:szCs w:val="24"/>
        </w:rPr>
        <w:t>address: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="007B4985">
        <w:rPr>
          <w:rFonts w:cs="Times New Roman"/>
          <w:i/>
          <w:color w:val="000000" w:themeColor="text1"/>
          <w:szCs w:val="24"/>
        </w:rPr>
        <w:t>Gimlin.peter</w:t>
      </w:r>
      <w:r w:rsidRPr="00C317BB" w:rsidR="00703B94">
        <w:rPr>
          <w:rFonts w:cs="Times New Roman"/>
          <w:i/>
          <w:color w:val="000000" w:themeColor="text1"/>
          <w:szCs w:val="24"/>
        </w:rPr>
        <w:t>@epa.gov</w:t>
      </w:r>
      <w:r w:rsidRPr="00C317BB" w:rsidR="00703B94">
        <w:rPr>
          <w:rFonts w:cs="Times New Roman"/>
          <w:color w:val="000000" w:themeColor="text1"/>
          <w:szCs w:val="24"/>
        </w:rPr>
        <w:t>.</w:t>
      </w:r>
    </w:p>
    <w:p w:rsidRPr="00C317BB" w:rsidR="00C57FEA" w:rsidP="00F27167" w:rsidRDefault="006550AA" w14:paraId="3FD84A5C" w14:textId="334813D3">
      <w:pPr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ab/>
      </w:r>
      <w:r w:rsidRPr="00C317BB" w:rsidR="00C57FEA">
        <w:rPr>
          <w:rFonts w:cs="Times New Roman"/>
          <w:i/>
          <w:color w:val="000000" w:themeColor="text1"/>
          <w:szCs w:val="24"/>
        </w:rPr>
        <w:t>For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C57FEA">
        <w:rPr>
          <w:rFonts w:cs="Times New Roman"/>
          <w:i/>
          <w:color w:val="000000" w:themeColor="text1"/>
          <w:szCs w:val="24"/>
        </w:rPr>
        <w:t>general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C57FEA">
        <w:rPr>
          <w:rFonts w:cs="Times New Roman"/>
          <w:i/>
          <w:color w:val="000000" w:themeColor="text1"/>
          <w:szCs w:val="24"/>
        </w:rPr>
        <w:t>information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C57FEA">
        <w:rPr>
          <w:rFonts w:cs="Times New Roman"/>
          <w:i/>
          <w:color w:val="000000" w:themeColor="text1"/>
          <w:szCs w:val="24"/>
        </w:rPr>
        <w:t>contact</w:t>
      </w:r>
      <w:r w:rsidRPr="00C317BB" w:rsidR="008429DF">
        <w:rPr>
          <w:rFonts w:cs="Times New Roman"/>
          <w:color w:val="000000" w:themeColor="text1"/>
          <w:szCs w:val="24"/>
        </w:rPr>
        <w:t>: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03B94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03B94">
        <w:rPr>
          <w:rFonts w:cs="Times New Roman"/>
          <w:color w:val="000000" w:themeColor="text1"/>
          <w:szCs w:val="24"/>
        </w:rPr>
        <w:t>TSCA-Hotline</w:t>
      </w:r>
      <w:r w:rsidRPr="00C317BB" w:rsidR="00057C53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57C53">
        <w:rPr>
          <w:rFonts w:cs="Times New Roman"/>
          <w:color w:val="000000" w:themeColor="text1"/>
          <w:szCs w:val="24"/>
        </w:rPr>
        <w:t>ABVI-Goodwill,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57C53">
        <w:rPr>
          <w:rFonts w:cs="Times New Roman"/>
          <w:color w:val="000000" w:themeColor="text1"/>
          <w:szCs w:val="24"/>
        </w:rPr>
        <w:t>422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57C53">
        <w:rPr>
          <w:rFonts w:cs="Times New Roman"/>
          <w:color w:val="000000" w:themeColor="text1"/>
          <w:szCs w:val="24"/>
        </w:rPr>
        <w:t>South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57C53">
        <w:rPr>
          <w:rFonts w:cs="Times New Roman"/>
          <w:color w:val="000000" w:themeColor="text1"/>
          <w:szCs w:val="24"/>
        </w:rPr>
        <w:t>Clinton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57C53">
        <w:rPr>
          <w:rFonts w:cs="Times New Roman"/>
          <w:color w:val="000000" w:themeColor="text1"/>
          <w:szCs w:val="24"/>
        </w:rPr>
        <w:t>Ave.,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57C53">
        <w:rPr>
          <w:rFonts w:cs="Times New Roman"/>
          <w:color w:val="000000" w:themeColor="text1"/>
          <w:szCs w:val="24"/>
        </w:rPr>
        <w:t>Rochester,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57C53">
        <w:rPr>
          <w:rFonts w:cs="Times New Roman"/>
          <w:color w:val="000000" w:themeColor="text1"/>
          <w:szCs w:val="24"/>
        </w:rPr>
        <w:t>NY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57C53">
        <w:rPr>
          <w:rFonts w:cs="Times New Roman"/>
          <w:color w:val="000000" w:themeColor="text1"/>
          <w:szCs w:val="24"/>
        </w:rPr>
        <w:t>14620</w:t>
      </w:r>
      <w:r w:rsidRPr="00C317BB" w:rsidR="00C57FEA">
        <w:rPr>
          <w:rFonts w:cs="Times New Roman"/>
          <w:color w:val="000000" w:themeColor="text1"/>
          <w:szCs w:val="24"/>
        </w:rPr>
        <w:t>;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57FEA">
        <w:rPr>
          <w:rFonts w:cs="Times New Roman"/>
          <w:color w:val="000000" w:themeColor="text1"/>
          <w:szCs w:val="24"/>
        </w:rPr>
        <w:t>telephone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57FEA">
        <w:rPr>
          <w:rFonts w:cs="Times New Roman"/>
          <w:color w:val="000000" w:themeColor="text1"/>
          <w:szCs w:val="24"/>
        </w:rPr>
        <w:t>number: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57FEA">
        <w:rPr>
          <w:rFonts w:cs="Times New Roman"/>
          <w:color w:val="000000" w:themeColor="text1"/>
          <w:szCs w:val="24"/>
        </w:rPr>
        <w:t>(202)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57FEA">
        <w:rPr>
          <w:rFonts w:cs="Times New Roman"/>
          <w:color w:val="000000" w:themeColor="text1"/>
          <w:szCs w:val="24"/>
        </w:rPr>
        <w:t>554</w:t>
      </w:r>
      <w:r w:rsidRPr="00C317BB" w:rsidR="007449DC">
        <w:rPr>
          <w:rFonts w:cs="Times New Roman"/>
          <w:color w:val="000000" w:themeColor="text1"/>
          <w:szCs w:val="24"/>
        </w:rPr>
        <w:t>-</w:t>
      </w:r>
      <w:r w:rsidRPr="00C317BB" w:rsidR="00C57FEA">
        <w:rPr>
          <w:rFonts w:cs="Times New Roman"/>
          <w:color w:val="000000" w:themeColor="text1"/>
          <w:szCs w:val="24"/>
        </w:rPr>
        <w:t>1404;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57FEA">
        <w:rPr>
          <w:rFonts w:cs="Times New Roman"/>
          <w:color w:val="000000" w:themeColor="text1"/>
          <w:szCs w:val="24"/>
        </w:rPr>
        <w:t>email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57FEA">
        <w:rPr>
          <w:rFonts w:cs="Times New Roman"/>
          <w:color w:val="000000" w:themeColor="text1"/>
          <w:szCs w:val="24"/>
        </w:rPr>
        <w:t>address: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57FEA">
        <w:rPr>
          <w:rFonts w:cs="Times New Roman"/>
          <w:i/>
          <w:color w:val="000000" w:themeColor="text1"/>
          <w:szCs w:val="24"/>
        </w:rPr>
        <w:t>TSCA-Hotline@epa.gov</w:t>
      </w:r>
      <w:r w:rsidRPr="00C317BB" w:rsidR="00C57FEA">
        <w:rPr>
          <w:rFonts w:cs="Times New Roman"/>
          <w:color w:val="000000" w:themeColor="text1"/>
          <w:szCs w:val="24"/>
        </w:rPr>
        <w:t>.</w:t>
      </w:r>
    </w:p>
    <w:p w:rsidRPr="00C317BB" w:rsidR="00C57FEA" w:rsidP="00F27167" w:rsidRDefault="00C57FEA" w14:paraId="3B3AC82F" w14:textId="77777777">
      <w:pPr>
        <w:rPr>
          <w:rFonts w:cs="Times New Roman"/>
          <w:b/>
          <w:color w:val="000000" w:themeColor="text1"/>
          <w:szCs w:val="24"/>
        </w:rPr>
      </w:pPr>
      <w:r w:rsidRPr="00C317BB">
        <w:rPr>
          <w:rFonts w:cs="Times New Roman"/>
          <w:b/>
          <w:color w:val="000000" w:themeColor="text1"/>
          <w:szCs w:val="24"/>
        </w:rPr>
        <w:t>SUPPLEMENTARY</w:t>
      </w:r>
      <w:r w:rsidR="005613B2">
        <w:rPr>
          <w:rFonts w:cs="Times New Roman"/>
          <w:b/>
          <w:color w:val="000000" w:themeColor="text1"/>
          <w:szCs w:val="24"/>
        </w:rPr>
        <w:t xml:space="preserve"> </w:t>
      </w:r>
      <w:r w:rsidRPr="00C317BB">
        <w:rPr>
          <w:rFonts w:cs="Times New Roman"/>
          <w:b/>
          <w:color w:val="000000" w:themeColor="text1"/>
          <w:szCs w:val="24"/>
        </w:rPr>
        <w:t>INFORMATION:</w:t>
      </w:r>
    </w:p>
    <w:p w:rsidRPr="00C317BB" w:rsidR="0058051A" w:rsidP="00F27167" w:rsidRDefault="00D16A9D" w14:paraId="0E1C8D48" w14:textId="09809AEE">
      <w:pPr>
        <w:pStyle w:val="Heading1"/>
        <w:rPr>
          <w:rStyle w:val="Strong"/>
          <w:rFonts w:cs="Times New Roman" w:eastAsiaTheme="minorHAnsi"/>
          <w:b/>
          <w:color w:val="000000" w:themeColor="text1"/>
          <w:kern w:val="0"/>
          <w:szCs w:val="24"/>
        </w:rPr>
      </w:pPr>
      <w:r w:rsidRPr="00C317BB">
        <w:rPr>
          <w:rStyle w:val="Strong"/>
          <w:rFonts w:cs="Times New Roman"/>
          <w:b/>
          <w:color w:val="000000" w:themeColor="text1"/>
          <w:szCs w:val="24"/>
        </w:rPr>
        <w:t>I.</w:t>
      </w:r>
      <w:r w:rsidR="005613B2">
        <w:rPr>
          <w:rStyle w:val="Strong"/>
          <w:rFonts w:cs="Times New Roman"/>
          <w:b/>
          <w:color w:val="000000" w:themeColor="text1"/>
          <w:szCs w:val="24"/>
        </w:rPr>
        <w:t xml:space="preserve"> </w:t>
      </w:r>
      <w:r w:rsidRPr="00C317BB" w:rsidR="0058051A">
        <w:rPr>
          <w:rStyle w:val="Strong"/>
          <w:rFonts w:cs="Times New Roman"/>
          <w:b/>
          <w:color w:val="000000" w:themeColor="text1"/>
          <w:szCs w:val="24"/>
        </w:rPr>
        <w:t>Executive</w:t>
      </w:r>
      <w:r w:rsidR="005613B2">
        <w:rPr>
          <w:rStyle w:val="Strong"/>
          <w:rFonts w:cs="Times New Roman"/>
          <w:b/>
          <w:color w:val="000000" w:themeColor="text1"/>
          <w:szCs w:val="24"/>
        </w:rPr>
        <w:t xml:space="preserve"> </w:t>
      </w:r>
      <w:r w:rsidRPr="00C317BB" w:rsidR="0058051A">
        <w:rPr>
          <w:rStyle w:val="Strong"/>
          <w:rFonts w:cs="Times New Roman"/>
          <w:b/>
          <w:color w:val="000000" w:themeColor="text1"/>
          <w:szCs w:val="24"/>
        </w:rPr>
        <w:t>Summary</w:t>
      </w:r>
    </w:p>
    <w:p w:rsidRPr="00C317BB" w:rsidR="0058051A" w:rsidP="00F27167" w:rsidRDefault="0058051A" w14:paraId="745A19F0" w14:textId="77777777">
      <w:pPr>
        <w:pStyle w:val="Heading2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A.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Does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apply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me?</w:t>
      </w:r>
    </w:p>
    <w:p w:rsidRPr="00C317BB" w:rsidR="0058051A" w:rsidP="00F27167" w:rsidRDefault="0058051A" w14:paraId="53F74747" w14:textId="6D827F34">
      <w:pPr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lastRenderedPageBreak/>
        <w:tab/>
        <w:t>You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potentially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affected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F47B2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you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manufacture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633B9">
        <w:rPr>
          <w:rFonts w:cs="Times New Roman"/>
          <w:color w:val="000000" w:themeColor="text1"/>
          <w:szCs w:val="24"/>
        </w:rPr>
        <w:t>(includ</w:t>
      </w:r>
      <w:r w:rsidRPr="00C317BB" w:rsidR="0078517C">
        <w:rPr>
          <w:rFonts w:cs="Times New Roman"/>
          <w:color w:val="000000" w:themeColor="text1"/>
          <w:szCs w:val="24"/>
        </w:rPr>
        <w:t>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633B9">
        <w:rPr>
          <w:rFonts w:cs="Times New Roman"/>
          <w:color w:val="000000" w:themeColor="text1"/>
          <w:szCs w:val="24"/>
        </w:rPr>
        <w:t>import)</w:t>
      </w:r>
      <w:r w:rsidRPr="00C317BB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process,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distribute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commerce</w:t>
      </w:r>
      <w:r w:rsidRPr="00C317BB" w:rsidR="00B93181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67EC1">
        <w:rPr>
          <w:rFonts w:cs="Times New Roman"/>
          <w:color w:val="000000" w:themeColor="text1"/>
          <w:szCs w:val="24"/>
        </w:rPr>
        <w:t>use</w:t>
      </w:r>
      <w:r w:rsidRPr="00C317BB" w:rsidR="00A86A98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35E8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35E8">
        <w:rPr>
          <w:rFonts w:cs="Times New Roman"/>
          <w:color w:val="000000" w:themeColor="text1"/>
          <w:szCs w:val="24"/>
        </w:rPr>
        <w:t>dispose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35E8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064A6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064A6">
        <w:rPr>
          <w:rFonts w:cs="Times New Roman"/>
          <w:color w:val="000000" w:themeColor="text1"/>
          <w:szCs w:val="24"/>
        </w:rPr>
        <w:t>asbestos</w:t>
      </w:r>
      <w:r w:rsidRPr="00C317BB" w:rsidR="0048482D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215C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215C">
        <w:rPr>
          <w:rFonts w:cs="Times New Roman"/>
          <w:color w:val="000000" w:themeColor="text1"/>
          <w:szCs w:val="24"/>
        </w:rPr>
        <w:t>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215C">
        <w:rPr>
          <w:rFonts w:cs="Times New Roman"/>
          <w:color w:val="000000" w:themeColor="text1"/>
          <w:szCs w:val="24"/>
        </w:rPr>
        <w:t>3(9)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215C">
        <w:rPr>
          <w:rFonts w:cs="Times New Roman"/>
          <w:color w:val="000000" w:themeColor="text1"/>
          <w:szCs w:val="24"/>
        </w:rPr>
        <w:t>defines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215C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215C">
        <w:rPr>
          <w:rFonts w:cs="Times New Roman"/>
          <w:color w:val="000000" w:themeColor="text1"/>
          <w:szCs w:val="24"/>
        </w:rPr>
        <w:t>term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215C">
        <w:rPr>
          <w:rFonts w:cs="Times New Roman"/>
          <w:color w:val="000000" w:themeColor="text1"/>
          <w:szCs w:val="24"/>
        </w:rPr>
        <w:t>"manufacture"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215C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215C">
        <w:rPr>
          <w:rFonts w:cs="Times New Roman"/>
          <w:color w:val="000000" w:themeColor="text1"/>
          <w:szCs w:val="24"/>
        </w:rPr>
        <w:t>mean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517C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215C">
        <w:rPr>
          <w:rFonts w:cs="Times New Roman"/>
          <w:color w:val="000000" w:themeColor="text1"/>
          <w:szCs w:val="24"/>
        </w:rPr>
        <w:t>import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215C">
        <w:rPr>
          <w:rFonts w:cs="Times New Roman"/>
          <w:color w:val="000000" w:themeColor="text1"/>
          <w:szCs w:val="24"/>
        </w:rPr>
        <w:t>into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215C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215C">
        <w:rPr>
          <w:rFonts w:cs="Times New Roman"/>
          <w:color w:val="000000" w:themeColor="text1"/>
          <w:szCs w:val="24"/>
        </w:rPr>
        <w:t>customs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215C">
        <w:rPr>
          <w:rFonts w:cs="Times New Roman"/>
          <w:color w:val="000000" w:themeColor="text1"/>
          <w:szCs w:val="24"/>
        </w:rPr>
        <w:t>territory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215C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215C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215C">
        <w:rPr>
          <w:rFonts w:cs="Times New Roman"/>
          <w:color w:val="000000" w:themeColor="text1"/>
          <w:szCs w:val="24"/>
        </w:rPr>
        <w:t>United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215C">
        <w:rPr>
          <w:rFonts w:cs="Times New Roman"/>
          <w:color w:val="000000" w:themeColor="text1"/>
          <w:szCs w:val="24"/>
        </w:rPr>
        <w:t>States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215C">
        <w:rPr>
          <w:rFonts w:cs="Times New Roman"/>
          <w:color w:val="000000" w:themeColor="text1"/>
          <w:szCs w:val="24"/>
        </w:rPr>
        <w:t>(as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215C">
        <w:rPr>
          <w:rFonts w:cs="Times New Roman"/>
          <w:color w:val="000000" w:themeColor="text1"/>
          <w:szCs w:val="24"/>
        </w:rPr>
        <w:t>defined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215C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215C">
        <w:rPr>
          <w:rFonts w:cs="Times New Roman"/>
          <w:color w:val="000000" w:themeColor="text1"/>
          <w:szCs w:val="24"/>
        </w:rPr>
        <w:t>general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215C">
        <w:rPr>
          <w:rFonts w:cs="Times New Roman"/>
          <w:color w:val="000000" w:themeColor="text1"/>
          <w:szCs w:val="24"/>
        </w:rPr>
        <w:t>note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215C">
        <w:rPr>
          <w:rFonts w:cs="Times New Roman"/>
          <w:color w:val="000000" w:themeColor="text1"/>
          <w:szCs w:val="24"/>
        </w:rPr>
        <w:t>2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215C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215C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215C">
        <w:rPr>
          <w:rFonts w:cs="Times New Roman"/>
          <w:color w:val="000000" w:themeColor="text1"/>
          <w:szCs w:val="24"/>
        </w:rPr>
        <w:t>Harmonized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215C">
        <w:rPr>
          <w:rFonts w:cs="Times New Roman"/>
          <w:color w:val="000000" w:themeColor="text1"/>
          <w:szCs w:val="24"/>
        </w:rPr>
        <w:t>Tariff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215C">
        <w:rPr>
          <w:rFonts w:cs="Times New Roman"/>
          <w:color w:val="000000" w:themeColor="text1"/>
          <w:szCs w:val="24"/>
        </w:rPr>
        <w:t>Schedule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215C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215C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215C">
        <w:rPr>
          <w:rFonts w:cs="Times New Roman"/>
          <w:color w:val="000000" w:themeColor="text1"/>
          <w:szCs w:val="24"/>
        </w:rPr>
        <w:t>United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215C">
        <w:rPr>
          <w:rFonts w:cs="Times New Roman"/>
          <w:color w:val="000000" w:themeColor="text1"/>
          <w:szCs w:val="24"/>
        </w:rPr>
        <w:t>States),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215C">
        <w:rPr>
          <w:rFonts w:cs="Times New Roman"/>
          <w:color w:val="000000" w:themeColor="text1"/>
          <w:szCs w:val="24"/>
        </w:rPr>
        <w:t>produce,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215C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215C">
        <w:rPr>
          <w:rFonts w:cs="Times New Roman"/>
          <w:color w:val="000000" w:themeColor="text1"/>
          <w:szCs w:val="24"/>
        </w:rPr>
        <w:t>manufacture.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215C">
        <w:rPr>
          <w:rFonts w:cs="Times New Roman"/>
          <w:color w:val="000000" w:themeColor="text1"/>
          <w:szCs w:val="24"/>
        </w:rPr>
        <w:t>Therefore,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215C">
        <w:rPr>
          <w:rFonts w:cs="Times New Roman"/>
          <w:color w:val="000000" w:themeColor="text1"/>
          <w:szCs w:val="24"/>
        </w:rPr>
        <w:t>unless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215C">
        <w:rPr>
          <w:rFonts w:cs="Times New Roman"/>
          <w:color w:val="000000" w:themeColor="text1"/>
          <w:szCs w:val="24"/>
        </w:rPr>
        <w:t>expressly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215C">
        <w:rPr>
          <w:rFonts w:cs="Times New Roman"/>
          <w:color w:val="000000" w:themeColor="text1"/>
          <w:szCs w:val="24"/>
        </w:rPr>
        <w:t>stated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215C">
        <w:rPr>
          <w:rFonts w:cs="Times New Roman"/>
          <w:color w:val="000000" w:themeColor="text1"/>
          <w:szCs w:val="24"/>
        </w:rPr>
        <w:t>otherwise,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215C">
        <w:rPr>
          <w:rFonts w:cs="Times New Roman"/>
          <w:color w:val="000000" w:themeColor="text1"/>
          <w:szCs w:val="24"/>
        </w:rPr>
        <w:t>importers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215C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215C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215C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215C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215C">
        <w:rPr>
          <w:rFonts w:cs="Times New Roman"/>
          <w:color w:val="000000" w:themeColor="text1"/>
          <w:szCs w:val="24"/>
        </w:rPr>
        <w:t>subject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215C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215C">
        <w:rPr>
          <w:rFonts w:cs="Times New Roman"/>
          <w:color w:val="000000" w:themeColor="text1"/>
          <w:szCs w:val="24"/>
        </w:rPr>
        <w:t>any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215C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215C">
        <w:rPr>
          <w:rFonts w:cs="Times New Roman"/>
          <w:color w:val="000000" w:themeColor="text1"/>
          <w:szCs w:val="24"/>
        </w:rPr>
        <w:t>provisions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215C">
        <w:rPr>
          <w:rFonts w:cs="Times New Roman"/>
          <w:color w:val="000000" w:themeColor="text1"/>
          <w:szCs w:val="24"/>
        </w:rPr>
        <w:t>regulating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215C">
        <w:rPr>
          <w:rFonts w:cs="Times New Roman"/>
          <w:color w:val="000000" w:themeColor="text1"/>
          <w:szCs w:val="24"/>
        </w:rPr>
        <w:t>manufacture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215C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215C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215C">
        <w:rPr>
          <w:rFonts w:cs="Times New Roman"/>
          <w:color w:val="000000" w:themeColor="text1"/>
          <w:szCs w:val="24"/>
        </w:rPr>
        <w:t>asbestos.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following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list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North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American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Industrial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Classification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System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(NAICS)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codes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intended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exhaustive,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but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rather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provides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guide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help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readers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determine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whether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document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applies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them.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Potentially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affected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entities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include:</w:t>
      </w:r>
    </w:p>
    <w:p w:rsidRPr="00C317BB" w:rsidR="00591E17" w:rsidP="005613B2" w:rsidRDefault="005613B2" w14:paraId="5FCFF2DB" w14:textId="4C6AC1BE">
      <w:pPr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ab/>
      </w:r>
      <w:r w:rsidRPr="00C317BB" w:rsidR="00604BB0">
        <w:rPr>
          <w:rFonts w:cs="Times New Roman"/>
          <w:color w:val="000000" w:themeColor="text1"/>
          <w:szCs w:val="24"/>
        </w:rPr>
        <w:t>•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91E17">
        <w:rPr>
          <w:rFonts w:cs="Times New Roman"/>
          <w:color w:val="000000" w:themeColor="text1"/>
          <w:szCs w:val="24"/>
        </w:rPr>
        <w:t>Oil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91E17">
        <w:rPr>
          <w:rFonts w:cs="Times New Roman"/>
          <w:color w:val="000000" w:themeColor="text1"/>
          <w:szCs w:val="24"/>
        </w:rPr>
        <w:t>and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91E17">
        <w:rPr>
          <w:rFonts w:cs="Times New Roman"/>
          <w:color w:val="000000" w:themeColor="text1"/>
          <w:szCs w:val="24"/>
        </w:rPr>
        <w:t>Gas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91E17">
        <w:rPr>
          <w:rFonts w:cs="Times New Roman"/>
          <w:color w:val="000000" w:themeColor="text1"/>
          <w:szCs w:val="24"/>
        </w:rPr>
        <w:t>Extraction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91E17">
        <w:rPr>
          <w:rFonts w:cs="Times New Roman"/>
          <w:color w:val="000000" w:themeColor="text1"/>
          <w:szCs w:val="24"/>
        </w:rPr>
        <w:t>(NAICS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91E17">
        <w:rPr>
          <w:rFonts w:cs="Times New Roman"/>
          <w:color w:val="000000" w:themeColor="text1"/>
          <w:szCs w:val="24"/>
        </w:rPr>
        <w:t>code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91E17">
        <w:rPr>
          <w:rFonts w:cs="Times New Roman"/>
          <w:color w:val="000000" w:themeColor="text1"/>
          <w:szCs w:val="24"/>
        </w:rPr>
        <w:t>211).</w:t>
      </w:r>
    </w:p>
    <w:p w:rsidRPr="00C317BB" w:rsidR="00591E17" w:rsidP="005613B2" w:rsidRDefault="005613B2" w14:paraId="66122F0D" w14:textId="369761B4">
      <w:pPr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ab/>
      </w:r>
      <w:r w:rsidRPr="00C317BB" w:rsidR="00604BB0">
        <w:rPr>
          <w:rFonts w:cs="Times New Roman"/>
          <w:color w:val="000000" w:themeColor="text1"/>
          <w:szCs w:val="24"/>
        </w:rPr>
        <w:t>•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91E17">
        <w:rPr>
          <w:rFonts w:cs="Times New Roman"/>
          <w:color w:val="000000" w:themeColor="text1"/>
          <w:szCs w:val="24"/>
        </w:rPr>
        <w:t>Chemical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4E1D3B">
        <w:rPr>
          <w:rFonts w:cs="Times New Roman"/>
          <w:color w:val="000000" w:themeColor="text1"/>
          <w:szCs w:val="24"/>
        </w:rPr>
        <w:t>Manufacturing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E3667B">
        <w:rPr>
          <w:rFonts w:cs="Times New Roman"/>
          <w:color w:val="000000" w:themeColor="text1"/>
          <w:szCs w:val="24"/>
        </w:rPr>
        <w:t>(NAICS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E3667B">
        <w:rPr>
          <w:rFonts w:cs="Times New Roman"/>
          <w:color w:val="000000" w:themeColor="text1"/>
          <w:szCs w:val="24"/>
        </w:rPr>
        <w:t>code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4E1D3B">
        <w:rPr>
          <w:rFonts w:cs="Times New Roman"/>
          <w:color w:val="000000" w:themeColor="text1"/>
          <w:szCs w:val="24"/>
        </w:rPr>
        <w:t>325</w:t>
      </w:r>
      <w:r w:rsidRPr="00C317BB" w:rsidR="006B0DEE">
        <w:rPr>
          <w:rFonts w:cs="Times New Roman"/>
          <w:color w:val="000000" w:themeColor="text1"/>
          <w:szCs w:val="24"/>
        </w:rPr>
        <w:t>)</w:t>
      </w:r>
      <w:r w:rsidRPr="00C317BB" w:rsidR="00E3667B">
        <w:rPr>
          <w:rFonts w:cs="Times New Roman"/>
          <w:color w:val="000000" w:themeColor="text1"/>
          <w:szCs w:val="24"/>
        </w:rPr>
        <w:t>.</w:t>
      </w:r>
      <w:r>
        <w:rPr>
          <w:rFonts w:cs="Times New Roman"/>
          <w:color w:val="000000" w:themeColor="text1"/>
          <w:szCs w:val="24"/>
        </w:rPr>
        <w:t xml:space="preserve"> </w:t>
      </w:r>
    </w:p>
    <w:p w:rsidRPr="00C317BB" w:rsidR="00986697" w:rsidP="005613B2" w:rsidRDefault="005613B2" w14:paraId="09AB8EA9" w14:textId="688BFB66">
      <w:pPr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ab/>
      </w:r>
      <w:r w:rsidRPr="00C317BB" w:rsidR="00604BB0">
        <w:rPr>
          <w:rFonts w:cs="Times New Roman"/>
          <w:color w:val="000000" w:themeColor="text1"/>
          <w:szCs w:val="24"/>
        </w:rPr>
        <w:t>•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91E17">
        <w:rPr>
          <w:rFonts w:cs="Times New Roman"/>
          <w:color w:val="000000" w:themeColor="text1"/>
          <w:szCs w:val="24"/>
        </w:rPr>
        <w:t>Fabricated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91E17">
        <w:rPr>
          <w:rFonts w:cs="Times New Roman"/>
          <w:color w:val="000000" w:themeColor="text1"/>
          <w:szCs w:val="24"/>
        </w:rPr>
        <w:t>Metal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91E17">
        <w:rPr>
          <w:rFonts w:cs="Times New Roman"/>
          <w:color w:val="000000" w:themeColor="text1"/>
          <w:szCs w:val="24"/>
        </w:rPr>
        <w:t>Product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91E17">
        <w:rPr>
          <w:rFonts w:cs="Times New Roman"/>
          <w:color w:val="000000" w:themeColor="text1"/>
          <w:szCs w:val="24"/>
        </w:rPr>
        <w:t>Manufacturing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91E17">
        <w:rPr>
          <w:rFonts w:cs="Times New Roman"/>
          <w:color w:val="000000" w:themeColor="text1"/>
          <w:szCs w:val="24"/>
        </w:rPr>
        <w:t>(NAICS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91E17">
        <w:rPr>
          <w:rFonts w:cs="Times New Roman"/>
          <w:color w:val="000000" w:themeColor="text1"/>
          <w:szCs w:val="24"/>
        </w:rPr>
        <w:t>code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91E17">
        <w:rPr>
          <w:rFonts w:cs="Times New Roman"/>
          <w:color w:val="000000" w:themeColor="text1"/>
          <w:szCs w:val="24"/>
        </w:rPr>
        <w:t>332).</w:t>
      </w:r>
    </w:p>
    <w:p w:rsidRPr="00C317BB" w:rsidR="00591E17" w:rsidP="005613B2" w:rsidRDefault="005613B2" w14:paraId="08A15426" w14:textId="5D385D0E">
      <w:pPr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ab/>
      </w:r>
      <w:r w:rsidRPr="00C317BB" w:rsidR="00604BB0">
        <w:rPr>
          <w:rFonts w:cs="Times New Roman"/>
          <w:color w:val="000000" w:themeColor="text1"/>
          <w:szCs w:val="24"/>
        </w:rPr>
        <w:t>•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91E17">
        <w:rPr>
          <w:rFonts w:cs="Times New Roman"/>
          <w:color w:val="000000" w:themeColor="text1"/>
          <w:szCs w:val="24"/>
        </w:rPr>
        <w:t>Transportation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91E17">
        <w:rPr>
          <w:rFonts w:cs="Times New Roman"/>
          <w:color w:val="000000" w:themeColor="text1"/>
          <w:szCs w:val="24"/>
        </w:rPr>
        <w:t>Equipment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91E17">
        <w:rPr>
          <w:rFonts w:cs="Times New Roman"/>
          <w:color w:val="000000" w:themeColor="text1"/>
          <w:szCs w:val="24"/>
        </w:rPr>
        <w:t>Manufacturing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91E17">
        <w:rPr>
          <w:rFonts w:cs="Times New Roman"/>
          <w:color w:val="000000" w:themeColor="text1"/>
          <w:szCs w:val="24"/>
        </w:rPr>
        <w:t>(NAICS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91E17">
        <w:rPr>
          <w:rFonts w:cs="Times New Roman"/>
          <w:color w:val="000000" w:themeColor="text1"/>
          <w:szCs w:val="24"/>
        </w:rPr>
        <w:t>code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91E17">
        <w:rPr>
          <w:rFonts w:cs="Times New Roman"/>
          <w:color w:val="000000" w:themeColor="text1"/>
          <w:szCs w:val="24"/>
        </w:rPr>
        <w:t>336).</w:t>
      </w:r>
    </w:p>
    <w:p w:rsidRPr="00C317BB" w:rsidR="00591E17" w:rsidP="005613B2" w:rsidRDefault="005613B2" w14:paraId="6154377E" w14:textId="5656DC98">
      <w:pPr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ab/>
      </w:r>
      <w:r w:rsidRPr="00C317BB" w:rsidR="00604BB0">
        <w:rPr>
          <w:rFonts w:cs="Times New Roman"/>
          <w:color w:val="000000" w:themeColor="text1"/>
          <w:szCs w:val="24"/>
        </w:rPr>
        <w:t>•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91E17">
        <w:rPr>
          <w:rFonts w:cs="Times New Roman"/>
          <w:color w:val="000000" w:themeColor="text1"/>
          <w:szCs w:val="24"/>
        </w:rPr>
        <w:t>Gasket,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91E17">
        <w:rPr>
          <w:rFonts w:cs="Times New Roman"/>
          <w:color w:val="000000" w:themeColor="text1"/>
          <w:szCs w:val="24"/>
        </w:rPr>
        <w:t>Packing,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91E17">
        <w:rPr>
          <w:rFonts w:cs="Times New Roman"/>
          <w:color w:val="000000" w:themeColor="text1"/>
          <w:szCs w:val="24"/>
        </w:rPr>
        <w:t>and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91E17">
        <w:rPr>
          <w:rFonts w:cs="Times New Roman"/>
          <w:color w:val="000000" w:themeColor="text1"/>
          <w:szCs w:val="24"/>
        </w:rPr>
        <w:t>Sealing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91E17">
        <w:rPr>
          <w:rFonts w:cs="Times New Roman"/>
          <w:color w:val="000000" w:themeColor="text1"/>
          <w:szCs w:val="24"/>
        </w:rPr>
        <w:t>Device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91E17">
        <w:rPr>
          <w:rFonts w:cs="Times New Roman"/>
          <w:color w:val="000000" w:themeColor="text1"/>
          <w:szCs w:val="24"/>
        </w:rPr>
        <w:t>Manufacturing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91E17">
        <w:rPr>
          <w:rFonts w:cs="Times New Roman"/>
          <w:color w:val="000000" w:themeColor="text1"/>
          <w:szCs w:val="24"/>
        </w:rPr>
        <w:t>(NAICS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91E17">
        <w:rPr>
          <w:rFonts w:cs="Times New Roman"/>
          <w:color w:val="000000" w:themeColor="text1"/>
          <w:szCs w:val="24"/>
        </w:rPr>
        <w:t>code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91E17">
        <w:rPr>
          <w:rFonts w:cs="Times New Roman"/>
          <w:color w:val="000000" w:themeColor="text1"/>
          <w:szCs w:val="24"/>
        </w:rPr>
        <w:t>339991).</w:t>
      </w:r>
    </w:p>
    <w:p w:rsidRPr="00C317BB" w:rsidR="00604BB0" w:rsidP="005613B2" w:rsidRDefault="005613B2" w14:paraId="3048B2F5" w14:textId="5D598C62">
      <w:pPr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ab/>
      </w:r>
      <w:r w:rsidRPr="00C317BB" w:rsidR="00604BB0">
        <w:rPr>
          <w:rFonts w:cs="Times New Roman"/>
          <w:color w:val="000000" w:themeColor="text1"/>
          <w:szCs w:val="24"/>
        </w:rPr>
        <w:t>•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055255">
        <w:rPr>
          <w:rFonts w:cs="Times New Roman"/>
          <w:color w:val="000000" w:themeColor="text1"/>
          <w:szCs w:val="24"/>
        </w:rPr>
        <w:t>Motor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055255">
        <w:rPr>
          <w:rFonts w:cs="Times New Roman"/>
          <w:color w:val="000000" w:themeColor="text1"/>
          <w:szCs w:val="24"/>
        </w:rPr>
        <w:t>Vehicle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604BB0">
        <w:rPr>
          <w:rFonts w:cs="Times New Roman"/>
          <w:color w:val="000000" w:themeColor="text1"/>
          <w:szCs w:val="24"/>
        </w:rPr>
        <w:t>and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604BB0">
        <w:rPr>
          <w:rFonts w:cs="Times New Roman"/>
          <w:color w:val="000000" w:themeColor="text1"/>
          <w:szCs w:val="24"/>
        </w:rPr>
        <w:t>Motor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604BB0">
        <w:rPr>
          <w:rFonts w:cs="Times New Roman"/>
          <w:color w:val="000000" w:themeColor="text1"/>
          <w:szCs w:val="24"/>
        </w:rPr>
        <w:t>Vehicle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604BB0">
        <w:rPr>
          <w:rFonts w:cs="Times New Roman"/>
          <w:color w:val="000000" w:themeColor="text1"/>
          <w:szCs w:val="24"/>
        </w:rPr>
        <w:t>Parts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604BB0">
        <w:rPr>
          <w:rFonts w:cs="Times New Roman"/>
          <w:color w:val="000000" w:themeColor="text1"/>
          <w:szCs w:val="24"/>
        </w:rPr>
        <w:t>and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604BB0">
        <w:rPr>
          <w:rFonts w:cs="Times New Roman"/>
          <w:color w:val="000000" w:themeColor="text1"/>
          <w:szCs w:val="24"/>
        </w:rPr>
        <w:t>Supplies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604BB0">
        <w:rPr>
          <w:rFonts w:cs="Times New Roman"/>
          <w:color w:val="000000" w:themeColor="text1"/>
          <w:szCs w:val="24"/>
        </w:rPr>
        <w:t>Merchant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604BB0">
        <w:rPr>
          <w:rFonts w:cs="Times New Roman"/>
          <w:color w:val="000000" w:themeColor="text1"/>
          <w:szCs w:val="24"/>
        </w:rPr>
        <w:t>Wholesalers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604BB0">
        <w:rPr>
          <w:rFonts w:cs="Times New Roman"/>
          <w:color w:val="000000" w:themeColor="text1"/>
          <w:szCs w:val="24"/>
        </w:rPr>
        <w:t>(NAICS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604BB0">
        <w:rPr>
          <w:rFonts w:cs="Times New Roman"/>
          <w:color w:val="000000" w:themeColor="text1"/>
          <w:szCs w:val="24"/>
        </w:rPr>
        <w:t>code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604BB0">
        <w:rPr>
          <w:rFonts w:cs="Times New Roman"/>
          <w:color w:val="000000" w:themeColor="text1"/>
          <w:szCs w:val="24"/>
        </w:rPr>
        <w:t>4231).</w:t>
      </w:r>
    </w:p>
    <w:p w:rsidRPr="00C317BB" w:rsidR="00604BB0" w:rsidP="005613B2" w:rsidRDefault="005613B2" w14:paraId="13D0E01E" w14:textId="4F6B6B49">
      <w:pPr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ab/>
      </w:r>
      <w:r w:rsidRPr="00C317BB" w:rsidR="00604BB0">
        <w:rPr>
          <w:rFonts w:cs="Times New Roman"/>
          <w:color w:val="000000" w:themeColor="text1"/>
          <w:szCs w:val="24"/>
        </w:rPr>
        <w:t>•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604BB0">
        <w:rPr>
          <w:rFonts w:cs="Times New Roman"/>
          <w:color w:val="000000" w:themeColor="text1"/>
          <w:szCs w:val="24"/>
        </w:rPr>
        <w:t>Motor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604BB0">
        <w:rPr>
          <w:rFonts w:cs="Times New Roman"/>
          <w:color w:val="000000" w:themeColor="text1"/>
          <w:szCs w:val="24"/>
        </w:rPr>
        <w:t>Vehicle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604BB0">
        <w:rPr>
          <w:rFonts w:cs="Times New Roman"/>
          <w:color w:val="000000" w:themeColor="text1"/>
          <w:szCs w:val="24"/>
        </w:rPr>
        <w:t>and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604BB0">
        <w:rPr>
          <w:rFonts w:cs="Times New Roman"/>
          <w:color w:val="000000" w:themeColor="text1"/>
          <w:szCs w:val="24"/>
        </w:rPr>
        <w:t>Parts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604BB0">
        <w:rPr>
          <w:rFonts w:cs="Times New Roman"/>
          <w:color w:val="000000" w:themeColor="text1"/>
          <w:szCs w:val="24"/>
        </w:rPr>
        <w:t>Dealers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604BB0">
        <w:rPr>
          <w:rFonts w:cs="Times New Roman"/>
          <w:color w:val="000000" w:themeColor="text1"/>
          <w:szCs w:val="24"/>
        </w:rPr>
        <w:t>(NAICS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604BB0">
        <w:rPr>
          <w:rFonts w:cs="Times New Roman"/>
          <w:color w:val="000000" w:themeColor="text1"/>
          <w:szCs w:val="24"/>
        </w:rPr>
        <w:t>code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604BB0">
        <w:rPr>
          <w:rFonts w:cs="Times New Roman"/>
          <w:color w:val="000000" w:themeColor="text1"/>
          <w:szCs w:val="24"/>
        </w:rPr>
        <w:t>441).</w:t>
      </w:r>
    </w:p>
    <w:p w:rsidRPr="00C317BB" w:rsidR="00906511" w:rsidP="005613B2" w:rsidRDefault="005613B2" w14:paraId="00FEE8FE" w14:textId="66FFA7A2">
      <w:pPr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ab/>
      </w:r>
      <w:r w:rsidRPr="00C317BB" w:rsidR="00604BB0">
        <w:rPr>
          <w:rFonts w:cs="Times New Roman"/>
          <w:color w:val="000000" w:themeColor="text1"/>
          <w:szCs w:val="24"/>
        </w:rPr>
        <w:t>•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604BB0">
        <w:rPr>
          <w:rFonts w:cs="Times New Roman"/>
          <w:color w:val="000000" w:themeColor="text1"/>
          <w:szCs w:val="24"/>
        </w:rPr>
        <w:t>Automotive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604BB0">
        <w:rPr>
          <w:rFonts w:cs="Times New Roman"/>
          <w:color w:val="000000" w:themeColor="text1"/>
          <w:szCs w:val="24"/>
        </w:rPr>
        <w:t>Repair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604BB0">
        <w:rPr>
          <w:rFonts w:cs="Times New Roman"/>
          <w:color w:val="000000" w:themeColor="text1"/>
          <w:szCs w:val="24"/>
        </w:rPr>
        <w:t>and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604BB0">
        <w:rPr>
          <w:rFonts w:cs="Times New Roman"/>
          <w:color w:val="000000" w:themeColor="text1"/>
          <w:szCs w:val="24"/>
        </w:rPr>
        <w:t>Maintenance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604BB0">
        <w:rPr>
          <w:rFonts w:cs="Times New Roman"/>
          <w:color w:val="000000" w:themeColor="text1"/>
          <w:szCs w:val="24"/>
        </w:rPr>
        <w:t>(NAICS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604BB0">
        <w:rPr>
          <w:rFonts w:cs="Times New Roman"/>
          <w:color w:val="000000" w:themeColor="text1"/>
          <w:szCs w:val="24"/>
        </w:rPr>
        <w:t>code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604BB0">
        <w:rPr>
          <w:rFonts w:cs="Times New Roman"/>
          <w:color w:val="000000" w:themeColor="text1"/>
          <w:szCs w:val="24"/>
        </w:rPr>
        <w:t>8111).</w:t>
      </w:r>
    </w:p>
    <w:p w:rsidRPr="00C317BB" w:rsidR="000E30D3" w:rsidP="005613B2" w:rsidRDefault="005613B2" w14:paraId="57DB5ED5" w14:textId="38ECAF29">
      <w:pPr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ab/>
      </w:r>
      <w:r w:rsidRPr="00C317BB" w:rsidR="0058051A">
        <w:rPr>
          <w:rFonts w:cs="Times New Roman"/>
          <w:color w:val="000000" w:themeColor="text1"/>
          <w:szCs w:val="24"/>
        </w:rPr>
        <w:t>This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action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may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also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affect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certain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entities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through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pre-existing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import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certification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and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export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notification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rules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under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TSCA</w:t>
      </w:r>
      <w:r w:rsidRPr="00C317BB" w:rsidR="007D52B4">
        <w:rPr>
          <w:rFonts w:cs="Times New Roman"/>
          <w:color w:val="000000" w:themeColor="text1"/>
          <w:szCs w:val="24"/>
        </w:rPr>
        <w:t>.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Persons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who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import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any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chemical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substance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governed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by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F44D9D">
        <w:rPr>
          <w:rFonts w:cs="Times New Roman"/>
          <w:color w:val="000000" w:themeColor="text1"/>
          <w:szCs w:val="24"/>
        </w:rPr>
        <w:t>TSCA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are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subject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to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the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TSCA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3635E8">
        <w:rPr>
          <w:rFonts w:cs="Times New Roman"/>
          <w:color w:val="000000" w:themeColor="text1"/>
          <w:szCs w:val="24"/>
        </w:rPr>
        <w:t>section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13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(15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U.S.C.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2612)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import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certification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requirements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and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the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corresponding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regulations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at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19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CFR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12.118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through</w:t>
      </w:r>
      <w:r>
        <w:rPr>
          <w:rFonts w:cs="Times New Roman"/>
          <w:color w:val="000000" w:themeColor="text1"/>
          <w:szCs w:val="24"/>
        </w:rPr>
        <w:t xml:space="preserve"> 1</w:t>
      </w:r>
      <w:r w:rsidRPr="00C317BB" w:rsidR="0058051A">
        <w:rPr>
          <w:rFonts w:cs="Times New Roman"/>
          <w:color w:val="000000" w:themeColor="text1"/>
          <w:szCs w:val="24"/>
        </w:rPr>
        <w:t>2.127;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see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also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19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CFR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127.28.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Those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persons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must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certify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that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the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shipment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of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the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chemical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substance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complies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with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all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lastRenderedPageBreak/>
        <w:t>applicable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rules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and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orders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under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TSCA.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The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EPA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policy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in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support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of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import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certification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appears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at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40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CFR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part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707,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subpart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B.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In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addition,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any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persons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who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export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or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intend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to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export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a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chemical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substance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that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is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the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subject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of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this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proposed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rule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are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subject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to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the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export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notification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provisions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of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TSCA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3635E8">
        <w:rPr>
          <w:rFonts w:cs="Times New Roman"/>
          <w:color w:val="000000" w:themeColor="text1"/>
          <w:szCs w:val="24"/>
        </w:rPr>
        <w:t>section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12(b)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(15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U.S.C.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2611(b)),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and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must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comply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with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the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export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notification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requirements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in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40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CFR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part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707,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subpart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8051A">
        <w:rPr>
          <w:rFonts w:cs="Times New Roman"/>
          <w:color w:val="000000" w:themeColor="text1"/>
          <w:szCs w:val="24"/>
        </w:rPr>
        <w:t>D.</w:t>
      </w:r>
      <w:r>
        <w:rPr>
          <w:rFonts w:cs="Times New Roman"/>
          <w:color w:val="000000" w:themeColor="text1"/>
          <w:szCs w:val="24"/>
        </w:rPr>
        <w:t xml:space="preserve"> </w:t>
      </w:r>
    </w:p>
    <w:p w:rsidRPr="00C317BB" w:rsidR="000F746D" w:rsidP="00F27167" w:rsidRDefault="00880BBF" w14:paraId="17ABDB9A" w14:textId="695F801F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A</w:t>
      </w:r>
      <w:r w:rsidRPr="00C317BB" w:rsidR="00F43716">
        <w:rPr>
          <w:rFonts w:cs="Times New Roman"/>
          <w:color w:val="000000" w:themeColor="text1"/>
          <w:szCs w:val="24"/>
        </w:rPr>
        <w:t>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43716">
        <w:rPr>
          <w:rFonts w:cs="Times New Roman"/>
          <w:color w:val="000000" w:themeColor="text1"/>
          <w:szCs w:val="24"/>
        </w:rPr>
        <w:t>(including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43716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43716">
        <w:rPr>
          <w:rFonts w:cs="Times New Roman"/>
          <w:color w:val="000000" w:themeColor="text1"/>
          <w:szCs w:val="24"/>
        </w:rPr>
        <w:t>asbestos)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43716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43716">
        <w:rPr>
          <w:rFonts w:cs="Times New Roman"/>
          <w:color w:val="000000" w:themeColor="text1"/>
          <w:szCs w:val="24"/>
        </w:rPr>
        <w:t>already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43716">
        <w:rPr>
          <w:rFonts w:cs="Times New Roman"/>
          <w:color w:val="000000" w:themeColor="text1"/>
          <w:szCs w:val="24"/>
        </w:rPr>
        <w:t>subject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43716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43716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43716">
        <w:rPr>
          <w:rFonts w:cs="Times New Roman"/>
          <w:color w:val="000000" w:themeColor="text1"/>
          <w:szCs w:val="24"/>
        </w:rPr>
        <w:t>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43716">
        <w:rPr>
          <w:rFonts w:cs="Times New Roman"/>
          <w:color w:val="000000" w:themeColor="text1"/>
          <w:szCs w:val="24"/>
        </w:rPr>
        <w:t>6(a)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43716">
        <w:rPr>
          <w:rFonts w:cs="Times New Roman"/>
          <w:color w:val="000000" w:themeColor="text1"/>
          <w:szCs w:val="24"/>
        </w:rPr>
        <w:t>(40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43716">
        <w:rPr>
          <w:rFonts w:cs="Times New Roman"/>
          <w:color w:val="000000" w:themeColor="text1"/>
          <w:szCs w:val="24"/>
        </w:rPr>
        <w:t>CFR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43716">
        <w:rPr>
          <w:rFonts w:cs="Times New Roman"/>
          <w:color w:val="000000" w:themeColor="text1"/>
          <w:szCs w:val="24"/>
        </w:rPr>
        <w:t>part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43716">
        <w:rPr>
          <w:rFonts w:cs="Times New Roman"/>
          <w:color w:val="000000" w:themeColor="text1"/>
          <w:szCs w:val="24"/>
        </w:rPr>
        <w:t>763,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43716">
        <w:rPr>
          <w:rFonts w:cs="Times New Roman"/>
          <w:color w:val="000000" w:themeColor="text1"/>
          <w:szCs w:val="24"/>
        </w:rPr>
        <w:t>subparts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43716">
        <w:rPr>
          <w:rFonts w:cs="Times New Roman"/>
          <w:color w:val="000000" w:themeColor="text1"/>
          <w:szCs w:val="24"/>
        </w:rPr>
        <w:t>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43716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43716">
        <w:rPr>
          <w:rFonts w:cs="Times New Roman"/>
          <w:color w:val="000000" w:themeColor="text1"/>
          <w:szCs w:val="24"/>
        </w:rPr>
        <w:t>I)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43716">
        <w:rPr>
          <w:rFonts w:cs="Times New Roman"/>
          <w:color w:val="000000" w:themeColor="text1"/>
          <w:szCs w:val="24"/>
        </w:rPr>
        <w:t>rules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43716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43716">
        <w:rPr>
          <w:rFonts w:cs="Times New Roman"/>
          <w:color w:val="000000" w:themeColor="text1"/>
          <w:szCs w:val="24"/>
        </w:rPr>
        <w:t>trigger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43716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43716">
        <w:rPr>
          <w:rFonts w:cs="Times New Roman"/>
          <w:color w:val="000000" w:themeColor="text1"/>
          <w:szCs w:val="24"/>
        </w:rPr>
        <w:t>export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43716">
        <w:rPr>
          <w:rFonts w:cs="Times New Roman"/>
          <w:color w:val="000000" w:themeColor="text1"/>
          <w:szCs w:val="24"/>
        </w:rPr>
        <w:t>notification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43716">
        <w:rPr>
          <w:rFonts w:cs="Times New Roman"/>
          <w:color w:val="000000" w:themeColor="text1"/>
          <w:szCs w:val="24"/>
        </w:rPr>
        <w:t>provisions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43716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43716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43716">
        <w:rPr>
          <w:rFonts w:cs="Times New Roman"/>
          <w:color w:val="000000" w:themeColor="text1"/>
          <w:szCs w:val="24"/>
        </w:rPr>
        <w:t>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43716">
        <w:rPr>
          <w:rFonts w:cs="Times New Roman"/>
          <w:color w:val="000000" w:themeColor="text1"/>
          <w:szCs w:val="24"/>
        </w:rPr>
        <w:t>12(b)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43716">
        <w:rPr>
          <w:rFonts w:cs="Times New Roman"/>
          <w:color w:val="000000" w:themeColor="text1"/>
          <w:szCs w:val="24"/>
        </w:rPr>
        <w:t>(15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43716">
        <w:rPr>
          <w:rFonts w:cs="Times New Roman"/>
          <w:color w:val="000000" w:themeColor="text1"/>
          <w:szCs w:val="24"/>
        </w:rPr>
        <w:t>U.S.C.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43716">
        <w:rPr>
          <w:rFonts w:cs="Times New Roman"/>
          <w:color w:val="000000" w:themeColor="text1"/>
          <w:szCs w:val="24"/>
        </w:rPr>
        <w:t>2611(b);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43716">
        <w:rPr>
          <w:rFonts w:cs="Times New Roman"/>
          <w:color w:val="000000" w:themeColor="text1"/>
          <w:szCs w:val="24"/>
        </w:rPr>
        <w:t>see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43716">
        <w:rPr>
          <w:rFonts w:cs="Times New Roman"/>
          <w:color w:val="000000" w:themeColor="text1"/>
          <w:szCs w:val="24"/>
        </w:rPr>
        <w:t>also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43716">
        <w:rPr>
          <w:rFonts w:cs="Times New Roman"/>
          <w:color w:val="000000" w:themeColor="text1"/>
          <w:szCs w:val="24"/>
        </w:rPr>
        <w:t>40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43716">
        <w:rPr>
          <w:rFonts w:cs="Times New Roman"/>
          <w:color w:val="000000" w:themeColor="text1"/>
          <w:szCs w:val="24"/>
        </w:rPr>
        <w:t>CFR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43716">
        <w:rPr>
          <w:rFonts w:cs="Times New Roman"/>
          <w:color w:val="000000" w:themeColor="text1"/>
          <w:szCs w:val="24"/>
        </w:rPr>
        <w:t>721.20).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43716">
        <w:rPr>
          <w:rFonts w:cs="Times New Roman"/>
          <w:color w:val="000000" w:themeColor="text1"/>
          <w:szCs w:val="24"/>
        </w:rPr>
        <w:t>Any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43716">
        <w:rPr>
          <w:rFonts w:cs="Times New Roman"/>
          <w:color w:val="000000" w:themeColor="text1"/>
          <w:szCs w:val="24"/>
        </w:rPr>
        <w:t>person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43716">
        <w:rPr>
          <w:rFonts w:cs="Times New Roman"/>
          <w:color w:val="000000" w:themeColor="text1"/>
          <w:szCs w:val="24"/>
        </w:rPr>
        <w:t>who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43716">
        <w:rPr>
          <w:rFonts w:cs="Times New Roman"/>
          <w:color w:val="000000" w:themeColor="text1"/>
          <w:szCs w:val="24"/>
        </w:rPr>
        <w:t>exports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43716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43716">
        <w:rPr>
          <w:rFonts w:cs="Times New Roman"/>
          <w:color w:val="000000" w:themeColor="text1"/>
          <w:szCs w:val="24"/>
        </w:rPr>
        <w:t>intends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43716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43716">
        <w:rPr>
          <w:rFonts w:cs="Times New Roman"/>
          <w:color w:val="000000" w:themeColor="text1"/>
          <w:szCs w:val="24"/>
        </w:rPr>
        <w:t>export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43716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43716">
        <w:rPr>
          <w:rFonts w:cs="Times New Roman"/>
          <w:color w:val="000000" w:themeColor="text1"/>
          <w:szCs w:val="24"/>
        </w:rPr>
        <w:t>(including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43716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43716">
        <w:rPr>
          <w:rFonts w:cs="Times New Roman"/>
          <w:color w:val="000000" w:themeColor="text1"/>
          <w:szCs w:val="24"/>
        </w:rPr>
        <w:t>asbestos)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43716">
        <w:rPr>
          <w:rFonts w:cs="Times New Roman"/>
          <w:color w:val="000000" w:themeColor="text1"/>
          <w:szCs w:val="24"/>
        </w:rPr>
        <w:t>must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43716">
        <w:rPr>
          <w:rFonts w:cs="Times New Roman"/>
          <w:color w:val="000000" w:themeColor="text1"/>
          <w:szCs w:val="24"/>
        </w:rPr>
        <w:t>comply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43716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43716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43716">
        <w:rPr>
          <w:rFonts w:cs="Times New Roman"/>
          <w:color w:val="000000" w:themeColor="text1"/>
          <w:szCs w:val="24"/>
        </w:rPr>
        <w:t>export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43716">
        <w:rPr>
          <w:rFonts w:cs="Times New Roman"/>
          <w:color w:val="000000" w:themeColor="text1"/>
          <w:szCs w:val="24"/>
        </w:rPr>
        <w:t>notification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43716">
        <w:rPr>
          <w:rFonts w:cs="Times New Roman"/>
          <w:color w:val="000000" w:themeColor="text1"/>
          <w:szCs w:val="24"/>
        </w:rPr>
        <w:t>requirements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43716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43716">
        <w:rPr>
          <w:rFonts w:cs="Times New Roman"/>
          <w:color w:val="000000" w:themeColor="text1"/>
          <w:szCs w:val="24"/>
        </w:rPr>
        <w:t>40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43716">
        <w:rPr>
          <w:rFonts w:cs="Times New Roman"/>
          <w:color w:val="000000" w:themeColor="text1"/>
          <w:szCs w:val="24"/>
        </w:rPr>
        <w:t>CFR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43716">
        <w:rPr>
          <w:rFonts w:cs="Times New Roman"/>
          <w:color w:val="000000" w:themeColor="text1"/>
          <w:szCs w:val="24"/>
        </w:rPr>
        <w:t>part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43716">
        <w:rPr>
          <w:rFonts w:cs="Times New Roman"/>
          <w:color w:val="000000" w:themeColor="text1"/>
          <w:szCs w:val="24"/>
        </w:rPr>
        <w:t>707,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43716">
        <w:rPr>
          <w:rFonts w:cs="Times New Roman"/>
          <w:color w:val="000000" w:themeColor="text1"/>
          <w:szCs w:val="24"/>
        </w:rPr>
        <w:t>subpart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43716">
        <w:rPr>
          <w:rFonts w:cs="Times New Roman"/>
          <w:color w:val="000000" w:themeColor="text1"/>
          <w:szCs w:val="24"/>
        </w:rPr>
        <w:t>D.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7A9F">
        <w:rPr>
          <w:rFonts w:cs="Times New Roman"/>
          <w:color w:val="000000" w:themeColor="text1"/>
          <w:szCs w:val="24"/>
        </w:rPr>
        <w:t>Pursuant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7A9F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7A9F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7A9F">
        <w:rPr>
          <w:rFonts w:cs="Times New Roman"/>
          <w:color w:val="000000" w:themeColor="text1"/>
          <w:szCs w:val="24"/>
        </w:rPr>
        <w:t>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7A9F">
        <w:rPr>
          <w:rFonts w:cs="Times New Roman"/>
          <w:color w:val="000000" w:themeColor="text1"/>
          <w:szCs w:val="24"/>
        </w:rPr>
        <w:t>12(a)(2),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7A9F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7A9F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7A9F">
        <w:rPr>
          <w:rFonts w:cs="Times New Roman"/>
          <w:color w:val="000000" w:themeColor="text1"/>
          <w:szCs w:val="24"/>
        </w:rPr>
        <w:t>rule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7A9F">
        <w:rPr>
          <w:rFonts w:cs="Times New Roman"/>
          <w:color w:val="000000" w:themeColor="text1"/>
          <w:szCs w:val="24"/>
        </w:rPr>
        <w:t>would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7A9F">
        <w:rPr>
          <w:rFonts w:cs="Times New Roman"/>
          <w:color w:val="000000" w:themeColor="text1"/>
          <w:szCs w:val="24"/>
        </w:rPr>
        <w:t>apply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7A9F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7A9F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7A9F">
        <w:rPr>
          <w:rFonts w:cs="Times New Roman"/>
          <w:color w:val="000000" w:themeColor="text1"/>
          <w:szCs w:val="24"/>
        </w:rPr>
        <w:t>chemical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7A9F">
        <w:rPr>
          <w:rFonts w:cs="Times New Roman"/>
          <w:color w:val="000000" w:themeColor="text1"/>
          <w:szCs w:val="24"/>
        </w:rPr>
        <w:t>substance,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7A9F">
        <w:rPr>
          <w:rFonts w:cs="Times New Roman"/>
          <w:color w:val="000000" w:themeColor="text1"/>
          <w:szCs w:val="24"/>
        </w:rPr>
        <w:t>mixture,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7A9F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7A9F">
        <w:rPr>
          <w:rFonts w:cs="Times New Roman"/>
          <w:color w:val="000000" w:themeColor="text1"/>
          <w:szCs w:val="24"/>
        </w:rPr>
        <w:t>article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7A9F">
        <w:rPr>
          <w:rFonts w:cs="Times New Roman"/>
          <w:color w:val="000000" w:themeColor="text1"/>
          <w:szCs w:val="24"/>
        </w:rPr>
        <w:t>even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7A9F">
        <w:rPr>
          <w:rFonts w:cs="Times New Roman"/>
          <w:color w:val="000000" w:themeColor="text1"/>
          <w:szCs w:val="24"/>
        </w:rPr>
        <w:t>if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7A9F">
        <w:rPr>
          <w:rFonts w:cs="Times New Roman"/>
          <w:color w:val="000000" w:themeColor="text1"/>
          <w:szCs w:val="24"/>
        </w:rPr>
        <w:t>being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7A9F">
        <w:rPr>
          <w:rFonts w:cs="Times New Roman"/>
          <w:color w:val="000000" w:themeColor="text1"/>
          <w:szCs w:val="24"/>
        </w:rPr>
        <w:t>manufactured,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7A9F">
        <w:rPr>
          <w:rFonts w:cs="Times New Roman"/>
          <w:color w:val="000000" w:themeColor="text1"/>
          <w:szCs w:val="24"/>
        </w:rPr>
        <w:t>processed,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7A9F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7A9F">
        <w:rPr>
          <w:rFonts w:cs="Times New Roman"/>
          <w:color w:val="000000" w:themeColor="text1"/>
          <w:szCs w:val="24"/>
        </w:rPr>
        <w:t>distributed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7A9F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7A9F">
        <w:rPr>
          <w:rFonts w:cs="Times New Roman"/>
          <w:color w:val="000000" w:themeColor="text1"/>
          <w:szCs w:val="24"/>
        </w:rPr>
        <w:t>commerce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7A9F">
        <w:rPr>
          <w:rFonts w:cs="Times New Roman"/>
          <w:color w:val="000000" w:themeColor="text1"/>
          <w:szCs w:val="24"/>
        </w:rPr>
        <w:t>solely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7A9F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7A9F">
        <w:rPr>
          <w:rFonts w:cs="Times New Roman"/>
          <w:color w:val="000000" w:themeColor="text1"/>
          <w:szCs w:val="24"/>
        </w:rPr>
        <w:t>export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7A9F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7A9F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7A9F">
        <w:rPr>
          <w:rFonts w:cs="Times New Roman"/>
          <w:color w:val="000000" w:themeColor="text1"/>
          <w:szCs w:val="24"/>
        </w:rPr>
        <w:t>United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7A9F">
        <w:rPr>
          <w:rFonts w:cs="Times New Roman"/>
          <w:color w:val="000000" w:themeColor="text1"/>
          <w:szCs w:val="24"/>
        </w:rPr>
        <w:t>States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7A9F">
        <w:rPr>
          <w:rFonts w:cs="Times New Roman"/>
          <w:color w:val="000000" w:themeColor="text1"/>
          <w:szCs w:val="24"/>
        </w:rPr>
        <w:t>because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7A9F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7A9F">
        <w:rPr>
          <w:rFonts w:cs="Times New Roman"/>
          <w:color w:val="000000" w:themeColor="text1"/>
          <w:szCs w:val="24"/>
        </w:rPr>
        <w:t>determination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7A9F">
        <w:rPr>
          <w:rFonts w:cs="Times New Roman"/>
          <w:color w:val="000000" w:themeColor="text1"/>
          <w:szCs w:val="24"/>
        </w:rPr>
        <w:t>has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7A9F">
        <w:rPr>
          <w:rFonts w:cs="Times New Roman"/>
          <w:color w:val="000000" w:themeColor="text1"/>
          <w:szCs w:val="24"/>
        </w:rPr>
        <w:t>been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7A9F">
        <w:rPr>
          <w:rFonts w:cs="Times New Roman"/>
          <w:color w:val="000000" w:themeColor="text1"/>
          <w:szCs w:val="24"/>
        </w:rPr>
        <w:t>made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7A9F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7A9F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7A9F">
        <w:rPr>
          <w:rFonts w:cs="Times New Roman"/>
          <w:color w:val="000000" w:themeColor="text1"/>
          <w:szCs w:val="24"/>
        </w:rPr>
        <w:t>chemical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7A9F">
        <w:rPr>
          <w:rFonts w:cs="Times New Roman"/>
          <w:color w:val="000000" w:themeColor="text1"/>
          <w:szCs w:val="24"/>
        </w:rPr>
        <w:t>substance,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7A9F">
        <w:rPr>
          <w:rFonts w:cs="Times New Roman"/>
          <w:color w:val="000000" w:themeColor="text1"/>
          <w:szCs w:val="24"/>
        </w:rPr>
        <w:t>mixture,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7A9F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7A9F">
        <w:rPr>
          <w:rFonts w:cs="Times New Roman"/>
          <w:color w:val="000000" w:themeColor="text1"/>
          <w:szCs w:val="24"/>
        </w:rPr>
        <w:t>article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7A9F">
        <w:rPr>
          <w:rFonts w:cs="Times New Roman"/>
          <w:color w:val="000000" w:themeColor="text1"/>
          <w:szCs w:val="24"/>
        </w:rPr>
        <w:t>presents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7A9F">
        <w:rPr>
          <w:rFonts w:cs="Times New Roman"/>
          <w:color w:val="000000" w:themeColor="text1"/>
          <w:szCs w:val="24"/>
        </w:rPr>
        <w:t>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7A9F">
        <w:rPr>
          <w:rFonts w:cs="Times New Roman"/>
          <w:color w:val="000000" w:themeColor="text1"/>
          <w:szCs w:val="24"/>
        </w:rPr>
        <w:t>unreasonable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7A9F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7A9F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7A9F">
        <w:rPr>
          <w:rFonts w:cs="Times New Roman"/>
          <w:color w:val="000000" w:themeColor="text1"/>
          <w:szCs w:val="24"/>
        </w:rPr>
        <w:t>health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7A9F">
        <w:rPr>
          <w:rFonts w:cs="Times New Roman"/>
          <w:color w:val="000000" w:themeColor="text1"/>
          <w:szCs w:val="24"/>
        </w:rPr>
        <w:t>within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7A9F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7A9F">
        <w:rPr>
          <w:rFonts w:cs="Times New Roman"/>
          <w:color w:val="000000" w:themeColor="text1"/>
          <w:szCs w:val="24"/>
        </w:rPr>
        <w:t>United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7A9F">
        <w:rPr>
          <w:rFonts w:cs="Times New Roman"/>
          <w:color w:val="000000" w:themeColor="text1"/>
          <w:szCs w:val="24"/>
        </w:rPr>
        <w:t>States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7A9F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7A9F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7A9F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7A9F">
        <w:rPr>
          <w:rFonts w:cs="Times New Roman"/>
          <w:color w:val="000000" w:themeColor="text1"/>
          <w:szCs w:val="24"/>
        </w:rPr>
        <w:t>environment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7A9F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7A9F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7A9F">
        <w:rPr>
          <w:rFonts w:cs="Times New Roman"/>
          <w:color w:val="000000" w:themeColor="text1"/>
          <w:szCs w:val="24"/>
        </w:rPr>
        <w:t>United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7A9F">
        <w:rPr>
          <w:rFonts w:cs="Times New Roman"/>
          <w:color w:val="000000" w:themeColor="text1"/>
          <w:szCs w:val="24"/>
        </w:rPr>
        <w:t>States.</w:t>
      </w:r>
    </w:p>
    <w:p w:rsidRPr="00C317BB" w:rsidR="00F21DDB" w:rsidP="00F27167" w:rsidRDefault="0058051A" w14:paraId="06D3962D" w14:textId="77777777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If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you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have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questions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regarding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applicability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F47B2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particular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entity,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consult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technical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information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contact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listed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b/>
          <w:color w:val="000000" w:themeColor="text1"/>
          <w:szCs w:val="24"/>
        </w:rPr>
        <w:t>FOR</w:t>
      </w:r>
      <w:r w:rsidR="005613B2">
        <w:rPr>
          <w:rFonts w:cs="Times New Roman"/>
          <w:b/>
          <w:color w:val="000000" w:themeColor="text1"/>
          <w:szCs w:val="24"/>
        </w:rPr>
        <w:t xml:space="preserve"> </w:t>
      </w:r>
      <w:r w:rsidRPr="00C317BB">
        <w:rPr>
          <w:rFonts w:cs="Times New Roman"/>
          <w:b/>
          <w:color w:val="000000" w:themeColor="text1"/>
          <w:szCs w:val="24"/>
        </w:rPr>
        <w:t>FURTHER</w:t>
      </w:r>
      <w:r w:rsidR="005613B2">
        <w:rPr>
          <w:rFonts w:cs="Times New Roman"/>
          <w:b/>
          <w:color w:val="000000" w:themeColor="text1"/>
          <w:szCs w:val="24"/>
        </w:rPr>
        <w:t xml:space="preserve"> </w:t>
      </w:r>
      <w:r w:rsidRPr="00C317BB">
        <w:rPr>
          <w:rFonts w:cs="Times New Roman"/>
          <w:b/>
          <w:color w:val="000000" w:themeColor="text1"/>
          <w:szCs w:val="24"/>
        </w:rPr>
        <w:t>INFORMATION</w:t>
      </w:r>
      <w:r w:rsidR="005613B2">
        <w:rPr>
          <w:rFonts w:cs="Times New Roman"/>
          <w:b/>
          <w:color w:val="000000" w:themeColor="text1"/>
          <w:szCs w:val="24"/>
        </w:rPr>
        <w:t xml:space="preserve"> </w:t>
      </w:r>
      <w:r w:rsidRPr="00C317BB">
        <w:rPr>
          <w:rFonts w:cs="Times New Roman"/>
          <w:b/>
          <w:color w:val="000000" w:themeColor="text1"/>
          <w:szCs w:val="24"/>
        </w:rPr>
        <w:t>CONTACT</w:t>
      </w:r>
      <w:r w:rsidRPr="00C317BB">
        <w:rPr>
          <w:rFonts w:cs="Times New Roman"/>
          <w:color w:val="000000" w:themeColor="text1"/>
          <w:szCs w:val="24"/>
        </w:rPr>
        <w:t>.</w:t>
      </w:r>
    </w:p>
    <w:p w:rsidRPr="00C317BB" w:rsidR="0058051A" w:rsidP="00F27167" w:rsidRDefault="0058051A" w14:paraId="5BE04CC0" w14:textId="77777777">
      <w:pPr>
        <w:pStyle w:val="Heading2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B.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E1003">
        <w:rPr>
          <w:rFonts w:cs="Times New Roman"/>
          <w:color w:val="000000" w:themeColor="text1"/>
          <w:szCs w:val="24"/>
        </w:rPr>
        <w:t>A</w:t>
      </w:r>
      <w:r w:rsidRPr="00C317BB">
        <w:rPr>
          <w:rFonts w:cs="Times New Roman"/>
          <w:color w:val="000000" w:themeColor="text1"/>
          <w:szCs w:val="24"/>
        </w:rPr>
        <w:t>gency's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authority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taking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action?</w:t>
      </w:r>
    </w:p>
    <w:p w:rsidRPr="00C317BB" w:rsidR="004D1465" w:rsidP="00F27167" w:rsidRDefault="004D1465" w14:paraId="66847166" w14:textId="15CA8924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7880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93181">
        <w:rPr>
          <w:rFonts w:cs="Times New Roman"/>
          <w:color w:val="000000" w:themeColor="text1"/>
          <w:szCs w:val="24"/>
        </w:rPr>
        <w:t>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43F79">
        <w:rPr>
          <w:rFonts w:cs="Times New Roman"/>
          <w:color w:val="000000" w:themeColor="text1"/>
          <w:szCs w:val="24"/>
        </w:rPr>
        <w:t>6(a)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7880">
        <w:rPr>
          <w:rFonts w:cs="Times New Roman"/>
          <w:color w:val="000000" w:themeColor="text1"/>
          <w:szCs w:val="24"/>
        </w:rPr>
        <w:t>(</w:t>
      </w:r>
      <w:r w:rsidRPr="00C317BB" w:rsidR="00043F79">
        <w:rPr>
          <w:rFonts w:cs="Times New Roman"/>
          <w:color w:val="000000" w:themeColor="text1"/>
          <w:szCs w:val="24"/>
        </w:rPr>
        <w:t>15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43F79">
        <w:rPr>
          <w:rFonts w:cs="Times New Roman"/>
          <w:color w:val="000000" w:themeColor="text1"/>
          <w:szCs w:val="24"/>
        </w:rPr>
        <w:t>U.S.C.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2605(a)),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determines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F2BBD">
        <w:rPr>
          <w:rFonts w:cs="Times New Roman"/>
          <w:color w:val="000000" w:themeColor="text1"/>
          <w:szCs w:val="24"/>
        </w:rPr>
        <w:t>through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F2BBD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F2BBD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F2BBD">
        <w:rPr>
          <w:rFonts w:cs="Times New Roman"/>
          <w:color w:val="000000" w:themeColor="text1"/>
          <w:szCs w:val="24"/>
        </w:rPr>
        <w:t>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F2BBD">
        <w:rPr>
          <w:rFonts w:cs="Times New Roman"/>
          <w:color w:val="000000" w:themeColor="text1"/>
          <w:szCs w:val="24"/>
        </w:rPr>
        <w:t>6(b)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F2BBD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F2BBD">
        <w:rPr>
          <w:rFonts w:cs="Times New Roman"/>
          <w:color w:val="000000" w:themeColor="text1"/>
          <w:szCs w:val="24"/>
        </w:rPr>
        <w:t>evaluation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chemical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substance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presents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unreasonable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injury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health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environment,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without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consideration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costs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non</w:t>
      </w:r>
      <w:r w:rsidRPr="00C317BB" w:rsidR="003E0575">
        <w:rPr>
          <w:rFonts w:cs="Times New Roman"/>
          <w:color w:val="000000" w:themeColor="text1"/>
          <w:szCs w:val="24"/>
        </w:rPr>
        <w:t>-</w:t>
      </w:r>
      <w:r w:rsidRPr="00C317BB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factors,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including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unreasonable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potentially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susceptible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subpopulation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identified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relevant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evaluation,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conditions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must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rule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apply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more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lastRenderedPageBreak/>
        <w:t>requirements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5EFC">
        <w:rPr>
          <w:rFonts w:cs="Times New Roman"/>
          <w:color w:val="000000" w:themeColor="text1"/>
          <w:szCs w:val="24"/>
        </w:rPr>
        <w:t>listed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5EFC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5EFC">
        <w:rPr>
          <w:rFonts w:cs="Times New Roman"/>
          <w:color w:val="000000" w:themeColor="text1"/>
          <w:szCs w:val="24"/>
        </w:rPr>
        <w:t>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5EFC">
        <w:rPr>
          <w:rFonts w:cs="Times New Roman"/>
          <w:color w:val="000000" w:themeColor="text1"/>
          <w:szCs w:val="24"/>
        </w:rPr>
        <w:t>6(a)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extent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necessary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chemical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substance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mixture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longer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presents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such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risk.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0E30D3" w:rsidP="00F27167" w:rsidRDefault="0058051A" w14:paraId="431D1700" w14:textId="77777777">
      <w:pPr>
        <w:pStyle w:val="Heading2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C.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E1003">
        <w:rPr>
          <w:rFonts w:cs="Times New Roman"/>
          <w:color w:val="000000" w:themeColor="text1"/>
          <w:szCs w:val="24"/>
        </w:rPr>
        <w:t>A</w:t>
      </w:r>
      <w:r w:rsidRPr="00C317BB">
        <w:rPr>
          <w:rFonts w:cs="Times New Roman"/>
          <w:color w:val="000000" w:themeColor="text1"/>
          <w:szCs w:val="24"/>
        </w:rPr>
        <w:t>gency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taking?</w:t>
      </w:r>
    </w:p>
    <w:p w:rsidRPr="00C317BB" w:rsidR="005067F5" w:rsidP="00F27167" w:rsidRDefault="00291B20" w14:paraId="7A81B099" w14:textId="7A4FFC7F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4F17">
        <w:rPr>
          <w:rFonts w:cs="Times New Roman"/>
          <w:color w:val="000000" w:themeColor="text1"/>
          <w:szCs w:val="24"/>
        </w:rPr>
        <w:t>determin</w:t>
      </w:r>
      <w:r w:rsidRPr="00C317BB" w:rsidR="00ED0F4A">
        <w:rPr>
          <w:rFonts w:cs="Times New Roman"/>
          <w:color w:val="000000" w:themeColor="text1"/>
          <w:szCs w:val="24"/>
        </w:rPr>
        <w:t>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B575D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41A1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41A1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41A1">
        <w:rPr>
          <w:rFonts w:cs="Times New Roman"/>
          <w:color w:val="000000" w:themeColor="text1"/>
          <w:szCs w:val="24"/>
        </w:rPr>
        <w:t>Evaluation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D294A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D294A">
        <w:rPr>
          <w:rFonts w:cs="Times New Roman"/>
          <w:color w:val="000000" w:themeColor="text1"/>
          <w:szCs w:val="24"/>
        </w:rPr>
        <w:t>Asbestos</w:t>
      </w:r>
      <w:r w:rsidRPr="00C317BB" w:rsidR="00107E67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7E67">
        <w:rPr>
          <w:rFonts w:cs="Times New Roman"/>
          <w:color w:val="000000" w:themeColor="text1"/>
          <w:szCs w:val="24"/>
        </w:rPr>
        <w:t>Part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7E67">
        <w:rPr>
          <w:rFonts w:cs="Times New Roman"/>
          <w:color w:val="000000" w:themeColor="text1"/>
          <w:szCs w:val="24"/>
        </w:rPr>
        <w:t>1: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7E67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7E67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A3EAB">
        <w:rPr>
          <w:rFonts w:cs="Times New Roman"/>
          <w:color w:val="000000" w:themeColor="text1"/>
          <w:szCs w:val="24"/>
        </w:rPr>
        <w:t>(Ref.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A3EAB">
        <w:rPr>
          <w:rFonts w:cs="Times New Roman"/>
          <w:color w:val="000000" w:themeColor="text1"/>
          <w:szCs w:val="24"/>
        </w:rPr>
        <w:t>1)</w:t>
      </w:r>
      <w:r w:rsidRPr="00C317BB" w:rsidR="009D294A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59CF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59CF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59CF">
        <w:rPr>
          <w:rFonts w:cs="Times New Roman"/>
          <w:color w:val="000000" w:themeColor="text1"/>
          <w:szCs w:val="24"/>
        </w:rPr>
        <w:t>presents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59CF">
        <w:rPr>
          <w:rFonts w:cs="Times New Roman"/>
          <w:color w:val="000000" w:themeColor="text1"/>
          <w:szCs w:val="24"/>
        </w:rPr>
        <w:t>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59CF">
        <w:rPr>
          <w:rFonts w:cs="Times New Roman"/>
          <w:color w:val="000000" w:themeColor="text1"/>
          <w:szCs w:val="24"/>
        </w:rPr>
        <w:t>unreasonable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59CF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59CF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59CF">
        <w:rPr>
          <w:rFonts w:cs="Times New Roman"/>
          <w:color w:val="000000" w:themeColor="text1"/>
          <w:szCs w:val="24"/>
        </w:rPr>
        <w:t>injury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59CF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59CF">
        <w:rPr>
          <w:rFonts w:cs="Times New Roman"/>
          <w:color w:val="000000" w:themeColor="text1"/>
          <w:szCs w:val="24"/>
        </w:rPr>
        <w:t>health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F6242">
        <w:rPr>
          <w:rFonts w:cs="Times New Roman"/>
          <w:color w:val="000000" w:themeColor="text1"/>
          <w:szCs w:val="24"/>
        </w:rPr>
        <w:t>based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F6242">
        <w:rPr>
          <w:rFonts w:cs="Times New Roman"/>
          <w:color w:val="000000" w:themeColor="text1"/>
          <w:szCs w:val="24"/>
        </w:rPr>
        <w:t>upon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59CF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59CF">
        <w:rPr>
          <w:rFonts w:cs="Times New Roman"/>
          <w:color w:val="000000" w:themeColor="text1"/>
          <w:szCs w:val="24"/>
        </w:rPr>
        <w:t>following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59CF">
        <w:rPr>
          <w:rFonts w:cs="Times New Roman"/>
          <w:color w:val="000000" w:themeColor="text1"/>
          <w:szCs w:val="24"/>
        </w:rPr>
        <w:t>conditions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59CF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59CF">
        <w:rPr>
          <w:rFonts w:cs="Times New Roman"/>
          <w:color w:val="000000" w:themeColor="text1"/>
          <w:szCs w:val="24"/>
        </w:rPr>
        <w:t>use: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5067F5" w:rsidP="00F27167" w:rsidRDefault="007B7B06" w14:paraId="0C790ADD" w14:textId="5C6F9FDE">
      <w:pPr>
        <w:pStyle w:val="ListParagraph"/>
        <w:ind w:left="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ab/>
        <w:t>•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59CF">
        <w:rPr>
          <w:rFonts w:cs="Times New Roman"/>
          <w:color w:val="000000" w:themeColor="text1"/>
          <w:szCs w:val="24"/>
        </w:rPr>
        <w:t>Processing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59CF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59CF">
        <w:rPr>
          <w:rFonts w:cs="Times New Roman"/>
          <w:color w:val="000000" w:themeColor="text1"/>
          <w:szCs w:val="24"/>
        </w:rPr>
        <w:t>Industrial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59CF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59CF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59CF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59CF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59CF">
        <w:rPr>
          <w:rFonts w:cs="Times New Roman"/>
          <w:color w:val="000000" w:themeColor="text1"/>
          <w:szCs w:val="24"/>
        </w:rPr>
        <w:t>Diaphragms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59CF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59CF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59CF">
        <w:rPr>
          <w:rFonts w:cs="Times New Roman"/>
          <w:color w:val="000000" w:themeColor="text1"/>
          <w:szCs w:val="24"/>
        </w:rPr>
        <w:t>Chlor-alkali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59CF">
        <w:rPr>
          <w:rFonts w:cs="Times New Roman"/>
          <w:color w:val="000000" w:themeColor="text1"/>
          <w:szCs w:val="24"/>
        </w:rPr>
        <w:t>Industry;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5067F5" w:rsidP="00F27167" w:rsidRDefault="007B7B06" w14:paraId="64EF5522" w14:textId="2BFFEF9E">
      <w:pPr>
        <w:pStyle w:val="ListParagraph"/>
        <w:ind w:left="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ab/>
        <w:t>•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59CF">
        <w:rPr>
          <w:rFonts w:cs="Times New Roman"/>
          <w:color w:val="000000" w:themeColor="text1"/>
          <w:szCs w:val="24"/>
        </w:rPr>
        <w:t>Processing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59CF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59CF">
        <w:rPr>
          <w:rFonts w:cs="Times New Roman"/>
          <w:color w:val="000000" w:themeColor="text1"/>
          <w:szCs w:val="24"/>
        </w:rPr>
        <w:t>Industrial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59CF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59CF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59CF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59CF">
        <w:rPr>
          <w:rFonts w:cs="Times New Roman"/>
          <w:color w:val="000000" w:themeColor="text1"/>
          <w:szCs w:val="24"/>
        </w:rPr>
        <w:t>Asbestos-Containing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59CF">
        <w:rPr>
          <w:rFonts w:cs="Times New Roman"/>
          <w:color w:val="000000" w:themeColor="text1"/>
          <w:szCs w:val="24"/>
        </w:rPr>
        <w:t>Sheet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59CF">
        <w:rPr>
          <w:rFonts w:cs="Times New Roman"/>
          <w:color w:val="000000" w:themeColor="text1"/>
          <w:szCs w:val="24"/>
        </w:rPr>
        <w:t>Gaskets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59CF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59CF">
        <w:rPr>
          <w:rFonts w:cs="Times New Roman"/>
          <w:color w:val="000000" w:themeColor="text1"/>
          <w:szCs w:val="24"/>
        </w:rPr>
        <w:t>Chemical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59CF">
        <w:rPr>
          <w:rFonts w:cs="Times New Roman"/>
          <w:color w:val="000000" w:themeColor="text1"/>
          <w:szCs w:val="24"/>
        </w:rPr>
        <w:t>Production;</w:t>
      </w:r>
    </w:p>
    <w:p w:rsidRPr="00C317BB" w:rsidR="005067F5" w:rsidP="00F27167" w:rsidRDefault="007B7B06" w14:paraId="772A10BA" w14:textId="35076927">
      <w:pPr>
        <w:pStyle w:val="ListParagraph"/>
        <w:ind w:left="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ab/>
        <w:t>•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59CF">
        <w:rPr>
          <w:rFonts w:cs="Times New Roman"/>
          <w:color w:val="000000" w:themeColor="text1"/>
          <w:szCs w:val="24"/>
        </w:rPr>
        <w:t>Industrial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59CF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59CF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59CF">
        <w:rPr>
          <w:rFonts w:cs="Times New Roman"/>
          <w:color w:val="000000" w:themeColor="text1"/>
          <w:szCs w:val="24"/>
        </w:rPr>
        <w:t>Disposal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59CF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59CF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59CF">
        <w:rPr>
          <w:rFonts w:cs="Times New Roman"/>
          <w:color w:val="000000" w:themeColor="text1"/>
          <w:szCs w:val="24"/>
        </w:rPr>
        <w:t>Asbestos-Containing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59CF">
        <w:rPr>
          <w:rFonts w:cs="Times New Roman"/>
          <w:color w:val="000000" w:themeColor="text1"/>
          <w:szCs w:val="24"/>
        </w:rPr>
        <w:t>Brake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59CF">
        <w:rPr>
          <w:rFonts w:cs="Times New Roman"/>
          <w:color w:val="000000" w:themeColor="text1"/>
          <w:szCs w:val="24"/>
        </w:rPr>
        <w:t>Blocks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59CF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59CF">
        <w:rPr>
          <w:rFonts w:cs="Times New Roman"/>
          <w:color w:val="000000" w:themeColor="text1"/>
          <w:szCs w:val="24"/>
        </w:rPr>
        <w:t>Oil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59CF">
        <w:rPr>
          <w:rFonts w:cs="Times New Roman"/>
          <w:color w:val="000000" w:themeColor="text1"/>
          <w:szCs w:val="24"/>
        </w:rPr>
        <w:t>Industry;</w:t>
      </w:r>
    </w:p>
    <w:p w:rsidRPr="00C317BB" w:rsidR="005067F5" w:rsidP="00F27167" w:rsidRDefault="007B7B06" w14:paraId="191F033B" w14:textId="1751DB3E">
      <w:pPr>
        <w:pStyle w:val="ListParagraph"/>
        <w:ind w:left="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ab/>
        <w:t>•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59CF">
        <w:rPr>
          <w:rFonts w:cs="Times New Roman"/>
          <w:color w:val="000000" w:themeColor="text1"/>
          <w:szCs w:val="24"/>
        </w:rPr>
        <w:t>Commercial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59CF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59CF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59CF">
        <w:rPr>
          <w:rFonts w:cs="Times New Roman"/>
          <w:color w:val="000000" w:themeColor="text1"/>
          <w:szCs w:val="24"/>
        </w:rPr>
        <w:t>Disposal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59CF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59CF">
        <w:rPr>
          <w:rFonts w:cs="Times New Roman"/>
          <w:color w:val="000000" w:themeColor="text1"/>
          <w:szCs w:val="24"/>
        </w:rPr>
        <w:t>Aftermarket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59CF">
        <w:rPr>
          <w:rFonts w:cs="Times New Roman"/>
          <w:color w:val="000000" w:themeColor="text1"/>
          <w:szCs w:val="24"/>
        </w:rPr>
        <w:t>Automotive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59CF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59CF">
        <w:rPr>
          <w:rFonts w:cs="Times New Roman"/>
          <w:color w:val="000000" w:themeColor="text1"/>
          <w:szCs w:val="24"/>
        </w:rPr>
        <w:t>Asbestos-Containing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59CF">
        <w:rPr>
          <w:rFonts w:cs="Times New Roman"/>
          <w:color w:val="000000" w:themeColor="text1"/>
          <w:szCs w:val="24"/>
        </w:rPr>
        <w:t>Brakes/Linings;</w:t>
      </w:r>
    </w:p>
    <w:p w:rsidRPr="00C317BB" w:rsidR="005067F5" w:rsidP="00F27167" w:rsidRDefault="007B7B06" w14:paraId="000C5973" w14:textId="286022CB">
      <w:pPr>
        <w:pStyle w:val="ListParagraph"/>
        <w:ind w:left="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ab/>
        <w:t>•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59CF">
        <w:rPr>
          <w:rFonts w:cs="Times New Roman"/>
          <w:color w:val="000000" w:themeColor="text1"/>
          <w:szCs w:val="24"/>
        </w:rPr>
        <w:t>Commercial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59CF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59CF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59CF">
        <w:rPr>
          <w:rFonts w:cs="Times New Roman"/>
          <w:color w:val="000000" w:themeColor="text1"/>
          <w:szCs w:val="24"/>
        </w:rPr>
        <w:t>Disposal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59CF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59CF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59CF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59CF">
        <w:rPr>
          <w:rFonts w:cs="Times New Roman"/>
          <w:color w:val="000000" w:themeColor="text1"/>
          <w:szCs w:val="24"/>
        </w:rPr>
        <w:t>Asbestos-Containing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59CF">
        <w:rPr>
          <w:rFonts w:cs="Times New Roman"/>
          <w:color w:val="000000" w:themeColor="text1"/>
          <w:szCs w:val="24"/>
        </w:rPr>
        <w:t>Vehicle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59CF">
        <w:rPr>
          <w:rFonts w:cs="Times New Roman"/>
          <w:color w:val="000000" w:themeColor="text1"/>
          <w:szCs w:val="24"/>
        </w:rPr>
        <w:t>Friction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59CF">
        <w:rPr>
          <w:rFonts w:cs="Times New Roman"/>
          <w:color w:val="000000" w:themeColor="text1"/>
          <w:szCs w:val="24"/>
        </w:rPr>
        <w:t>Products;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A659CF" w:rsidP="00F27167" w:rsidRDefault="007B7B06" w14:paraId="74D047EC" w14:textId="0DD93EB8">
      <w:pPr>
        <w:pStyle w:val="ListParagraph"/>
        <w:ind w:left="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ab/>
        <w:t>•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59CF">
        <w:rPr>
          <w:rFonts w:cs="Times New Roman"/>
          <w:color w:val="000000" w:themeColor="text1"/>
          <w:szCs w:val="24"/>
        </w:rPr>
        <w:t>Commercial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59CF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59CF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59CF">
        <w:rPr>
          <w:rFonts w:cs="Times New Roman"/>
          <w:color w:val="000000" w:themeColor="text1"/>
          <w:szCs w:val="24"/>
        </w:rPr>
        <w:t>Disposal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59CF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59CF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59CF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59CF">
        <w:rPr>
          <w:rFonts w:cs="Times New Roman"/>
          <w:color w:val="000000" w:themeColor="text1"/>
          <w:szCs w:val="24"/>
        </w:rPr>
        <w:t>Asbestos-Containing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59CF">
        <w:rPr>
          <w:rFonts w:cs="Times New Roman"/>
          <w:color w:val="000000" w:themeColor="text1"/>
          <w:szCs w:val="24"/>
        </w:rPr>
        <w:t>Gaskets</w:t>
      </w:r>
      <w:r w:rsidRPr="00C317BB" w:rsidR="008F4ADE">
        <w:rPr>
          <w:rFonts w:cs="Times New Roman"/>
          <w:color w:val="000000" w:themeColor="text1"/>
          <w:szCs w:val="24"/>
        </w:rPr>
        <w:t>;</w:t>
      </w:r>
    </w:p>
    <w:p w:rsidRPr="00C317BB" w:rsidR="007B7B06" w:rsidP="00F27167" w:rsidRDefault="007B7B06" w14:paraId="4BC5FBEE" w14:textId="6B534354">
      <w:pPr>
        <w:pStyle w:val="ListParagraph"/>
        <w:ind w:left="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ab/>
        <w:t>•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E1378">
        <w:rPr>
          <w:rFonts w:cs="Times New Roman"/>
          <w:color w:val="000000" w:themeColor="text1"/>
          <w:szCs w:val="24"/>
        </w:rPr>
        <w:t>Consumer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E1378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E1378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E1378">
        <w:rPr>
          <w:rFonts w:cs="Times New Roman"/>
          <w:color w:val="000000" w:themeColor="text1"/>
          <w:szCs w:val="24"/>
        </w:rPr>
        <w:t>Disposal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E1378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E1378">
        <w:rPr>
          <w:rFonts w:cs="Times New Roman"/>
          <w:color w:val="000000" w:themeColor="text1"/>
          <w:szCs w:val="24"/>
        </w:rPr>
        <w:t>Aftermarket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E1378">
        <w:rPr>
          <w:rFonts w:cs="Times New Roman"/>
          <w:color w:val="000000" w:themeColor="text1"/>
          <w:szCs w:val="24"/>
        </w:rPr>
        <w:t>Automotive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E1378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E1378">
        <w:rPr>
          <w:rFonts w:cs="Times New Roman"/>
          <w:color w:val="000000" w:themeColor="text1"/>
          <w:szCs w:val="24"/>
        </w:rPr>
        <w:t>Asbestos-Containing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E1378">
        <w:rPr>
          <w:rFonts w:cs="Times New Roman"/>
          <w:color w:val="000000" w:themeColor="text1"/>
          <w:szCs w:val="24"/>
        </w:rPr>
        <w:t>Brakes/Linings;</w:t>
      </w:r>
    </w:p>
    <w:p w:rsidRPr="00C317BB" w:rsidR="005E1378" w:rsidP="00F27167" w:rsidRDefault="007B7B06" w14:paraId="3660B18C" w14:textId="38EEB2D3">
      <w:pPr>
        <w:pStyle w:val="ListParagraph"/>
        <w:ind w:left="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ab/>
        <w:t>•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E1378">
        <w:rPr>
          <w:rFonts w:cs="Times New Roman"/>
          <w:color w:val="000000" w:themeColor="text1"/>
          <w:szCs w:val="24"/>
        </w:rPr>
        <w:t>Consumer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E1378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E1378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E1378">
        <w:rPr>
          <w:rFonts w:cs="Times New Roman"/>
          <w:color w:val="000000" w:themeColor="text1"/>
          <w:szCs w:val="24"/>
        </w:rPr>
        <w:t>Disposal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E1378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E1378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E1378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E1378">
        <w:rPr>
          <w:rFonts w:cs="Times New Roman"/>
          <w:color w:val="000000" w:themeColor="text1"/>
          <w:szCs w:val="24"/>
        </w:rPr>
        <w:t>Asbestos-Containing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E1378">
        <w:rPr>
          <w:rFonts w:cs="Times New Roman"/>
          <w:color w:val="000000" w:themeColor="text1"/>
          <w:szCs w:val="24"/>
        </w:rPr>
        <w:t>Gaskets.</w:t>
      </w:r>
    </w:p>
    <w:p w:rsidRPr="00C317BB" w:rsidR="00DB20BC" w:rsidP="00F27167" w:rsidRDefault="00DB20BC" w14:paraId="3BC04292" w14:textId="0B60B884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detailed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description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conditions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E2E3D">
        <w:rPr>
          <w:rFonts w:cs="Times New Roman"/>
          <w:color w:val="000000" w:themeColor="text1"/>
          <w:szCs w:val="24"/>
        </w:rPr>
        <w:t>provided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III.B.2.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91B20">
        <w:rPr>
          <w:rFonts w:cs="Times New Roman"/>
          <w:color w:val="000000" w:themeColor="text1"/>
          <w:szCs w:val="24"/>
        </w:rPr>
        <w:t>Accordingly,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120D7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120D7">
        <w:rPr>
          <w:rFonts w:cs="Times New Roman"/>
          <w:color w:val="000000" w:themeColor="text1"/>
          <w:szCs w:val="24"/>
        </w:rPr>
        <w:t>address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120D7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120D7">
        <w:rPr>
          <w:rFonts w:cs="Times New Roman"/>
          <w:color w:val="000000" w:themeColor="text1"/>
          <w:szCs w:val="24"/>
        </w:rPr>
        <w:t>identified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120D7">
        <w:rPr>
          <w:rFonts w:cs="Times New Roman"/>
          <w:color w:val="000000" w:themeColor="text1"/>
          <w:szCs w:val="24"/>
        </w:rPr>
        <w:t>unreasonable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120D7">
        <w:rPr>
          <w:rFonts w:cs="Times New Roman"/>
          <w:color w:val="000000" w:themeColor="text1"/>
          <w:szCs w:val="24"/>
        </w:rPr>
        <w:t>risk</w:t>
      </w:r>
      <w:r w:rsidRPr="00C317BB" w:rsidR="00291B20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bookmarkStart w:name="_Hlk15998129" w:id="6"/>
      <w:r w:rsidRPr="00C317BB" w:rsidR="00291B20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91B20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91B20">
        <w:rPr>
          <w:rFonts w:cs="Times New Roman"/>
          <w:color w:val="000000" w:themeColor="text1"/>
          <w:szCs w:val="24"/>
        </w:rPr>
        <w:t>proposing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523F">
        <w:rPr>
          <w:rFonts w:cs="Times New Roman"/>
          <w:color w:val="000000" w:themeColor="text1"/>
          <w:szCs w:val="24"/>
        </w:rPr>
        <w:t>pursuant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523F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7880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93181">
        <w:rPr>
          <w:rFonts w:cs="Times New Roman"/>
          <w:color w:val="000000" w:themeColor="text1"/>
          <w:szCs w:val="24"/>
        </w:rPr>
        <w:t>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E51A5">
        <w:rPr>
          <w:rFonts w:cs="Times New Roman"/>
          <w:color w:val="000000" w:themeColor="text1"/>
          <w:szCs w:val="24"/>
        </w:rPr>
        <w:t>6</w:t>
      </w:r>
      <w:r w:rsidRPr="00C317BB" w:rsidR="0046523F">
        <w:rPr>
          <w:rFonts w:cs="Times New Roman"/>
          <w:color w:val="000000" w:themeColor="text1"/>
          <w:szCs w:val="24"/>
        </w:rPr>
        <w:t>(a)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9727E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bookmarkEnd w:id="6"/>
      <w:r w:rsidRPr="00C317BB" w:rsidR="00BE698E">
        <w:rPr>
          <w:rFonts w:cs="Times New Roman"/>
          <w:color w:val="000000" w:themeColor="text1"/>
          <w:szCs w:val="24"/>
        </w:rPr>
        <w:t>prohibit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E698E">
        <w:rPr>
          <w:rFonts w:cs="Times New Roman"/>
          <w:color w:val="000000" w:themeColor="text1"/>
          <w:szCs w:val="24"/>
        </w:rPr>
        <w:t>manufacture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5395">
        <w:rPr>
          <w:rFonts w:cs="Times New Roman"/>
          <w:color w:val="000000" w:themeColor="text1"/>
          <w:szCs w:val="24"/>
        </w:rPr>
        <w:t>(including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5395">
        <w:rPr>
          <w:rFonts w:cs="Times New Roman"/>
          <w:color w:val="000000" w:themeColor="text1"/>
          <w:szCs w:val="24"/>
        </w:rPr>
        <w:t>import)</w:t>
      </w:r>
      <w:r w:rsidRPr="00C317BB" w:rsidR="00BE698E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E698E">
        <w:rPr>
          <w:rFonts w:cs="Times New Roman"/>
          <w:color w:val="000000" w:themeColor="text1"/>
          <w:szCs w:val="24"/>
        </w:rPr>
        <w:t>processing,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E698E">
        <w:rPr>
          <w:rFonts w:cs="Times New Roman"/>
          <w:color w:val="000000" w:themeColor="text1"/>
          <w:szCs w:val="24"/>
        </w:rPr>
        <w:t>distribution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A0BCE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A0BCE">
        <w:rPr>
          <w:rFonts w:cs="Times New Roman"/>
          <w:color w:val="000000" w:themeColor="text1"/>
          <w:szCs w:val="24"/>
        </w:rPr>
        <w:t>commerce,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94BF7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53FFA">
        <w:rPr>
          <w:rFonts w:cs="Times New Roman"/>
          <w:color w:val="000000" w:themeColor="text1"/>
          <w:szCs w:val="24"/>
        </w:rPr>
        <w:t>commercial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07C1F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E698E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E698E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E698E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E0CDC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E0CDC">
        <w:rPr>
          <w:rFonts w:cs="Times New Roman"/>
          <w:color w:val="000000" w:themeColor="text1"/>
          <w:szCs w:val="24"/>
        </w:rPr>
        <w:t>bulk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E0CDC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E0CDC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E0CDC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E0CDC">
        <w:rPr>
          <w:rFonts w:cs="Times New Roman"/>
          <w:color w:val="000000" w:themeColor="text1"/>
          <w:szCs w:val="24"/>
        </w:rPr>
        <w:t>part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E0CDC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E698E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E698E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E698E">
        <w:rPr>
          <w:rFonts w:cs="Times New Roman"/>
          <w:color w:val="000000" w:themeColor="text1"/>
          <w:szCs w:val="24"/>
        </w:rPr>
        <w:t>diaphragms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34436">
        <w:rPr>
          <w:rFonts w:cs="Times New Roman"/>
          <w:color w:val="000000" w:themeColor="text1"/>
          <w:szCs w:val="24"/>
        </w:rPr>
        <w:t>used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E698E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E698E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E698E">
        <w:rPr>
          <w:rFonts w:cs="Times New Roman"/>
          <w:color w:val="000000" w:themeColor="text1"/>
          <w:szCs w:val="24"/>
        </w:rPr>
        <w:t>chlor-alkali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E698E">
        <w:rPr>
          <w:rFonts w:cs="Times New Roman"/>
          <w:color w:val="000000" w:themeColor="text1"/>
          <w:szCs w:val="24"/>
        </w:rPr>
        <w:t>industry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24C80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E698E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E698E">
        <w:rPr>
          <w:rFonts w:cs="Times New Roman"/>
          <w:color w:val="000000" w:themeColor="text1"/>
          <w:szCs w:val="24"/>
        </w:rPr>
        <w:t>asbestos-containing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E698E">
        <w:rPr>
          <w:rFonts w:cs="Times New Roman"/>
          <w:color w:val="000000" w:themeColor="text1"/>
          <w:szCs w:val="24"/>
        </w:rPr>
        <w:t>sheet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E698E">
        <w:rPr>
          <w:rFonts w:cs="Times New Roman"/>
          <w:color w:val="000000" w:themeColor="text1"/>
          <w:szCs w:val="24"/>
        </w:rPr>
        <w:t>gaskets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D7D54">
        <w:rPr>
          <w:rFonts w:cs="Times New Roman"/>
          <w:color w:val="000000" w:themeColor="text1"/>
          <w:szCs w:val="24"/>
        </w:rPr>
        <w:t>used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E698E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E698E">
        <w:rPr>
          <w:rFonts w:cs="Times New Roman"/>
          <w:color w:val="000000" w:themeColor="text1"/>
          <w:szCs w:val="24"/>
        </w:rPr>
        <w:t>chemical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E698E">
        <w:rPr>
          <w:rFonts w:cs="Times New Roman"/>
          <w:color w:val="000000" w:themeColor="text1"/>
          <w:szCs w:val="24"/>
        </w:rPr>
        <w:t>prod</w:t>
      </w:r>
      <w:r w:rsidRPr="00C317BB" w:rsidR="005D7D54">
        <w:rPr>
          <w:rFonts w:cs="Times New Roman"/>
          <w:color w:val="000000" w:themeColor="text1"/>
          <w:szCs w:val="24"/>
        </w:rPr>
        <w:t>uction</w:t>
      </w:r>
      <w:r w:rsidRPr="00C317BB" w:rsidR="00294BF7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94BF7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94BF7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94BF7">
        <w:rPr>
          <w:rFonts w:cs="Times New Roman"/>
          <w:color w:val="000000" w:themeColor="text1"/>
          <w:szCs w:val="24"/>
        </w:rPr>
        <w:t>proposing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94BF7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94BF7">
        <w:rPr>
          <w:rFonts w:cs="Times New Roman"/>
          <w:color w:val="000000" w:themeColor="text1"/>
          <w:szCs w:val="24"/>
        </w:rPr>
        <w:t>these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94BF7">
        <w:rPr>
          <w:rFonts w:cs="Times New Roman"/>
          <w:color w:val="000000" w:themeColor="text1"/>
          <w:szCs w:val="24"/>
        </w:rPr>
        <w:t>prohibitions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94BF7">
        <w:rPr>
          <w:rFonts w:cs="Times New Roman"/>
          <w:color w:val="000000" w:themeColor="text1"/>
          <w:szCs w:val="24"/>
        </w:rPr>
        <w:t>would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94BF7">
        <w:rPr>
          <w:rFonts w:cs="Times New Roman"/>
          <w:color w:val="000000" w:themeColor="text1"/>
          <w:szCs w:val="24"/>
        </w:rPr>
        <w:t>take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94BF7">
        <w:rPr>
          <w:rFonts w:cs="Times New Roman"/>
          <w:color w:val="000000" w:themeColor="text1"/>
          <w:szCs w:val="24"/>
        </w:rPr>
        <w:t>effect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24C80">
        <w:rPr>
          <w:rFonts w:cs="Times New Roman"/>
          <w:color w:val="000000" w:themeColor="text1"/>
          <w:szCs w:val="24"/>
        </w:rPr>
        <w:t>two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24C80">
        <w:rPr>
          <w:rFonts w:cs="Times New Roman"/>
          <w:color w:val="000000" w:themeColor="text1"/>
          <w:szCs w:val="24"/>
        </w:rPr>
        <w:t>years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41672">
        <w:rPr>
          <w:rFonts w:cs="Times New Roman"/>
          <w:color w:val="000000" w:themeColor="text1"/>
          <w:szCs w:val="24"/>
        </w:rPr>
        <w:t>after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41672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41672">
        <w:rPr>
          <w:rFonts w:cs="Times New Roman"/>
          <w:color w:val="000000" w:themeColor="text1"/>
          <w:szCs w:val="24"/>
        </w:rPr>
        <w:t>effective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41672">
        <w:rPr>
          <w:rFonts w:cs="Times New Roman"/>
          <w:color w:val="000000" w:themeColor="text1"/>
          <w:szCs w:val="24"/>
        </w:rPr>
        <w:t>date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41672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41672">
        <w:rPr>
          <w:rFonts w:cs="Times New Roman"/>
          <w:color w:val="000000" w:themeColor="text1"/>
          <w:szCs w:val="24"/>
        </w:rPr>
        <w:t>th</w:t>
      </w:r>
      <w:r w:rsidRPr="00C317BB" w:rsidR="0014095A">
        <w:rPr>
          <w:rFonts w:cs="Times New Roman"/>
          <w:color w:val="000000" w:themeColor="text1"/>
          <w:szCs w:val="24"/>
        </w:rPr>
        <w:t>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4095A">
        <w:rPr>
          <w:rFonts w:cs="Times New Roman"/>
          <w:color w:val="000000" w:themeColor="text1"/>
          <w:szCs w:val="24"/>
        </w:rPr>
        <w:t>final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41672">
        <w:rPr>
          <w:rFonts w:cs="Times New Roman"/>
          <w:color w:val="000000" w:themeColor="text1"/>
          <w:szCs w:val="24"/>
        </w:rPr>
        <w:t>rule</w:t>
      </w:r>
      <w:r w:rsidRPr="00C317BB" w:rsidR="00745944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45944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45944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45944">
        <w:rPr>
          <w:rFonts w:cs="Times New Roman"/>
          <w:color w:val="000000" w:themeColor="text1"/>
          <w:szCs w:val="24"/>
        </w:rPr>
        <w:t>also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45944">
        <w:rPr>
          <w:rFonts w:cs="Times New Roman"/>
          <w:color w:val="000000" w:themeColor="text1"/>
          <w:szCs w:val="24"/>
        </w:rPr>
        <w:t>proposing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E63AA">
        <w:rPr>
          <w:rFonts w:cs="Times New Roman"/>
          <w:color w:val="000000" w:themeColor="text1"/>
          <w:szCs w:val="24"/>
        </w:rPr>
        <w:t>pursuant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E63AA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45944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3F6FBF79">
        <w:rPr>
          <w:rFonts w:cs="Times New Roman"/>
          <w:color w:val="000000" w:themeColor="text1"/>
          <w:szCs w:val="24"/>
        </w:rPr>
        <w:t>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45944">
        <w:rPr>
          <w:rFonts w:cs="Times New Roman"/>
          <w:color w:val="000000" w:themeColor="text1"/>
          <w:szCs w:val="24"/>
        </w:rPr>
        <w:t>6</w:t>
      </w:r>
      <w:r w:rsidRPr="00C317BB" w:rsidR="001E63AA">
        <w:rPr>
          <w:rFonts w:cs="Times New Roman"/>
          <w:color w:val="000000" w:themeColor="text1"/>
          <w:szCs w:val="24"/>
        </w:rPr>
        <w:t>(a)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45944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45944">
        <w:rPr>
          <w:rFonts w:cs="Times New Roman"/>
          <w:color w:val="000000" w:themeColor="text1"/>
          <w:szCs w:val="24"/>
        </w:rPr>
        <w:t>prohibit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45944">
        <w:rPr>
          <w:rFonts w:cs="Times New Roman"/>
          <w:color w:val="000000" w:themeColor="text1"/>
          <w:szCs w:val="24"/>
        </w:rPr>
        <w:t>manufacture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5395">
        <w:rPr>
          <w:rFonts w:cs="Times New Roman"/>
          <w:color w:val="000000" w:themeColor="text1"/>
          <w:szCs w:val="24"/>
        </w:rPr>
        <w:t>(including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5395">
        <w:rPr>
          <w:rFonts w:cs="Times New Roman"/>
          <w:color w:val="000000" w:themeColor="text1"/>
          <w:szCs w:val="24"/>
        </w:rPr>
        <w:t>import)</w:t>
      </w:r>
      <w:r w:rsidRPr="00C317BB" w:rsidR="00745944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45944">
        <w:rPr>
          <w:rFonts w:cs="Times New Roman"/>
          <w:color w:val="000000" w:themeColor="text1"/>
          <w:szCs w:val="24"/>
        </w:rPr>
        <w:t>processing,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45944">
        <w:rPr>
          <w:rFonts w:cs="Times New Roman"/>
          <w:color w:val="000000" w:themeColor="text1"/>
          <w:szCs w:val="24"/>
        </w:rPr>
        <w:t>distribution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C694F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C694F">
        <w:rPr>
          <w:rFonts w:cs="Times New Roman"/>
          <w:color w:val="000000" w:themeColor="text1"/>
          <w:szCs w:val="24"/>
        </w:rPr>
        <w:t>commerce</w:t>
      </w:r>
      <w:r w:rsidRPr="00C317BB" w:rsidR="00BA0BCE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45944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C694F">
        <w:rPr>
          <w:rFonts w:cs="Times New Roman"/>
          <w:color w:val="000000" w:themeColor="text1"/>
          <w:szCs w:val="24"/>
        </w:rPr>
        <w:t>commercial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45944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45944">
        <w:rPr>
          <w:rFonts w:cs="Times New Roman"/>
          <w:color w:val="000000" w:themeColor="text1"/>
          <w:szCs w:val="24"/>
        </w:rPr>
        <w:t>of</w:t>
      </w:r>
      <w:r w:rsidRPr="00C317BB" w:rsidR="00855E95">
        <w:rPr>
          <w:rFonts w:cs="Times New Roman"/>
          <w:color w:val="000000" w:themeColor="text1"/>
          <w:szCs w:val="24"/>
        </w:rPr>
        <w:t>: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E698E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E698E">
        <w:rPr>
          <w:rFonts w:cs="Times New Roman"/>
          <w:color w:val="000000" w:themeColor="text1"/>
          <w:szCs w:val="24"/>
        </w:rPr>
        <w:t>asbestos-containing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E698E">
        <w:rPr>
          <w:rFonts w:cs="Times New Roman"/>
          <w:color w:val="000000" w:themeColor="text1"/>
          <w:szCs w:val="24"/>
        </w:rPr>
        <w:t>brake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E698E">
        <w:rPr>
          <w:rFonts w:cs="Times New Roman"/>
          <w:color w:val="000000" w:themeColor="text1"/>
          <w:szCs w:val="24"/>
        </w:rPr>
        <w:t>blocks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D7D54">
        <w:rPr>
          <w:rFonts w:cs="Times New Roman"/>
          <w:color w:val="000000" w:themeColor="text1"/>
          <w:szCs w:val="24"/>
        </w:rPr>
        <w:t>used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E698E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E698E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E698E">
        <w:rPr>
          <w:rFonts w:cs="Times New Roman"/>
          <w:color w:val="000000" w:themeColor="text1"/>
          <w:szCs w:val="24"/>
        </w:rPr>
        <w:t>oil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E698E">
        <w:rPr>
          <w:rFonts w:cs="Times New Roman"/>
          <w:color w:val="000000" w:themeColor="text1"/>
          <w:szCs w:val="24"/>
        </w:rPr>
        <w:t>industry</w:t>
      </w:r>
      <w:r w:rsidRPr="00C317BB" w:rsidR="00745944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D7D54">
        <w:rPr>
          <w:rFonts w:cs="Times New Roman"/>
          <w:color w:val="000000" w:themeColor="text1"/>
          <w:szCs w:val="24"/>
        </w:rPr>
        <w:t>a</w:t>
      </w:r>
      <w:r w:rsidRPr="00C317BB" w:rsidR="00BE698E">
        <w:rPr>
          <w:rFonts w:cs="Times New Roman"/>
          <w:color w:val="000000" w:themeColor="text1"/>
          <w:szCs w:val="24"/>
        </w:rPr>
        <w:t>ftermarket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0434A">
        <w:rPr>
          <w:rFonts w:cs="Times New Roman"/>
          <w:color w:val="000000" w:themeColor="text1"/>
          <w:szCs w:val="24"/>
        </w:rPr>
        <w:t>a</w:t>
      </w:r>
      <w:r w:rsidRPr="00C317BB" w:rsidR="00BE698E">
        <w:rPr>
          <w:rFonts w:cs="Times New Roman"/>
          <w:color w:val="000000" w:themeColor="text1"/>
          <w:szCs w:val="24"/>
        </w:rPr>
        <w:t>utomotive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0434A">
        <w:rPr>
          <w:rFonts w:cs="Times New Roman"/>
          <w:color w:val="000000" w:themeColor="text1"/>
          <w:szCs w:val="24"/>
        </w:rPr>
        <w:t>c</w:t>
      </w:r>
      <w:r w:rsidRPr="00C317BB" w:rsidR="00BE698E">
        <w:rPr>
          <w:rFonts w:cs="Times New Roman"/>
          <w:color w:val="000000" w:themeColor="text1"/>
          <w:szCs w:val="24"/>
        </w:rPr>
        <w:t>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0434A">
        <w:rPr>
          <w:rFonts w:cs="Times New Roman"/>
          <w:color w:val="000000" w:themeColor="text1"/>
          <w:szCs w:val="24"/>
        </w:rPr>
        <w:t>a</w:t>
      </w:r>
      <w:r w:rsidRPr="00C317BB" w:rsidR="00BE698E">
        <w:rPr>
          <w:rFonts w:cs="Times New Roman"/>
          <w:color w:val="000000" w:themeColor="text1"/>
          <w:szCs w:val="24"/>
        </w:rPr>
        <w:t>sbestos-</w:t>
      </w:r>
      <w:r w:rsidRPr="00C317BB" w:rsidR="00E0434A">
        <w:rPr>
          <w:rFonts w:cs="Times New Roman"/>
          <w:color w:val="000000" w:themeColor="text1"/>
          <w:szCs w:val="24"/>
        </w:rPr>
        <w:t>c</w:t>
      </w:r>
      <w:r w:rsidRPr="00C317BB" w:rsidR="00BE698E">
        <w:rPr>
          <w:rFonts w:cs="Times New Roman"/>
          <w:color w:val="000000" w:themeColor="text1"/>
          <w:szCs w:val="24"/>
        </w:rPr>
        <w:t>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10480">
        <w:rPr>
          <w:rFonts w:cs="Times New Roman"/>
          <w:color w:val="000000" w:themeColor="text1"/>
          <w:szCs w:val="24"/>
        </w:rPr>
        <w:t>b</w:t>
      </w:r>
      <w:r w:rsidRPr="00C317BB" w:rsidR="00BE698E">
        <w:rPr>
          <w:rFonts w:cs="Times New Roman"/>
          <w:color w:val="000000" w:themeColor="text1"/>
          <w:szCs w:val="24"/>
        </w:rPr>
        <w:t>rakes/</w:t>
      </w:r>
      <w:r w:rsidRPr="00C317BB" w:rsidR="00010480">
        <w:rPr>
          <w:rFonts w:cs="Times New Roman"/>
          <w:color w:val="000000" w:themeColor="text1"/>
          <w:szCs w:val="24"/>
        </w:rPr>
        <w:t>l</w:t>
      </w:r>
      <w:r w:rsidRPr="00C317BB" w:rsidR="00BE698E">
        <w:rPr>
          <w:rFonts w:cs="Times New Roman"/>
          <w:color w:val="000000" w:themeColor="text1"/>
          <w:szCs w:val="24"/>
        </w:rPr>
        <w:t>inings</w:t>
      </w:r>
      <w:r w:rsidRPr="00C317BB" w:rsidR="00745944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121BA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523F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523F">
        <w:rPr>
          <w:rFonts w:cs="Times New Roman"/>
          <w:color w:val="000000" w:themeColor="text1"/>
          <w:szCs w:val="24"/>
        </w:rPr>
        <w:t>asbestos-containing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95E6F">
        <w:rPr>
          <w:rFonts w:cs="Times New Roman"/>
          <w:color w:val="000000" w:themeColor="text1"/>
          <w:szCs w:val="24"/>
        </w:rPr>
        <w:t>vehicle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95E6F">
        <w:rPr>
          <w:rFonts w:cs="Times New Roman"/>
          <w:color w:val="000000" w:themeColor="text1"/>
          <w:szCs w:val="24"/>
        </w:rPr>
        <w:t>friction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95E6F">
        <w:rPr>
          <w:rFonts w:cs="Times New Roman"/>
          <w:color w:val="000000" w:themeColor="text1"/>
          <w:szCs w:val="24"/>
        </w:rPr>
        <w:t>products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F3CE5">
        <w:rPr>
          <w:rFonts w:cs="Times New Roman"/>
          <w:color w:val="000000" w:themeColor="text1"/>
          <w:szCs w:val="24"/>
        </w:rPr>
        <w:t>(</w:t>
      </w:r>
      <w:r w:rsidRPr="00C317BB" w:rsidR="00363988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3988">
        <w:rPr>
          <w:rFonts w:cs="Times New Roman"/>
          <w:color w:val="000000" w:themeColor="text1"/>
          <w:szCs w:val="24"/>
        </w:rPr>
        <w:t>including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F3CE5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F3CE5">
        <w:rPr>
          <w:rFonts w:cs="Times New Roman"/>
          <w:color w:val="000000" w:themeColor="text1"/>
          <w:szCs w:val="24"/>
        </w:rPr>
        <w:t>NASA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F3CE5">
        <w:rPr>
          <w:rFonts w:cs="Times New Roman"/>
          <w:color w:val="000000" w:themeColor="text1"/>
          <w:szCs w:val="24"/>
        </w:rPr>
        <w:t>Super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F3CE5">
        <w:rPr>
          <w:rFonts w:cs="Times New Roman"/>
          <w:color w:val="000000" w:themeColor="text1"/>
          <w:szCs w:val="24"/>
        </w:rPr>
        <w:t>Guppy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2664">
        <w:rPr>
          <w:rFonts w:cs="Times New Roman"/>
          <w:color w:val="000000" w:themeColor="text1"/>
          <w:szCs w:val="24"/>
        </w:rPr>
        <w:t>Turbine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978AF">
        <w:rPr>
          <w:rFonts w:cs="Times New Roman"/>
          <w:color w:val="000000" w:themeColor="text1"/>
          <w:szCs w:val="24"/>
        </w:rPr>
        <w:t>aircraft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F3CE5">
        <w:rPr>
          <w:rFonts w:cs="Times New Roman"/>
          <w:color w:val="000000" w:themeColor="text1"/>
          <w:szCs w:val="24"/>
        </w:rPr>
        <w:t>use)</w:t>
      </w:r>
      <w:r w:rsidRPr="00C317BB" w:rsidR="00745944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D7D54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947D2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523F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D7D54">
        <w:rPr>
          <w:rFonts w:cs="Times New Roman"/>
          <w:color w:val="000000" w:themeColor="text1"/>
          <w:szCs w:val="24"/>
        </w:rPr>
        <w:t>a</w:t>
      </w:r>
      <w:r w:rsidRPr="00C317BB" w:rsidR="00BE698E">
        <w:rPr>
          <w:rFonts w:cs="Times New Roman"/>
          <w:color w:val="000000" w:themeColor="text1"/>
          <w:szCs w:val="24"/>
        </w:rPr>
        <w:t>sbestos-</w:t>
      </w:r>
      <w:r w:rsidRPr="00C317BB" w:rsidR="00BB33FC">
        <w:rPr>
          <w:rFonts w:cs="Times New Roman"/>
          <w:color w:val="000000" w:themeColor="text1"/>
          <w:szCs w:val="24"/>
        </w:rPr>
        <w:t>c</w:t>
      </w:r>
      <w:r w:rsidRPr="00C317BB" w:rsidR="00BE698E">
        <w:rPr>
          <w:rFonts w:cs="Times New Roman"/>
          <w:color w:val="000000" w:themeColor="text1"/>
          <w:szCs w:val="24"/>
        </w:rPr>
        <w:t>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B33FC">
        <w:rPr>
          <w:rFonts w:cs="Times New Roman"/>
          <w:color w:val="000000" w:themeColor="text1"/>
          <w:szCs w:val="24"/>
        </w:rPr>
        <w:t>g</w:t>
      </w:r>
      <w:r w:rsidRPr="00C317BB" w:rsidR="00BE698E">
        <w:rPr>
          <w:rFonts w:cs="Times New Roman"/>
          <w:color w:val="000000" w:themeColor="text1"/>
          <w:szCs w:val="24"/>
        </w:rPr>
        <w:t>askets</w:t>
      </w:r>
      <w:r w:rsidRPr="00C317BB" w:rsidR="000E1DAC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1DAC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1DAC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1DAC">
        <w:rPr>
          <w:rFonts w:cs="Times New Roman"/>
          <w:color w:val="000000" w:themeColor="text1"/>
          <w:szCs w:val="24"/>
        </w:rPr>
        <w:t>proposing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1DAC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1DAC">
        <w:rPr>
          <w:rFonts w:cs="Times New Roman"/>
          <w:color w:val="000000" w:themeColor="text1"/>
          <w:szCs w:val="24"/>
        </w:rPr>
        <w:t>these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1DAC">
        <w:rPr>
          <w:rFonts w:cs="Times New Roman"/>
          <w:color w:val="000000" w:themeColor="text1"/>
          <w:szCs w:val="24"/>
        </w:rPr>
        <w:t>prohibitions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1DAC">
        <w:rPr>
          <w:rFonts w:cs="Times New Roman"/>
          <w:color w:val="000000" w:themeColor="text1"/>
          <w:szCs w:val="24"/>
        </w:rPr>
        <w:t>would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1DAC">
        <w:rPr>
          <w:rFonts w:cs="Times New Roman"/>
          <w:color w:val="000000" w:themeColor="text1"/>
          <w:szCs w:val="24"/>
        </w:rPr>
        <w:t>take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1DAC">
        <w:rPr>
          <w:rFonts w:cs="Times New Roman"/>
          <w:color w:val="000000" w:themeColor="text1"/>
          <w:szCs w:val="24"/>
        </w:rPr>
        <w:t>effect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87946">
        <w:rPr>
          <w:rFonts w:cs="Times New Roman"/>
          <w:color w:val="000000" w:themeColor="text1"/>
          <w:szCs w:val="24"/>
        </w:rPr>
        <w:t>180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87946">
        <w:rPr>
          <w:rFonts w:cs="Times New Roman"/>
          <w:color w:val="000000" w:themeColor="text1"/>
          <w:szCs w:val="24"/>
        </w:rPr>
        <w:t>days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B69BC">
        <w:rPr>
          <w:rFonts w:cs="Times New Roman"/>
          <w:color w:val="000000" w:themeColor="text1"/>
          <w:szCs w:val="24"/>
        </w:rPr>
        <w:t>after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B69BC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B69BC">
        <w:rPr>
          <w:rFonts w:cs="Times New Roman"/>
          <w:color w:val="000000" w:themeColor="text1"/>
          <w:szCs w:val="24"/>
        </w:rPr>
        <w:t>effective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B69BC">
        <w:rPr>
          <w:rFonts w:cs="Times New Roman"/>
          <w:color w:val="000000" w:themeColor="text1"/>
          <w:szCs w:val="24"/>
        </w:rPr>
        <w:t>date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B69BC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B69BC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B69BC">
        <w:rPr>
          <w:rFonts w:cs="Times New Roman"/>
          <w:color w:val="000000" w:themeColor="text1"/>
          <w:szCs w:val="24"/>
        </w:rPr>
        <w:t>final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B69BC">
        <w:rPr>
          <w:rFonts w:cs="Times New Roman"/>
          <w:color w:val="000000" w:themeColor="text1"/>
          <w:szCs w:val="24"/>
        </w:rPr>
        <w:t>rule</w:t>
      </w:r>
      <w:r w:rsidRPr="00C317BB" w:rsidR="00E0434A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bookmarkStart w:name="_Hlk87366952" w:id="7"/>
      <w:r w:rsidRPr="00C317BB" w:rsidR="004C694F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C694F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C694F">
        <w:rPr>
          <w:rFonts w:cs="Times New Roman"/>
          <w:color w:val="000000" w:themeColor="text1"/>
          <w:szCs w:val="24"/>
        </w:rPr>
        <w:t>further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C694F">
        <w:rPr>
          <w:rFonts w:cs="Times New Roman"/>
          <w:color w:val="000000" w:themeColor="text1"/>
          <w:szCs w:val="24"/>
        </w:rPr>
        <w:t>proposing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C694F">
        <w:rPr>
          <w:rFonts w:cs="Times New Roman"/>
          <w:color w:val="000000" w:themeColor="text1"/>
          <w:szCs w:val="24"/>
        </w:rPr>
        <w:t>pursuant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C694F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C694F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C694F">
        <w:rPr>
          <w:rFonts w:cs="Times New Roman"/>
          <w:color w:val="000000" w:themeColor="text1"/>
          <w:szCs w:val="24"/>
        </w:rPr>
        <w:t>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C694F">
        <w:rPr>
          <w:rFonts w:cs="Times New Roman"/>
          <w:color w:val="000000" w:themeColor="text1"/>
          <w:szCs w:val="24"/>
        </w:rPr>
        <w:t>6(a)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C694F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C694F">
        <w:rPr>
          <w:rFonts w:cs="Times New Roman"/>
          <w:color w:val="000000" w:themeColor="text1"/>
          <w:szCs w:val="24"/>
        </w:rPr>
        <w:t>prohibit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C694F">
        <w:rPr>
          <w:rFonts w:cs="Times New Roman"/>
          <w:color w:val="000000" w:themeColor="text1"/>
          <w:szCs w:val="24"/>
        </w:rPr>
        <w:t>manufacture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23EE6">
        <w:rPr>
          <w:rFonts w:cs="Times New Roman"/>
          <w:color w:val="000000" w:themeColor="text1"/>
          <w:szCs w:val="24"/>
        </w:rPr>
        <w:t>(including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23EE6">
        <w:rPr>
          <w:rFonts w:cs="Times New Roman"/>
          <w:color w:val="000000" w:themeColor="text1"/>
          <w:szCs w:val="24"/>
        </w:rPr>
        <w:t>import)</w:t>
      </w:r>
      <w:r w:rsidRPr="00C317BB" w:rsidR="004C694F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C694F">
        <w:rPr>
          <w:rFonts w:cs="Times New Roman"/>
          <w:color w:val="000000" w:themeColor="text1"/>
          <w:szCs w:val="24"/>
        </w:rPr>
        <w:t>processing,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C694F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C694F">
        <w:rPr>
          <w:rFonts w:cs="Times New Roman"/>
          <w:color w:val="000000" w:themeColor="text1"/>
          <w:szCs w:val="24"/>
        </w:rPr>
        <w:t>distribution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C694F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C694F">
        <w:rPr>
          <w:rFonts w:cs="Times New Roman"/>
          <w:color w:val="000000" w:themeColor="text1"/>
          <w:szCs w:val="24"/>
        </w:rPr>
        <w:t>commerce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C694F">
        <w:rPr>
          <w:rFonts w:cs="Times New Roman"/>
          <w:color w:val="000000" w:themeColor="text1"/>
          <w:szCs w:val="24"/>
        </w:rPr>
        <w:t>of: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C694F">
        <w:rPr>
          <w:rFonts w:cs="Times New Roman"/>
          <w:color w:val="000000" w:themeColor="text1"/>
          <w:szCs w:val="24"/>
        </w:rPr>
        <w:t>aftermarket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C694F">
        <w:rPr>
          <w:rFonts w:cs="Times New Roman"/>
          <w:color w:val="000000" w:themeColor="text1"/>
          <w:szCs w:val="24"/>
        </w:rPr>
        <w:t>automotive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C694F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C694F">
        <w:rPr>
          <w:rFonts w:cs="Times New Roman"/>
          <w:color w:val="000000" w:themeColor="text1"/>
          <w:szCs w:val="24"/>
        </w:rPr>
        <w:t>asbestos-containing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C694F">
        <w:rPr>
          <w:rFonts w:cs="Times New Roman"/>
          <w:color w:val="000000" w:themeColor="text1"/>
          <w:szCs w:val="24"/>
        </w:rPr>
        <w:t>brakes/linings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3F13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3F13">
        <w:rPr>
          <w:rFonts w:cs="Times New Roman"/>
          <w:color w:val="000000" w:themeColor="text1"/>
          <w:szCs w:val="24"/>
        </w:rPr>
        <w:t>consumer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3F13">
        <w:rPr>
          <w:rFonts w:cs="Times New Roman"/>
          <w:color w:val="000000" w:themeColor="text1"/>
          <w:szCs w:val="24"/>
        </w:rPr>
        <w:t>use</w:t>
      </w:r>
      <w:r w:rsidRPr="00C317BB" w:rsidR="004C694F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C694F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C694F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C694F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C694F">
        <w:rPr>
          <w:rFonts w:cs="Times New Roman"/>
          <w:color w:val="000000" w:themeColor="text1"/>
          <w:szCs w:val="24"/>
        </w:rPr>
        <w:t>asbestos-containing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C694F">
        <w:rPr>
          <w:rFonts w:cs="Times New Roman"/>
          <w:color w:val="000000" w:themeColor="text1"/>
          <w:szCs w:val="24"/>
        </w:rPr>
        <w:t>gaskets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3F13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3F13">
        <w:rPr>
          <w:rFonts w:cs="Times New Roman"/>
          <w:color w:val="000000" w:themeColor="text1"/>
          <w:szCs w:val="24"/>
        </w:rPr>
        <w:t>consumer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3F13">
        <w:rPr>
          <w:rFonts w:cs="Times New Roman"/>
          <w:color w:val="000000" w:themeColor="text1"/>
          <w:szCs w:val="24"/>
        </w:rPr>
        <w:t>use</w:t>
      </w:r>
      <w:r w:rsidRPr="00C317BB" w:rsidR="001C7B4A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C7B4A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C7B4A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C7B4A">
        <w:rPr>
          <w:rFonts w:cs="Times New Roman"/>
          <w:color w:val="000000" w:themeColor="text1"/>
          <w:szCs w:val="24"/>
        </w:rPr>
        <w:t>proposing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C7B4A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C7B4A">
        <w:rPr>
          <w:rFonts w:cs="Times New Roman"/>
          <w:color w:val="000000" w:themeColor="text1"/>
          <w:szCs w:val="24"/>
        </w:rPr>
        <w:t>these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C7B4A">
        <w:rPr>
          <w:rFonts w:cs="Times New Roman"/>
          <w:color w:val="000000" w:themeColor="text1"/>
          <w:szCs w:val="24"/>
        </w:rPr>
        <w:t>prohibitions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C7B4A">
        <w:rPr>
          <w:rFonts w:cs="Times New Roman"/>
          <w:color w:val="000000" w:themeColor="text1"/>
          <w:szCs w:val="24"/>
        </w:rPr>
        <w:t>would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C7B4A">
        <w:rPr>
          <w:rFonts w:cs="Times New Roman"/>
          <w:color w:val="000000" w:themeColor="text1"/>
          <w:szCs w:val="24"/>
        </w:rPr>
        <w:t>take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C7B4A">
        <w:rPr>
          <w:rFonts w:cs="Times New Roman"/>
          <w:color w:val="000000" w:themeColor="text1"/>
          <w:szCs w:val="24"/>
        </w:rPr>
        <w:t>effect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C694F">
        <w:rPr>
          <w:rFonts w:cs="Times New Roman"/>
          <w:color w:val="000000" w:themeColor="text1"/>
          <w:szCs w:val="24"/>
        </w:rPr>
        <w:t>180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C694F">
        <w:rPr>
          <w:rFonts w:cs="Times New Roman"/>
          <w:color w:val="000000" w:themeColor="text1"/>
          <w:szCs w:val="24"/>
        </w:rPr>
        <w:t>days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C7B4A">
        <w:rPr>
          <w:rFonts w:cs="Times New Roman"/>
          <w:color w:val="000000" w:themeColor="text1"/>
          <w:szCs w:val="24"/>
        </w:rPr>
        <w:t>after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C7B4A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C7B4A">
        <w:rPr>
          <w:rFonts w:cs="Times New Roman"/>
          <w:color w:val="000000" w:themeColor="text1"/>
          <w:szCs w:val="24"/>
        </w:rPr>
        <w:t>effective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C7B4A">
        <w:rPr>
          <w:rFonts w:cs="Times New Roman"/>
          <w:color w:val="000000" w:themeColor="text1"/>
          <w:szCs w:val="24"/>
        </w:rPr>
        <w:t>date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C7B4A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C7B4A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C7B4A">
        <w:rPr>
          <w:rFonts w:cs="Times New Roman"/>
          <w:color w:val="000000" w:themeColor="text1"/>
          <w:szCs w:val="24"/>
        </w:rPr>
        <w:t>final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C7B4A">
        <w:rPr>
          <w:rFonts w:cs="Times New Roman"/>
          <w:color w:val="000000" w:themeColor="text1"/>
          <w:szCs w:val="24"/>
        </w:rPr>
        <w:t>rule.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bookmarkEnd w:id="7"/>
      <w:r w:rsidRPr="00C317BB" w:rsidR="00BB33FC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B33FC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B33FC">
        <w:rPr>
          <w:rFonts w:cs="Times New Roman"/>
          <w:color w:val="000000" w:themeColor="text1"/>
          <w:szCs w:val="24"/>
        </w:rPr>
        <w:t>also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B33FC">
        <w:rPr>
          <w:rFonts w:cs="Times New Roman"/>
          <w:color w:val="000000" w:themeColor="text1"/>
          <w:szCs w:val="24"/>
        </w:rPr>
        <w:t>proposing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E698E">
        <w:rPr>
          <w:rFonts w:cs="Times New Roman"/>
          <w:color w:val="000000" w:themeColor="text1"/>
          <w:szCs w:val="24"/>
        </w:rPr>
        <w:t>disposal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B33FC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B33FC">
        <w:rPr>
          <w:rFonts w:cs="Times New Roman"/>
          <w:color w:val="000000" w:themeColor="text1"/>
          <w:szCs w:val="24"/>
        </w:rPr>
        <w:t>recordkeeping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E698E">
        <w:rPr>
          <w:rFonts w:cs="Times New Roman"/>
          <w:color w:val="000000" w:themeColor="text1"/>
          <w:szCs w:val="24"/>
        </w:rPr>
        <w:t>requirements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006CC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006CC">
        <w:rPr>
          <w:rFonts w:cs="Times New Roman"/>
          <w:color w:val="000000" w:themeColor="text1"/>
          <w:szCs w:val="24"/>
        </w:rPr>
        <w:t>which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006CC">
        <w:rPr>
          <w:rFonts w:cs="Times New Roman"/>
          <w:color w:val="000000" w:themeColor="text1"/>
          <w:szCs w:val="24"/>
        </w:rPr>
        <w:t>regulated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006CC">
        <w:rPr>
          <w:rFonts w:cs="Times New Roman"/>
          <w:color w:val="000000" w:themeColor="text1"/>
          <w:szCs w:val="24"/>
        </w:rPr>
        <w:t>parties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006CC">
        <w:rPr>
          <w:rFonts w:cs="Times New Roman"/>
          <w:color w:val="000000" w:themeColor="text1"/>
          <w:szCs w:val="24"/>
        </w:rPr>
        <w:t>would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006CC">
        <w:rPr>
          <w:rFonts w:cs="Times New Roman"/>
          <w:color w:val="000000" w:themeColor="text1"/>
          <w:szCs w:val="24"/>
        </w:rPr>
        <w:t>document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006CC">
        <w:rPr>
          <w:rFonts w:cs="Times New Roman"/>
          <w:color w:val="000000" w:themeColor="text1"/>
          <w:szCs w:val="24"/>
        </w:rPr>
        <w:t>compliance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006CC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A5C84">
        <w:rPr>
          <w:rFonts w:cs="Times New Roman"/>
          <w:color w:val="000000" w:themeColor="text1"/>
          <w:szCs w:val="24"/>
        </w:rPr>
        <w:t>certain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006CC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006CC">
        <w:rPr>
          <w:rFonts w:cs="Times New Roman"/>
          <w:color w:val="000000" w:themeColor="text1"/>
          <w:szCs w:val="24"/>
        </w:rPr>
        <w:t>prohibitions</w:t>
      </w:r>
      <w:r w:rsidRPr="00C317BB" w:rsidR="003A5C84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A5C84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A5C84">
        <w:rPr>
          <w:rFonts w:cs="Times New Roman"/>
          <w:color w:val="000000" w:themeColor="text1"/>
          <w:szCs w:val="24"/>
        </w:rPr>
        <w:t>does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A5C84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A5C84">
        <w:rPr>
          <w:rFonts w:cs="Times New Roman"/>
          <w:color w:val="000000" w:themeColor="text1"/>
          <w:szCs w:val="24"/>
        </w:rPr>
        <w:t>intend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A5C84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A5C84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A5C84">
        <w:rPr>
          <w:rFonts w:cs="Times New Roman"/>
          <w:color w:val="000000" w:themeColor="text1"/>
          <w:szCs w:val="24"/>
        </w:rPr>
        <w:t>prohibitions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A5C84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A5C84">
        <w:rPr>
          <w:rFonts w:cs="Times New Roman"/>
          <w:color w:val="000000" w:themeColor="text1"/>
          <w:szCs w:val="24"/>
        </w:rPr>
        <w:t>processing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A5C84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A5C84">
        <w:rPr>
          <w:rFonts w:cs="Times New Roman"/>
          <w:color w:val="000000" w:themeColor="text1"/>
          <w:szCs w:val="24"/>
        </w:rPr>
        <w:t>distribution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A5C84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A5C84">
        <w:rPr>
          <w:rFonts w:cs="Times New Roman"/>
          <w:color w:val="000000" w:themeColor="text1"/>
          <w:szCs w:val="24"/>
        </w:rPr>
        <w:t>commerce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A5C84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A5C84">
        <w:rPr>
          <w:rFonts w:cs="Times New Roman"/>
          <w:color w:val="000000" w:themeColor="text1"/>
          <w:szCs w:val="24"/>
        </w:rPr>
        <w:t>prohibit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A5C84">
        <w:rPr>
          <w:rFonts w:cs="Times New Roman"/>
          <w:color w:val="000000" w:themeColor="text1"/>
          <w:szCs w:val="24"/>
        </w:rPr>
        <w:t>any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A5C84">
        <w:rPr>
          <w:rFonts w:cs="Times New Roman"/>
          <w:color w:val="000000" w:themeColor="text1"/>
          <w:szCs w:val="24"/>
        </w:rPr>
        <w:t>processing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A5C84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A5C84">
        <w:rPr>
          <w:rFonts w:cs="Times New Roman"/>
          <w:color w:val="000000" w:themeColor="text1"/>
          <w:szCs w:val="24"/>
        </w:rPr>
        <w:t>distribution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A5C84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A5C84">
        <w:rPr>
          <w:rFonts w:cs="Times New Roman"/>
          <w:color w:val="000000" w:themeColor="text1"/>
          <w:szCs w:val="24"/>
        </w:rPr>
        <w:t>commerce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A5C84">
        <w:rPr>
          <w:rFonts w:cs="Times New Roman"/>
          <w:color w:val="000000" w:themeColor="text1"/>
          <w:szCs w:val="24"/>
        </w:rPr>
        <w:t>incidental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A5C84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A5C84">
        <w:rPr>
          <w:rFonts w:cs="Times New Roman"/>
          <w:color w:val="000000" w:themeColor="text1"/>
          <w:szCs w:val="24"/>
        </w:rPr>
        <w:t>disposal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A5C84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A5C84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A5C84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A5C84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A5C84">
        <w:rPr>
          <w:rFonts w:cs="Times New Roman"/>
          <w:color w:val="000000" w:themeColor="text1"/>
          <w:szCs w:val="24"/>
        </w:rPr>
        <w:t>waste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A5C84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A5C84">
        <w:rPr>
          <w:rFonts w:cs="Times New Roman"/>
          <w:color w:val="000000" w:themeColor="text1"/>
          <w:szCs w:val="24"/>
        </w:rPr>
        <w:t>accordance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A5C84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A5C84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A5C84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A5C84">
        <w:rPr>
          <w:rFonts w:cs="Times New Roman"/>
          <w:color w:val="000000" w:themeColor="text1"/>
          <w:szCs w:val="24"/>
        </w:rPr>
        <w:t>requirements.</w:t>
      </w:r>
    </w:p>
    <w:p w:rsidRPr="00C317BB" w:rsidR="00F9727E" w:rsidP="00F27167" w:rsidRDefault="000B23EE" w14:paraId="75641CF2" w14:textId="77777777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requesting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public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comment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proposal.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58051A" w:rsidP="00F27167" w:rsidRDefault="0058051A" w14:paraId="2C7B984B" w14:textId="0CF6FD7D">
      <w:pPr>
        <w:pStyle w:val="Heading2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D.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Why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E1003">
        <w:rPr>
          <w:rFonts w:cs="Times New Roman"/>
          <w:color w:val="000000" w:themeColor="text1"/>
          <w:szCs w:val="24"/>
        </w:rPr>
        <w:t>Agency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taking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action?</w:t>
      </w:r>
    </w:p>
    <w:p w:rsidRPr="00C317BB" w:rsidR="00D65E25" w:rsidP="00F27167" w:rsidRDefault="001E7789" w14:paraId="0468E974" w14:textId="2D9C1B6E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2CE7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2CE7">
        <w:rPr>
          <w:rFonts w:cs="Times New Roman"/>
          <w:color w:val="000000" w:themeColor="text1"/>
          <w:szCs w:val="24"/>
        </w:rPr>
        <w:t>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2CE7">
        <w:rPr>
          <w:rFonts w:cs="Times New Roman"/>
          <w:color w:val="000000" w:themeColor="text1"/>
          <w:szCs w:val="24"/>
        </w:rPr>
        <w:t>6(a)</w:t>
      </w:r>
      <w:r w:rsidRPr="00C317BB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“[</w:t>
      </w:r>
      <w:proofErr w:type="spellStart"/>
      <w:r w:rsidRPr="00C317BB">
        <w:rPr>
          <w:rFonts w:cs="Times New Roman"/>
          <w:color w:val="000000" w:themeColor="text1"/>
          <w:szCs w:val="24"/>
        </w:rPr>
        <w:t>i</w:t>
      </w:r>
      <w:proofErr w:type="spellEnd"/>
      <w:r w:rsidRPr="00C317BB">
        <w:rPr>
          <w:rFonts w:cs="Times New Roman"/>
          <w:color w:val="000000" w:themeColor="text1"/>
          <w:szCs w:val="24"/>
        </w:rPr>
        <w:t>]</w:t>
      </w:r>
      <w:r w:rsidRPr="00C317BB" w:rsidR="000F2CE7">
        <w:rPr>
          <w:rFonts w:cs="Times New Roman"/>
          <w:color w:val="000000" w:themeColor="text1"/>
          <w:szCs w:val="24"/>
        </w:rPr>
        <w:t>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2CE7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2CE7">
        <w:rPr>
          <w:rFonts w:cs="Times New Roman"/>
          <w:color w:val="000000" w:themeColor="text1"/>
          <w:szCs w:val="24"/>
        </w:rPr>
        <w:t>Administrator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2CE7">
        <w:rPr>
          <w:rFonts w:cs="Times New Roman"/>
          <w:color w:val="000000" w:themeColor="text1"/>
          <w:szCs w:val="24"/>
        </w:rPr>
        <w:t>determines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2CE7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2CE7">
        <w:rPr>
          <w:rFonts w:cs="Times New Roman"/>
          <w:color w:val="000000" w:themeColor="text1"/>
          <w:szCs w:val="24"/>
        </w:rPr>
        <w:t>accordance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2CE7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2CE7">
        <w:rPr>
          <w:rFonts w:cs="Times New Roman"/>
          <w:color w:val="000000" w:themeColor="text1"/>
          <w:szCs w:val="24"/>
        </w:rPr>
        <w:t>subsection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2CE7">
        <w:rPr>
          <w:rFonts w:cs="Times New Roman"/>
          <w:color w:val="000000" w:themeColor="text1"/>
          <w:szCs w:val="24"/>
        </w:rPr>
        <w:t>(b)(4)(A)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2CE7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2CE7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2CE7">
        <w:rPr>
          <w:rFonts w:cs="Times New Roman"/>
          <w:color w:val="000000" w:themeColor="text1"/>
          <w:szCs w:val="24"/>
        </w:rPr>
        <w:t>manufacture,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2CE7">
        <w:rPr>
          <w:rFonts w:cs="Times New Roman"/>
          <w:color w:val="000000" w:themeColor="text1"/>
          <w:szCs w:val="24"/>
        </w:rPr>
        <w:t>processing,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2CE7">
        <w:rPr>
          <w:rFonts w:cs="Times New Roman"/>
          <w:color w:val="000000" w:themeColor="text1"/>
          <w:szCs w:val="24"/>
        </w:rPr>
        <w:t>distribution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2CE7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2CE7">
        <w:rPr>
          <w:rFonts w:cs="Times New Roman"/>
          <w:color w:val="000000" w:themeColor="text1"/>
          <w:szCs w:val="24"/>
        </w:rPr>
        <w:t>commerce,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2CE7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2CE7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2CE7">
        <w:rPr>
          <w:rFonts w:cs="Times New Roman"/>
          <w:color w:val="000000" w:themeColor="text1"/>
          <w:szCs w:val="24"/>
        </w:rPr>
        <w:t>disposal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2CE7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2CE7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2CE7">
        <w:rPr>
          <w:rFonts w:cs="Times New Roman"/>
          <w:color w:val="000000" w:themeColor="text1"/>
          <w:szCs w:val="24"/>
        </w:rPr>
        <w:t>chemical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2CE7">
        <w:rPr>
          <w:rFonts w:cs="Times New Roman"/>
          <w:color w:val="000000" w:themeColor="text1"/>
          <w:szCs w:val="24"/>
        </w:rPr>
        <w:t>substance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2CE7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2CE7">
        <w:rPr>
          <w:rFonts w:cs="Times New Roman"/>
          <w:color w:val="000000" w:themeColor="text1"/>
          <w:szCs w:val="24"/>
        </w:rPr>
        <w:t>mixture,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2CE7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2CE7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2CE7">
        <w:rPr>
          <w:rFonts w:cs="Times New Roman"/>
          <w:color w:val="000000" w:themeColor="text1"/>
          <w:szCs w:val="24"/>
        </w:rPr>
        <w:t>any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2CE7">
        <w:rPr>
          <w:rFonts w:cs="Times New Roman"/>
          <w:color w:val="000000" w:themeColor="text1"/>
          <w:szCs w:val="24"/>
        </w:rPr>
        <w:t>combination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2CE7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2CE7">
        <w:rPr>
          <w:rFonts w:cs="Times New Roman"/>
          <w:color w:val="000000" w:themeColor="text1"/>
          <w:szCs w:val="24"/>
        </w:rPr>
        <w:t>such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2CE7">
        <w:rPr>
          <w:rFonts w:cs="Times New Roman"/>
          <w:color w:val="000000" w:themeColor="text1"/>
          <w:szCs w:val="24"/>
        </w:rPr>
        <w:t>activities,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2CE7">
        <w:rPr>
          <w:rFonts w:cs="Times New Roman"/>
          <w:color w:val="000000" w:themeColor="text1"/>
          <w:szCs w:val="24"/>
        </w:rPr>
        <w:t>presents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2CE7">
        <w:rPr>
          <w:rFonts w:cs="Times New Roman"/>
          <w:color w:val="000000" w:themeColor="text1"/>
          <w:szCs w:val="24"/>
        </w:rPr>
        <w:t>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2CE7">
        <w:rPr>
          <w:rFonts w:cs="Times New Roman"/>
          <w:color w:val="000000" w:themeColor="text1"/>
          <w:szCs w:val="24"/>
        </w:rPr>
        <w:t>unreasonable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2CE7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2CE7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2CE7">
        <w:rPr>
          <w:rFonts w:cs="Times New Roman"/>
          <w:color w:val="000000" w:themeColor="text1"/>
          <w:szCs w:val="24"/>
        </w:rPr>
        <w:t>injury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2CE7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2CE7">
        <w:rPr>
          <w:rFonts w:cs="Times New Roman"/>
          <w:color w:val="000000" w:themeColor="text1"/>
          <w:szCs w:val="24"/>
        </w:rPr>
        <w:t>health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2CE7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2CE7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2CE7">
        <w:rPr>
          <w:rFonts w:cs="Times New Roman"/>
          <w:color w:val="000000" w:themeColor="text1"/>
          <w:szCs w:val="24"/>
        </w:rPr>
        <w:t>environment,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2CE7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2CE7">
        <w:rPr>
          <w:rFonts w:cs="Times New Roman"/>
          <w:color w:val="000000" w:themeColor="text1"/>
          <w:szCs w:val="24"/>
        </w:rPr>
        <w:t>Administrator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2CE7">
        <w:rPr>
          <w:rFonts w:cs="Times New Roman"/>
          <w:color w:val="000000" w:themeColor="text1"/>
          <w:szCs w:val="24"/>
        </w:rPr>
        <w:t>shall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2CE7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2CE7">
        <w:rPr>
          <w:rFonts w:cs="Times New Roman"/>
          <w:color w:val="000000" w:themeColor="text1"/>
          <w:szCs w:val="24"/>
        </w:rPr>
        <w:t>rule…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2CE7">
        <w:rPr>
          <w:rFonts w:cs="Times New Roman"/>
          <w:color w:val="000000" w:themeColor="text1"/>
          <w:szCs w:val="24"/>
        </w:rPr>
        <w:t>apply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2CE7">
        <w:rPr>
          <w:rFonts w:cs="Times New Roman"/>
          <w:color w:val="000000" w:themeColor="text1"/>
          <w:szCs w:val="24"/>
        </w:rPr>
        <w:t>one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2CE7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2CE7">
        <w:rPr>
          <w:rFonts w:cs="Times New Roman"/>
          <w:color w:val="000000" w:themeColor="text1"/>
          <w:szCs w:val="24"/>
        </w:rPr>
        <w:t>more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2CE7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2CE7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2CE7">
        <w:rPr>
          <w:rFonts w:cs="Times New Roman"/>
          <w:color w:val="000000" w:themeColor="text1"/>
          <w:szCs w:val="24"/>
        </w:rPr>
        <w:t>[section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2CE7">
        <w:rPr>
          <w:rFonts w:cs="Times New Roman"/>
          <w:color w:val="000000" w:themeColor="text1"/>
          <w:szCs w:val="24"/>
        </w:rPr>
        <w:t>6(a)]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2CE7">
        <w:rPr>
          <w:rFonts w:cs="Times New Roman"/>
          <w:color w:val="000000" w:themeColor="text1"/>
          <w:szCs w:val="24"/>
        </w:rPr>
        <w:t>requirements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2CE7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2CE7">
        <w:rPr>
          <w:rFonts w:cs="Times New Roman"/>
          <w:color w:val="000000" w:themeColor="text1"/>
          <w:szCs w:val="24"/>
        </w:rPr>
        <w:t>such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2CE7">
        <w:rPr>
          <w:rFonts w:cs="Times New Roman"/>
          <w:color w:val="000000" w:themeColor="text1"/>
          <w:szCs w:val="24"/>
        </w:rPr>
        <w:t>substance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2CE7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2CE7">
        <w:rPr>
          <w:rFonts w:cs="Times New Roman"/>
          <w:color w:val="000000" w:themeColor="text1"/>
          <w:szCs w:val="24"/>
        </w:rPr>
        <w:t>mixture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2CE7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2CE7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2CE7">
        <w:rPr>
          <w:rFonts w:cs="Times New Roman"/>
          <w:color w:val="000000" w:themeColor="text1"/>
          <w:szCs w:val="24"/>
        </w:rPr>
        <w:t>extent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2CE7">
        <w:rPr>
          <w:rFonts w:cs="Times New Roman"/>
          <w:color w:val="000000" w:themeColor="text1"/>
          <w:szCs w:val="24"/>
        </w:rPr>
        <w:t>necessary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2CE7">
        <w:rPr>
          <w:rFonts w:cs="Times New Roman"/>
          <w:color w:val="000000" w:themeColor="text1"/>
          <w:szCs w:val="24"/>
        </w:rPr>
        <w:t>so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2CE7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2CE7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2CE7">
        <w:rPr>
          <w:rFonts w:cs="Times New Roman"/>
          <w:color w:val="000000" w:themeColor="text1"/>
          <w:szCs w:val="24"/>
        </w:rPr>
        <w:t>chemical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2CE7">
        <w:rPr>
          <w:rFonts w:cs="Times New Roman"/>
          <w:color w:val="000000" w:themeColor="text1"/>
          <w:szCs w:val="24"/>
        </w:rPr>
        <w:t>substance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2CE7">
        <w:rPr>
          <w:rFonts w:cs="Times New Roman"/>
          <w:color w:val="000000" w:themeColor="text1"/>
          <w:szCs w:val="24"/>
        </w:rPr>
        <w:t>no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2CE7">
        <w:rPr>
          <w:rFonts w:cs="Times New Roman"/>
          <w:color w:val="000000" w:themeColor="text1"/>
          <w:szCs w:val="24"/>
        </w:rPr>
        <w:t>longer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2CE7">
        <w:rPr>
          <w:rFonts w:cs="Times New Roman"/>
          <w:color w:val="000000" w:themeColor="text1"/>
          <w:szCs w:val="24"/>
        </w:rPr>
        <w:t>presents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2CE7">
        <w:rPr>
          <w:rFonts w:cs="Times New Roman"/>
          <w:color w:val="000000" w:themeColor="text1"/>
          <w:szCs w:val="24"/>
        </w:rPr>
        <w:t>such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2CE7">
        <w:rPr>
          <w:rFonts w:cs="Times New Roman"/>
          <w:color w:val="000000" w:themeColor="text1"/>
          <w:szCs w:val="24"/>
        </w:rPr>
        <w:t>risk.</w:t>
      </w:r>
      <w:r w:rsidRPr="00C317BB">
        <w:rPr>
          <w:rFonts w:cs="Times New Roman"/>
          <w:color w:val="000000" w:themeColor="text1"/>
          <w:szCs w:val="24"/>
        </w:rPr>
        <w:t>”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2CE7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2CE7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2CE7">
        <w:rPr>
          <w:rFonts w:cs="Times New Roman"/>
          <w:color w:val="000000" w:themeColor="text1"/>
          <w:szCs w:val="24"/>
        </w:rPr>
        <w:t>was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2CE7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2CE7">
        <w:rPr>
          <w:rFonts w:cs="Times New Roman"/>
          <w:color w:val="000000" w:themeColor="text1"/>
          <w:szCs w:val="24"/>
        </w:rPr>
        <w:t>subject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2CE7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2CE7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2CE7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2CE7">
        <w:rPr>
          <w:rFonts w:cs="Times New Roman"/>
          <w:color w:val="000000" w:themeColor="text1"/>
          <w:szCs w:val="24"/>
        </w:rPr>
        <w:t>evaluation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2CE7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2CE7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2CE7">
        <w:rPr>
          <w:rFonts w:cs="Times New Roman"/>
          <w:color w:val="000000" w:themeColor="text1"/>
          <w:szCs w:val="24"/>
        </w:rPr>
        <w:t>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2CE7">
        <w:rPr>
          <w:rFonts w:cs="Times New Roman"/>
          <w:color w:val="000000" w:themeColor="text1"/>
          <w:szCs w:val="24"/>
        </w:rPr>
        <w:t>6(b)(4)(A)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2CE7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2CE7">
        <w:rPr>
          <w:rFonts w:cs="Times New Roman"/>
          <w:color w:val="000000" w:themeColor="text1"/>
          <w:szCs w:val="24"/>
        </w:rPr>
        <w:t>was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2CE7">
        <w:rPr>
          <w:rFonts w:cs="Times New Roman"/>
          <w:color w:val="000000" w:themeColor="text1"/>
          <w:szCs w:val="24"/>
        </w:rPr>
        <w:t>issued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2CE7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2CE7">
        <w:rPr>
          <w:rFonts w:cs="Times New Roman"/>
          <w:color w:val="000000" w:themeColor="text1"/>
          <w:szCs w:val="24"/>
        </w:rPr>
        <w:t>December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2CE7">
        <w:rPr>
          <w:rFonts w:cs="Times New Roman"/>
          <w:color w:val="000000" w:themeColor="text1"/>
          <w:szCs w:val="24"/>
        </w:rPr>
        <w:t>2020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2CE7">
        <w:rPr>
          <w:rFonts w:cs="Times New Roman"/>
          <w:color w:val="000000" w:themeColor="text1"/>
          <w:szCs w:val="24"/>
        </w:rPr>
        <w:t>(Ref</w:t>
      </w:r>
      <w:r w:rsidRPr="00C317BB" w:rsidR="008F4ADE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3725">
        <w:rPr>
          <w:rFonts w:cs="Times New Roman"/>
          <w:color w:val="000000" w:themeColor="text1"/>
          <w:szCs w:val="24"/>
        </w:rPr>
        <w:t>1).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</w:t>
      </w:r>
      <w:r w:rsidRPr="00C317BB" w:rsidR="000F2CE7">
        <w:rPr>
          <w:rFonts w:cs="Times New Roman"/>
          <w:color w:val="000000" w:themeColor="text1"/>
          <w:szCs w:val="24"/>
        </w:rPr>
        <w:t>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7321C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7321C">
        <w:rPr>
          <w:rFonts w:cs="Times New Roman"/>
          <w:color w:val="000000" w:themeColor="text1"/>
          <w:szCs w:val="24"/>
        </w:rPr>
        <w:t>evaluation</w:t>
      </w:r>
      <w:r w:rsidRPr="00C317BB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2CE7">
        <w:rPr>
          <w:rFonts w:cs="Times New Roman"/>
          <w:color w:val="000000" w:themeColor="text1"/>
          <w:szCs w:val="24"/>
        </w:rPr>
        <w:t>determined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2CE7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2CE7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2CE7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2CE7">
        <w:rPr>
          <w:rFonts w:cs="Times New Roman"/>
          <w:color w:val="000000" w:themeColor="text1"/>
          <w:szCs w:val="24"/>
        </w:rPr>
        <w:t>presents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2CE7">
        <w:rPr>
          <w:rFonts w:cs="Times New Roman"/>
          <w:color w:val="000000" w:themeColor="text1"/>
          <w:szCs w:val="24"/>
        </w:rPr>
        <w:t>unreasonable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2CE7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F4ADE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F4ADE">
        <w:rPr>
          <w:rFonts w:cs="Times New Roman"/>
          <w:color w:val="000000" w:themeColor="text1"/>
          <w:szCs w:val="24"/>
        </w:rPr>
        <w:t>injury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2CE7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7321C">
        <w:rPr>
          <w:rFonts w:cs="Times New Roman"/>
          <w:color w:val="000000" w:themeColor="text1"/>
          <w:szCs w:val="24"/>
        </w:rPr>
        <w:t>health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F4ADE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7321C">
        <w:rPr>
          <w:rFonts w:cs="Times New Roman"/>
          <w:color w:val="000000" w:themeColor="text1"/>
          <w:szCs w:val="24"/>
        </w:rPr>
        <w:t>certain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7321C">
        <w:rPr>
          <w:rFonts w:cs="Times New Roman"/>
          <w:color w:val="000000" w:themeColor="text1"/>
          <w:szCs w:val="24"/>
        </w:rPr>
        <w:t>conditions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7321C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7321C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7321C">
        <w:rPr>
          <w:rFonts w:cs="Times New Roman"/>
          <w:color w:val="000000" w:themeColor="text1"/>
          <w:szCs w:val="24"/>
        </w:rPr>
        <w:t>evaluated</w:t>
      </w:r>
      <w:r w:rsidRPr="00C317BB" w:rsidR="000F2CE7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2CE7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2CE7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2CE7">
        <w:rPr>
          <w:rFonts w:cs="Times New Roman"/>
          <w:color w:val="000000" w:themeColor="text1"/>
          <w:szCs w:val="24"/>
        </w:rPr>
        <w:t>result,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2CE7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2CE7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2CE7">
        <w:rPr>
          <w:rFonts w:cs="Times New Roman"/>
          <w:color w:val="000000" w:themeColor="text1"/>
          <w:szCs w:val="24"/>
        </w:rPr>
        <w:t>proposing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2CE7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2CE7">
        <w:rPr>
          <w:rFonts w:cs="Times New Roman"/>
          <w:color w:val="000000" w:themeColor="text1"/>
          <w:szCs w:val="24"/>
        </w:rPr>
        <w:t>take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2CE7">
        <w:rPr>
          <w:rFonts w:cs="Times New Roman"/>
          <w:color w:val="000000" w:themeColor="text1"/>
          <w:szCs w:val="24"/>
        </w:rPr>
        <w:t>action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2CE7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819FF">
        <w:rPr>
          <w:rFonts w:cs="Times New Roman"/>
          <w:color w:val="000000" w:themeColor="text1"/>
          <w:szCs w:val="24"/>
        </w:rPr>
        <w:t>ensure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819FF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C23F7">
        <w:rPr>
          <w:rFonts w:cs="Times New Roman"/>
          <w:color w:val="000000" w:themeColor="text1"/>
          <w:szCs w:val="24"/>
        </w:rPr>
        <w:t>c</w:t>
      </w:r>
      <w:r w:rsidRPr="00C317BB" w:rsidR="00E819FF">
        <w:rPr>
          <w:rFonts w:cs="Times New Roman"/>
          <w:color w:val="000000" w:themeColor="text1"/>
          <w:szCs w:val="24"/>
        </w:rPr>
        <w:t>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C23F7">
        <w:rPr>
          <w:rFonts w:cs="Times New Roman"/>
          <w:color w:val="000000" w:themeColor="text1"/>
          <w:szCs w:val="24"/>
        </w:rPr>
        <w:t>a</w:t>
      </w:r>
      <w:r w:rsidRPr="00C317BB" w:rsidR="00E819FF">
        <w:rPr>
          <w:rFonts w:cs="Times New Roman"/>
          <w:color w:val="000000" w:themeColor="text1"/>
          <w:szCs w:val="24"/>
        </w:rPr>
        <w:t>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819FF">
        <w:rPr>
          <w:rFonts w:cs="Times New Roman"/>
          <w:color w:val="000000" w:themeColor="text1"/>
          <w:szCs w:val="24"/>
        </w:rPr>
        <w:t>no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819FF">
        <w:rPr>
          <w:rFonts w:cs="Times New Roman"/>
          <w:color w:val="000000" w:themeColor="text1"/>
          <w:szCs w:val="24"/>
        </w:rPr>
        <w:t>longer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819FF">
        <w:rPr>
          <w:rFonts w:cs="Times New Roman"/>
          <w:color w:val="000000" w:themeColor="text1"/>
          <w:szCs w:val="24"/>
        </w:rPr>
        <w:t>presents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819FF">
        <w:rPr>
          <w:rFonts w:cs="Times New Roman"/>
          <w:color w:val="000000" w:themeColor="text1"/>
          <w:szCs w:val="24"/>
        </w:rPr>
        <w:t>such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819FF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75ABE">
        <w:rPr>
          <w:rFonts w:cs="Times New Roman"/>
          <w:szCs w:val="24"/>
        </w:rPr>
        <w:t>for</w:t>
      </w:r>
      <w:r w:rsidR="005613B2">
        <w:rPr>
          <w:rFonts w:cs="Times New Roman"/>
          <w:szCs w:val="24"/>
        </w:rPr>
        <w:t xml:space="preserve"> </w:t>
      </w:r>
      <w:r w:rsidRPr="00C317BB" w:rsidR="00575ABE">
        <w:rPr>
          <w:rFonts w:cs="Times New Roman"/>
          <w:szCs w:val="24"/>
        </w:rPr>
        <w:t>the</w:t>
      </w:r>
      <w:r w:rsidR="005613B2">
        <w:rPr>
          <w:rFonts w:cs="Times New Roman"/>
          <w:szCs w:val="24"/>
        </w:rPr>
        <w:t xml:space="preserve"> </w:t>
      </w:r>
      <w:r w:rsidRPr="00C317BB" w:rsidR="00575ABE">
        <w:rPr>
          <w:rFonts w:cs="Times New Roman"/>
          <w:szCs w:val="24"/>
        </w:rPr>
        <w:t>chrysotile</w:t>
      </w:r>
      <w:r w:rsidR="005613B2">
        <w:rPr>
          <w:rFonts w:cs="Times New Roman"/>
          <w:szCs w:val="24"/>
        </w:rPr>
        <w:t xml:space="preserve"> </w:t>
      </w:r>
      <w:r w:rsidRPr="00C317BB" w:rsidR="00575ABE">
        <w:rPr>
          <w:rFonts w:cs="Times New Roman"/>
          <w:szCs w:val="24"/>
        </w:rPr>
        <w:t>uses</w:t>
      </w:r>
      <w:r w:rsidR="005613B2">
        <w:rPr>
          <w:rFonts w:cs="Times New Roman"/>
          <w:szCs w:val="24"/>
        </w:rPr>
        <w:t xml:space="preserve"> </w:t>
      </w:r>
      <w:r w:rsidRPr="00C317BB" w:rsidR="00575ABE">
        <w:rPr>
          <w:rFonts w:cs="Times New Roman"/>
          <w:szCs w:val="24"/>
        </w:rPr>
        <w:t>evaluated</w:t>
      </w:r>
      <w:r w:rsidR="005613B2">
        <w:rPr>
          <w:rFonts w:cs="Times New Roman"/>
          <w:szCs w:val="24"/>
        </w:rPr>
        <w:t xml:space="preserve"> </w:t>
      </w:r>
      <w:r w:rsidRPr="00C317BB" w:rsidR="00575ABE">
        <w:rPr>
          <w:rFonts w:cs="Times New Roman"/>
          <w:szCs w:val="24"/>
        </w:rPr>
        <w:t>under</w:t>
      </w:r>
      <w:r w:rsidR="005613B2">
        <w:rPr>
          <w:rFonts w:cs="Times New Roman"/>
          <w:szCs w:val="24"/>
        </w:rPr>
        <w:t xml:space="preserve"> </w:t>
      </w:r>
      <w:r w:rsidRPr="00C317BB" w:rsidR="00575ABE">
        <w:rPr>
          <w:rFonts w:cs="Times New Roman"/>
          <w:szCs w:val="24"/>
        </w:rPr>
        <w:t>part</w:t>
      </w:r>
      <w:r w:rsidR="005613B2">
        <w:rPr>
          <w:rFonts w:cs="Times New Roman"/>
          <w:szCs w:val="24"/>
        </w:rPr>
        <w:t xml:space="preserve"> </w:t>
      </w:r>
      <w:r w:rsidRPr="00C317BB" w:rsidR="00575ABE">
        <w:rPr>
          <w:rFonts w:cs="Times New Roman"/>
          <w:szCs w:val="24"/>
        </w:rPr>
        <w:t>1</w:t>
      </w:r>
      <w:r w:rsidR="005613B2">
        <w:rPr>
          <w:rFonts w:cs="Times New Roman"/>
          <w:szCs w:val="24"/>
        </w:rPr>
        <w:t xml:space="preserve"> </w:t>
      </w:r>
      <w:r w:rsidRPr="00C317BB" w:rsidR="00575ABE">
        <w:rPr>
          <w:rFonts w:cs="Times New Roman"/>
          <w:szCs w:val="24"/>
        </w:rPr>
        <w:t>of</w:t>
      </w:r>
      <w:r w:rsidR="005613B2">
        <w:rPr>
          <w:rFonts w:cs="Times New Roman"/>
          <w:szCs w:val="24"/>
        </w:rPr>
        <w:t xml:space="preserve"> </w:t>
      </w:r>
      <w:r w:rsidRPr="00C317BB" w:rsidR="00575ABE">
        <w:rPr>
          <w:rFonts w:cs="Times New Roman"/>
          <w:szCs w:val="24"/>
        </w:rPr>
        <w:t>the</w:t>
      </w:r>
      <w:r w:rsidR="005613B2">
        <w:rPr>
          <w:rFonts w:cs="Times New Roman"/>
          <w:szCs w:val="24"/>
        </w:rPr>
        <w:t xml:space="preserve"> </w:t>
      </w:r>
      <w:r w:rsidRPr="00C317BB" w:rsidR="00575ABE">
        <w:rPr>
          <w:rFonts w:cs="Times New Roman"/>
          <w:szCs w:val="24"/>
        </w:rPr>
        <w:t>risk</w:t>
      </w:r>
      <w:r w:rsidR="005613B2">
        <w:rPr>
          <w:rFonts w:cs="Times New Roman"/>
          <w:szCs w:val="24"/>
        </w:rPr>
        <w:t xml:space="preserve"> </w:t>
      </w:r>
      <w:r w:rsidRPr="00C317BB" w:rsidR="00575ABE">
        <w:rPr>
          <w:rFonts w:cs="Times New Roman"/>
          <w:szCs w:val="24"/>
        </w:rPr>
        <w:t>evaluation.</w:t>
      </w:r>
      <w:r w:rsidR="005613B2">
        <w:rPr>
          <w:rFonts w:cs="Times New Roman"/>
          <w:szCs w:val="24"/>
        </w:rPr>
        <w:t xml:space="preserve"> </w:t>
      </w:r>
      <w:r w:rsidRPr="00C317BB" w:rsidR="00B93181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B20BC">
        <w:rPr>
          <w:rFonts w:cs="Times New Roman"/>
          <w:color w:val="000000" w:themeColor="text1"/>
          <w:szCs w:val="24"/>
        </w:rPr>
        <w:t>unreasonable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B20BC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B20BC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6567C">
        <w:rPr>
          <w:rFonts w:cs="Times New Roman"/>
          <w:color w:val="000000" w:themeColor="text1"/>
          <w:szCs w:val="24"/>
        </w:rPr>
        <w:t>described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B20BC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B20BC">
        <w:rPr>
          <w:rFonts w:cs="Times New Roman"/>
          <w:color w:val="000000" w:themeColor="text1"/>
          <w:szCs w:val="24"/>
        </w:rPr>
        <w:t>Unit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B20BC">
        <w:rPr>
          <w:rFonts w:cs="Times New Roman"/>
          <w:color w:val="000000" w:themeColor="text1"/>
          <w:szCs w:val="24"/>
        </w:rPr>
        <w:t>III.B.1.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B20BC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B20BC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93181">
        <w:rPr>
          <w:rFonts w:cs="Times New Roman"/>
          <w:color w:val="000000" w:themeColor="text1"/>
          <w:szCs w:val="24"/>
        </w:rPr>
        <w:t>conditions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93181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93181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A582D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A582D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A582D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A582D">
        <w:rPr>
          <w:rFonts w:cs="Times New Roman"/>
          <w:color w:val="000000" w:themeColor="text1"/>
          <w:szCs w:val="24"/>
        </w:rPr>
        <w:t>subject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A582D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A582D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A582D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A582D">
        <w:rPr>
          <w:rFonts w:cs="Times New Roman"/>
          <w:color w:val="000000" w:themeColor="text1"/>
          <w:szCs w:val="24"/>
        </w:rPr>
        <w:t>regulation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63835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63835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A582D">
        <w:rPr>
          <w:rFonts w:cs="Times New Roman"/>
          <w:color w:val="000000" w:themeColor="text1"/>
          <w:szCs w:val="24"/>
        </w:rPr>
        <w:t>were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F69AD">
        <w:rPr>
          <w:rFonts w:cs="Times New Roman"/>
          <w:color w:val="000000" w:themeColor="text1"/>
          <w:szCs w:val="24"/>
        </w:rPr>
        <w:t>found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F69AD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A582D">
        <w:rPr>
          <w:rFonts w:cs="Times New Roman"/>
          <w:color w:val="000000" w:themeColor="text1"/>
          <w:szCs w:val="24"/>
        </w:rPr>
        <w:t>drive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A5C84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F69AD">
        <w:rPr>
          <w:rFonts w:cs="Times New Roman"/>
          <w:color w:val="000000" w:themeColor="text1"/>
          <w:szCs w:val="24"/>
        </w:rPr>
        <w:t>unreasonable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F69AD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F69AD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F69AD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F69AD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F69AD">
        <w:rPr>
          <w:rFonts w:cs="Times New Roman"/>
          <w:color w:val="000000" w:themeColor="text1"/>
          <w:szCs w:val="24"/>
        </w:rPr>
        <w:t>Evaluation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F69AD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F69AD">
        <w:rPr>
          <w:rFonts w:cs="Times New Roman"/>
          <w:color w:val="000000" w:themeColor="text1"/>
          <w:szCs w:val="24"/>
        </w:rPr>
        <w:t>Asbestos,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F69AD">
        <w:rPr>
          <w:rFonts w:cs="Times New Roman"/>
          <w:color w:val="000000" w:themeColor="text1"/>
          <w:szCs w:val="24"/>
        </w:rPr>
        <w:t>Part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F69AD">
        <w:rPr>
          <w:rFonts w:cs="Times New Roman"/>
          <w:color w:val="000000" w:themeColor="text1"/>
          <w:szCs w:val="24"/>
        </w:rPr>
        <w:t>1: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F69AD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F69AD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A7EBF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A7EBF">
        <w:rPr>
          <w:rFonts w:cs="Times New Roman"/>
          <w:color w:val="000000" w:themeColor="text1"/>
          <w:szCs w:val="24"/>
        </w:rPr>
        <w:t>described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93181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93181">
        <w:rPr>
          <w:rFonts w:cs="Times New Roman"/>
          <w:color w:val="000000" w:themeColor="text1"/>
          <w:szCs w:val="24"/>
        </w:rPr>
        <w:t>Unit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0721E">
        <w:rPr>
          <w:rFonts w:cs="Times New Roman"/>
          <w:color w:val="000000" w:themeColor="text1"/>
          <w:szCs w:val="24"/>
        </w:rPr>
        <w:t>III.B.2</w:t>
      </w:r>
      <w:r w:rsidRPr="00C317BB" w:rsidR="00927689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D721A5" w:rsidP="00F27167" w:rsidRDefault="00D721A5" w14:paraId="098BA14F" w14:textId="4C7056B3">
      <w:pPr>
        <w:pStyle w:val="Heading2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E.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estimated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incremental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impacts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action?</w:t>
      </w:r>
    </w:p>
    <w:p w:rsidRPr="00C317BB" w:rsidR="00AC14ED" w:rsidP="00F27167" w:rsidRDefault="00AC14ED" w14:paraId="73A9C23F" w14:textId="58D52672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prepared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Economic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Analysis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potential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incremental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impacts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associated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rulemaking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E9F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E9F">
        <w:rPr>
          <w:rFonts w:cs="Times New Roman"/>
          <w:color w:val="000000" w:themeColor="text1"/>
          <w:szCs w:val="24"/>
        </w:rPr>
        <w:t>can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E9F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E9F">
        <w:rPr>
          <w:rFonts w:cs="Times New Roman"/>
          <w:color w:val="000000" w:themeColor="text1"/>
          <w:szCs w:val="24"/>
        </w:rPr>
        <w:t>found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E9F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E9F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E9F">
        <w:rPr>
          <w:rFonts w:cs="Times New Roman"/>
          <w:color w:val="000000" w:themeColor="text1"/>
          <w:szCs w:val="24"/>
        </w:rPr>
        <w:t>rulemaking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E9F">
        <w:rPr>
          <w:rFonts w:cs="Times New Roman"/>
          <w:color w:val="000000" w:themeColor="text1"/>
          <w:szCs w:val="24"/>
        </w:rPr>
        <w:t>docket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(Ref.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37159">
        <w:rPr>
          <w:rFonts w:cs="Times New Roman"/>
          <w:color w:val="000000" w:themeColor="text1"/>
          <w:szCs w:val="24"/>
        </w:rPr>
        <w:t>2</w:t>
      </w:r>
      <w:r w:rsidRPr="00C317BB">
        <w:rPr>
          <w:rFonts w:cs="Times New Roman"/>
          <w:color w:val="000000" w:themeColor="text1"/>
          <w:szCs w:val="24"/>
        </w:rPr>
        <w:t>).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AC14ED" w:rsidP="00F27167" w:rsidRDefault="00AC14ED" w14:paraId="528DE744" w14:textId="2AA7F084">
      <w:pPr>
        <w:pStyle w:val="Heading3"/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1.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Background</w:t>
      </w:r>
    </w:p>
    <w:p w:rsidRPr="00C317BB" w:rsidR="00AC14ED" w:rsidP="00F27167" w:rsidRDefault="00AC14ED" w14:paraId="28EE09A0" w14:textId="03A75FB8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usage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declining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decades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current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domestic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consumption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raw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less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0.1%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peak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consumption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early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1970s.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Chlor-alkali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producers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only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industry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U.S.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known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B1365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B1365">
        <w:rPr>
          <w:rFonts w:cs="Times New Roman"/>
          <w:color w:val="000000" w:themeColor="text1"/>
          <w:szCs w:val="24"/>
        </w:rPr>
        <w:t>fabricate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products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raw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addition,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concluded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imports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few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products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intended,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known,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reasonably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foreseen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occur;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while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total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quantity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those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products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uncertain,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believed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relatively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small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7B0F">
        <w:rPr>
          <w:rFonts w:cs="Times New Roman"/>
          <w:color w:val="000000" w:themeColor="text1"/>
          <w:szCs w:val="24"/>
        </w:rPr>
        <w:t>(see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7B0F">
        <w:rPr>
          <w:rFonts w:cs="Times New Roman"/>
          <w:color w:val="000000" w:themeColor="text1"/>
          <w:szCs w:val="24"/>
        </w:rPr>
        <w:t>Appendix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7B0F">
        <w:rPr>
          <w:rFonts w:cs="Times New Roman"/>
          <w:color w:val="000000" w:themeColor="text1"/>
          <w:szCs w:val="24"/>
        </w:rPr>
        <w:t>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7B0F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7B0F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7B0F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7B0F">
        <w:rPr>
          <w:rFonts w:cs="Times New Roman"/>
          <w:color w:val="000000" w:themeColor="text1"/>
          <w:szCs w:val="24"/>
        </w:rPr>
        <w:t>Evaluation)</w:t>
      </w:r>
      <w:r w:rsidRPr="00C317BB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AC14ED" w:rsidP="00F27167" w:rsidRDefault="00AC14ED" w14:paraId="4EF40482" w14:textId="77777777">
      <w:pPr>
        <w:pStyle w:val="Heading3"/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2.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Costs</w:t>
      </w:r>
    </w:p>
    <w:p w:rsidRPr="00C317BB" w:rsidR="00AC14ED" w:rsidP="00F27167" w:rsidRDefault="00AC14ED" w14:paraId="60E41DB8" w14:textId="3103E9B6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Three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firms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own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total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775BD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chlor-alkali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plants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U.S.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still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diaphragms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produce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chlorine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sodium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hydroxide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(also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known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caustic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soda)</w:t>
      </w:r>
      <w:r w:rsidRPr="00C317BB" w:rsidR="00CD33FE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D33FE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D33FE">
        <w:rPr>
          <w:rFonts w:cs="Times New Roman"/>
          <w:color w:val="000000" w:themeColor="text1"/>
          <w:szCs w:val="24"/>
        </w:rPr>
        <w:t>one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D33FE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E38D4">
        <w:rPr>
          <w:rFonts w:cs="Times New Roman"/>
          <w:color w:val="000000" w:themeColor="text1"/>
          <w:szCs w:val="24"/>
        </w:rPr>
        <w:t>these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23AFB">
        <w:rPr>
          <w:rFonts w:cs="Times New Roman"/>
          <w:color w:val="000000" w:themeColor="text1"/>
          <w:szCs w:val="24"/>
        </w:rPr>
        <w:t>ten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23AFB">
        <w:rPr>
          <w:rFonts w:cs="Times New Roman"/>
          <w:color w:val="000000" w:themeColor="text1"/>
          <w:szCs w:val="24"/>
        </w:rPr>
        <w:t>plants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731EA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731EA">
        <w:rPr>
          <w:rFonts w:cs="Times New Roman"/>
          <w:color w:val="000000" w:themeColor="text1"/>
          <w:szCs w:val="24"/>
        </w:rPr>
        <w:t>expected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731EA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7436">
        <w:rPr>
          <w:rFonts w:cs="Times New Roman"/>
          <w:color w:val="000000" w:themeColor="text1"/>
          <w:szCs w:val="24"/>
        </w:rPr>
        <w:t>close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7436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7436">
        <w:rPr>
          <w:rFonts w:cs="Times New Roman"/>
          <w:color w:val="000000" w:themeColor="text1"/>
          <w:szCs w:val="24"/>
        </w:rPr>
        <w:t>2022</w:t>
      </w:r>
      <w:r w:rsidRPr="00C317BB" w:rsidR="00B23AFB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A69F7">
        <w:rPr>
          <w:rFonts w:cs="Times New Roman"/>
          <w:color w:val="000000" w:themeColor="text1"/>
          <w:szCs w:val="24"/>
        </w:rPr>
        <w:t>before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A69F7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13F1A">
        <w:rPr>
          <w:rFonts w:cs="Times New Roman"/>
          <w:color w:val="000000" w:themeColor="text1"/>
          <w:szCs w:val="24"/>
        </w:rPr>
        <w:t>expected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A69F7">
        <w:rPr>
          <w:rFonts w:cs="Times New Roman"/>
          <w:color w:val="000000" w:themeColor="text1"/>
          <w:szCs w:val="24"/>
        </w:rPr>
        <w:t>effective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A69F7">
        <w:rPr>
          <w:rFonts w:cs="Times New Roman"/>
          <w:color w:val="000000" w:themeColor="text1"/>
          <w:szCs w:val="24"/>
        </w:rPr>
        <w:t>date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1C0A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A69F7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A69F7">
        <w:rPr>
          <w:rFonts w:cs="Times New Roman"/>
          <w:color w:val="000000" w:themeColor="text1"/>
          <w:szCs w:val="24"/>
        </w:rPr>
        <w:t>final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A69F7">
        <w:rPr>
          <w:rFonts w:cs="Times New Roman"/>
          <w:color w:val="000000" w:themeColor="text1"/>
          <w:szCs w:val="24"/>
        </w:rPr>
        <w:t>rule</w:t>
      </w:r>
      <w:r w:rsidRPr="00C317BB" w:rsidR="00B23AFB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5325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5325">
        <w:rPr>
          <w:rFonts w:cs="Times New Roman"/>
          <w:color w:val="000000" w:themeColor="text1"/>
          <w:szCs w:val="24"/>
        </w:rPr>
        <w:t>has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1C0A">
        <w:rPr>
          <w:rFonts w:cs="Times New Roman"/>
          <w:color w:val="000000" w:themeColor="text1"/>
          <w:szCs w:val="24"/>
        </w:rPr>
        <w:t>only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1C0A">
        <w:rPr>
          <w:rFonts w:cs="Times New Roman"/>
          <w:color w:val="000000" w:themeColor="text1"/>
          <w:szCs w:val="24"/>
        </w:rPr>
        <w:t>estimated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46FEC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46FEC">
        <w:rPr>
          <w:rFonts w:cs="Times New Roman"/>
          <w:color w:val="000000" w:themeColor="text1"/>
          <w:szCs w:val="24"/>
        </w:rPr>
        <w:t>costs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74E62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74E62">
        <w:rPr>
          <w:rFonts w:cs="Times New Roman"/>
          <w:color w:val="000000" w:themeColor="text1"/>
          <w:szCs w:val="24"/>
        </w:rPr>
        <w:t>benefits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1C0A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1C0A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1C0A">
        <w:rPr>
          <w:rFonts w:cs="Times New Roman"/>
          <w:color w:val="000000" w:themeColor="text1"/>
          <w:szCs w:val="24"/>
        </w:rPr>
        <w:t>nine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1C0A">
        <w:rPr>
          <w:rFonts w:cs="Times New Roman"/>
          <w:color w:val="000000" w:themeColor="text1"/>
          <w:szCs w:val="24"/>
        </w:rPr>
        <w:t>remaining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1C0A">
        <w:rPr>
          <w:rFonts w:cs="Times New Roman"/>
          <w:color w:val="000000" w:themeColor="text1"/>
          <w:szCs w:val="24"/>
        </w:rPr>
        <w:t>plants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265E8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265E8">
        <w:rPr>
          <w:rFonts w:cs="Times New Roman"/>
          <w:color w:val="000000" w:themeColor="text1"/>
          <w:szCs w:val="24"/>
        </w:rPr>
        <w:t>would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265E8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265E8">
        <w:rPr>
          <w:rFonts w:cs="Times New Roman"/>
          <w:color w:val="000000" w:themeColor="text1"/>
          <w:szCs w:val="24"/>
        </w:rPr>
        <w:t>impacted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265E8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265E8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265E8">
        <w:rPr>
          <w:rFonts w:cs="Times New Roman"/>
          <w:color w:val="000000" w:themeColor="text1"/>
          <w:szCs w:val="24"/>
        </w:rPr>
        <w:t>rule</w:t>
      </w:r>
      <w:r w:rsidRPr="00C317BB" w:rsidR="00CB1C0A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721A5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1C0A">
        <w:rPr>
          <w:rFonts w:cs="Times New Roman"/>
          <w:color w:val="000000" w:themeColor="text1"/>
          <w:szCs w:val="24"/>
        </w:rPr>
        <w:t>nine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721A5">
        <w:rPr>
          <w:rFonts w:cs="Times New Roman"/>
          <w:color w:val="000000" w:themeColor="text1"/>
          <w:szCs w:val="24"/>
        </w:rPr>
        <w:t>remaining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974C6">
        <w:rPr>
          <w:rFonts w:cs="Times New Roman"/>
          <w:color w:val="000000" w:themeColor="text1"/>
          <w:szCs w:val="24"/>
        </w:rPr>
        <w:t>plants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974C6">
        <w:rPr>
          <w:rFonts w:cs="Times New Roman"/>
          <w:color w:val="000000" w:themeColor="text1"/>
          <w:szCs w:val="24"/>
        </w:rPr>
        <w:t>range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974C6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974C6">
        <w:rPr>
          <w:rFonts w:cs="Times New Roman"/>
          <w:color w:val="000000" w:themeColor="text1"/>
          <w:szCs w:val="24"/>
        </w:rPr>
        <w:t>age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974C6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974C6">
        <w:rPr>
          <w:rFonts w:cs="Times New Roman"/>
          <w:color w:val="000000" w:themeColor="text1"/>
          <w:szCs w:val="24"/>
        </w:rPr>
        <w:t>40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974C6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974C6">
        <w:rPr>
          <w:rFonts w:cs="Times New Roman"/>
          <w:color w:val="000000" w:themeColor="text1"/>
          <w:szCs w:val="24"/>
        </w:rPr>
        <w:t>123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974C6">
        <w:rPr>
          <w:rFonts w:cs="Times New Roman"/>
          <w:color w:val="000000" w:themeColor="text1"/>
          <w:szCs w:val="24"/>
        </w:rPr>
        <w:t>years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974C6">
        <w:rPr>
          <w:rFonts w:cs="Times New Roman"/>
          <w:color w:val="000000" w:themeColor="text1"/>
          <w:szCs w:val="24"/>
        </w:rPr>
        <w:t>old,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974C6">
        <w:rPr>
          <w:rFonts w:cs="Times New Roman"/>
          <w:color w:val="000000" w:themeColor="text1"/>
          <w:szCs w:val="24"/>
        </w:rPr>
        <w:t>although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974C6">
        <w:rPr>
          <w:rFonts w:cs="Times New Roman"/>
          <w:color w:val="000000" w:themeColor="text1"/>
          <w:szCs w:val="24"/>
        </w:rPr>
        <w:t>some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974C6">
        <w:rPr>
          <w:rFonts w:cs="Times New Roman"/>
          <w:color w:val="000000" w:themeColor="text1"/>
          <w:szCs w:val="24"/>
        </w:rPr>
        <w:t>have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974C6">
        <w:rPr>
          <w:rFonts w:cs="Times New Roman"/>
          <w:color w:val="000000" w:themeColor="text1"/>
          <w:szCs w:val="24"/>
        </w:rPr>
        <w:t>had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974C6">
        <w:rPr>
          <w:rFonts w:cs="Times New Roman"/>
          <w:color w:val="000000" w:themeColor="text1"/>
          <w:szCs w:val="24"/>
        </w:rPr>
        <w:t>new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974C6">
        <w:rPr>
          <w:rFonts w:cs="Times New Roman"/>
          <w:color w:val="000000" w:themeColor="text1"/>
          <w:szCs w:val="24"/>
        </w:rPr>
        <w:t>capacity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974C6">
        <w:rPr>
          <w:rFonts w:cs="Times New Roman"/>
          <w:color w:val="000000" w:themeColor="text1"/>
          <w:szCs w:val="24"/>
        </w:rPr>
        <w:t>added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974C6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974C6">
        <w:rPr>
          <w:rFonts w:cs="Times New Roman"/>
          <w:color w:val="000000" w:themeColor="text1"/>
          <w:szCs w:val="24"/>
        </w:rPr>
        <w:t>recently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974C6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974C6">
        <w:rPr>
          <w:rFonts w:cs="Times New Roman"/>
          <w:color w:val="000000" w:themeColor="text1"/>
          <w:szCs w:val="24"/>
        </w:rPr>
        <w:t>16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974C6">
        <w:rPr>
          <w:rFonts w:cs="Times New Roman"/>
          <w:color w:val="000000" w:themeColor="text1"/>
          <w:szCs w:val="24"/>
        </w:rPr>
        <w:t>years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974C6">
        <w:rPr>
          <w:rFonts w:cs="Times New Roman"/>
          <w:color w:val="000000" w:themeColor="text1"/>
          <w:szCs w:val="24"/>
        </w:rPr>
        <w:t>ago,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974C6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974C6">
        <w:rPr>
          <w:rFonts w:cs="Times New Roman"/>
          <w:color w:val="000000" w:themeColor="text1"/>
          <w:szCs w:val="24"/>
        </w:rPr>
        <w:t>others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974C6">
        <w:rPr>
          <w:rFonts w:cs="Times New Roman"/>
          <w:color w:val="000000" w:themeColor="text1"/>
          <w:szCs w:val="24"/>
        </w:rPr>
        <w:t>may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974C6">
        <w:rPr>
          <w:rFonts w:cs="Times New Roman"/>
          <w:color w:val="000000" w:themeColor="text1"/>
          <w:szCs w:val="24"/>
        </w:rPr>
        <w:t>have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974C6">
        <w:rPr>
          <w:rFonts w:cs="Times New Roman"/>
          <w:color w:val="000000" w:themeColor="text1"/>
          <w:szCs w:val="24"/>
        </w:rPr>
        <w:t>had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974C6">
        <w:rPr>
          <w:rFonts w:cs="Times New Roman"/>
          <w:color w:val="000000" w:themeColor="text1"/>
          <w:szCs w:val="24"/>
        </w:rPr>
        <w:t>recent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974C6">
        <w:rPr>
          <w:rFonts w:cs="Times New Roman"/>
          <w:color w:val="000000" w:themeColor="text1"/>
          <w:szCs w:val="24"/>
        </w:rPr>
        <w:t>refurbishments.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share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total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production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335F">
        <w:rPr>
          <w:rFonts w:cs="Times New Roman"/>
          <w:color w:val="000000" w:themeColor="text1"/>
          <w:szCs w:val="24"/>
        </w:rPr>
        <w:t>using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diaphragm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cells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declining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over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time.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diaphragm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cells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plants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currently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represent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about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one-third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U.S.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chlor-alkali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production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capacity.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bookmarkStart w:name="_Hlk94018581" w:id="8"/>
      <w:r w:rsidRPr="00C317BB" w:rsidR="00AA4BBB">
        <w:rPr>
          <w:rFonts w:cs="Times New Roman"/>
          <w:color w:val="000000" w:themeColor="text1"/>
          <w:szCs w:val="24"/>
        </w:rPr>
        <w:t>EPA’s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A4BBB">
        <w:rPr>
          <w:rFonts w:cs="Times New Roman"/>
          <w:color w:val="000000" w:themeColor="text1"/>
          <w:szCs w:val="24"/>
        </w:rPr>
        <w:t>analysis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F0330">
        <w:rPr>
          <w:rFonts w:cs="Times New Roman"/>
          <w:color w:val="000000" w:themeColor="text1"/>
          <w:szCs w:val="24"/>
        </w:rPr>
        <w:t>supports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F0330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F0330">
        <w:rPr>
          <w:rFonts w:cs="Times New Roman"/>
          <w:color w:val="000000" w:themeColor="text1"/>
          <w:szCs w:val="24"/>
        </w:rPr>
        <w:t>high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F0330">
        <w:rPr>
          <w:rFonts w:cs="Times New Roman"/>
          <w:color w:val="000000" w:themeColor="text1"/>
          <w:szCs w:val="24"/>
        </w:rPr>
        <w:t>probability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32786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A4BBB">
        <w:rPr>
          <w:rFonts w:cs="Times New Roman"/>
          <w:color w:val="000000" w:themeColor="text1"/>
          <w:szCs w:val="24"/>
        </w:rPr>
        <w:t>t</w:t>
      </w:r>
      <w:r w:rsidRPr="00C317BB">
        <w:rPr>
          <w:rFonts w:cs="Times New Roman"/>
          <w:color w:val="000000" w:themeColor="text1"/>
          <w:szCs w:val="24"/>
        </w:rPr>
        <w:t>hese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firms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806F5">
        <w:rPr>
          <w:rFonts w:cs="Times New Roman"/>
          <w:color w:val="000000" w:themeColor="text1"/>
          <w:szCs w:val="24"/>
        </w:rPr>
        <w:t>will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respond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rule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converting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their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diaphragm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cells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membrane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cells,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which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</w:t>
      </w:r>
      <w:bookmarkEnd w:id="8"/>
      <w:r w:rsidRPr="00C317BB" w:rsidR="00D721A5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membrane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cells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increased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over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time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currently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account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nearly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half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U.S.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capacity.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(The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remaining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capacity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non-asbestos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diaphragms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miscellaneous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processes.)</w:t>
      </w:r>
      <w:r w:rsidR="005613B2">
        <w:rPr>
          <w:rFonts w:cs="Times New Roman"/>
          <w:szCs w:val="24"/>
        </w:rPr>
        <w:t xml:space="preserve"> </w:t>
      </w:r>
      <w:r w:rsidRPr="00C317BB" w:rsidR="007374B4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374B4">
        <w:rPr>
          <w:rFonts w:cs="Times New Roman"/>
          <w:color w:val="000000" w:themeColor="text1"/>
          <w:szCs w:val="24"/>
        </w:rPr>
        <w:t>more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374B4">
        <w:rPr>
          <w:rFonts w:cs="Times New Roman"/>
          <w:color w:val="000000" w:themeColor="text1"/>
          <w:szCs w:val="24"/>
        </w:rPr>
        <w:t>detailed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374B4">
        <w:rPr>
          <w:rFonts w:cs="Times New Roman"/>
          <w:color w:val="000000" w:themeColor="text1"/>
          <w:szCs w:val="24"/>
        </w:rPr>
        <w:t>discussion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374B4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374B4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374B4">
        <w:rPr>
          <w:rFonts w:cs="Times New Roman"/>
          <w:color w:val="000000" w:themeColor="text1"/>
          <w:szCs w:val="24"/>
        </w:rPr>
        <w:t>expected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374B4">
        <w:rPr>
          <w:rFonts w:cs="Times New Roman"/>
          <w:color w:val="000000" w:themeColor="text1"/>
          <w:szCs w:val="24"/>
        </w:rPr>
        <w:t>impacts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374B4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374B4">
        <w:rPr>
          <w:rFonts w:cs="Times New Roman"/>
          <w:color w:val="000000" w:themeColor="text1"/>
          <w:szCs w:val="24"/>
        </w:rPr>
        <w:t>conversion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374B4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374B4">
        <w:rPr>
          <w:rFonts w:cs="Times New Roman"/>
          <w:color w:val="000000" w:themeColor="text1"/>
          <w:szCs w:val="24"/>
        </w:rPr>
        <w:t>asbestos-containing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374B4">
        <w:rPr>
          <w:rFonts w:cs="Times New Roman"/>
          <w:color w:val="000000" w:themeColor="text1"/>
          <w:szCs w:val="24"/>
        </w:rPr>
        <w:t>diaphragm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374B4">
        <w:rPr>
          <w:rFonts w:cs="Times New Roman"/>
          <w:color w:val="000000" w:themeColor="text1"/>
          <w:szCs w:val="24"/>
        </w:rPr>
        <w:t>cells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374B4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7508">
        <w:rPr>
          <w:rFonts w:cs="Times New Roman"/>
          <w:color w:val="000000" w:themeColor="text1"/>
          <w:szCs w:val="24"/>
        </w:rPr>
        <w:t>membrane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374B4">
        <w:rPr>
          <w:rFonts w:cs="Times New Roman"/>
          <w:color w:val="000000" w:themeColor="text1"/>
          <w:szCs w:val="24"/>
        </w:rPr>
        <w:t>cells,</w:t>
      </w:r>
      <w:r w:rsidR="005613B2">
        <w:rPr>
          <w:rFonts w:cs="Times New Roman"/>
          <w:szCs w:val="24"/>
        </w:rPr>
        <w:t xml:space="preserve"> </w:t>
      </w:r>
      <w:r w:rsidRPr="00C317BB" w:rsidR="00E62E74">
        <w:rPr>
          <w:rFonts w:cs="Times New Roman"/>
          <w:szCs w:val="24"/>
        </w:rPr>
        <w:t>which</w:t>
      </w:r>
      <w:r w:rsidR="005613B2">
        <w:rPr>
          <w:rFonts w:cs="Times New Roman"/>
          <w:szCs w:val="24"/>
        </w:rPr>
        <w:t xml:space="preserve"> </w:t>
      </w:r>
      <w:r w:rsidRPr="00C317BB" w:rsidR="00A23E91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3E91">
        <w:rPr>
          <w:rFonts w:cs="Times New Roman"/>
          <w:color w:val="000000" w:themeColor="text1"/>
          <w:szCs w:val="24"/>
        </w:rPr>
        <w:t>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3E91">
        <w:rPr>
          <w:rFonts w:cs="Times New Roman"/>
          <w:color w:val="000000" w:themeColor="text1"/>
          <w:szCs w:val="24"/>
        </w:rPr>
        <w:t>increased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3E91">
        <w:rPr>
          <w:rFonts w:cs="Times New Roman"/>
          <w:color w:val="000000" w:themeColor="text1"/>
          <w:szCs w:val="24"/>
        </w:rPr>
        <w:t>concentration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835ED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3E91">
        <w:rPr>
          <w:rFonts w:cs="Times New Roman"/>
          <w:color w:val="000000" w:themeColor="text1"/>
          <w:szCs w:val="24"/>
        </w:rPr>
        <w:t>per-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65058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3E91">
        <w:rPr>
          <w:rFonts w:cs="Times New Roman"/>
          <w:color w:val="000000" w:themeColor="text1"/>
          <w:szCs w:val="24"/>
        </w:rPr>
        <w:t>polyfluor</w:t>
      </w:r>
      <w:r w:rsidRPr="00C317BB" w:rsidR="00932864">
        <w:rPr>
          <w:rFonts w:cs="Times New Roman"/>
          <w:color w:val="000000" w:themeColor="text1"/>
          <w:szCs w:val="24"/>
        </w:rPr>
        <w:t>oalkyl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3E91">
        <w:rPr>
          <w:rFonts w:cs="Times New Roman"/>
          <w:color w:val="000000" w:themeColor="text1"/>
          <w:szCs w:val="24"/>
        </w:rPr>
        <w:t>substances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3E91">
        <w:rPr>
          <w:rFonts w:cs="Times New Roman"/>
          <w:color w:val="000000" w:themeColor="text1"/>
          <w:szCs w:val="24"/>
        </w:rPr>
        <w:t>(PFAS)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3E91">
        <w:rPr>
          <w:rFonts w:cs="Times New Roman"/>
          <w:color w:val="000000" w:themeColor="text1"/>
          <w:szCs w:val="24"/>
        </w:rPr>
        <w:t>compounds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3E91">
        <w:rPr>
          <w:rFonts w:cs="Times New Roman"/>
          <w:color w:val="000000" w:themeColor="text1"/>
          <w:szCs w:val="24"/>
        </w:rPr>
        <w:t>relative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3E91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3E91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3E91">
        <w:rPr>
          <w:rFonts w:cs="Times New Roman"/>
          <w:color w:val="000000" w:themeColor="text1"/>
          <w:szCs w:val="24"/>
        </w:rPr>
        <w:t>amount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3E91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3E91">
        <w:rPr>
          <w:rFonts w:cs="Times New Roman"/>
          <w:color w:val="000000" w:themeColor="text1"/>
          <w:szCs w:val="24"/>
        </w:rPr>
        <w:t>PFAS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3E91">
        <w:rPr>
          <w:rFonts w:cs="Times New Roman"/>
          <w:color w:val="000000" w:themeColor="text1"/>
          <w:szCs w:val="24"/>
        </w:rPr>
        <w:t>compounds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3E91">
        <w:rPr>
          <w:rFonts w:cs="Times New Roman"/>
          <w:color w:val="000000" w:themeColor="text1"/>
          <w:szCs w:val="24"/>
        </w:rPr>
        <w:t>contained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3E91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3E91">
        <w:rPr>
          <w:rFonts w:cs="Times New Roman"/>
          <w:color w:val="000000" w:themeColor="text1"/>
          <w:szCs w:val="24"/>
        </w:rPr>
        <w:t>asbestos-containing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3E91">
        <w:rPr>
          <w:rFonts w:cs="Times New Roman"/>
          <w:color w:val="000000" w:themeColor="text1"/>
          <w:szCs w:val="24"/>
        </w:rPr>
        <w:t>diaphragms</w:t>
      </w:r>
      <w:r w:rsidRPr="00C317BB" w:rsidR="007374B4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374B4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374B4">
        <w:rPr>
          <w:rFonts w:cs="Times New Roman"/>
          <w:color w:val="000000" w:themeColor="text1"/>
          <w:szCs w:val="24"/>
        </w:rPr>
        <w:t>located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374B4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374B4">
        <w:rPr>
          <w:rFonts w:cs="Times New Roman"/>
          <w:color w:val="000000" w:themeColor="text1"/>
          <w:szCs w:val="24"/>
        </w:rPr>
        <w:t>Unit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B6DF3">
        <w:rPr>
          <w:rFonts w:cs="Times New Roman"/>
          <w:color w:val="000000" w:themeColor="text1"/>
          <w:szCs w:val="24"/>
        </w:rPr>
        <w:t>III.</w:t>
      </w:r>
      <w:r w:rsidRPr="00C317BB" w:rsidR="00C428E9">
        <w:rPr>
          <w:rFonts w:cs="Times New Roman"/>
          <w:color w:val="000000" w:themeColor="text1"/>
          <w:szCs w:val="24"/>
        </w:rPr>
        <w:t>B.4</w:t>
      </w:r>
      <w:r w:rsidRPr="00C317BB" w:rsidR="005511D6">
        <w:rPr>
          <w:rFonts w:cs="Times New Roman"/>
          <w:color w:val="000000" w:themeColor="text1"/>
          <w:szCs w:val="24"/>
        </w:rPr>
        <w:t>.</w:t>
      </w:r>
    </w:p>
    <w:p w:rsidRPr="00C317BB" w:rsidR="00AC14ED" w:rsidP="00F27167" w:rsidRDefault="00AC14ED" w14:paraId="641C95A8" w14:textId="2601F3C4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Converting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diaphragm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cells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membrane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cells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response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rule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predicted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require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incremental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investment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approximately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$1.8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billion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across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371B2">
        <w:rPr>
          <w:rFonts w:cs="Times New Roman"/>
          <w:color w:val="000000" w:themeColor="text1"/>
          <w:szCs w:val="24"/>
        </w:rPr>
        <w:t>nine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plants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371B2">
        <w:rPr>
          <w:rFonts w:cs="Times New Roman"/>
          <w:color w:val="000000" w:themeColor="text1"/>
          <w:szCs w:val="24"/>
        </w:rPr>
        <w:t>predicted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371B2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371B2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371B2">
        <w:rPr>
          <w:rFonts w:cs="Times New Roman"/>
          <w:color w:val="000000" w:themeColor="text1"/>
          <w:szCs w:val="24"/>
        </w:rPr>
        <w:t>using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371B2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371B2">
        <w:rPr>
          <w:rFonts w:cs="Times New Roman"/>
          <w:color w:val="000000" w:themeColor="text1"/>
          <w:szCs w:val="24"/>
        </w:rPr>
        <w:t>diaphragms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371B2">
        <w:rPr>
          <w:rFonts w:cs="Times New Roman"/>
          <w:color w:val="000000" w:themeColor="text1"/>
          <w:szCs w:val="24"/>
        </w:rPr>
        <w:t>when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371B2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371B2">
        <w:rPr>
          <w:rFonts w:cs="Times New Roman"/>
          <w:color w:val="000000" w:themeColor="text1"/>
          <w:szCs w:val="24"/>
        </w:rPr>
        <w:t>rule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371B2">
        <w:rPr>
          <w:rFonts w:cs="Times New Roman"/>
          <w:color w:val="000000" w:themeColor="text1"/>
          <w:szCs w:val="24"/>
        </w:rPr>
        <w:t>goes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371B2">
        <w:rPr>
          <w:rFonts w:cs="Times New Roman"/>
          <w:color w:val="000000" w:themeColor="text1"/>
          <w:szCs w:val="24"/>
        </w:rPr>
        <w:t>into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371B2">
        <w:rPr>
          <w:rFonts w:cs="Times New Roman"/>
          <w:color w:val="000000" w:themeColor="text1"/>
          <w:szCs w:val="24"/>
        </w:rPr>
        <w:t>effect</w:t>
      </w:r>
      <w:r w:rsidRPr="00C317BB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Membrane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cells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much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more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energy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efficient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diaphragm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cells,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so</w:t>
      </w:r>
      <w:r w:rsidRPr="00C317BB" w:rsidR="00D721A5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721A5">
        <w:rPr>
          <w:rFonts w:cs="Times New Roman"/>
          <w:color w:val="000000" w:themeColor="text1"/>
          <w:szCs w:val="24"/>
        </w:rPr>
        <w:t>despite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721A5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721A5">
        <w:rPr>
          <w:rFonts w:cs="Times New Roman"/>
          <w:color w:val="000000" w:themeColor="text1"/>
          <w:szCs w:val="24"/>
        </w:rPr>
        <w:t>upfront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721A5">
        <w:rPr>
          <w:rFonts w:cs="Times New Roman"/>
          <w:color w:val="000000" w:themeColor="text1"/>
          <w:szCs w:val="24"/>
        </w:rPr>
        <w:t>capital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721A5">
        <w:rPr>
          <w:rFonts w:cs="Times New Roman"/>
          <w:color w:val="000000" w:themeColor="text1"/>
          <w:szCs w:val="24"/>
        </w:rPr>
        <w:t>cost,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conversion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721A5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721A5">
        <w:rPr>
          <w:rFonts w:cs="Times New Roman"/>
          <w:color w:val="000000" w:themeColor="text1"/>
          <w:szCs w:val="24"/>
        </w:rPr>
        <w:t>expected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721A5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result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significant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savings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accrue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over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many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years.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36F41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36F41">
        <w:rPr>
          <w:rFonts w:cs="Times New Roman"/>
          <w:color w:val="000000" w:themeColor="text1"/>
          <w:szCs w:val="24"/>
        </w:rPr>
        <w:t>expected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36F41">
        <w:rPr>
          <w:rFonts w:cs="Times New Roman"/>
          <w:color w:val="000000" w:themeColor="text1"/>
          <w:szCs w:val="24"/>
        </w:rPr>
        <w:t>energy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36F41">
        <w:rPr>
          <w:rFonts w:cs="Times New Roman"/>
          <w:color w:val="000000" w:themeColor="text1"/>
          <w:szCs w:val="24"/>
        </w:rPr>
        <w:t>savings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36F41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36F41">
        <w:rPr>
          <w:rFonts w:cs="Times New Roman"/>
          <w:color w:val="000000" w:themeColor="text1"/>
          <w:szCs w:val="24"/>
        </w:rPr>
        <w:t>included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36F41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36F41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36F41">
        <w:rPr>
          <w:rFonts w:cs="Times New Roman"/>
          <w:color w:val="000000" w:themeColor="text1"/>
          <w:szCs w:val="24"/>
        </w:rPr>
        <w:t>estimated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36F41">
        <w:rPr>
          <w:rFonts w:cs="Times New Roman"/>
          <w:color w:val="000000" w:themeColor="text1"/>
          <w:szCs w:val="24"/>
        </w:rPr>
        <w:t>net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36F41">
        <w:rPr>
          <w:rFonts w:cs="Times New Roman"/>
          <w:color w:val="000000" w:themeColor="text1"/>
          <w:szCs w:val="24"/>
        </w:rPr>
        <w:t>annualized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36F41">
        <w:rPr>
          <w:rFonts w:cs="Times New Roman"/>
          <w:color w:val="000000" w:themeColor="text1"/>
          <w:szCs w:val="24"/>
        </w:rPr>
        <w:t>costs.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Membrane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cells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also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produce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higher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grade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caustic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soda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historically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commanded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higher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price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product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diaphragm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cells.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A21B5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A21B5">
        <w:rPr>
          <w:rFonts w:cs="Times New Roman"/>
          <w:color w:val="000000" w:themeColor="text1"/>
          <w:szCs w:val="24"/>
        </w:rPr>
        <w:t>anticipates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A21B5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A21B5">
        <w:rPr>
          <w:rFonts w:cs="Times New Roman"/>
          <w:color w:val="000000" w:themeColor="text1"/>
          <w:szCs w:val="24"/>
        </w:rPr>
        <w:t>most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A21B5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A21B5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A21B5">
        <w:rPr>
          <w:rFonts w:cs="Times New Roman"/>
          <w:color w:val="000000" w:themeColor="text1"/>
          <w:szCs w:val="24"/>
        </w:rPr>
        <w:t>conversions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A21B5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A21B5">
        <w:rPr>
          <w:rFonts w:cs="Times New Roman"/>
          <w:color w:val="000000" w:themeColor="text1"/>
          <w:szCs w:val="24"/>
        </w:rPr>
        <w:t>membrane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A21B5">
        <w:rPr>
          <w:rFonts w:cs="Times New Roman"/>
          <w:color w:val="000000" w:themeColor="text1"/>
          <w:szCs w:val="24"/>
        </w:rPr>
        <w:t>cells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A21B5">
        <w:rPr>
          <w:rFonts w:cs="Times New Roman"/>
          <w:color w:val="000000" w:themeColor="text1"/>
          <w:szCs w:val="24"/>
        </w:rPr>
        <w:t>would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A21B5">
        <w:rPr>
          <w:rFonts w:cs="Times New Roman"/>
          <w:color w:val="000000" w:themeColor="text1"/>
          <w:szCs w:val="24"/>
        </w:rPr>
        <w:t>occur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A21B5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A21B5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A21B5">
        <w:rPr>
          <w:rFonts w:cs="Times New Roman"/>
          <w:color w:val="000000" w:themeColor="text1"/>
          <w:szCs w:val="24"/>
        </w:rPr>
        <w:t>coming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A21B5">
        <w:rPr>
          <w:rFonts w:cs="Times New Roman"/>
          <w:color w:val="000000" w:themeColor="text1"/>
          <w:szCs w:val="24"/>
        </w:rPr>
        <w:t>decades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A21B5">
        <w:rPr>
          <w:rFonts w:cs="Times New Roman"/>
          <w:color w:val="000000" w:themeColor="text1"/>
          <w:szCs w:val="24"/>
        </w:rPr>
        <w:t>even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A21B5">
        <w:rPr>
          <w:rFonts w:cs="Times New Roman"/>
          <w:color w:val="000000" w:themeColor="text1"/>
          <w:szCs w:val="24"/>
        </w:rPr>
        <w:t>without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A21B5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A21B5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A21B5">
        <w:rPr>
          <w:rFonts w:cs="Times New Roman"/>
          <w:color w:val="000000" w:themeColor="text1"/>
          <w:szCs w:val="24"/>
        </w:rPr>
        <w:t>rule,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A21B5">
        <w:rPr>
          <w:rFonts w:cs="Times New Roman"/>
          <w:color w:val="000000" w:themeColor="text1"/>
          <w:szCs w:val="24"/>
        </w:rPr>
        <w:t>following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A21B5">
        <w:rPr>
          <w:rFonts w:cs="Times New Roman"/>
          <w:color w:val="000000" w:themeColor="text1"/>
          <w:szCs w:val="24"/>
        </w:rPr>
        <w:t>existing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A21B5">
        <w:rPr>
          <w:rFonts w:cs="Times New Roman"/>
          <w:color w:val="000000" w:themeColor="text1"/>
          <w:szCs w:val="24"/>
        </w:rPr>
        <w:t>trends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A21B5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A21B5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A21B5">
        <w:rPr>
          <w:rFonts w:cs="Times New Roman"/>
          <w:color w:val="000000" w:themeColor="text1"/>
          <w:szCs w:val="24"/>
        </w:rPr>
        <w:t>chlor-alkali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A21B5">
        <w:rPr>
          <w:rFonts w:cs="Times New Roman"/>
          <w:color w:val="000000" w:themeColor="text1"/>
          <w:szCs w:val="24"/>
        </w:rPr>
        <w:t>industry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A21B5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A21B5">
        <w:rPr>
          <w:rFonts w:cs="Times New Roman"/>
          <w:color w:val="000000" w:themeColor="text1"/>
          <w:szCs w:val="24"/>
        </w:rPr>
        <w:t>transition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A21B5">
        <w:rPr>
          <w:rFonts w:cs="Times New Roman"/>
          <w:color w:val="000000" w:themeColor="text1"/>
          <w:szCs w:val="24"/>
        </w:rPr>
        <w:t>away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A21B5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A21B5">
        <w:rPr>
          <w:rFonts w:cs="Times New Roman"/>
          <w:color w:val="000000" w:themeColor="text1"/>
          <w:szCs w:val="24"/>
        </w:rPr>
        <w:t>asbestos.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91BE2">
        <w:rPr>
          <w:rFonts w:cs="Times New Roman"/>
          <w:color w:val="000000" w:themeColor="text1"/>
          <w:szCs w:val="24"/>
        </w:rPr>
        <w:t>Compared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91BE2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37367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33C8B">
        <w:rPr>
          <w:rFonts w:cs="Times New Roman"/>
          <w:color w:val="000000" w:themeColor="text1"/>
          <w:szCs w:val="24"/>
        </w:rPr>
        <w:t>baseline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91BE2">
        <w:rPr>
          <w:rFonts w:cs="Times New Roman"/>
          <w:color w:val="000000" w:themeColor="text1"/>
          <w:szCs w:val="24"/>
        </w:rPr>
        <w:t>trend,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91BE2">
        <w:rPr>
          <w:rFonts w:cs="Times New Roman"/>
          <w:color w:val="000000" w:themeColor="text1"/>
          <w:szCs w:val="24"/>
        </w:rPr>
        <w:t>t</w:t>
      </w:r>
      <w:r w:rsidRPr="00C317BB">
        <w:rPr>
          <w:rFonts w:cs="Times New Roman"/>
          <w:color w:val="000000" w:themeColor="text1"/>
          <w:szCs w:val="24"/>
        </w:rPr>
        <w:t>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71100">
        <w:rPr>
          <w:rFonts w:cs="Times New Roman"/>
          <w:color w:val="000000" w:themeColor="text1"/>
          <w:szCs w:val="24"/>
        </w:rPr>
        <w:t>incremental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effect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rule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chlor-alkali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industry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over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20</w:t>
      </w:r>
      <w:r w:rsidRPr="00C317BB" w:rsidR="008775BD">
        <w:rPr>
          <w:rFonts w:cs="Times New Roman"/>
          <w:color w:val="000000" w:themeColor="text1"/>
          <w:szCs w:val="24"/>
        </w:rPr>
        <w:t>-</w:t>
      </w:r>
      <w:r w:rsidRPr="00C317BB">
        <w:rPr>
          <w:rFonts w:cs="Times New Roman"/>
          <w:color w:val="000000" w:themeColor="text1"/>
          <w:szCs w:val="24"/>
        </w:rPr>
        <w:t>year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period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3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percent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discount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estimated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range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annualized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about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$</w:t>
      </w:r>
      <w:r w:rsidRPr="00C317BB" w:rsidR="00E56B97">
        <w:rPr>
          <w:rFonts w:cs="Times New Roman"/>
          <w:color w:val="000000" w:themeColor="text1"/>
          <w:szCs w:val="24"/>
        </w:rPr>
        <w:t>49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million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year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annualized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savings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approximately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$</w:t>
      </w:r>
      <w:r w:rsidRPr="00C317BB" w:rsidR="00E56B97">
        <w:rPr>
          <w:rFonts w:cs="Times New Roman"/>
          <w:color w:val="000000" w:themeColor="text1"/>
          <w:szCs w:val="24"/>
        </w:rPr>
        <w:t>35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million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year,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depending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whether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higher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grade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caustic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soda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produced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membrane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cells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continues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command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premium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price.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7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percent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discount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rate,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71100">
        <w:rPr>
          <w:rFonts w:cs="Times New Roman"/>
          <w:color w:val="000000" w:themeColor="text1"/>
          <w:szCs w:val="24"/>
        </w:rPr>
        <w:t>incremental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annualized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effect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ranges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$</w:t>
      </w:r>
      <w:r w:rsidRPr="00C317BB" w:rsidR="00E56B97">
        <w:rPr>
          <w:rFonts w:cs="Times New Roman"/>
          <w:color w:val="000000" w:themeColor="text1"/>
          <w:szCs w:val="24"/>
        </w:rPr>
        <w:t>87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million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year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savings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approximately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$</w:t>
      </w:r>
      <w:r w:rsidRPr="00C317BB" w:rsidR="00E56B97">
        <w:rPr>
          <w:rFonts w:cs="Times New Roman"/>
          <w:color w:val="000000" w:themeColor="text1"/>
          <w:szCs w:val="24"/>
        </w:rPr>
        <w:t>4</w:t>
      </w:r>
      <w:r w:rsidRPr="00C317BB">
        <w:rPr>
          <w:rFonts w:cs="Times New Roman"/>
          <w:color w:val="000000" w:themeColor="text1"/>
          <w:szCs w:val="24"/>
        </w:rPr>
        <w:t>0,000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year,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again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depending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whether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revenue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gains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caustic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soda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production.</w:t>
      </w:r>
    </w:p>
    <w:p w:rsidRPr="00C317BB" w:rsidR="00AC14ED" w:rsidP="00F27167" w:rsidRDefault="00AC14ED" w14:paraId="37A62913" w14:textId="36804C05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also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estimates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approximately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1,800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sets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automotive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brakes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brake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linings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imported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U.S.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each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year,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representing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0.002%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total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U.S.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market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aftermarket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brakes.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prohibition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minimal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due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ready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availability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alternative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products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014EE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014EE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014EE">
        <w:rPr>
          <w:rFonts w:cs="Times New Roman"/>
          <w:color w:val="000000" w:themeColor="text1"/>
          <w:szCs w:val="24"/>
        </w:rPr>
        <w:t>only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014EE">
        <w:rPr>
          <w:rFonts w:cs="Times New Roman"/>
          <w:color w:val="000000" w:themeColor="text1"/>
          <w:szCs w:val="24"/>
        </w:rPr>
        <w:t>slightly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014EE">
        <w:rPr>
          <w:rFonts w:cs="Times New Roman"/>
          <w:color w:val="000000" w:themeColor="text1"/>
          <w:szCs w:val="24"/>
        </w:rPr>
        <w:t>more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014EE">
        <w:rPr>
          <w:rFonts w:cs="Times New Roman"/>
          <w:color w:val="000000" w:themeColor="text1"/>
          <w:szCs w:val="24"/>
        </w:rPr>
        <w:t>expensive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80020">
        <w:rPr>
          <w:rFonts w:cs="Times New Roman"/>
          <w:color w:val="000000" w:themeColor="text1"/>
          <w:szCs w:val="24"/>
        </w:rPr>
        <w:t>(an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80020">
        <w:rPr>
          <w:rFonts w:cs="Times New Roman"/>
          <w:color w:val="000000" w:themeColor="text1"/>
          <w:szCs w:val="24"/>
        </w:rPr>
        <w:t>average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80020">
        <w:rPr>
          <w:rFonts w:cs="Times New Roman"/>
          <w:color w:val="000000" w:themeColor="text1"/>
          <w:szCs w:val="24"/>
        </w:rPr>
        <w:t>cost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80020">
        <w:rPr>
          <w:rFonts w:cs="Times New Roman"/>
          <w:color w:val="000000" w:themeColor="text1"/>
          <w:szCs w:val="24"/>
        </w:rPr>
        <w:t>increase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80020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80020">
        <w:rPr>
          <w:rFonts w:cs="Times New Roman"/>
          <w:color w:val="000000" w:themeColor="text1"/>
          <w:szCs w:val="24"/>
        </w:rPr>
        <w:t>$4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80020">
        <w:rPr>
          <w:rFonts w:cs="Times New Roman"/>
          <w:color w:val="000000" w:themeColor="text1"/>
          <w:szCs w:val="24"/>
        </w:rPr>
        <w:t>per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80020">
        <w:rPr>
          <w:rFonts w:cs="Times New Roman"/>
          <w:color w:val="000000" w:themeColor="text1"/>
          <w:szCs w:val="24"/>
        </w:rPr>
        <w:t>brake)</w:t>
      </w:r>
      <w:r w:rsidRPr="00C317BB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rule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estimated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result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total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annualized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costs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aftermarket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automotive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brakes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approximately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$</w:t>
      </w:r>
      <w:r w:rsidRPr="00C317BB" w:rsidR="00D371B2">
        <w:rPr>
          <w:rFonts w:cs="Times New Roman"/>
          <w:color w:val="000000" w:themeColor="text1"/>
          <w:szCs w:val="24"/>
        </w:rPr>
        <w:t>25,000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year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3%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discount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$</w:t>
      </w:r>
      <w:r w:rsidRPr="00C317BB" w:rsidR="00D371B2">
        <w:rPr>
          <w:rFonts w:cs="Times New Roman"/>
          <w:color w:val="000000" w:themeColor="text1"/>
          <w:szCs w:val="24"/>
        </w:rPr>
        <w:t>18,000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year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7%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discount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rate.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AC14ED" w:rsidP="00F27167" w:rsidRDefault="00AC14ED" w14:paraId="7C827C9D" w14:textId="67CFCC72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have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information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estimate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costs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prohibiting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C6667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remaining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subject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rule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(sheet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gaskets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chemical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production,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brake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blocks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oil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industry,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vehicle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friction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products,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gaskets),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additional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unquantified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costs.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believes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products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declined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over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time,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now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most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small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segments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industries.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7C76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7C76">
        <w:rPr>
          <w:rFonts w:cs="Times New Roman"/>
          <w:color w:val="000000" w:themeColor="text1"/>
          <w:szCs w:val="24"/>
        </w:rPr>
        <w:t>these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7C76">
        <w:rPr>
          <w:rFonts w:cs="Times New Roman"/>
          <w:color w:val="000000" w:themeColor="text1"/>
          <w:szCs w:val="24"/>
        </w:rPr>
        <w:t>remaining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7C76">
        <w:rPr>
          <w:rFonts w:cs="Times New Roman"/>
          <w:color w:val="000000" w:themeColor="text1"/>
          <w:szCs w:val="24"/>
        </w:rPr>
        <w:t>categories,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7C76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7C76">
        <w:rPr>
          <w:rFonts w:cs="Times New Roman"/>
          <w:color w:val="000000" w:themeColor="text1"/>
          <w:szCs w:val="24"/>
        </w:rPr>
        <w:t>requests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7C76">
        <w:rPr>
          <w:rFonts w:cs="Times New Roman"/>
          <w:color w:val="000000" w:themeColor="text1"/>
          <w:szCs w:val="24"/>
        </w:rPr>
        <w:t>comment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7C76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7C76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7C76">
        <w:rPr>
          <w:rFonts w:cs="Times New Roman"/>
          <w:color w:val="000000" w:themeColor="text1"/>
          <w:szCs w:val="24"/>
        </w:rPr>
        <w:t>number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7C76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7C76">
        <w:rPr>
          <w:rFonts w:cs="Times New Roman"/>
          <w:color w:val="000000" w:themeColor="text1"/>
          <w:szCs w:val="24"/>
        </w:rPr>
        <w:t>entities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7C76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7C76">
        <w:rPr>
          <w:rFonts w:cs="Times New Roman"/>
          <w:color w:val="000000" w:themeColor="text1"/>
          <w:szCs w:val="24"/>
        </w:rPr>
        <w:t>manufacture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7C76">
        <w:rPr>
          <w:rFonts w:cs="Times New Roman"/>
          <w:color w:val="000000" w:themeColor="text1"/>
          <w:szCs w:val="24"/>
        </w:rPr>
        <w:t>(including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7C76">
        <w:rPr>
          <w:rFonts w:cs="Times New Roman"/>
          <w:color w:val="000000" w:themeColor="text1"/>
          <w:szCs w:val="24"/>
        </w:rPr>
        <w:t>import),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7C76">
        <w:rPr>
          <w:rFonts w:cs="Times New Roman"/>
          <w:color w:val="000000" w:themeColor="text1"/>
          <w:szCs w:val="24"/>
        </w:rPr>
        <w:t>process,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7C76">
        <w:rPr>
          <w:rFonts w:cs="Times New Roman"/>
          <w:color w:val="000000" w:themeColor="text1"/>
          <w:szCs w:val="24"/>
        </w:rPr>
        <w:t>distribute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7C76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7C76">
        <w:rPr>
          <w:rFonts w:cs="Times New Roman"/>
          <w:color w:val="000000" w:themeColor="text1"/>
          <w:szCs w:val="24"/>
        </w:rPr>
        <w:t>commerce,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7C76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7C76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B4C74">
        <w:rPr>
          <w:rFonts w:cs="Times New Roman"/>
          <w:color w:val="000000" w:themeColor="text1"/>
          <w:szCs w:val="24"/>
        </w:rPr>
        <w:t>products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B4C74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B4C74">
        <w:rPr>
          <w:rFonts w:cs="Times New Roman"/>
          <w:color w:val="000000" w:themeColor="text1"/>
          <w:szCs w:val="24"/>
        </w:rPr>
        <w:t>articles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B4C74">
        <w:rPr>
          <w:rFonts w:cs="Times New Roman"/>
          <w:color w:val="000000" w:themeColor="text1"/>
          <w:szCs w:val="24"/>
        </w:rPr>
        <w:t>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B4C74">
        <w:rPr>
          <w:rFonts w:cs="Times New Roman"/>
          <w:color w:val="000000" w:themeColor="text1"/>
          <w:szCs w:val="24"/>
        </w:rPr>
        <w:t>asbestos.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52036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52036">
        <w:rPr>
          <w:rFonts w:cs="Times New Roman"/>
          <w:color w:val="000000" w:themeColor="text1"/>
          <w:szCs w:val="24"/>
        </w:rPr>
        <w:t>also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52036">
        <w:rPr>
          <w:rFonts w:cs="Times New Roman"/>
          <w:color w:val="000000" w:themeColor="text1"/>
          <w:szCs w:val="24"/>
        </w:rPr>
        <w:t>requests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52036">
        <w:rPr>
          <w:rFonts w:cs="Times New Roman"/>
          <w:color w:val="000000" w:themeColor="text1"/>
          <w:szCs w:val="24"/>
        </w:rPr>
        <w:t>comment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52036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52036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52036">
        <w:rPr>
          <w:rFonts w:cs="Times New Roman"/>
          <w:color w:val="000000" w:themeColor="text1"/>
          <w:szCs w:val="24"/>
        </w:rPr>
        <w:t>costs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52036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52036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52036">
        <w:rPr>
          <w:rFonts w:cs="Times New Roman"/>
          <w:color w:val="000000" w:themeColor="text1"/>
          <w:szCs w:val="24"/>
        </w:rPr>
        <w:t>rule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52036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52036">
        <w:rPr>
          <w:rFonts w:cs="Times New Roman"/>
          <w:color w:val="000000" w:themeColor="text1"/>
          <w:szCs w:val="24"/>
        </w:rPr>
        <w:t>these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52036">
        <w:rPr>
          <w:rFonts w:cs="Times New Roman"/>
          <w:color w:val="000000" w:themeColor="text1"/>
          <w:szCs w:val="24"/>
        </w:rPr>
        <w:t>entities</w:t>
      </w:r>
      <w:r w:rsidRPr="00C317BB" w:rsidR="007B4C74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9651CD" w:rsidP="00F27167" w:rsidRDefault="009651CD" w14:paraId="6D356F3E" w14:textId="79C8B06E">
      <w:pPr>
        <w:pStyle w:val="Heading3"/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3.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Benefits</w:t>
      </w:r>
    </w:p>
    <w:p w:rsidRPr="00C317BB" w:rsidR="00AC14ED" w:rsidP="00F27167" w:rsidRDefault="00AC14ED" w14:paraId="7F953AA1" w14:textId="4EFB8382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EPA’s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Economic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Analysis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rule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quantified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benefits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avoided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cases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bookmarkStart w:name="_Hlk94253466" w:id="9"/>
      <w:r w:rsidRPr="00C317BB">
        <w:rPr>
          <w:rFonts w:cs="Times New Roman"/>
          <w:color w:val="000000" w:themeColor="text1"/>
          <w:szCs w:val="24"/>
        </w:rPr>
        <w:t>lung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cancer,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mesothelioma,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</w:t>
      </w:r>
      <w:bookmarkStart w:name="_Hlk94253004" w:id="10"/>
      <w:r w:rsidRPr="00C317BB">
        <w:rPr>
          <w:rFonts w:cs="Times New Roman"/>
          <w:color w:val="000000" w:themeColor="text1"/>
          <w:szCs w:val="24"/>
        </w:rPr>
        <w:t>varian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cancer,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laryngeal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cancer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bookmarkEnd w:id="9"/>
      <w:bookmarkEnd w:id="10"/>
      <w:r w:rsidRPr="00C317BB">
        <w:rPr>
          <w:rFonts w:cs="Times New Roman"/>
          <w:color w:val="000000" w:themeColor="text1"/>
          <w:szCs w:val="24"/>
        </w:rPr>
        <w:t>due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reduced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exposures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51CD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51CD">
        <w:rPr>
          <w:rFonts w:cs="Times New Roman"/>
          <w:color w:val="000000" w:themeColor="text1"/>
          <w:szCs w:val="24"/>
        </w:rPr>
        <w:t>workers</w:t>
      </w:r>
      <w:r w:rsidRPr="00C317BB" w:rsidR="00136F41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51CD">
        <w:rPr>
          <w:rFonts w:cs="Times New Roman"/>
          <w:color w:val="000000" w:themeColor="text1"/>
          <w:szCs w:val="24"/>
        </w:rPr>
        <w:t>occupational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51CD">
        <w:rPr>
          <w:rFonts w:cs="Times New Roman"/>
          <w:color w:val="000000" w:themeColor="text1"/>
          <w:szCs w:val="24"/>
        </w:rPr>
        <w:t>non</w:t>
      </w:r>
      <w:r w:rsidRPr="00C317BB" w:rsidR="00966941">
        <w:rPr>
          <w:rFonts w:cs="Times New Roman"/>
          <w:color w:val="000000" w:themeColor="text1"/>
          <w:szCs w:val="24"/>
        </w:rPr>
        <w:t>-</w:t>
      </w:r>
      <w:r w:rsidRPr="00C317BB" w:rsidR="009651CD">
        <w:rPr>
          <w:rFonts w:cs="Times New Roman"/>
          <w:color w:val="000000" w:themeColor="text1"/>
          <w:szCs w:val="24"/>
        </w:rPr>
        <w:t>users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51CD">
        <w:rPr>
          <w:rFonts w:cs="Times New Roman"/>
          <w:color w:val="000000" w:themeColor="text1"/>
          <w:szCs w:val="24"/>
        </w:rPr>
        <w:t>(ONUs)</w:t>
      </w:r>
      <w:r w:rsidRPr="00C317BB" w:rsidR="00590E24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36F41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36F41">
        <w:rPr>
          <w:rFonts w:cs="Times New Roman"/>
          <w:color w:val="000000" w:themeColor="text1"/>
          <w:szCs w:val="24"/>
        </w:rPr>
        <w:t>DIYers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related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rule’s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requirements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chlor-alkali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diaphragms,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sheet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gaskets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chemical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production,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aftermarket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brakes.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combined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national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quantified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benefits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avoided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cancer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cases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associated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products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approximately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$</w:t>
      </w:r>
      <w:r w:rsidRPr="00C317BB" w:rsidR="00D71904">
        <w:rPr>
          <w:rFonts w:cs="Times New Roman"/>
          <w:color w:val="000000" w:themeColor="text1"/>
          <w:szCs w:val="24"/>
        </w:rPr>
        <w:t>3,100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year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3%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discount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$</w:t>
      </w:r>
      <w:r w:rsidRPr="00C317BB" w:rsidR="00D71904">
        <w:rPr>
          <w:rFonts w:cs="Times New Roman"/>
          <w:color w:val="000000" w:themeColor="text1"/>
          <w:szCs w:val="24"/>
        </w:rPr>
        <w:t>1,200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year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7%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discount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rate</w:t>
      </w:r>
      <w:r w:rsidRPr="00C317BB" w:rsidR="00CF4FB2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F4FB2">
        <w:rPr>
          <w:rFonts w:cs="Times New Roman"/>
          <w:color w:val="000000" w:themeColor="text1"/>
          <w:szCs w:val="24"/>
        </w:rPr>
        <w:t>based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F4FB2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F4FB2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F4FB2">
        <w:rPr>
          <w:rFonts w:cs="Times New Roman"/>
          <w:color w:val="000000" w:themeColor="text1"/>
          <w:szCs w:val="24"/>
        </w:rPr>
        <w:t>cancer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F4FB2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F4FB2">
        <w:rPr>
          <w:rFonts w:cs="Times New Roman"/>
          <w:color w:val="000000" w:themeColor="text1"/>
          <w:szCs w:val="24"/>
        </w:rPr>
        <w:t>estimates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F4FB2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F4FB2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F4FB2">
        <w:rPr>
          <w:rFonts w:cs="Times New Roman"/>
          <w:color w:val="000000" w:themeColor="text1"/>
          <w:szCs w:val="24"/>
        </w:rPr>
        <w:t>Part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F4FB2">
        <w:rPr>
          <w:rFonts w:cs="Times New Roman"/>
          <w:color w:val="000000" w:themeColor="text1"/>
          <w:szCs w:val="24"/>
        </w:rPr>
        <w:t>1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F4FB2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F4FB2">
        <w:rPr>
          <w:rFonts w:cs="Times New Roman"/>
          <w:color w:val="000000" w:themeColor="text1"/>
          <w:szCs w:val="24"/>
        </w:rPr>
        <w:t>evaluation</w:t>
      </w:r>
      <w:r w:rsidRPr="00C317BB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estimate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aggregate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benefits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requirements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oilfield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brake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blocks,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vehicle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friction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products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gaskets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because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Agency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have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sufficient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information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number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individuals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likely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affected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rule.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Thus,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additional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unquantified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benefits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reducing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exposures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associated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uses.</w:t>
      </w:r>
    </w:p>
    <w:p w:rsidRPr="00C317BB" w:rsidR="00AC14ED" w:rsidP="00F27167" w:rsidRDefault="00AC14ED" w14:paraId="1AF738EA" w14:textId="77777777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There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also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unquantified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benefits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due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avoided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adverse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health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effects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associated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including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respiratory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effects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(e.g.,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asbestosis,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non-malignant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respiratory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disease,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deficits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pulmonary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function,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diffuse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pleural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thickening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pleural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plaques)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immunological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lymphoreticular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effects.</w:t>
      </w:r>
    </w:p>
    <w:p w:rsidRPr="00C317BB" w:rsidR="00AC14ED" w:rsidP="00F27167" w:rsidRDefault="00AC14ED" w14:paraId="194F1764" w14:textId="05034378">
      <w:pPr>
        <w:ind w:firstLine="720"/>
        <w:rPr>
          <w:rFonts w:cs="Times New Roman"/>
          <w:color w:val="000000" w:themeColor="text1"/>
          <w:szCs w:val="24"/>
        </w:rPr>
      </w:pPr>
      <w:bookmarkStart w:name="_Hlk88125889" w:id="11"/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addition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benefits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avoided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adverse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health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effects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135D1">
        <w:rPr>
          <w:rFonts w:cs="Times New Roman"/>
          <w:color w:val="000000" w:themeColor="text1"/>
          <w:szCs w:val="24"/>
        </w:rPr>
        <w:t>associated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135D1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5234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135D1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135D1">
        <w:rPr>
          <w:rFonts w:cs="Times New Roman"/>
          <w:color w:val="000000" w:themeColor="text1"/>
          <w:szCs w:val="24"/>
        </w:rPr>
        <w:t>exposure</w:t>
      </w:r>
      <w:r w:rsidRPr="00C317BB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rule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expected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generate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significant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benefits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reduced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air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pollution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135D1">
        <w:rPr>
          <w:rFonts w:cs="Times New Roman"/>
          <w:color w:val="000000" w:themeColor="text1"/>
          <w:szCs w:val="24"/>
        </w:rPr>
        <w:t>associated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135D1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135D1">
        <w:rPr>
          <w:rFonts w:cs="Times New Roman"/>
          <w:color w:val="000000" w:themeColor="text1"/>
          <w:szCs w:val="24"/>
        </w:rPr>
        <w:t>electricity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135D1">
        <w:rPr>
          <w:rFonts w:cs="Times New Roman"/>
          <w:color w:val="000000" w:themeColor="text1"/>
          <w:szCs w:val="24"/>
        </w:rPr>
        <w:t>generation</w:t>
      </w:r>
      <w:r w:rsidRPr="00C317BB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</w:t>
      </w:r>
      <w:bookmarkEnd w:id="11"/>
      <w:r w:rsidRPr="00C317BB">
        <w:rPr>
          <w:rFonts w:cs="Times New Roman"/>
          <w:color w:val="000000" w:themeColor="text1"/>
          <w:szCs w:val="24"/>
        </w:rPr>
        <w:t>hlor-alkali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production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most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energy-intensive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industrial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operations.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Since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membrane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cells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more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energy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efficient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diaphragm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cells,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converting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diaphragm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cells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membrane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cells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reduces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electricity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consumption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thus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level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pollutants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associated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electric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power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generation,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including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carbon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dioxide,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particulate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matter,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sulfur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dioxide,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nitrogen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oxides.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bookmarkStart w:name="_Hlk96934438" w:id="12"/>
      <w:r w:rsidRPr="00C317BB">
        <w:rPr>
          <w:rFonts w:cs="Times New Roman"/>
          <w:color w:val="000000" w:themeColor="text1"/>
          <w:szCs w:val="24"/>
        </w:rPr>
        <w:t>Based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E5966">
        <w:rPr>
          <w:rFonts w:eastAsia="Arial Unicode MS" w:cs="Times New Roman"/>
          <w:color w:val="000000" w:themeColor="text1"/>
          <w:szCs w:val="24"/>
        </w:rPr>
        <w:t>sensitivity</w:t>
      </w:r>
      <w:r w:rsidR="005613B2">
        <w:rPr>
          <w:rFonts w:eastAsia="Arial Unicode MS"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screening-level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analysis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conducted,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converting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diaphragm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cells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membrane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cells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yield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tens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millions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dollars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year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environmental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health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benefits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reduced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A52C5">
        <w:rPr>
          <w:rFonts w:cs="Times New Roman"/>
          <w:color w:val="000000" w:themeColor="text1"/>
          <w:szCs w:val="24"/>
        </w:rPr>
        <w:t>emissions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A52C5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44783">
        <w:rPr>
          <w:rFonts w:cs="Times New Roman"/>
          <w:color w:val="000000" w:themeColor="text1"/>
          <w:szCs w:val="24"/>
        </w:rPr>
        <w:t>particulate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44783">
        <w:rPr>
          <w:rFonts w:cs="Times New Roman"/>
          <w:color w:val="000000" w:themeColor="text1"/>
          <w:szCs w:val="24"/>
        </w:rPr>
        <w:t>matter,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44783">
        <w:rPr>
          <w:rFonts w:cs="Times New Roman"/>
          <w:color w:val="000000" w:themeColor="text1"/>
          <w:szCs w:val="24"/>
        </w:rPr>
        <w:t>sulfur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44783">
        <w:rPr>
          <w:rFonts w:cs="Times New Roman"/>
          <w:color w:val="000000" w:themeColor="text1"/>
          <w:szCs w:val="24"/>
        </w:rPr>
        <w:t>dioxide,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44783">
        <w:rPr>
          <w:rFonts w:cs="Times New Roman"/>
          <w:color w:val="000000" w:themeColor="text1"/>
          <w:szCs w:val="24"/>
        </w:rPr>
        <w:t>nitrogen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44783">
        <w:rPr>
          <w:rFonts w:cs="Times New Roman"/>
          <w:color w:val="000000" w:themeColor="text1"/>
          <w:szCs w:val="24"/>
        </w:rPr>
        <w:t>oxides</w:t>
      </w:r>
      <w:r w:rsidRPr="00C317BB" w:rsidR="00AA52C5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A52C5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A52C5">
        <w:rPr>
          <w:rFonts w:cs="Times New Roman"/>
          <w:color w:val="000000" w:themeColor="text1"/>
          <w:szCs w:val="24"/>
        </w:rPr>
        <w:t>carbon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A52C5">
        <w:rPr>
          <w:rFonts w:cs="Times New Roman"/>
          <w:color w:val="000000" w:themeColor="text1"/>
          <w:szCs w:val="24"/>
        </w:rPr>
        <w:t>dioxide</w:t>
      </w:r>
      <w:r w:rsidRPr="00C317BB">
        <w:rPr>
          <w:rFonts w:cs="Times New Roman"/>
          <w:color w:val="000000" w:themeColor="text1"/>
          <w:szCs w:val="24"/>
        </w:rPr>
        <w:t>.</w:t>
      </w:r>
      <w:bookmarkEnd w:id="12"/>
      <w:r w:rsidR="005613B2">
        <w:rPr>
          <w:rFonts w:eastAsia="Arial Unicode MS" w:cs="Times New Roman"/>
          <w:color w:val="000000" w:themeColor="text1"/>
          <w:szCs w:val="24"/>
        </w:rPr>
        <w:t xml:space="preserve"> </w:t>
      </w:r>
      <w:r w:rsidRPr="00C317BB" w:rsidR="00A14CEF">
        <w:rPr>
          <w:rFonts w:cs="Times New Roman"/>
          <w:color w:val="000000" w:themeColor="text1"/>
          <w:szCs w:val="24"/>
        </w:rPr>
        <w:t>EPA’s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14CEF">
        <w:rPr>
          <w:rFonts w:cs="Times New Roman"/>
          <w:color w:val="000000" w:themeColor="text1"/>
          <w:szCs w:val="24"/>
        </w:rPr>
        <w:t>Economic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14CEF">
        <w:rPr>
          <w:rFonts w:cs="Times New Roman"/>
          <w:color w:val="000000" w:themeColor="text1"/>
          <w:szCs w:val="24"/>
        </w:rPr>
        <w:t>Analysis,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14CEF">
        <w:rPr>
          <w:rFonts w:cs="Times New Roman"/>
          <w:color w:val="000000" w:themeColor="text1"/>
          <w:szCs w:val="24"/>
        </w:rPr>
        <w:t>which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14CEF">
        <w:rPr>
          <w:rFonts w:cs="Times New Roman"/>
          <w:color w:val="000000" w:themeColor="text1"/>
          <w:szCs w:val="24"/>
        </w:rPr>
        <w:t>can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14CEF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14CEF">
        <w:rPr>
          <w:rFonts w:cs="Times New Roman"/>
          <w:color w:val="000000" w:themeColor="text1"/>
          <w:szCs w:val="24"/>
        </w:rPr>
        <w:t>found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14CEF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14CEF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14CEF">
        <w:rPr>
          <w:rFonts w:cs="Times New Roman"/>
          <w:color w:val="000000" w:themeColor="text1"/>
          <w:szCs w:val="24"/>
        </w:rPr>
        <w:t>rulemaking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14CEF">
        <w:rPr>
          <w:rFonts w:cs="Times New Roman"/>
          <w:color w:val="000000" w:themeColor="text1"/>
          <w:szCs w:val="24"/>
        </w:rPr>
        <w:t>docket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14CEF">
        <w:rPr>
          <w:rFonts w:cs="Times New Roman"/>
          <w:color w:val="000000" w:themeColor="text1"/>
          <w:szCs w:val="24"/>
        </w:rPr>
        <w:t>(Ref.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14CEF">
        <w:rPr>
          <w:rFonts w:cs="Times New Roman"/>
          <w:color w:val="000000" w:themeColor="text1"/>
          <w:szCs w:val="24"/>
        </w:rPr>
        <w:t>2),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14CEF">
        <w:rPr>
          <w:rFonts w:cs="Times New Roman"/>
          <w:color w:val="000000" w:themeColor="text1"/>
          <w:szCs w:val="24"/>
        </w:rPr>
        <w:t>contains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14CEF">
        <w:rPr>
          <w:rFonts w:cs="Times New Roman"/>
          <w:color w:val="000000" w:themeColor="text1"/>
          <w:szCs w:val="24"/>
        </w:rPr>
        <w:t>more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14CEF">
        <w:rPr>
          <w:rFonts w:cs="Times New Roman"/>
          <w:color w:val="000000" w:themeColor="text1"/>
          <w:szCs w:val="24"/>
        </w:rPr>
        <w:t>information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14CEF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14CEF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14CEF">
        <w:rPr>
          <w:rFonts w:cs="Times New Roman"/>
          <w:color w:val="000000" w:themeColor="text1"/>
          <w:szCs w:val="24"/>
        </w:rPr>
        <w:t>potential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14CEF">
        <w:rPr>
          <w:rFonts w:cs="Times New Roman"/>
          <w:color w:val="000000" w:themeColor="text1"/>
          <w:szCs w:val="24"/>
        </w:rPr>
        <w:t>magnitude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14CEF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14CEF">
        <w:rPr>
          <w:rFonts w:cs="Times New Roman"/>
          <w:color w:val="000000" w:themeColor="text1"/>
          <w:szCs w:val="24"/>
        </w:rPr>
        <w:t>these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5AC8">
        <w:rPr>
          <w:rFonts w:eastAsia="Arial Unicode MS" w:cs="Times New Roman"/>
          <w:color w:val="000000" w:themeColor="text1"/>
          <w:szCs w:val="24"/>
        </w:rPr>
        <w:t>monetized</w:t>
      </w:r>
      <w:r w:rsidR="005613B2">
        <w:rPr>
          <w:rFonts w:eastAsia="Arial Unicode MS" w:cs="Times New Roman"/>
          <w:color w:val="000000" w:themeColor="text1"/>
          <w:szCs w:val="24"/>
        </w:rPr>
        <w:t xml:space="preserve"> </w:t>
      </w:r>
      <w:r w:rsidRPr="00C317BB" w:rsidR="00A14CEF">
        <w:rPr>
          <w:rFonts w:eastAsia="Arial Unicode MS" w:cs="Times New Roman"/>
          <w:color w:val="000000" w:themeColor="text1"/>
          <w:szCs w:val="24"/>
        </w:rPr>
        <w:t>benefits</w:t>
      </w:r>
      <w:r w:rsidR="005613B2">
        <w:rPr>
          <w:rFonts w:eastAsia="Arial Unicode MS" w:cs="Times New Roman"/>
          <w:color w:val="000000" w:themeColor="text1"/>
          <w:szCs w:val="24"/>
        </w:rPr>
        <w:t xml:space="preserve"> </w:t>
      </w:r>
      <w:r w:rsidRPr="00C317BB" w:rsidR="00785AC8">
        <w:rPr>
          <w:rFonts w:eastAsia="Arial Unicode MS" w:cs="Times New Roman"/>
          <w:color w:val="000000" w:themeColor="text1"/>
          <w:szCs w:val="24"/>
        </w:rPr>
        <w:t>from</w:t>
      </w:r>
      <w:r w:rsidR="005613B2">
        <w:rPr>
          <w:rFonts w:eastAsia="Arial Unicode MS" w:cs="Times New Roman"/>
          <w:color w:val="000000" w:themeColor="text1"/>
          <w:szCs w:val="24"/>
        </w:rPr>
        <w:t xml:space="preserve"> </w:t>
      </w:r>
      <w:r w:rsidRPr="00C317BB" w:rsidR="00785AC8">
        <w:rPr>
          <w:rFonts w:eastAsia="Arial Unicode MS" w:cs="Times New Roman"/>
          <w:color w:val="000000" w:themeColor="text1"/>
          <w:szCs w:val="24"/>
        </w:rPr>
        <w:t>reduced</w:t>
      </w:r>
      <w:r w:rsidR="005613B2">
        <w:rPr>
          <w:rFonts w:eastAsia="Arial Unicode MS" w:cs="Times New Roman"/>
          <w:color w:val="000000" w:themeColor="text1"/>
          <w:szCs w:val="24"/>
        </w:rPr>
        <w:t xml:space="preserve"> </w:t>
      </w:r>
      <w:r w:rsidRPr="00C317BB" w:rsidR="00785AC8">
        <w:rPr>
          <w:rFonts w:eastAsia="Arial Unicode MS" w:cs="Times New Roman"/>
          <w:color w:val="000000" w:themeColor="text1"/>
          <w:szCs w:val="24"/>
        </w:rPr>
        <w:t>criteria</w:t>
      </w:r>
      <w:r w:rsidR="005613B2">
        <w:rPr>
          <w:rFonts w:eastAsia="Arial Unicode MS" w:cs="Times New Roman"/>
          <w:color w:val="000000" w:themeColor="text1"/>
          <w:szCs w:val="24"/>
        </w:rPr>
        <w:t xml:space="preserve"> </w:t>
      </w:r>
      <w:r w:rsidRPr="00C317BB" w:rsidR="00785AC8">
        <w:rPr>
          <w:rFonts w:eastAsia="Arial Unicode MS" w:cs="Times New Roman"/>
          <w:color w:val="000000" w:themeColor="text1"/>
          <w:szCs w:val="24"/>
        </w:rPr>
        <w:t>air</w:t>
      </w:r>
      <w:r w:rsidR="005613B2">
        <w:rPr>
          <w:rFonts w:eastAsia="Arial Unicode MS" w:cs="Times New Roman"/>
          <w:color w:val="000000" w:themeColor="text1"/>
          <w:szCs w:val="24"/>
        </w:rPr>
        <w:t xml:space="preserve"> </w:t>
      </w:r>
      <w:r w:rsidRPr="00C317BB" w:rsidR="00785AC8">
        <w:rPr>
          <w:rFonts w:eastAsia="Arial Unicode MS" w:cs="Times New Roman"/>
          <w:color w:val="000000" w:themeColor="text1"/>
          <w:szCs w:val="24"/>
        </w:rPr>
        <w:t>pollutants</w:t>
      </w:r>
      <w:r w:rsidR="005613B2">
        <w:rPr>
          <w:rFonts w:eastAsia="Arial Unicode MS" w:cs="Times New Roman"/>
          <w:color w:val="000000" w:themeColor="text1"/>
          <w:szCs w:val="24"/>
        </w:rPr>
        <w:t xml:space="preserve"> </w:t>
      </w:r>
      <w:r w:rsidRPr="00C317BB" w:rsidR="00785AC8">
        <w:rPr>
          <w:rFonts w:eastAsia="Arial Unicode MS" w:cs="Times New Roman"/>
          <w:color w:val="000000" w:themeColor="text1"/>
          <w:szCs w:val="24"/>
        </w:rPr>
        <w:t>and</w:t>
      </w:r>
      <w:r w:rsidR="005613B2">
        <w:rPr>
          <w:rFonts w:eastAsia="Arial Unicode MS" w:cs="Times New Roman"/>
          <w:color w:val="000000" w:themeColor="text1"/>
          <w:szCs w:val="24"/>
        </w:rPr>
        <w:t xml:space="preserve"> </w:t>
      </w:r>
      <w:r w:rsidRPr="00C317BB" w:rsidR="00AA52C5">
        <w:rPr>
          <w:rFonts w:eastAsia="Arial Unicode MS" w:cs="Times New Roman"/>
          <w:color w:val="000000" w:themeColor="text1"/>
          <w:szCs w:val="24"/>
        </w:rPr>
        <w:t>carbon</w:t>
      </w:r>
      <w:r w:rsidR="005613B2">
        <w:rPr>
          <w:rFonts w:eastAsia="Arial Unicode MS" w:cs="Times New Roman"/>
          <w:color w:val="000000" w:themeColor="text1"/>
          <w:szCs w:val="24"/>
        </w:rPr>
        <w:t xml:space="preserve"> </w:t>
      </w:r>
      <w:r w:rsidRPr="00C317BB" w:rsidR="00AA52C5">
        <w:rPr>
          <w:rFonts w:eastAsia="Arial Unicode MS" w:cs="Times New Roman"/>
          <w:color w:val="000000" w:themeColor="text1"/>
          <w:szCs w:val="24"/>
        </w:rPr>
        <w:t>dioxide</w:t>
      </w:r>
      <w:r w:rsidR="005613B2">
        <w:rPr>
          <w:rFonts w:eastAsia="Arial Unicode MS" w:cs="Times New Roman"/>
          <w:color w:val="000000" w:themeColor="text1"/>
          <w:szCs w:val="24"/>
          <w:vertAlign w:val="subscript"/>
        </w:rPr>
        <w:t xml:space="preserve"> </w:t>
      </w:r>
      <w:r w:rsidRPr="00C317BB" w:rsidR="00785AC8">
        <w:rPr>
          <w:rFonts w:eastAsia="Arial Unicode MS" w:cs="Times New Roman"/>
          <w:color w:val="000000" w:themeColor="text1"/>
          <w:szCs w:val="24"/>
        </w:rPr>
        <w:t>emission</w:t>
      </w:r>
      <w:r w:rsidRPr="00C317BB" w:rsidR="00EB782B">
        <w:rPr>
          <w:rFonts w:eastAsia="Arial Unicode MS" w:cs="Times New Roman"/>
          <w:color w:val="000000" w:themeColor="text1"/>
          <w:szCs w:val="24"/>
        </w:rPr>
        <w:t>s</w:t>
      </w:r>
      <w:r w:rsidR="005613B2">
        <w:rPr>
          <w:rFonts w:eastAsia="Arial Unicode MS" w:cs="Times New Roman"/>
          <w:color w:val="000000" w:themeColor="text1"/>
          <w:szCs w:val="24"/>
        </w:rPr>
        <w:t xml:space="preserve"> </w:t>
      </w:r>
      <w:r w:rsidRPr="00C317BB" w:rsidR="00A14CEF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14CEF">
        <w:rPr>
          <w:rFonts w:cs="Times New Roman"/>
          <w:color w:val="000000" w:themeColor="text1"/>
          <w:szCs w:val="24"/>
        </w:rPr>
        <w:t>well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14CEF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14CEF">
        <w:rPr>
          <w:rFonts w:cs="Times New Roman"/>
          <w:color w:val="000000" w:themeColor="text1"/>
          <w:szCs w:val="24"/>
        </w:rPr>
        <w:t>caveats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14CEF">
        <w:rPr>
          <w:rFonts w:cs="Times New Roman"/>
          <w:color w:val="000000" w:themeColor="text1"/>
          <w:szCs w:val="24"/>
        </w:rPr>
        <w:t>about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14CEF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14CEF">
        <w:rPr>
          <w:rFonts w:cs="Times New Roman"/>
          <w:color w:val="000000" w:themeColor="text1"/>
          <w:szCs w:val="24"/>
        </w:rPr>
        <w:t>limitations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E23D5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E23D5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14CEF">
        <w:rPr>
          <w:rFonts w:cs="Times New Roman"/>
          <w:color w:val="000000" w:themeColor="text1"/>
          <w:szCs w:val="24"/>
        </w:rPr>
        <w:t>screening-level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14CEF">
        <w:rPr>
          <w:rFonts w:cs="Times New Roman"/>
          <w:color w:val="000000" w:themeColor="text1"/>
          <w:szCs w:val="24"/>
        </w:rPr>
        <w:t>analysis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14CEF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14CEF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14CEF">
        <w:rPr>
          <w:rFonts w:cs="Times New Roman"/>
          <w:color w:val="000000" w:themeColor="text1"/>
          <w:szCs w:val="24"/>
        </w:rPr>
        <w:t>conducted.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AC14ED" w:rsidP="00F27167" w:rsidRDefault="00AC14ED" w14:paraId="0A411B84" w14:textId="2FBEE665">
      <w:pPr>
        <w:pStyle w:val="Heading3"/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4.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Small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Entity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Impacts</w:t>
      </w:r>
    </w:p>
    <w:p w:rsidRPr="00C317BB" w:rsidR="00AC14ED" w:rsidP="00F27167" w:rsidRDefault="00E66DDB" w14:paraId="7EC955AA" w14:textId="4B1D9592">
      <w:pPr>
        <w:shd w:val="clear" w:color="auto" w:fill="FFFFFF" w:themeFill="background1"/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described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more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detail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VIII.C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C4265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Economic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Analysis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rulemaking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(Ref.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2),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estimates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rule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would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affect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least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15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small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entities,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72F07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72F07">
        <w:rPr>
          <w:rFonts w:cs="Times New Roman"/>
          <w:color w:val="000000" w:themeColor="text1"/>
          <w:szCs w:val="24"/>
        </w:rPr>
        <w:t>which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72F07">
        <w:rPr>
          <w:rFonts w:cs="Times New Roman"/>
          <w:color w:val="000000" w:themeColor="text1"/>
          <w:szCs w:val="24"/>
        </w:rPr>
        <w:t>12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72F07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72F07">
        <w:rPr>
          <w:rFonts w:cs="Times New Roman"/>
          <w:color w:val="000000" w:themeColor="text1"/>
          <w:szCs w:val="24"/>
        </w:rPr>
        <w:t>businesses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72F07">
        <w:rPr>
          <w:rFonts w:cs="Times New Roman"/>
          <w:color w:val="000000" w:themeColor="text1"/>
          <w:szCs w:val="24"/>
        </w:rPr>
        <w:t>supplying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72F07">
        <w:rPr>
          <w:rFonts w:cs="Times New Roman"/>
          <w:color w:val="000000" w:themeColor="text1"/>
          <w:szCs w:val="24"/>
        </w:rPr>
        <w:t>aftermarket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72F07">
        <w:rPr>
          <w:rFonts w:cs="Times New Roman"/>
          <w:color w:val="000000" w:themeColor="text1"/>
          <w:szCs w:val="24"/>
        </w:rPr>
        <w:t>brakes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72F07">
        <w:rPr>
          <w:rFonts w:cs="Times New Roman"/>
          <w:color w:val="000000" w:themeColor="text1"/>
          <w:szCs w:val="24"/>
        </w:rPr>
        <w:t>incurring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72F07">
        <w:rPr>
          <w:rFonts w:cs="Times New Roman"/>
          <w:color w:val="000000" w:themeColor="text1"/>
          <w:szCs w:val="24"/>
        </w:rPr>
        <w:t>costs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72F07">
        <w:rPr>
          <w:rFonts w:cs="Times New Roman"/>
          <w:color w:val="000000" w:themeColor="text1"/>
          <w:szCs w:val="24"/>
        </w:rPr>
        <w:t>between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72F07">
        <w:rPr>
          <w:rFonts w:cs="Times New Roman"/>
          <w:color w:val="000000" w:themeColor="text1"/>
          <w:szCs w:val="24"/>
        </w:rPr>
        <w:t>$778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72F07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72F07">
        <w:rPr>
          <w:rFonts w:cs="Times New Roman"/>
          <w:color w:val="000000" w:themeColor="text1"/>
          <w:szCs w:val="24"/>
        </w:rPr>
        <w:t>$11,523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72F07">
        <w:rPr>
          <w:rFonts w:cs="Times New Roman"/>
          <w:color w:val="000000" w:themeColor="text1"/>
          <w:szCs w:val="24"/>
        </w:rPr>
        <w:t>per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72F07">
        <w:rPr>
          <w:rFonts w:cs="Times New Roman"/>
          <w:color w:val="000000" w:themeColor="text1"/>
          <w:szCs w:val="24"/>
        </w:rPr>
        <w:t>firm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72F07">
        <w:rPr>
          <w:rFonts w:cs="Times New Roman"/>
          <w:color w:val="000000" w:themeColor="text1"/>
          <w:szCs w:val="24"/>
        </w:rPr>
        <w:t>(depending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72F07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72F07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72F07">
        <w:rPr>
          <w:rFonts w:cs="Times New Roman"/>
          <w:color w:val="000000" w:themeColor="text1"/>
          <w:szCs w:val="24"/>
        </w:rPr>
        <w:t>number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72F07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72F07">
        <w:rPr>
          <w:rFonts w:cs="Times New Roman"/>
          <w:color w:val="000000" w:themeColor="text1"/>
          <w:szCs w:val="24"/>
        </w:rPr>
        <w:t>brake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72F07">
        <w:rPr>
          <w:rFonts w:cs="Times New Roman"/>
          <w:color w:val="000000" w:themeColor="text1"/>
          <w:szCs w:val="24"/>
        </w:rPr>
        <w:t>replacements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72F07">
        <w:rPr>
          <w:rFonts w:cs="Times New Roman"/>
          <w:color w:val="000000" w:themeColor="text1"/>
          <w:szCs w:val="24"/>
        </w:rPr>
        <w:t>they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72F07">
        <w:rPr>
          <w:rFonts w:cs="Times New Roman"/>
          <w:color w:val="000000" w:themeColor="text1"/>
          <w:szCs w:val="24"/>
        </w:rPr>
        <w:t>perform).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72F07">
        <w:rPr>
          <w:rFonts w:cs="Times New Roman"/>
          <w:color w:val="000000" w:themeColor="text1"/>
          <w:szCs w:val="24"/>
        </w:rPr>
        <w:t>Nine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72F07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72F07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72F07">
        <w:rPr>
          <w:rFonts w:cs="Times New Roman"/>
          <w:color w:val="000000" w:themeColor="text1"/>
          <w:szCs w:val="24"/>
        </w:rPr>
        <w:t>brake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72F07">
        <w:rPr>
          <w:rFonts w:cs="Times New Roman"/>
          <w:color w:val="000000" w:themeColor="text1"/>
          <w:szCs w:val="24"/>
        </w:rPr>
        <w:t>replacement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72F07">
        <w:rPr>
          <w:rFonts w:cs="Times New Roman"/>
          <w:color w:val="000000" w:themeColor="text1"/>
          <w:szCs w:val="24"/>
        </w:rPr>
        <w:t>firms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72F07">
        <w:rPr>
          <w:rFonts w:cs="Times New Roman"/>
          <w:color w:val="000000" w:themeColor="text1"/>
          <w:szCs w:val="24"/>
        </w:rPr>
        <w:t>have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cost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impact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less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than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1%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their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annual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revenues.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bookmarkStart w:name="_Hlk98230075" w:id="13"/>
      <w:r w:rsidRPr="00C317BB" w:rsidR="00372183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72183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6974">
        <w:rPr>
          <w:rFonts w:cs="Times New Roman"/>
          <w:color w:val="000000" w:themeColor="text1"/>
          <w:szCs w:val="24"/>
        </w:rPr>
        <w:t>three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72183">
        <w:rPr>
          <w:rFonts w:cs="Times New Roman"/>
          <w:color w:val="000000" w:themeColor="text1"/>
          <w:szCs w:val="24"/>
        </w:rPr>
        <w:t>small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72183">
        <w:rPr>
          <w:rFonts w:cs="Times New Roman"/>
          <w:color w:val="000000" w:themeColor="text1"/>
          <w:szCs w:val="24"/>
        </w:rPr>
        <w:t>entities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72183">
        <w:rPr>
          <w:rFonts w:cs="Times New Roman"/>
          <w:color w:val="000000" w:themeColor="text1"/>
          <w:szCs w:val="24"/>
        </w:rPr>
        <w:t>estimated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72183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72183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72183">
        <w:rPr>
          <w:rFonts w:cs="Times New Roman"/>
          <w:color w:val="000000" w:themeColor="text1"/>
          <w:szCs w:val="24"/>
        </w:rPr>
        <w:t>affected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72183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72183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72183">
        <w:rPr>
          <w:rFonts w:cs="Times New Roman"/>
          <w:color w:val="000000" w:themeColor="text1"/>
          <w:szCs w:val="24"/>
        </w:rPr>
        <w:t>rule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72183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72183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72183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72183">
        <w:rPr>
          <w:rFonts w:cs="Times New Roman"/>
          <w:color w:val="000000" w:themeColor="text1"/>
          <w:szCs w:val="24"/>
        </w:rPr>
        <w:t>supplying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72183">
        <w:rPr>
          <w:rFonts w:cs="Times New Roman"/>
          <w:color w:val="000000" w:themeColor="text1"/>
          <w:szCs w:val="24"/>
        </w:rPr>
        <w:t>aftermarket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72183">
        <w:rPr>
          <w:rFonts w:cs="Times New Roman"/>
          <w:color w:val="000000" w:themeColor="text1"/>
          <w:szCs w:val="24"/>
        </w:rPr>
        <w:t>brakes,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6974">
        <w:rPr>
          <w:rFonts w:cs="Times New Roman"/>
          <w:color w:val="000000" w:themeColor="text1"/>
          <w:szCs w:val="24"/>
        </w:rPr>
        <w:t>two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72183">
        <w:rPr>
          <w:rFonts w:cs="Times New Roman"/>
          <w:color w:val="000000" w:themeColor="text1"/>
          <w:szCs w:val="24"/>
        </w:rPr>
        <w:t>manufacture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72183">
        <w:rPr>
          <w:rFonts w:cs="Times New Roman"/>
          <w:color w:val="000000" w:themeColor="text1"/>
          <w:szCs w:val="24"/>
        </w:rPr>
        <w:t>sheet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72183">
        <w:rPr>
          <w:rFonts w:cs="Times New Roman"/>
          <w:color w:val="000000" w:themeColor="text1"/>
          <w:szCs w:val="24"/>
        </w:rPr>
        <w:t>gaskets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72183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72183">
        <w:rPr>
          <w:rFonts w:cs="Times New Roman"/>
          <w:color w:val="000000" w:themeColor="text1"/>
          <w:szCs w:val="24"/>
        </w:rPr>
        <w:t>chemical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72183">
        <w:rPr>
          <w:rFonts w:cs="Times New Roman"/>
          <w:color w:val="000000" w:themeColor="text1"/>
          <w:szCs w:val="24"/>
        </w:rPr>
        <w:t>production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72183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72183">
        <w:rPr>
          <w:rFonts w:cs="Times New Roman"/>
          <w:color w:val="000000" w:themeColor="text1"/>
          <w:szCs w:val="24"/>
        </w:rPr>
        <w:t>one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72183">
        <w:rPr>
          <w:rFonts w:cs="Times New Roman"/>
          <w:color w:val="000000" w:themeColor="text1"/>
          <w:szCs w:val="24"/>
        </w:rPr>
        <w:t>imports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72183">
        <w:rPr>
          <w:rFonts w:cs="Times New Roman"/>
          <w:color w:val="000000" w:themeColor="text1"/>
          <w:szCs w:val="24"/>
        </w:rPr>
        <w:t>oilfield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72183">
        <w:rPr>
          <w:rFonts w:cs="Times New Roman"/>
          <w:color w:val="000000" w:themeColor="text1"/>
          <w:szCs w:val="24"/>
        </w:rPr>
        <w:t>brake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72183">
        <w:rPr>
          <w:rFonts w:cs="Times New Roman"/>
          <w:color w:val="000000" w:themeColor="text1"/>
          <w:szCs w:val="24"/>
        </w:rPr>
        <w:t>blocks.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72183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72183">
        <w:rPr>
          <w:rFonts w:cs="Times New Roman"/>
          <w:color w:val="000000" w:themeColor="text1"/>
          <w:szCs w:val="24"/>
        </w:rPr>
        <w:t>was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72183">
        <w:rPr>
          <w:rFonts w:cs="Times New Roman"/>
          <w:color w:val="000000" w:themeColor="text1"/>
          <w:szCs w:val="24"/>
        </w:rPr>
        <w:t>unable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72183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72183">
        <w:rPr>
          <w:rFonts w:cs="Times New Roman"/>
          <w:color w:val="000000" w:themeColor="text1"/>
          <w:szCs w:val="24"/>
        </w:rPr>
        <w:t>estimate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72183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72183">
        <w:rPr>
          <w:rFonts w:cs="Times New Roman"/>
          <w:color w:val="000000" w:themeColor="text1"/>
          <w:szCs w:val="24"/>
        </w:rPr>
        <w:t>magnitude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72183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72183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72183">
        <w:rPr>
          <w:rFonts w:cs="Times New Roman"/>
          <w:color w:val="000000" w:themeColor="text1"/>
          <w:szCs w:val="24"/>
        </w:rPr>
        <w:t>impacts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72183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72183">
        <w:rPr>
          <w:rFonts w:cs="Times New Roman"/>
          <w:color w:val="000000" w:themeColor="text1"/>
          <w:szCs w:val="24"/>
        </w:rPr>
        <w:t>these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72183">
        <w:rPr>
          <w:rFonts w:cs="Times New Roman"/>
          <w:color w:val="000000" w:themeColor="text1"/>
          <w:szCs w:val="24"/>
        </w:rPr>
        <w:t>small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72183">
        <w:rPr>
          <w:rFonts w:cs="Times New Roman"/>
          <w:color w:val="000000" w:themeColor="text1"/>
          <w:szCs w:val="24"/>
        </w:rPr>
        <w:t>entities.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bookmarkEnd w:id="13"/>
      <w:r w:rsidRPr="00C317BB" w:rsidR="00AC14ED">
        <w:rPr>
          <w:rFonts w:cs="Times New Roman"/>
          <w:color w:val="000000" w:themeColor="text1"/>
          <w:szCs w:val="24"/>
        </w:rPr>
        <w:t>Chlor-alkali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plants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account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nearly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all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quantified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costs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rule,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none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firms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operating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chlor-alkali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plants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small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businesses.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No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small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businesses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have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been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identified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using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sheet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gaskets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chemical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production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brake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blocks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oil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industry,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but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small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businesses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do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supply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these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products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end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users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small.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Asbestos-free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products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these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applications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reportedly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do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last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long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items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asbestos.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result,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rule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could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increase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revenues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affected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small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business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suppliers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if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they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sell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larger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volume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non-asbestos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products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end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users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replacements.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remaining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7168F">
        <w:rPr>
          <w:rFonts w:cs="Times New Roman"/>
          <w:color w:val="000000" w:themeColor="text1"/>
          <w:szCs w:val="24"/>
        </w:rPr>
        <w:t>categories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(aftermarket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automotive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brakes,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gaskets,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vehicle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friction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products)</w:t>
      </w:r>
      <w:r w:rsidRPr="00C317BB" w:rsidR="00DE5637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has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identified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firms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312D7">
        <w:rPr>
          <w:rFonts w:cs="Times New Roman"/>
          <w:color w:val="000000" w:themeColor="text1"/>
          <w:szCs w:val="24"/>
        </w:rPr>
        <w:t>(</w:t>
      </w:r>
      <w:r w:rsidRPr="00C317BB" w:rsidR="00AC14ED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any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size</w:t>
      </w:r>
      <w:r w:rsidRPr="00C317BB" w:rsidR="008312D7">
        <w:rPr>
          <w:rFonts w:cs="Times New Roman"/>
          <w:color w:val="000000" w:themeColor="text1"/>
          <w:szCs w:val="24"/>
        </w:rPr>
        <w:t>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manufacturing,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processing</w:t>
      </w:r>
      <w:r w:rsidRPr="00C317BB" w:rsidR="00C406E9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406E9">
        <w:rPr>
          <w:rFonts w:cs="Times New Roman"/>
          <w:color w:val="000000" w:themeColor="text1"/>
          <w:szCs w:val="24"/>
        </w:rPr>
        <w:t>distributing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using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products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asbestos.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extent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there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any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small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businesses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engaged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these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activities,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there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likely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only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few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firms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facing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small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cost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increase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asbestos-free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products,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any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such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cost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increase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can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probably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passed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4ED">
        <w:rPr>
          <w:rFonts w:cs="Times New Roman"/>
          <w:color w:val="000000" w:themeColor="text1"/>
          <w:szCs w:val="24"/>
        </w:rPr>
        <w:t>consumers.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70C7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70C7">
        <w:rPr>
          <w:rFonts w:cs="Times New Roman"/>
          <w:color w:val="000000" w:themeColor="text1"/>
          <w:szCs w:val="24"/>
        </w:rPr>
        <w:t>requests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70C7">
        <w:rPr>
          <w:rFonts w:cs="Times New Roman"/>
          <w:color w:val="000000" w:themeColor="text1"/>
          <w:szCs w:val="24"/>
        </w:rPr>
        <w:t>public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70C7">
        <w:rPr>
          <w:rFonts w:cs="Times New Roman"/>
          <w:color w:val="000000" w:themeColor="text1"/>
          <w:szCs w:val="24"/>
        </w:rPr>
        <w:t>comments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70C7">
        <w:rPr>
          <w:rFonts w:cs="Times New Roman"/>
          <w:color w:val="000000" w:themeColor="text1"/>
          <w:szCs w:val="24"/>
        </w:rPr>
        <w:t>regarding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70C7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70C7">
        <w:rPr>
          <w:rFonts w:cs="Times New Roman"/>
          <w:color w:val="000000" w:themeColor="text1"/>
          <w:szCs w:val="24"/>
        </w:rPr>
        <w:t>number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70C7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70C7">
        <w:rPr>
          <w:rFonts w:cs="Times New Roman"/>
          <w:color w:val="000000" w:themeColor="text1"/>
          <w:szCs w:val="24"/>
        </w:rPr>
        <w:t>small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70C7">
        <w:rPr>
          <w:rFonts w:cs="Times New Roman"/>
          <w:color w:val="000000" w:themeColor="text1"/>
          <w:szCs w:val="24"/>
        </w:rPr>
        <w:t>businesses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70C7">
        <w:rPr>
          <w:rFonts w:cs="Times New Roman"/>
          <w:color w:val="000000" w:themeColor="text1"/>
          <w:szCs w:val="24"/>
        </w:rPr>
        <w:t>subject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70C7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70C7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70C7">
        <w:rPr>
          <w:rFonts w:cs="Times New Roman"/>
          <w:color w:val="000000" w:themeColor="text1"/>
          <w:szCs w:val="24"/>
        </w:rPr>
        <w:t>rule,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70C7">
        <w:rPr>
          <w:rFonts w:cs="Times New Roman"/>
          <w:color w:val="000000" w:themeColor="text1"/>
          <w:szCs w:val="24"/>
        </w:rPr>
        <w:t>including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70C7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70C7">
        <w:rPr>
          <w:rFonts w:cs="Times New Roman"/>
          <w:color w:val="000000" w:themeColor="text1"/>
          <w:szCs w:val="24"/>
        </w:rPr>
        <w:t>categories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70C7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70C7">
        <w:rPr>
          <w:rFonts w:cs="Times New Roman"/>
          <w:color w:val="000000" w:themeColor="text1"/>
          <w:szCs w:val="24"/>
        </w:rPr>
        <w:t>which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70C7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70C7">
        <w:rPr>
          <w:rFonts w:cs="Times New Roman"/>
          <w:color w:val="000000" w:themeColor="text1"/>
          <w:szCs w:val="24"/>
        </w:rPr>
        <w:t>did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70C7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70C7">
        <w:rPr>
          <w:rFonts w:cs="Times New Roman"/>
          <w:color w:val="000000" w:themeColor="text1"/>
          <w:szCs w:val="24"/>
        </w:rPr>
        <w:t>identify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70C7">
        <w:rPr>
          <w:rFonts w:cs="Times New Roman"/>
          <w:color w:val="000000" w:themeColor="text1"/>
          <w:szCs w:val="24"/>
        </w:rPr>
        <w:t>any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70C7">
        <w:rPr>
          <w:rFonts w:cs="Times New Roman"/>
          <w:color w:val="000000" w:themeColor="text1"/>
          <w:szCs w:val="24"/>
        </w:rPr>
        <w:t>affected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70C7">
        <w:rPr>
          <w:rFonts w:cs="Times New Roman"/>
          <w:color w:val="000000" w:themeColor="text1"/>
          <w:szCs w:val="24"/>
        </w:rPr>
        <w:t>small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70C7">
        <w:rPr>
          <w:rFonts w:cs="Times New Roman"/>
          <w:color w:val="000000" w:themeColor="text1"/>
          <w:szCs w:val="24"/>
        </w:rPr>
        <w:t>businesses,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70C7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70C7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70C7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70C7">
        <w:rPr>
          <w:rFonts w:cs="Times New Roman"/>
          <w:color w:val="000000" w:themeColor="text1"/>
          <w:szCs w:val="24"/>
        </w:rPr>
        <w:t>potential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70C7">
        <w:rPr>
          <w:rFonts w:cs="Times New Roman"/>
          <w:color w:val="000000" w:themeColor="text1"/>
          <w:szCs w:val="24"/>
        </w:rPr>
        <w:t>impacts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70C7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70C7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70C7">
        <w:rPr>
          <w:rFonts w:cs="Times New Roman"/>
          <w:color w:val="000000" w:themeColor="text1"/>
          <w:szCs w:val="24"/>
        </w:rPr>
        <w:t>rule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70C7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70C7">
        <w:rPr>
          <w:rFonts w:cs="Times New Roman"/>
          <w:color w:val="000000" w:themeColor="text1"/>
          <w:szCs w:val="24"/>
        </w:rPr>
        <w:t>these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70C7">
        <w:rPr>
          <w:rFonts w:cs="Times New Roman"/>
          <w:color w:val="000000" w:themeColor="text1"/>
          <w:szCs w:val="24"/>
        </w:rPr>
        <w:t>small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70C7">
        <w:rPr>
          <w:rFonts w:cs="Times New Roman"/>
          <w:color w:val="000000" w:themeColor="text1"/>
          <w:szCs w:val="24"/>
        </w:rPr>
        <w:t>businesses.</w:t>
      </w:r>
    </w:p>
    <w:p w:rsidRPr="00C317BB" w:rsidR="00AC14ED" w:rsidP="00F27167" w:rsidRDefault="00AC14ED" w14:paraId="0CE85C3D" w14:textId="107A7B60">
      <w:pPr>
        <w:pStyle w:val="Heading3"/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5.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bookmarkStart w:name="_Hlk93659199" w:id="14"/>
      <w:r w:rsidRPr="00C317BB">
        <w:rPr>
          <w:rFonts w:cs="Times New Roman"/>
          <w:color w:val="000000" w:themeColor="text1"/>
          <w:szCs w:val="24"/>
        </w:rPr>
        <w:t>Environmental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Justice</w:t>
      </w:r>
    </w:p>
    <w:bookmarkEnd w:id="14"/>
    <w:p w:rsidRPr="00C317BB" w:rsidR="002D33F0" w:rsidP="00F27167" w:rsidRDefault="00AC14ED" w14:paraId="289B95F3" w14:textId="22E60325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rule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increase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level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environmental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protection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affected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populations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without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having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disproportionately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high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adverse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health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environmental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effects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population,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including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777F7">
        <w:rPr>
          <w:rFonts w:cs="Times New Roman"/>
          <w:color w:val="000000" w:themeColor="text1"/>
          <w:szCs w:val="24"/>
        </w:rPr>
        <w:t>minority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C4560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777F7">
        <w:rPr>
          <w:rFonts w:cs="Times New Roman"/>
          <w:color w:val="000000" w:themeColor="text1"/>
          <w:szCs w:val="24"/>
        </w:rPr>
        <w:t>low</w:t>
      </w:r>
      <w:r w:rsidRPr="00C317BB" w:rsidR="009C4AA1">
        <w:rPr>
          <w:rFonts w:cs="Times New Roman"/>
          <w:color w:val="000000" w:themeColor="text1"/>
          <w:szCs w:val="24"/>
        </w:rPr>
        <w:t>-</w:t>
      </w:r>
      <w:r w:rsidRPr="00C317BB">
        <w:rPr>
          <w:rFonts w:cs="Times New Roman"/>
          <w:color w:val="000000" w:themeColor="text1"/>
          <w:szCs w:val="24"/>
        </w:rPr>
        <w:t>income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population</w:t>
      </w:r>
      <w:r w:rsidRPr="00C317BB" w:rsidR="00BC4560">
        <w:rPr>
          <w:rFonts w:cs="Times New Roman"/>
          <w:color w:val="000000" w:themeColor="text1"/>
          <w:szCs w:val="24"/>
        </w:rPr>
        <w:t>s</w:t>
      </w:r>
      <w:r w:rsidRPr="00C317BB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10DDD">
        <w:rPr>
          <w:rFonts w:cs="Times New Roman"/>
          <w:color w:val="000000" w:themeColor="text1"/>
          <w:szCs w:val="24"/>
        </w:rPr>
        <w:t>There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10DDD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10DDD">
        <w:rPr>
          <w:rFonts w:cs="Times New Roman"/>
          <w:color w:val="000000" w:themeColor="text1"/>
          <w:szCs w:val="24"/>
        </w:rPr>
        <w:t>pre-existing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10DDD">
        <w:rPr>
          <w:rFonts w:cs="Times New Roman"/>
          <w:color w:val="000000" w:themeColor="text1"/>
          <w:szCs w:val="24"/>
        </w:rPr>
        <w:t>environmental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10DDD">
        <w:rPr>
          <w:rFonts w:cs="Times New Roman"/>
          <w:color w:val="000000" w:themeColor="text1"/>
          <w:szCs w:val="24"/>
        </w:rPr>
        <w:t>justice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10DDD">
        <w:rPr>
          <w:rFonts w:cs="Times New Roman"/>
          <w:color w:val="000000" w:themeColor="text1"/>
          <w:szCs w:val="24"/>
        </w:rPr>
        <w:t>concerns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10DDD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10DDD">
        <w:rPr>
          <w:rFonts w:cs="Times New Roman"/>
          <w:color w:val="000000" w:themeColor="text1"/>
          <w:szCs w:val="24"/>
        </w:rPr>
        <w:t>communities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10DDD">
        <w:rPr>
          <w:rFonts w:cs="Times New Roman"/>
          <w:color w:val="000000" w:themeColor="text1"/>
          <w:szCs w:val="24"/>
        </w:rPr>
        <w:t>surrounding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10DDD">
        <w:rPr>
          <w:rFonts w:cs="Times New Roman"/>
          <w:color w:val="000000" w:themeColor="text1"/>
          <w:szCs w:val="24"/>
        </w:rPr>
        <w:t>some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10DDD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10DDD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10DDD">
        <w:rPr>
          <w:rFonts w:cs="Times New Roman"/>
          <w:color w:val="000000" w:themeColor="text1"/>
          <w:szCs w:val="24"/>
        </w:rPr>
        <w:t>affected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10DDD">
        <w:rPr>
          <w:rFonts w:cs="Times New Roman"/>
          <w:color w:val="000000" w:themeColor="text1"/>
          <w:szCs w:val="24"/>
        </w:rPr>
        <w:t>chlor-alkali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10DDD">
        <w:rPr>
          <w:rFonts w:cs="Times New Roman"/>
          <w:color w:val="000000" w:themeColor="text1"/>
          <w:szCs w:val="24"/>
        </w:rPr>
        <w:t>facilities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10DDD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10DDD">
        <w:rPr>
          <w:rFonts w:cs="Times New Roman"/>
          <w:color w:val="000000" w:themeColor="text1"/>
          <w:szCs w:val="24"/>
        </w:rPr>
        <w:t>one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10DDD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10DDD">
        <w:rPr>
          <w:rFonts w:cs="Times New Roman"/>
          <w:color w:val="000000" w:themeColor="text1"/>
          <w:szCs w:val="24"/>
        </w:rPr>
        <w:t>chemical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10DDD">
        <w:rPr>
          <w:rFonts w:cs="Times New Roman"/>
          <w:color w:val="000000" w:themeColor="text1"/>
          <w:szCs w:val="24"/>
        </w:rPr>
        <w:t>manufacturer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10DDD">
        <w:rPr>
          <w:rFonts w:cs="Times New Roman"/>
          <w:color w:val="000000" w:themeColor="text1"/>
          <w:szCs w:val="24"/>
        </w:rPr>
        <w:t>affected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10DDD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10DDD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10DDD">
        <w:rPr>
          <w:rFonts w:cs="Times New Roman"/>
          <w:color w:val="000000" w:themeColor="text1"/>
          <w:szCs w:val="24"/>
        </w:rPr>
        <w:t>rule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10DDD">
        <w:rPr>
          <w:rFonts w:cs="Times New Roman"/>
          <w:color w:val="000000" w:themeColor="text1"/>
          <w:szCs w:val="24"/>
        </w:rPr>
        <w:t>due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97279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10DDD">
        <w:rPr>
          <w:rFonts w:cs="Times New Roman"/>
          <w:color w:val="000000" w:themeColor="text1"/>
          <w:szCs w:val="24"/>
        </w:rPr>
        <w:t>high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10DDD">
        <w:rPr>
          <w:rFonts w:cs="Times New Roman"/>
          <w:color w:val="000000" w:themeColor="text1"/>
          <w:szCs w:val="24"/>
        </w:rPr>
        <w:t>levels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10DDD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10DDD">
        <w:rPr>
          <w:rFonts w:cs="Times New Roman"/>
          <w:color w:val="000000" w:themeColor="text1"/>
          <w:szCs w:val="24"/>
        </w:rPr>
        <w:t>polluting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10DDD">
        <w:rPr>
          <w:rFonts w:cs="Times New Roman"/>
          <w:color w:val="000000" w:themeColor="text1"/>
          <w:szCs w:val="24"/>
        </w:rPr>
        <w:t>industrial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10DDD">
        <w:rPr>
          <w:rFonts w:cs="Times New Roman"/>
          <w:color w:val="000000" w:themeColor="text1"/>
          <w:szCs w:val="24"/>
        </w:rPr>
        <w:t>activities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10DDD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10DDD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10DDD">
        <w:rPr>
          <w:rFonts w:cs="Times New Roman"/>
          <w:color w:val="000000" w:themeColor="text1"/>
          <w:szCs w:val="24"/>
        </w:rPr>
        <w:t>high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10DDD">
        <w:rPr>
          <w:rFonts w:cs="Times New Roman"/>
          <w:color w:val="000000" w:themeColor="text1"/>
          <w:szCs w:val="24"/>
        </w:rPr>
        <w:t>proportion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10DDD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10DDD">
        <w:rPr>
          <w:rFonts w:cs="Times New Roman"/>
          <w:color w:val="000000" w:themeColor="text1"/>
          <w:szCs w:val="24"/>
        </w:rPr>
        <w:t>minority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10DDD">
        <w:rPr>
          <w:rFonts w:cs="Times New Roman"/>
          <w:color w:val="000000" w:themeColor="text1"/>
          <w:szCs w:val="24"/>
        </w:rPr>
        <w:t>residents.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10DDD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10DDD">
        <w:rPr>
          <w:rFonts w:cs="Times New Roman"/>
          <w:color w:val="000000" w:themeColor="text1"/>
          <w:szCs w:val="24"/>
        </w:rPr>
        <w:t>rule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10DDD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10DDD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10DDD">
        <w:rPr>
          <w:rFonts w:cs="Times New Roman"/>
          <w:color w:val="000000" w:themeColor="text1"/>
          <w:szCs w:val="24"/>
        </w:rPr>
        <w:t>expected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10DDD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93426">
        <w:rPr>
          <w:rFonts w:cs="Times New Roman"/>
          <w:color w:val="000000" w:themeColor="text1"/>
          <w:szCs w:val="24"/>
        </w:rPr>
        <w:t>increase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10DDD">
        <w:rPr>
          <w:rFonts w:cs="Times New Roman"/>
          <w:color w:val="000000" w:themeColor="text1"/>
          <w:szCs w:val="24"/>
        </w:rPr>
        <w:t>these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10DDD">
        <w:rPr>
          <w:rFonts w:cs="Times New Roman"/>
          <w:color w:val="000000" w:themeColor="text1"/>
          <w:szCs w:val="24"/>
        </w:rPr>
        <w:t>pre-existing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10DDD">
        <w:rPr>
          <w:rFonts w:cs="Times New Roman"/>
          <w:color w:val="000000" w:themeColor="text1"/>
          <w:szCs w:val="24"/>
        </w:rPr>
        <w:t>environmental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10DDD">
        <w:rPr>
          <w:rFonts w:cs="Times New Roman"/>
          <w:color w:val="000000" w:themeColor="text1"/>
          <w:szCs w:val="24"/>
        </w:rPr>
        <w:t>justice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10DDD">
        <w:rPr>
          <w:rFonts w:cs="Times New Roman"/>
          <w:color w:val="000000" w:themeColor="text1"/>
          <w:szCs w:val="24"/>
        </w:rPr>
        <w:t>concerns.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143A6">
        <w:rPr>
          <w:rFonts w:cs="Times New Roman"/>
          <w:color w:val="000000" w:themeColor="text1"/>
          <w:szCs w:val="24"/>
        </w:rPr>
        <w:t>Unit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143A6">
        <w:rPr>
          <w:rFonts w:cs="Times New Roman"/>
          <w:color w:val="000000" w:themeColor="text1"/>
          <w:szCs w:val="24"/>
        </w:rPr>
        <w:t>I</w:t>
      </w:r>
      <w:r w:rsidRPr="00C317BB" w:rsidR="00505640">
        <w:rPr>
          <w:rFonts w:cs="Times New Roman"/>
          <w:color w:val="000000" w:themeColor="text1"/>
          <w:szCs w:val="24"/>
        </w:rPr>
        <w:t>II.</w:t>
      </w:r>
      <w:r w:rsidRPr="00C317BB" w:rsidR="00951354">
        <w:rPr>
          <w:rFonts w:cs="Times New Roman"/>
          <w:color w:val="000000" w:themeColor="text1"/>
          <w:szCs w:val="24"/>
        </w:rPr>
        <w:t>A.</w:t>
      </w:r>
      <w:r w:rsidRPr="00C317BB" w:rsidR="00505640">
        <w:rPr>
          <w:rFonts w:cs="Times New Roman"/>
          <w:color w:val="000000" w:themeColor="text1"/>
          <w:szCs w:val="24"/>
        </w:rPr>
        <w:t>1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D1466">
        <w:rPr>
          <w:rFonts w:cs="Times New Roman"/>
          <w:color w:val="000000" w:themeColor="text1"/>
          <w:szCs w:val="24"/>
        </w:rPr>
        <w:t>discusses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30948">
        <w:rPr>
          <w:rFonts w:cs="Times New Roman"/>
          <w:color w:val="000000" w:themeColor="text1"/>
          <w:szCs w:val="24"/>
        </w:rPr>
        <w:t>outreach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D1466">
        <w:rPr>
          <w:rFonts w:cs="Times New Roman"/>
          <w:color w:val="000000" w:themeColor="text1"/>
          <w:szCs w:val="24"/>
        </w:rPr>
        <w:t>conducted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30948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30948">
        <w:rPr>
          <w:rFonts w:cs="Times New Roman"/>
          <w:color w:val="000000" w:themeColor="text1"/>
          <w:szCs w:val="24"/>
        </w:rPr>
        <w:t>advocates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30948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D1466">
        <w:rPr>
          <w:rFonts w:cs="Times New Roman"/>
          <w:color w:val="000000" w:themeColor="text1"/>
          <w:szCs w:val="24"/>
        </w:rPr>
        <w:t>minority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D1466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D1466">
        <w:rPr>
          <w:rFonts w:cs="Times New Roman"/>
          <w:color w:val="000000" w:themeColor="text1"/>
          <w:szCs w:val="24"/>
        </w:rPr>
        <w:t>low-income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30948">
        <w:rPr>
          <w:rFonts w:cs="Times New Roman"/>
          <w:color w:val="000000" w:themeColor="text1"/>
          <w:szCs w:val="24"/>
        </w:rPr>
        <w:t>communities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30948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30948">
        <w:rPr>
          <w:rFonts w:cs="Times New Roman"/>
          <w:color w:val="000000" w:themeColor="text1"/>
          <w:szCs w:val="24"/>
        </w:rPr>
        <w:t>might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30948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30948">
        <w:rPr>
          <w:rFonts w:cs="Times New Roman"/>
          <w:color w:val="000000" w:themeColor="text1"/>
          <w:szCs w:val="24"/>
        </w:rPr>
        <w:t>subject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30948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30948">
        <w:rPr>
          <w:rFonts w:cs="Times New Roman"/>
          <w:color w:val="000000" w:themeColor="text1"/>
          <w:szCs w:val="24"/>
        </w:rPr>
        <w:t>disproportionate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30948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30948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30948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30948">
        <w:rPr>
          <w:rFonts w:cs="Times New Roman"/>
          <w:color w:val="000000" w:themeColor="text1"/>
          <w:szCs w:val="24"/>
        </w:rPr>
        <w:t>asbestos</w:t>
      </w:r>
      <w:r w:rsidRPr="00C317BB" w:rsidR="007143A6">
        <w:rPr>
          <w:rFonts w:cs="Times New Roman"/>
          <w:color w:val="000000" w:themeColor="text1"/>
          <w:szCs w:val="24"/>
        </w:rPr>
        <w:t>.</w:t>
      </w:r>
    </w:p>
    <w:p w:rsidRPr="00C317BB" w:rsidR="00F10DDD" w:rsidP="00F27167" w:rsidRDefault="00E7235C" w14:paraId="7C16BF95" w14:textId="3C013310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Both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D33F0">
        <w:rPr>
          <w:rFonts w:cs="Times New Roman"/>
          <w:color w:val="000000" w:themeColor="text1"/>
          <w:szCs w:val="24"/>
        </w:rPr>
        <w:t>asbestos-containing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diaphragm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cells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membrane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cells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per-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polyfluorinated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substances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(PFAS)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compounds.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D33F0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D33F0">
        <w:rPr>
          <w:rFonts w:cs="Times New Roman"/>
          <w:color w:val="000000" w:themeColor="text1"/>
          <w:szCs w:val="24"/>
        </w:rPr>
        <w:t>lacks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D33F0">
        <w:rPr>
          <w:rFonts w:cs="Times New Roman"/>
          <w:color w:val="000000" w:themeColor="text1"/>
          <w:szCs w:val="24"/>
        </w:rPr>
        <w:t>information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D33F0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D33F0">
        <w:rPr>
          <w:rFonts w:cs="Times New Roman"/>
          <w:color w:val="000000" w:themeColor="text1"/>
          <w:szCs w:val="24"/>
        </w:rPr>
        <w:t>determine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D33F0">
        <w:rPr>
          <w:rFonts w:cs="Times New Roman"/>
          <w:color w:val="000000" w:themeColor="text1"/>
          <w:szCs w:val="24"/>
        </w:rPr>
        <w:t>whether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55053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55053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55053">
        <w:rPr>
          <w:rFonts w:cs="Times New Roman"/>
          <w:color w:val="000000" w:themeColor="text1"/>
          <w:szCs w:val="24"/>
        </w:rPr>
        <w:t>regulation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55053">
        <w:rPr>
          <w:rFonts w:cs="Times New Roman"/>
          <w:color w:val="000000" w:themeColor="text1"/>
          <w:szCs w:val="24"/>
        </w:rPr>
        <w:t>would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D33F0">
        <w:rPr>
          <w:rFonts w:cs="Times New Roman"/>
          <w:color w:val="000000" w:themeColor="text1"/>
          <w:szCs w:val="24"/>
        </w:rPr>
        <w:t>increase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D33F0">
        <w:rPr>
          <w:rFonts w:cs="Times New Roman"/>
          <w:color w:val="000000" w:themeColor="text1"/>
          <w:szCs w:val="24"/>
        </w:rPr>
        <w:t>usage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55053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A4301">
        <w:rPr>
          <w:rFonts w:cs="Times New Roman"/>
          <w:color w:val="000000" w:themeColor="text1"/>
          <w:szCs w:val="24"/>
        </w:rPr>
        <w:t>associated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D33F0">
        <w:rPr>
          <w:rFonts w:cs="Times New Roman"/>
          <w:color w:val="000000" w:themeColor="text1"/>
          <w:szCs w:val="24"/>
        </w:rPr>
        <w:t>release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D33F0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D33F0">
        <w:rPr>
          <w:rFonts w:cs="Times New Roman"/>
          <w:color w:val="000000" w:themeColor="text1"/>
          <w:szCs w:val="24"/>
        </w:rPr>
        <w:t>PFAS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E59FB">
        <w:rPr>
          <w:rFonts w:cs="Times New Roman"/>
          <w:color w:val="000000" w:themeColor="text1"/>
          <w:szCs w:val="24"/>
        </w:rPr>
        <w:t>compounds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D33F0">
        <w:rPr>
          <w:rFonts w:cs="Times New Roman"/>
          <w:color w:val="000000" w:themeColor="text1"/>
          <w:szCs w:val="24"/>
        </w:rPr>
        <w:t>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D33F0">
        <w:rPr>
          <w:rFonts w:cs="Times New Roman"/>
          <w:color w:val="000000" w:themeColor="text1"/>
          <w:szCs w:val="24"/>
        </w:rPr>
        <w:t>chlor-alkali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D33F0">
        <w:rPr>
          <w:rFonts w:cs="Times New Roman"/>
          <w:color w:val="000000" w:themeColor="text1"/>
          <w:szCs w:val="24"/>
        </w:rPr>
        <w:t>facilities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D33F0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D33F0">
        <w:rPr>
          <w:rFonts w:cs="Times New Roman"/>
          <w:color w:val="000000" w:themeColor="text1"/>
          <w:szCs w:val="24"/>
        </w:rPr>
        <w:t>currently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D33F0">
        <w:rPr>
          <w:rFonts w:cs="Times New Roman"/>
          <w:color w:val="000000" w:themeColor="text1"/>
          <w:szCs w:val="24"/>
        </w:rPr>
        <w:t>rely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D33F0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D33F0">
        <w:rPr>
          <w:rFonts w:cs="Times New Roman"/>
          <w:color w:val="000000" w:themeColor="text1"/>
          <w:szCs w:val="24"/>
        </w:rPr>
        <w:t>asbestos-containing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D33F0">
        <w:rPr>
          <w:rFonts w:cs="Times New Roman"/>
          <w:color w:val="000000" w:themeColor="text1"/>
          <w:szCs w:val="24"/>
        </w:rPr>
        <w:t>diaphragms,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D33F0">
        <w:rPr>
          <w:rFonts w:cs="Times New Roman"/>
          <w:color w:val="000000" w:themeColor="text1"/>
          <w:szCs w:val="24"/>
        </w:rPr>
        <w:t>chlor-alkali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D33F0">
        <w:rPr>
          <w:rFonts w:cs="Times New Roman"/>
          <w:color w:val="000000" w:themeColor="text1"/>
          <w:szCs w:val="24"/>
        </w:rPr>
        <w:t>facilities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D33F0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D33F0">
        <w:rPr>
          <w:rFonts w:cs="Times New Roman"/>
          <w:color w:val="000000" w:themeColor="text1"/>
          <w:szCs w:val="24"/>
        </w:rPr>
        <w:t>do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D33F0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D33F0">
        <w:rPr>
          <w:rFonts w:cs="Times New Roman"/>
          <w:color w:val="000000" w:themeColor="text1"/>
          <w:szCs w:val="24"/>
        </w:rPr>
        <w:t>currently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D33F0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D33F0">
        <w:rPr>
          <w:rFonts w:cs="Times New Roman"/>
          <w:color w:val="000000" w:themeColor="text1"/>
          <w:szCs w:val="24"/>
        </w:rPr>
        <w:t>asbestos-containing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D33F0">
        <w:rPr>
          <w:rFonts w:cs="Times New Roman"/>
          <w:color w:val="000000" w:themeColor="text1"/>
          <w:szCs w:val="24"/>
        </w:rPr>
        <w:t>diaphragms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D33F0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D33F0">
        <w:rPr>
          <w:rFonts w:cs="Times New Roman"/>
          <w:color w:val="000000" w:themeColor="text1"/>
          <w:szCs w:val="24"/>
        </w:rPr>
        <w:t>may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D33F0">
        <w:rPr>
          <w:rFonts w:cs="Times New Roman"/>
          <w:color w:val="000000" w:themeColor="text1"/>
          <w:szCs w:val="24"/>
        </w:rPr>
        <w:t>expand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D33F0">
        <w:rPr>
          <w:rFonts w:cs="Times New Roman"/>
          <w:color w:val="000000" w:themeColor="text1"/>
          <w:szCs w:val="24"/>
        </w:rPr>
        <w:t>their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D33F0">
        <w:rPr>
          <w:rFonts w:cs="Times New Roman"/>
          <w:color w:val="000000" w:themeColor="text1"/>
          <w:szCs w:val="24"/>
        </w:rPr>
        <w:t>production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D33F0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D33F0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D33F0">
        <w:rPr>
          <w:rFonts w:cs="Times New Roman"/>
          <w:color w:val="000000" w:themeColor="text1"/>
          <w:szCs w:val="24"/>
        </w:rPr>
        <w:t>result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D33F0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D33F0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D33F0">
        <w:rPr>
          <w:rFonts w:cs="Times New Roman"/>
          <w:color w:val="000000" w:themeColor="text1"/>
          <w:szCs w:val="24"/>
        </w:rPr>
        <w:t>regulation,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D33F0">
        <w:rPr>
          <w:rFonts w:cs="Times New Roman"/>
          <w:color w:val="000000" w:themeColor="text1"/>
          <w:szCs w:val="24"/>
        </w:rPr>
        <w:t>upstream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D33F0">
        <w:rPr>
          <w:rFonts w:cs="Times New Roman"/>
          <w:color w:val="000000" w:themeColor="text1"/>
          <w:szCs w:val="24"/>
        </w:rPr>
        <w:t>facilities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D33F0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D33F0">
        <w:rPr>
          <w:rFonts w:cs="Times New Roman"/>
          <w:color w:val="000000" w:themeColor="text1"/>
          <w:szCs w:val="24"/>
        </w:rPr>
        <w:t>produce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D33F0">
        <w:rPr>
          <w:rFonts w:cs="Times New Roman"/>
          <w:color w:val="000000" w:themeColor="text1"/>
          <w:szCs w:val="24"/>
        </w:rPr>
        <w:t>membranes,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D33F0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D33F0">
        <w:rPr>
          <w:rFonts w:cs="Times New Roman"/>
          <w:color w:val="000000" w:themeColor="text1"/>
          <w:szCs w:val="24"/>
        </w:rPr>
        <w:t>upstream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D33F0">
        <w:rPr>
          <w:rFonts w:cs="Times New Roman"/>
          <w:color w:val="000000" w:themeColor="text1"/>
          <w:szCs w:val="24"/>
        </w:rPr>
        <w:t>facilities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D33F0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D33F0">
        <w:rPr>
          <w:rFonts w:cs="Times New Roman"/>
          <w:color w:val="000000" w:themeColor="text1"/>
          <w:szCs w:val="24"/>
        </w:rPr>
        <w:t>produce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74E62">
        <w:rPr>
          <w:rFonts w:cs="Times New Roman"/>
          <w:color w:val="000000" w:themeColor="text1"/>
          <w:szCs w:val="24"/>
        </w:rPr>
        <w:t>PFAS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D33F0">
        <w:rPr>
          <w:rFonts w:cs="Times New Roman"/>
          <w:color w:val="000000" w:themeColor="text1"/>
          <w:szCs w:val="24"/>
        </w:rPr>
        <w:t>fibers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D33F0">
        <w:rPr>
          <w:rFonts w:cs="Times New Roman"/>
          <w:color w:val="000000" w:themeColor="text1"/>
          <w:szCs w:val="24"/>
        </w:rPr>
        <w:t>used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D33F0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D33F0">
        <w:rPr>
          <w:rFonts w:cs="Times New Roman"/>
          <w:color w:val="000000" w:themeColor="text1"/>
          <w:szCs w:val="24"/>
        </w:rPr>
        <w:t>non-asbestos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D33F0">
        <w:rPr>
          <w:rFonts w:cs="Times New Roman"/>
          <w:color w:val="000000" w:themeColor="text1"/>
          <w:szCs w:val="24"/>
        </w:rPr>
        <w:t>diaphragms.</w:t>
      </w:r>
    </w:p>
    <w:p w:rsidRPr="00C317BB" w:rsidR="00AC14ED" w:rsidP="00F27167" w:rsidRDefault="00AC14ED" w14:paraId="01A29E2B" w14:textId="77777777">
      <w:pPr>
        <w:pStyle w:val="Heading3"/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6.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Effects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State,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Local,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Tribal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Governments</w:t>
      </w:r>
    </w:p>
    <w:p w:rsidRPr="00C317BB" w:rsidR="00AC14ED" w:rsidP="00F27167" w:rsidRDefault="00E0452D" w14:paraId="6EB7EBCC" w14:textId="5CAB62D0">
      <w:pPr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federalism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implications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because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regulation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6(a)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preempt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state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law.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does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impose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costs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small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governments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have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tribal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implications.</w:t>
      </w:r>
    </w:p>
    <w:p w:rsidRPr="00C317BB" w:rsidR="00415182" w:rsidP="00F27167" w:rsidRDefault="00CF5112" w14:paraId="03DC0525" w14:textId="18AC793B">
      <w:pPr>
        <w:pStyle w:val="Heading1"/>
        <w:rPr>
          <w:rStyle w:val="Strong"/>
          <w:rFonts w:cs="Times New Roman" w:eastAsiaTheme="minorHAnsi"/>
          <w:b/>
          <w:color w:val="000000" w:themeColor="text1"/>
          <w:kern w:val="0"/>
          <w:szCs w:val="24"/>
        </w:rPr>
      </w:pPr>
      <w:r w:rsidRPr="00C317BB">
        <w:rPr>
          <w:rStyle w:val="Strong"/>
          <w:rFonts w:cs="Times New Roman"/>
          <w:b/>
          <w:color w:val="000000" w:themeColor="text1"/>
          <w:szCs w:val="24"/>
        </w:rPr>
        <w:t>II</w:t>
      </w:r>
      <w:r w:rsidRPr="00C317BB" w:rsidR="00F47BE7">
        <w:rPr>
          <w:rStyle w:val="Strong"/>
          <w:rFonts w:cs="Times New Roman"/>
          <w:b/>
          <w:color w:val="000000" w:themeColor="text1"/>
          <w:szCs w:val="24"/>
        </w:rPr>
        <w:t>.</w:t>
      </w:r>
      <w:r w:rsidR="005613B2">
        <w:rPr>
          <w:rStyle w:val="Strong"/>
          <w:rFonts w:cs="Times New Roman"/>
          <w:b/>
          <w:color w:val="000000" w:themeColor="text1"/>
          <w:szCs w:val="24"/>
        </w:rPr>
        <w:t xml:space="preserve"> </w:t>
      </w:r>
      <w:r w:rsidRPr="00C317BB" w:rsidR="00395432">
        <w:rPr>
          <w:rStyle w:val="Strong"/>
          <w:rFonts w:cs="Times New Roman"/>
          <w:b/>
          <w:color w:val="000000" w:themeColor="text1"/>
          <w:szCs w:val="24"/>
        </w:rPr>
        <w:t>Background</w:t>
      </w:r>
    </w:p>
    <w:p w:rsidRPr="00C317BB" w:rsidR="00395432" w:rsidP="00F27167" w:rsidRDefault="00D16A9D" w14:paraId="5F61B4FA" w14:textId="352AF70E">
      <w:pPr>
        <w:pStyle w:val="Heading2"/>
        <w:rPr>
          <w:rFonts w:cs="Times New Roman"/>
          <w:i w:val="0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A.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95432">
        <w:rPr>
          <w:rFonts w:cs="Times New Roman"/>
          <w:color w:val="000000" w:themeColor="text1"/>
          <w:szCs w:val="24"/>
        </w:rPr>
        <w:t>Overview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95432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D445F">
        <w:rPr>
          <w:rFonts w:cs="Times New Roman"/>
          <w:color w:val="000000" w:themeColor="text1"/>
          <w:szCs w:val="24"/>
        </w:rPr>
        <w:t>c</w:t>
      </w:r>
      <w:r w:rsidRPr="00C317BB" w:rsidR="00DF44F0">
        <w:rPr>
          <w:rFonts w:cs="Times New Roman"/>
          <w:color w:val="000000" w:themeColor="text1"/>
          <w:szCs w:val="24"/>
        </w:rPr>
        <w:t>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D445F">
        <w:rPr>
          <w:rFonts w:cs="Times New Roman"/>
          <w:color w:val="000000" w:themeColor="text1"/>
          <w:szCs w:val="24"/>
        </w:rPr>
        <w:t>a</w:t>
      </w:r>
      <w:r w:rsidRPr="00C317BB" w:rsidR="00DF44F0">
        <w:rPr>
          <w:rFonts w:cs="Times New Roman"/>
          <w:color w:val="000000" w:themeColor="text1"/>
          <w:szCs w:val="24"/>
        </w:rPr>
        <w:t>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DD00A7" w:rsidP="00F27167" w:rsidRDefault="005B6B5E" w14:paraId="55C99492" w14:textId="0430DB4E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defined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0406">
        <w:rPr>
          <w:rFonts w:cs="Times New Roman"/>
          <w:color w:val="000000" w:themeColor="text1"/>
          <w:szCs w:val="24"/>
        </w:rPr>
        <w:t>s</w:t>
      </w:r>
      <w:r w:rsidRPr="00C317BB">
        <w:rPr>
          <w:rFonts w:cs="Times New Roman"/>
          <w:color w:val="000000" w:themeColor="text1"/>
          <w:szCs w:val="24"/>
        </w:rPr>
        <w:t>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202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Title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II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as: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“asbestiform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varieties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six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fiber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types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–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(serpentine),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crocidolite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(riebeckite),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amosite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(cummingtonite-grunerite),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anthophyllite,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tremolite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actinolite.”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16178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16178">
        <w:rPr>
          <w:rFonts w:cs="Times New Roman"/>
          <w:color w:val="000000" w:themeColor="text1"/>
          <w:szCs w:val="24"/>
        </w:rPr>
        <w:t>used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16178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16178">
        <w:rPr>
          <w:rFonts w:cs="Times New Roman"/>
          <w:color w:val="000000" w:themeColor="text1"/>
          <w:szCs w:val="24"/>
        </w:rPr>
        <w:t>definition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16178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16178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222DB">
        <w:rPr>
          <w:rFonts w:cs="Times New Roman"/>
          <w:color w:val="000000" w:themeColor="text1"/>
          <w:szCs w:val="24"/>
        </w:rPr>
        <w:t>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222D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222DB">
        <w:rPr>
          <w:rFonts w:cs="Times New Roman"/>
          <w:color w:val="000000" w:themeColor="text1"/>
          <w:szCs w:val="24"/>
        </w:rPr>
        <w:t>onset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222D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222D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222DB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222DB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222DB">
        <w:rPr>
          <w:rFonts w:cs="Times New Roman"/>
          <w:color w:val="000000" w:themeColor="text1"/>
          <w:szCs w:val="24"/>
        </w:rPr>
        <w:t>evaluation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222D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222DB">
        <w:rPr>
          <w:rFonts w:cs="Times New Roman"/>
          <w:color w:val="000000" w:themeColor="text1"/>
          <w:szCs w:val="24"/>
        </w:rPr>
        <w:t>2016.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824EF">
        <w:rPr>
          <w:rFonts w:cs="Times New Roman"/>
          <w:color w:val="000000" w:themeColor="text1"/>
          <w:szCs w:val="24"/>
        </w:rPr>
        <w:t>However,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15A15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15A15">
        <w:rPr>
          <w:rFonts w:cs="Times New Roman"/>
          <w:color w:val="000000" w:themeColor="text1"/>
          <w:szCs w:val="24"/>
        </w:rPr>
        <w:t>determined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15A15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824EF">
        <w:rPr>
          <w:rFonts w:cs="Times New Roman"/>
          <w:color w:val="000000" w:themeColor="text1"/>
          <w:szCs w:val="24"/>
        </w:rPr>
        <w:t>c</w:t>
      </w:r>
      <w:r w:rsidRPr="00C317BB" w:rsidR="009F13DD">
        <w:rPr>
          <w:rFonts w:cs="Times New Roman"/>
          <w:color w:val="000000" w:themeColor="text1"/>
          <w:szCs w:val="24"/>
        </w:rPr>
        <w:t>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824EF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F13DD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F13DD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F13DD">
        <w:rPr>
          <w:rFonts w:cs="Times New Roman"/>
          <w:color w:val="000000" w:themeColor="text1"/>
          <w:szCs w:val="24"/>
        </w:rPr>
        <w:t>only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F13DD">
        <w:rPr>
          <w:rFonts w:cs="Times New Roman"/>
          <w:color w:val="000000" w:themeColor="text1"/>
          <w:szCs w:val="24"/>
        </w:rPr>
        <w:t>type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F13DD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F13DD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824EF">
        <w:rPr>
          <w:rFonts w:cs="Times New Roman"/>
          <w:color w:val="000000" w:themeColor="text1"/>
          <w:szCs w:val="24"/>
        </w:rPr>
        <w:t>where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F13DD">
        <w:rPr>
          <w:rFonts w:cs="Times New Roman"/>
          <w:color w:val="000000" w:themeColor="text1"/>
          <w:szCs w:val="24"/>
        </w:rPr>
        <w:t>import,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F13DD">
        <w:rPr>
          <w:rFonts w:cs="Times New Roman"/>
          <w:color w:val="000000" w:themeColor="text1"/>
          <w:szCs w:val="24"/>
        </w:rPr>
        <w:t>process</w:t>
      </w:r>
      <w:r w:rsidRPr="00C317BB" w:rsidR="00F824EF">
        <w:rPr>
          <w:rFonts w:cs="Times New Roman"/>
          <w:color w:val="000000" w:themeColor="text1"/>
          <w:szCs w:val="24"/>
        </w:rPr>
        <w:t>ing</w:t>
      </w:r>
      <w:r w:rsidRPr="00C317BB" w:rsidR="008775BD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F13DD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F13DD">
        <w:rPr>
          <w:rFonts w:cs="Times New Roman"/>
          <w:color w:val="000000" w:themeColor="text1"/>
          <w:szCs w:val="24"/>
        </w:rPr>
        <w:t>distribut</w:t>
      </w:r>
      <w:r w:rsidRPr="00C317BB" w:rsidR="00F824EF">
        <w:rPr>
          <w:rFonts w:cs="Times New Roman"/>
          <w:color w:val="000000" w:themeColor="text1"/>
          <w:szCs w:val="24"/>
        </w:rPr>
        <w:t>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A0138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A0138">
        <w:rPr>
          <w:rFonts w:cs="Times New Roman"/>
          <w:color w:val="000000" w:themeColor="text1"/>
          <w:szCs w:val="24"/>
        </w:rPr>
        <w:t>commerce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57017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57017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93912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57017">
        <w:rPr>
          <w:rFonts w:cs="Times New Roman"/>
          <w:color w:val="000000" w:themeColor="text1"/>
          <w:szCs w:val="24"/>
        </w:rPr>
        <w:t>known,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57017">
        <w:rPr>
          <w:rFonts w:cs="Times New Roman"/>
          <w:color w:val="000000" w:themeColor="text1"/>
          <w:szCs w:val="24"/>
        </w:rPr>
        <w:t>intended,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57017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57017">
        <w:rPr>
          <w:rFonts w:cs="Times New Roman"/>
          <w:color w:val="000000" w:themeColor="text1"/>
          <w:szCs w:val="24"/>
        </w:rPr>
        <w:t>reasonably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57017">
        <w:rPr>
          <w:rFonts w:cs="Times New Roman"/>
          <w:color w:val="000000" w:themeColor="text1"/>
          <w:szCs w:val="24"/>
        </w:rPr>
        <w:t>foreseen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F13DD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F13DD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F13DD">
        <w:rPr>
          <w:rFonts w:cs="Times New Roman"/>
          <w:color w:val="000000" w:themeColor="text1"/>
          <w:szCs w:val="24"/>
        </w:rPr>
        <w:t>U.S</w:t>
      </w:r>
      <w:r w:rsidRPr="00C317BB" w:rsidR="00E222DB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145CC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145CC">
        <w:rPr>
          <w:rFonts w:cs="Times New Roman"/>
          <w:color w:val="000000" w:themeColor="text1"/>
          <w:szCs w:val="24"/>
        </w:rPr>
        <w:t>such,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assessed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C0396">
        <w:rPr>
          <w:rFonts w:cs="Times New Roman"/>
          <w:color w:val="000000" w:themeColor="text1"/>
          <w:szCs w:val="24"/>
        </w:rPr>
        <w:t>the</w:t>
      </w:r>
      <w:r w:rsidRPr="00C317BB" w:rsidR="00857017">
        <w:rPr>
          <w:rFonts w:cs="Times New Roman"/>
          <w:color w:val="000000" w:themeColor="text1"/>
          <w:szCs w:val="24"/>
        </w:rPr>
        <w:t>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57017">
        <w:rPr>
          <w:rFonts w:cs="Times New Roman"/>
          <w:color w:val="000000" w:themeColor="text1"/>
          <w:szCs w:val="24"/>
        </w:rPr>
        <w:t>non-legacy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57017">
        <w:rPr>
          <w:rFonts w:cs="Times New Roman"/>
          <w:color w:val="000000" w:themeColor="text1"/>
          <w:szCs w:val="24"/>
        </w:rPr>
        <w:t>conditions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57017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569F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569F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10480">
        <w:rPr>
          <w:rFonts w:cs="Times New Roman"/>
          <w:color w:val="000000" w:themeColor="text1"/>
          <w:szCs w:val="24"/>
        </w:rPr>
        <w:t>c</w:t>
      </w:r>
      <w:r w:rsidRPr="00C317BB">
        <w:rPr>
          <w:rFonts w:cs="Times New Roman"/>
          <w:color w:val="000000" w:themeColor="text1"/>
          <w:szCs w:val="24"/>
        </w:rPr>
        <w:t>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145CC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December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2020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Evaluation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</w:t>
      </w:r>
      <w:r w:rsidRPr="00C317BB" w:rsidR="00B04E17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Part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1</w:t>
      </w:r>
      <w:r w:rsidRPr="00C317BB" w:rsidR="00B04E17">
        <w:rPr>
          <w:rFonts w:cs="Times New Roman"/>
          <w:color w:val="000000" w:themeColor="text1"/>
          <w:szCs w:val="24"/>
        </w:rPr>
        <w:t>: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775BD">
        <w:rPr>
          <w:rFonts w:cs="Times New Roman"/>
          <w:color w:val="000000" w:themeColor="text1"/>
          <w:szCs w:val="24"/>
        </w:rPr>
        <w:t>(Ref.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06090">
        <w:rPr>
          <w:rFonts w:cs="Times New Roman"/>
          <w:color w:val="000000" w:themeColor="text1"/>
          <w:szCs w:val="24"/>
        </w:rPr>
        <w:t>1</w:t>
      </w:r>
      <w:r w:rsidRPr="00C317BB" w:rsidR="008775BD">
        <w:rPr>
          <w:rFonts w:cs="Times New Roman"/>
          <w:color w:val="000000" w:themeColor="text1"/>
          <w:szCs w:val="24"/>
        </w:rPr>
        <w:t>)</w:t>
      </w:r>
      <w:r w:rsidRPr="00C317BB" w:rsidR="00E222DB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17385">
        <w:rPr>
          <w:rFonts w:cs="Times New Roman"/>
          <w:color w:val="000000" w:themeColor="text1"/>
          <w:szCs w:val="24"/>
        </w:rPr>
        <w:t>Following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17385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17385">
        <w:rPr>
          <w:rFonts w:cs="Times New Roman"/>
          <w:color w:val="000000" w:themeColor="text1"/>
          <w:szCs w:val="24"/>
        </w:rPr>
        <w:t>decision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17385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17385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13DC6">
        <w:rPr>
          <w:rFonts w:cs="Times New Roman"/>
          <w:color w:val="000000" w:themeColor="text1"/>
          <w:szCs w:val="24"/>
        </w:rPr>
        <w:t>Ninth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17385">
        <w:rPr>
          <w:rFonts w:cs="Times New Roman"/>
          <w:color w:val="000000" w:themeColor="text1"/>
          <w:szCs w:val="24"/>
        </w:rPr>
        <w:t>Circuit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17385">
        <w:rPr>
          <w:rFonts w:cs="Times New Roman"/>
          <w:color w:val="000000" w:themeColor="text1"/>
          <w:szCs w:val="24"/>
        </w:rPr>
        <w:t>Court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17385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17385">
        <w:rPr>
          <w:rFonts w:cs="Times New Roman"/>
          <w:color w:val="000000" w:themeColor="text1"/>
          <w:szCs w:val="24"/>
        </w:rPr>
        <w:t>Appeals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17385">
        <w:rPr>
          <w:rFonts w:cs="Times New Roman"/>
          <w:color w:val="000000" w:themeColor="text1"/>
          <w:szCs w:val="24"/>
        </w:rPr>
        <w:t>(</w:t>
      </w:r>
      <w:r w:rsidRPr="00C317BB" w:rsidR="00313DC6">
        <w:rPr>
          <w:rFonts w:cs="Times New Roman"/>
          <w:i/>
          <w:color w:val="000000" w:themeColor="text1"/>
          <w:szCs w:val="24"/>
        </w:rPr>
        <w:t>Safer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313DC6">
        <w:rPr>
          <w:rFonts w:cs="Times New Roman"/>
          <w:i/>
          <w:color w:val="000000" w:themeColor="text1"/>
          <w:szCs w:val="24"/>
        </w:rPr>
        <w:t>Chemicals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313DC6">
        <w:rPr>
          <w:rFonts w:cs="Times New Roman"/>
          <w:i/>
          <w:color w:val="000000" w:themeColor="text1"/>
          <w:szCs w:val="24"/>
        </w:rPr>
        <w:t>Healthy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313DC6">
        <w:rPr>
          <w:rFonts w:cs="Times New Roman"/>
          <w:i/>
          <w:color w:val="000000" w:themeColor="text1"/>
          <w:szCs w:val="24"/>
        </w:rPr>
        <w:t>Families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313DC6">
        <w:rPr>
          <w:rFonts w:cs="Times New Roman"/>
          <w:i/>
          <w:color w:val="000000" w:themeColor="text1"/>
          <w:szCs w:val="24"/>
        </w:rPr>
        <w:t>v.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313DC6">
        <w:rPr>
          <w:rFonts w:cs="Times New Roman"/>
          <w:i/>
          <w:color w:val="000000" w:themeColor="text1"/>
          <w:szCs w:val="24"/>
        </w:rPr>
        <w:t>EPA</w:t>
      </w:r>
      <w:r w:rsidRPr="00C317BB" w:rsidR="00313DC6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13DC6">
        <w:rPr>
          <w:rFonts w:cs="Times New Roman"/>
          <w:color w:val="000000" w:themeColor="text1"/>
          <w:szCs w:val="24"/>
        </w:rPr>
        <w:t>943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13DC6">
        <w:rPr>
          <w:rFonts w:cs="Times New Roman"/>
          <w:color w:val="000000" w:themeColor="text1"/>
          <w:szCs w:val="24"/>
        </w:rPr>
        <w:t>F.3d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13DC6">
        <w:rPr>
          <w:rFonts w:cs="Times New Roman"/>
          <w:color w:val="000000" w:themeColor="text1"/>
          <w:szCs w:val="24"/>
        </w:rPr>
        <w:t>397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13DC6">
        <w:rPr>
          <w:rFonts w:cs="Times New Roman"/>
          <w:color w:val="000000" w:themeColor="text1"/>
          <w:szCs w:val="24"/>
        </w:rPr>
        <w:t>(9th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13DC6">
        <w:rPr>
          <w:rFonts w:cs="Times New Roman"/>
          <w:color w:val="000000" w:themeColor="text1"/>
          <w:szCs w:val="24"/>
        </w:rPr>
        <w:t>Cir.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13DC6">
        <w:rPr>
          <w:rFonts w:cs="Times New Roman"/>
          <w:color w:val="000000" w:themeColor="text1"/>
          <w:szCs w:val="24"/>
        </w:rPr>
        <w:t>2019)</w:t>
      </w:r>
      <w:r w:rsidRPr="00C317BB" w:rsidR="00717385">
        <w:rPr>
          <w:rFonts w:cs="Times New Roman"/>
          <w:color w:val="000000" w:themeColor="text1"/>
          <w:szCs w:val="24"/>
        </w:rPr>
        <w:t>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93426">
        <w:rPr>
          <w:rFonts w:cs="Times New Roman"/>
          <w:color w:val="000000" w:themeColor="text1"/>
          <w:szCs w:val="24"/>
        </w:rPr>
        <w:t>concerning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13DC6">
        <w:rPr>
          <w:rFonts w:cs="Times New Roman"/>
          <w:color w:val="000000" w:themeColor="text1"/>
          <w:szCs w:val="24"/>
        </w:rPr>
        <w:t>legacy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17385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13DC6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13DC6">
        <w:rPr>
          <w:rFonts w:cs="Times New Roman"/>
          <w:color w:val="000000" w:themeColor="text1"/>
          <w:szCs w:val="24"/>
        </w:rPr>
        <w:t>associated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13DC6">
        <w:rPr>
          <w:rFonts w:cs="Times New Roman"/>
          <w:color w:val="000000" w:themeColor="text1"/>
          <w:szCs w:val="24"/>
        </w:rPr>
        <w:t>disposal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17385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17385">
        <w:rPr>
          <w:rFonts w:cs="Times New Roman"/>
          <w:color w:val="000000" w:themeColor="text1"/>
          <w:szCs w:val="24"/>
        </w:rPr>
        <w:t>asbestos</w:t>
      </w:r>
      <w:r w:rsidRPr="00C317BB" w:rsidR="00313DC6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13DC6">
        <w:rPr>
          <w:rFonts w:cs="Times New Roman"/>
          <w:color w:val="000000" w:themeColor="text1"/>
          <w:szCs w:val="24"/>
        </w:rPr>
        <w:t>conditions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13DC6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13DC6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17385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17385">
        <w:rPr>
          <w:rFonts w:cs="Times New Roman"/>
          <w:color w:val="000000" w:themeColor="text1"/>
          <w:szCs w:val="24"/>
        </w:rPr>
        <w:t>were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17385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17385">
        <w:rPr>
          <w:rFonts w:cs="Times New Roman"/>
          <w:color w:val="000000" w:themeColor="text1"/>
          <w:szCs w:val="24"/>
        </w:rPr>
        <w:t>included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17385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17385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17385">
        <w:rPr>
          <w:rFonts w:cs="Times New Roman"/>
          <w:color w:val="000000" w:themeColor="text1"/>
          <w:szCs w:val="24"/>
        </w:rPr>
        <w:t>Part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17385">
        <w:rPr>
          <w:rFonts w:cs="Times New Roman"/>
          <w:color w:val="000000" w:themeColor="text1"/>
          <w:szCs w:val="24"/>
        </w:rPr>
        <w:t>1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17385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17385">
        <w:rPr>
          <w:rFonts w:cs="Times New Roman"/>
          <w:color w:val="000000" w:themeColor="text1"/>
          <w:szCs w:val="24"/>
        </w:rPr>
        <w:t>evaluation,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17385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93426">
        <w:rPr>
          <w:rFonts w:cs="Times New Roman"/>
          <w:color w:val="000000" w:themeColor="text1"/>
          <w:szCs w:val="24"/>
        </w:rPr>
        <w:t>began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17385">
        <w:rPr>
          <w:rFonts w:cs="Times New Roman"/>
          <w:color w:val="000000" w:themeColor="text1"/>
          <w:szCs w:val="24"/>
        </w:rPr>
        <w:t>developing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17385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17385">
        <w:rPr>
          <w:rFonts w:cs="Times New Roman"/>
          <w:color w:val="000000" w:themeColor="text1"/>
          <w:szCs w:val="24"/>
        </w:rPr>
        <w:t>supplemental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17385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17385">
        <w:rPr>
          <w:rFonts w:cs="Times New Roman"/>
          <w:color w:val="000000" w:themeColor="text1"/>
          <w:szCs w:val="24"/>
        </w:rPr>
        <w:t>evaluation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17385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17385">
        <w:rPr>
          <w:rFonts w:cs="Times New Roman"/>
          <w:color w:val="000000" w:themeColor="text1"/>
          <w:szCs w:val="24"/>
        </w:rPr>
        <w:t>address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41399">
        <w:rPr>
          <w:rFonts w:cs="Times New Roman"/>
          <w:color w:val="000000" w:themeColor="text1"/>
          <w:szCs w:val="24"/>
        </w:rPr>
        <w:t>legacy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41399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41399">
        <w:rPr>
          <w:rFonts w:cs="Times New Roman"/>
          <w:color w:val="000000" w:themeColor="text1"/>
          <w:szCs w:val="24"/>
        </w:rPr>
        <w:t>associated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41399">
        <w:rPr>
          <w:rFonts w:cs="Times New Roman"/>
          <w:color w:val="000000" w:themeColor="text1"/>
          <w:szCs w:val="24"/>
        </w:rPr>
        <w:t>disposal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E75C3">
        <w:rPr>
          <w:rFonts w:cs="Times New Roman"/>
          <w:color w:val="000000" w:themeColor="text1"/>
          <w:szCs w:val="24"/>
        </w:rPr>
        <w:t>conditions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E75C3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17385">
        <w:rPr>
          <w:rFonts w:cs="Times New Roman"/>
          <w:color w:val="000000" w:themeColor="text1"/>
          <w:szCs w:val="24"/>
        </w:rPr>
        <w:t>use.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1756C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1756C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1756C">
        <w:rPr>
          <w:rFonts w:cs="Times New Roman"/>
          <w:color w:val="000000" w:themeColor="text1"/>
          <w:szCs w:val="24"/>
        </w:rPr>
        <w:t>Evaluation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63E3C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63E3C">
        <w:rPr>
          <w:rFonts w:cs="Times New Roman"/>
          <w:color w:val="000000" w:themeColor="text1"/>
          <w:szCs w:val="24"/>
        </w:rPr>
        <w:t>Asbestos</w:t>
      </w:r>
      <w:r w:rsidRPr="00C317BB" w:rsidR="0071756C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1756C">
        <w:rPr>
          <w:rFonts w:cs="Times New Roman"/>
          <w:color w:val="000000" w:themeColor="text1"/>
          <w:szCs w:val="24"/>
        </w:rPr>
        <w:t>Part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1756C">
        <w:rPr>
          <w:rFonts w:cs="Times New Roman"/>
          <w:color w:val="000000" w:themeColor="text1"/>
          <w:szCs w:val="24"/>
        </w:rPr>
        <w:t>2: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1756C">
        <w:rPr>
          <w:rFonts w:cs="Times New Roman"/>
          <w:color w:val="000000" w:themeColor="text1"/>
          <w:szCs w:val="24"/>
        </w:rPr>
        <w:t>Supplemental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1756C">
        <w:rPr>
          <w:rFonts w:cs="Times New Roman"/>
          <w:color w:val="000000" w:themeColor="text1"/>
          <w:szCs w:val="24"/>
        </w:rPr>
        <w:t>Evaluation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1756C">
        <w:rPr>
          <w:rFonts w:cs="Times New Roman"/>
          <w:color w:val="000000" w:themeColor="text1"/>
          <w:szCs w:val="24"/>
        </w:rPr>
        <w:t>Including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1756C">
        <w:rPr>
          <w:rFonts w:cs="Times New Roman"/>
          <w:color w:val="000000" w:themeColor="text1"/>
          <w:szCs w:val="24"/>
        </w:rPr>
        <w:t>Legacy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1756C">
        <w:rPr>
          <w:rFonts w:cs="Times New Roman"/>
          <w:color w:val="000000" w:themeColor="text1"/>
          <w:szCs w:val="24"/>
        </w:rPr>
        <w:t>Uses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1756C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1756C">
        <w:rPr>
          <w:rFonts w:cs="Times New Roman"/>
          <w:color w:val="000000" w:themeColor="text1"/>
          <w:szCs w:val="24"/>
        </w:rPr>
        <w:t>Associated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1756C">
        <w:rPr>
          <w:rFonts w:cs="Times New Roman"/>
          <w:color w:val="000000" w:themeColor="text1"/>
          <w:szCs w:val="24"/>
        </w:rPr>
        <w:t>Disposals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1756C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1756C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1756C">
        <w:rPr>
          <w:rFonts w:cs="Times New Roman"/>
          <w:color w:val="000000" w:themeColor="text1"/>
          <w:szCs w:val="24"/>
        </w:rPr>
        <w:t>will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1756C">
        <w:rPr>
          <w:rFonts w:cs="Times New Roman"/>
          <w:color w:val="000000" w:themeColor="text1"/>
          <w:szCs w:val="24"/>
        </w:rPr>
        <w:t>include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1756C">
        <w:rPr>
          <w:rFonts w:cs="Times New Roman"/>
          <w:color w:val="000000" w:themeColor="text1"/>
          <w:szCs w:val="24"/>
        </w:rPr>
        <w:t>evaluation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1756C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2771">
        <w:rPr>
          <w:rFonts w:cs="Times New Roman"/>
          <w:color w:val="000000" w:themeColor="text1"/>
          <w:szCs w:val="24"/>
        </w:rPr>
        <w:t>those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30883">
        <w:rPr>
          <w:rFonts w:cs="Times New Roman"/>
          <w:color w:val="000000" w:themeColor="text1"/>
          <w:szCs w:val="24"/>
        </w:rPr>
        <w:t>conditions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30883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2771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2771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E0EE0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50AF">
        <w:rPr>
          <w:rFonts w:cs="Times New Roman"/>
          <w:color w:val="000000" w:themeColor="text1"/>
          <w:szCs w:val="24"/>
        </w:rPr>
        <w:t>asbestos</w:t>
      </w:r>
      <w:r w:rsidRPr="00C317BB" w:rsidR="00863E3C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E0EE0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amphibole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fiber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types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86079">
        <w:rPr>
          <w:rFonts w:cs="Times New Roman"/>
          <w:color w:val="000000" w:themeColor="text1"/>
          <w:szCs w:val="24"/>
        </w:rPr>
        <w:t>identified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86079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86079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86079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86079">
        <w:rPr>
          <w:rFonts w:cs="Times New Roman"/>
          <w:color w:val="000000" w:themeColor="text1"/>
          <w:szCs w:val="24"/>
        </w:rPr>
        <w:t>Title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86079">
        <w:rPr>
          <w:rFonts w:cs="Times New Roman"/>
          <w:color w:val="000000" w:themeColor="text1"/>
          <w:szCs w:val="24"/>
        </w:rPr>
        <w:t>II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86079">
        <w:rPr>
          <w:rFonts w:cs="Times New Roman"/>
          <w:color w:val="000000" w:themeColor="text1"/>
          <w:szCs w:val="24"/>
        </w:rPr>
        <w:t>definition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86ECA">
        <w:rPr>
          <w:rFonts w:cs="Times New Roman"/>
          <w:color w:val="000000" w:themeColor="text1"/>
          <w:szCs w:val="24"/>
        </w:rPr>
        <w:t>(</w:t>
      </w:r>
      <w:r w:rsidRPr="00C317BB" w:rsidR="00F46BFD">
        <w:rPr>
          <w:rFonts w:cs="Times New Roman"/>
          <w:color w:val="000000" w:themeColor="text1"/>
          <w:szCs w:val="24"/>
        </w:rPr>
        <w:t>crocidolite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46BFD">
        <w:rPr>
          <w:rFonts w:cs="Times New Roman"/>
          <w:color w:val="000000" w:themeColor="text1"/>
          <w:szCs w:val="24"/>
        </w:rPr>
        <w:t>(riebeckite),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46BFD">
        <w:rPr>
          <w:rFonts w:cs="Times New Roman"/>
          <w:color w:val="000000" w:themeColor="text1"/>
          <w:szCs w:val="24"/>
        </w:rPr>
        <w:t>amosite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46BFD">
        <w:rPr>
          <w:rFonts w:cs="Times New Roman"/>
          <w:color w:val="000000" w:themeColor="text1"/>
          <w:szCs w:val="24"/>
        </w:rPr>
        <w:t>(cummingtonite-grunerite),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46BFD">
        <w:rPr>
          <w:rFonts w:cs="Times New Roman"/>
          <w:color w:val="000000" w:themeColor="text1"/>
          <w:szCs w:val="24"/>
        </w:rPr>
        <w:t>anthophyllite,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46BFD">
        <w:rPr>
          <w:rFonts w:cs="Times New Roman"/>
          <w:color w:val="000000" w:themeColor="text1"/>
          <w:szCs w:val="24"/>
        </w:rPr>
        <w:t>tremolite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46BFD">
        <w:rPr>
          <w:rFonts w:cs="Times New Roman"/>
          <w:color w:val="000000" w:themeColor="text1"/>
          <w:szCs w:val="24"/>
        </w:rPr>
        <w:t>a</w:t>
      </w:r>
      <w:r w:rsidRPr="00C317BB" w:rsidR="00F676E0">
        <w:rPr>
          <w:rFonts w:cs="Times New Roman"/>
          <w:color w:val="000000" w:themeColor="text1"/>
          <w:szCs w:val="24"/>
        </w:rPr>
        <w:t>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46BFD">
        <w:rPr>
          <w:rFonts w:cs="Times New Roman"/>
          <w:color w:val="000000" w:themeColor="text1"/>
          <w:szCs w:val="24"/>
        </w:rPr>
        <w:t>actinolite)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C0410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C0410">
        <w:rPr>
          <w:rFonts w:cs="Times New Roman"/>
          <w:color w:val="000000" w:themeColor="text1"/>
          <w:szCs w:val="24"/>
        </w:rPr>
        <w:t>Libby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C0410">
        <w:rPr>
          <w:rFonts w:cs="Times New Roman"/>
          <w:color w:val="000000" w:themeColor="text1"/>
          <w:szCs w:val="24"/>
        </w:rPr>
        <w:t>Amphibole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C0410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C0410">
        <w:rPr>
          <w:rFonts w:cs="Times New Roman"/>
          <w:color w:val="000000" w:themeColor="text1"/>
          <w:szCs w:val="24"/>
        </w:rPr>
        <w:t>(</w:t>
      </w:r>
      <w:r w:rsidRPr="00C317BB" w:rsidR="00025BB8">
        <w:rPr>
          <w:rFonts w:cs="Times New Roman"/>
          <w:color w:val="000000" w:themeColor="text1"/>
          <w:szCs w:val="24"/>
        </w:rPr>
        <w:t>mainly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25BB8">
        <w:rPr>
          <w:rFonts w:cs="Times New Roman"/>
          <w:color w:val="000000" w:themeColor="text1"/>
          <w:szCs w:val="24"/>
        </w:rPr>
        <w:t>consisting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25BB8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25BB8">
        <w:rPr>
          <w:rFonts w:cs="Times New Roman"/>
          <w:color w:val="000000" w:themeColor="text1"/>
          <w:szCs w:val="24"/>
        </w:rPr>
        <w:t>tremolite,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C317BB" w:rsidR="00025BB8">
        <w:rPr>
          <w:rFonts w:cs="Times New Roman"/>
          <w:color w:val="000000" w:themeColor="text1"/>
          <w:szCs w:val="24"/>
        </w:rPr>
        <w:t>winchite</w:t>
      </w:r>
      <w:proofErr w:type="spellEnd"/>
      <w:r w:rsidRPr="00C317BB" w:rsidR="00025BB8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25BB8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25BB8">
        <w:rPr>
          <w:rFonts w:cs="Times New Roman"/>
          <w:color w:val="000000" w:themeColor="text1"/>
          <w:szCs w:val="24"/>
        </w:rPr>
        <w:t>richterite</w:t>
      </w:r>
      <w:r w:rsidRPr="00C317BB" w:rsidR="00A102D9">
        <w:rPr>
          <w:rFonts w:cs="Times New Roman"/>
          <w:color w:val="000000" w:themeColor="text1"/>
          <w:szCs w:val="24"/>
        </w:rPr>
        <w:t>)</w:t>
      </w:r>
      <w:r w:rsidRPr="00C317BB" w:rsidR="0071756C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60D2">
        <w:rPr>
          <w:rFonts w:cs="Times New Roman"/>
          <w:color w:val="000000" w:themeColor="text1"/>
          <w:szCs w:val="24"/>
        </w:rPr>
        <w:t>Additionally,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60D2">
        <w:rPr>
          <w:rFonts w:cs="Times New Roman"/>
          <w:color w:val="000000" w:themeColor="text1"/>
          <w:szCs w:val="24"/>
        </w:rPr>
        <w:t>some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60D2">
        <w:rPr>
          <w:rFonts w:cs="Times New Roman"/>
          <w:color w:val="000000" w:themeColor="text1"/>
          <w:szCs w:val="24"/>
        </w:rPr>
        <w:t>talc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60D2">
        <w:rPr>
          <w:rFonts w:cs="Times New Roman"/>
          <w:color w:val="000000" w:themeColor="text1"/>
          <w:szCs w:val="24"/>
        </w:rPr>
        <w:t>deposits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60D2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60D2">
        <w:rPr>
          <w:rFonts w:cs="Times New Roman"/>
          <w:color w:val="000000" w:themeColor="text1"/>
          <w:szCs w:val="24"/>
        </w:rPr>
        <w:t>articles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60D2">
        <w:rPr>
          <w:rFonts w:cs="Times New Roman"/>
          <w:color w:val="000000" w:themeColor="text1"/>
          <w:szCs w:val="24"/>
        </w:rPr>
        <w:t>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60D2">
        <w:rPr>
          <w:rFonts w:cs="Times New Roman"/>
          <w:color w:val="000000" w:themeColor="text1"/>
          <w:szCs w:val="24"/>
        </w:rPr>
        <w:t>talc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60D2">
        <w:rPr>
          <w:rFonts w:cs="Times New Roman"/>
          <w:color w:val="000000" w:themeColor="text1"/>
          <w:szCs w:val="24"/>
        </w:rPr>
        <w:t>have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60D2">
        <w:rPr>
          <w:rFonts w:cs="Times New Roman"/>
          <w:color w:val="000000" w:themeColor="text1"/>
          <w:szCs w:val="24"/>
        </w:rPr>
        <w:t>been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60D2">
        <w:rPr>
          <w:rFonts w:cs="Times New Roman"/>
          <w:color w:val="000000" w:themeColor="text1"/>
          <w:szCs w:val="24"/>
        </w:rPr>
        <w:t>shown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60D2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60D2">
        <w:rPr>
          <w:rFonts w:cs="Times New Roman"/>
          <w:color w:val="000000" w:themeColor="text1"/>
          <w:szCs w:val="24"/>
        </w:rPr>
        <w:t>contain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178BD">
        <w:rPr>
          <w:rFonts w:cs="Times New Roman"/>
          <w:color w:val="000000" w:themeColor="text1"/>
          <w:szCs w:val="24"/>
        </w:rPr>
        <w:t>asbestos</w:t>
      </w:r>
      <w:r w:rsidRPr="00C317BB" w:rsidR="006C60D2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60D2">
        <w:rPr>
          <w:rFonts w:cs="Times New Roman"/>
          <w:color w:val="000000" w:themeColor="text1"/>
          <w:szCs w:val="24"/>
        </w:rPr>
        <w:t>Thus,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60D2">
        <w:rPr>
          <w:rFonts w:cs="Times New Roman"/>
          <w:color w:val="000000" w:themeColor="text1"/>
          <w:szCs w:val="24"/>
        </w:rPr>
        <w:t>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60D2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60D2">
        <w:rPr>
          <w:rFonts w:cs="Times New Roman"/>
          <w:color w:val="000000" w:themeColor="text1"/>
          <w:szCs w:val="24"/>
        </w:rPr>
        <w:t>recognized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60D2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60D2">
        <w:rPr>
          <w:rFonts w:cs="Times New Roman"/>
          <w:color w:val="000000" w:themeColor="text1"/>
          <w:szCs w:val="24"/>
        </w:rPr>
        <w:t>certain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60D2">
        <w:rPr>
          <w:rFonts w:cs="Times New Roman"/>
          <w:color w:val="000000" w:themeColor="text1"/>
          <w:szCs w:val="24"/>
        </w:rPr>
        <w:t>uses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60D2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60D2">
        <w:rPr>
          <w:rFonts w:cs="Times New Roman"/>
          <w:color w:val="000000" w:themeColor="text1"/>
          <w:szCs w:val="24"/>
        </w:rPr>
        <w:t>talc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60D2">
        <w:rPr>
          <w:rFonts w:cs="Times New Roman"/>
          <w:color w:val="000000" w:themeColor="text1"/>
          <w:szCs w:val="24"/>
        </w:rPr>
        <w:t>may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60D2">
        <w:rPr>
          <w:rFonts w:cs="Times New Roman"/>
          <w:color w:val="000000" w:themeColor="text1"/>
          <w:szCs w:val="24"/>
        </w:rPr>
        <w:t>present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60D2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60D2">
        <w:rPr>
          <w:rFonts w:cs="Times New Roman"/>
          <w:color w:val="000000" w:themeColor="text1"/>
          <w:szCs w:val="24"/>
        </w:rPr>
        <w:t>potential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60D2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60D2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60D2">
        <w:rPr>
          <w:rFonts w:cs="Times New Roman"/>
          <w:color w:val="000000" w:themeColor="text1"/>
          <w:szCs w:val="24"/>
        </w:rPr>
        <w:t>exposure.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850EE">
        <w:rPr>
          <w:rFonts w:cs="Times New Roman"/>
          <w:color w:val="000000" w:themeColor="text1"/>
          <w:szCs w:val="24"/>
        </w:rPr>
        <w:t>Where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850EE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850EE">
        <w:rPr>
          <w:rFonts w:cs="Times New Roman"/>
          <w:color w:val="000000" w:themeColor="text1"/>
          <w:szCs w:val="24"/>
        </w:rPr>
        <w:t>identifies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850EE">
        <w:rPr>
          <w:rFonts w:cs="Times New Roman"/>
          <w:color w:val="000000" w:themeColor="text1"/>
          <w:szCs w:val="24"/>
        </w:rPr>
        <w:t>reasonably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850EE">
        <w:rPr>
          <w:rFonts w:cs="Times New Roman"/>
          <w:color w:val="000000" w:themeColor="text1"/>
          <w:szCs w:val="24"/>
        </w:rPr>
        <w:t>available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850EE">
        <w:rPr>
          <w:rFonts w:cs="Times New Roman"/>
          <w:color w:val="000000" w:themeColor="text1"/>
          <w:szCs w:val="24"/>
        </w:rPr>
        <w:t>information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850EE">
        <w:rPr>
          <w:rFonts w:cs="Times New Roman"/>
          <w:color w:val="000000" w:themeColor="text1"/>
          <w:szCs w:val="24"/>
        </w:rPr>
        <w:t>demonstrating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850EE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850EE">
        <w:rPr>
          <w:rFonts w:cs="Times New Roman"/>
          <w:color w:val="000000" w:themeColor="text1"/>
          <w:szCs w:val="24"/>
        </w:rPr>
        <w:t>presence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850EE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850EE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850EE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850EE">
        <w:rPr>
          <w:rFonts w:cs="Times New Roman"/>
          <w:color w:val="000000" w:themeColor="text1"/>
          <w:szCs w:val="24"/>
        </w:rPr>
        <w:t>talc</w:t>
      </w:r>
      <w:r w:rsidRPr="00C317BB" w:rsidR="00B346F9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346F9">
        <w:rPr>
          <w:rFonts w:cs="Times New Roman"/>
          <w:color w:val="000000" w:themeColor="text1"/>
          <w:szCs w:val="24"/>
        </w:rPr>
        <w:t>where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346F9">
        <w:rPr>
          <w:rFonts w:cs="Times New Roman"/>
          <w:color w:val="000000" w:themeColor="text1"/>
          <w:szCs w:val="24"/>
        </w:rPr>
        <w:t>such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346F9">
        <w:rPr>
          <w:rFonts w:cs="Times New Roman"/>
          <w:color w:val="000000" w:themeColor="text1"/>
          <w:szCs w:val="24"/>
        </w:rPr>
        <w:t>talc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346F9">
        <w:rPr>
          <w:rFonts w:cs="Times New Roman"/>
          <w:color w:val="000000" w:themeColor="text1"/>
          <w:szCs w:val="24"/>
        </w:rPr>
        <w:t>applications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850EE">
        <w:rPr>
          <w:rFonts w:cs="Times New Roman"/>
          <w:color w:val="000000" w:themeColor="text1"/>
          <w:szCs w:val="24"/>
        </w:rPr>
        <w:t>fall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850EE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850EE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850EE">
        <w:rPr>
          <w:rFonts w:cs="Times New Roman"/>
          <w:color w:val="000000" w:themeColor="text1"/>
          <w:szCs w:val="24"/>
        </w:rPr>
        <w:t>authority,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346F9">
        <w:rPr>
          <w:rFonts w:cs="Times New Roman"/>
          <w:color w:val="000000" w:themeColor="text1"/>
          <w:szCs w:val="24"/>
        </w:rPr>
        <w:t>those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850EE">
        <w:rPr>
          <w:rFonts w:cs="Times New Roman"/>
          <w:color w:val="000000" w:themeColor="text1"/>
          <w:szCs w:val="24"/>
        </w:rPr>
        <w:t>talc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850EE">
        <w:rPr>
          <w:rFonts w:cs="Times New Roman"/>
          <w:color w:val="000000" w:themeColor="text1"/>
          <w:szCs w:val="24"/>
        </w:rPr>
        <w:t>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850EE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850EE">
        <w:rPr>
          <w:rFonts w:cs="Times New Roman"/>
          <w:color w:val="000000" w:themeColor="text1"/>
          <w:szCs w:val="24"/>
        </w:rPr>
        <w:t>impurities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850EE">
        <w:rPr>
          <w:rFonts w:cs="Times New Roman"/>
          <w:color w:val="000000" w:themeColor="text1"/>
          <w:szCs w:val="24"/>
        </w:rPr>
        <w:t>will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850EE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850EE">
        <w:rPr>
          <w:rFonts w:cs="Times New Roman"/>
          <w:color w:val="000000" w:themeColor="text1"/>
          <w:szCs w:val="24"/>
        </w:rPr>
        <w:t>evaluated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850EE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850EE">
        <w:rPr>
          <w:rFonts w:cs="Times New Roman"/>
          <w:color w:val="000000" w:themeColor="text1"/>
          <w:szCs w:val="24"/>
        </w:rPr>
        <w:t>Part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850EE">
        <w:rPr>
          <w:rFonts w:cs="Times New Roman"/>
          <w:color w:val="000000" w:themeColor="text1"/>
          <w:szCs w:val="24"/>
        </w:rPr>
        <w:t>2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E5637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E5637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E5637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E5637">
        <w:rPr>
          <w:rFonts w:cs="Times New Roman"/>
          <w:color w:val="000000" w:themeColor="text1"/>
          <w:szCs w:val="24"/>
        </w:rPr>
        <w:t>evaluation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E5637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E5637">
        <w:rPr>
          <w:rFonts w:cs="Times New Roman"/>
          <w:color w:val="000000" w:themeColor="text1"/>
          <w:szCs w:val="24"/>
        </w:rPr>
        <w:t>asbestos</w:t>
      </w:r>
      <w:r w:rsidRPr="00C317BB" w:rsidR="00E850EE">
        <w:rPr>
          <w:rFonts w:cs="Times New Roman"/>
          <w:color w:val="000000" w:themeColor="text1"/>
          <w:szCs w:val="24"/>
        </w:rPr>
        <w:t>.</w:t>
      </w:r>
    </w:p>
    <w:p w:rsidRPr="00C317BB" w:rsidR="00DD00A7" w:rsidP="00F27167" w:rsidRDefault="00EB50B1" w14:paraId="2921A3BB" w14:textId="6159E46C">
      <w:pPr>
        <w:ind w:firstLine="720"/>
        <w:rPr>
          <w:rFonts w:cs="Times New Roman"/>
          <w:color w:val="000000" w:themeColor="text1"/>
          <w:szCs w:val="24"/>
        </w:rPr>
      </w:pPr>
      <w:bookmarkStart w:name="_Hlk15980614" w:id="15"/>
      <w:r w:rsidRPr="00C317BB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rule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A7517">
        <w:rPr>
          <w:rFonts w:cs="Times New Roman"/>
          <w:color w:val="000000" w:themeColor="text1"/>
          <w:szCs w:val="24"/>
        </w:rPr>
        <w:t>would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274F3">
        <w:rPr>
          <w:rFonts w:cs="Times New Roman"/>
          <w:color w:val="000000" w:themeColor="text1"/>
          <w:szCs w:val="24"/>
        </w:rPr>
        <w:t>only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appl</w:t>
      </w:r>
      <w:r w:rsidRPr="00C317BB" w:rsidR="001A7517">
        <w:rPr>
          <w:rFonts w:cs="Times New Roman"/>
          <w:color w:val="000000" w:themeColor="text1"/>
          <w:szCs w:val="24"/>
        </w:rPr>
        <w:t>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(Chemical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Abstract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Services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Registry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Number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F2718">
        <w:rPr>
          <w:rFonts w:cs="Times New Roman"/>
          <w:color w:val="000000" w:themeColor="text1"/>
          <w:szCs w:val="24"/>
        </w:rPr>
        <w:t>132207-32-0</w:t>
      </w:r>
      <w:r w:rsidRPr="00C317BB">
        <w:rPr>
          <w:rFonts w:cs="Times New Roman"/>
          <w:color w:val="000000" w:themeColor="text1"/>
          <w:szCs w:val="24"/>
        </w:rPr>
        <w:t>).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0A7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0A7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0A7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0A7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0A7">
        <w:rPr>
          <w:rFonts w:cs="Times New Roman"/>
          <w:color w:val="000000" w:themeColor="text1"/>
          <w:szCs w:val="24"/>
        </w:rPr>
        <w:t>hydrated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0A7">
        <w:rPr>
          <w:rFonts w:cs="Times New Roman"/>
          <w:color w:val="000000" w:themeColor="text1"/>
          <w:szCs w:val="24"/>
        </w:rPr>
        <w:t>magnesium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0A7">
        <w:rPr>
          <w:rFonts w:cs="Times New Roman"/>
          <w:color w:val="000000" w:themeColor="text1"/>
          <w:szCs w:val="24"/>
        </w:rPr>
        <w:t>silicate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0A7">
        <w:rPr>
          <w:rFonts w:cs="Times New Roman"/>
          <w:color w:val="000000" w:themeColor="text1"/>
          <w:szCs w:val="24"/>
        </w:rPr>
        <w:t>mineral,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0A7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0A7">
        <w:rPr>
          <w:rFonts w:cs="Times New Roman"/>
          <w:color w:val="000000" w:themeColor="text1"/>
          <w:szCs w:val="24"/>
        </w:rPr>
        <w:t>relatively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0A7">
        <w:rPr>
          <w:rFonts w:cs="Times New Roman"/>
          <w:color w:val="000000" w:themeColor="text1"/>
          <w:szCs w:val="24"/>
        </w:rPr>
        <w:t>long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0A7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0A7">
        <w:rPr>
          <w:rFonts w:cs="Times New Roman"/>
          <w:color w:val="000000" w:themeColor="text1"/>
          <w:szCs w:val="24"/>
        </w:rPr>
        <w:t>flexible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0A7">
        <w:rPr>
          <w:rFonts w:cs="Times New Roman"/>
          <w:color w:val="000000" w:themeColor="text1"/>
          <w:szCs w:val="24"/>
        </w:rPr>
        <w:t>crystalline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0A7">
        <w:rPr>
          <w:rFonts w:cs="Times New Roman"/>
          <w:color w:val="000000" w:themeColor="text1"/>
          <w:szCs w:val="24"/>
        </w:rPr>
        <w:t>fibers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0A7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0A7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0A7">
        <w:rPr>
          <w:rFonts w:cs="Times New Roman"/>
          <w:color w:val="000000" w:themeColor="text1"/>
          <w:szCs w:val="24"/>
        </w:rPr>
        <w:t>capable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0A7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0A7">
        <w:rPr>
          <w:rFonts w:cs="Times New Roman"/>
          <w:color w:val="000000" w:themeColor="text1"/>
          <w:szCs w:val="24"/>
        </w:rPr>
        <w:t>being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0A7">
        <w:rPr>
          <w:rFonts w:cs="Times New Roman"/>
          <w:color w:val="000000" w:themeColor="text1"/>
          <w:szCs w:val="24"/>
        </w:rPr>
        <w:t>woven.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0A7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0A7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0A7">
        <w:rPr>
          <w:rFonts w:cs="Times New Roman"/>
          <w:color w:val="000000" w:themeColor="text1"/>
          <w:szCs w:val="24"/>
        </w:rPr>
        <w:t>fibers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0A7">
        <w:rPr>
          <w:rFonts w:cs="Times New Roman"/>
          <w:color w:val="000000" w:themeColor="text1"/>
          <w:szCs w:val="24"/>
        </w:rPr>
        <w:t>used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0A7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0A7">
        <w:rPr>
          <w:rFonts w:cs="Times New Roman"/>
          <w:color w:val="000000" w:themeColor="text1"/>
          <w:szCs w:val="24"/>
        </w:rPr>
        <w:t>most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0A7">
        <w:rPr>
          <w:rFonts w:cs="Times New Roman"/>
          <w:color w:val="000000" w:themeColor="text1"/>
          <w:szCs w:val="24"/>
        </w:rPr>
        <w:t>commercial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0A7">
        <w:rPr>
          <w:rFonts w:cs="Times New Roman"/>
          <w:color w:val="000000" w:themeColor="text1"/>
          <w:szCs w:val="24"/>
        </w:rPr>
        <w:t>applications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0A7">
        <w:rPr>
          <w:rFonts w:cs="Times New Roman"/>
          <w:color w:val="000000" w:themeColor="text1"/>
          <w:szCs w:val="24"/>
        </w:rPr>
        <w:t>consist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0A7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0A7">
        <w:rPr>
          <w:rFonts w:cs="Times New Roman"/>
          <w:color w:val="000000" w:themeColor="text1"/>
          <w:szCs w:val="24"/>
        </w:rPr>
        <w:t>aggregates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0A7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0A7">
        <w:rPr>
          <w:rFonts w:cs="Times New Roman"/>
          <w:color w:val="000000" w:themeColor="text1"/>
          <w:szCs w:val="24"/>
        </w:rPr>
        <w:t>usually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0A7">
        <w:rPr>
          <w:rFonts w:cs="Times New Roman"/>
          <w:color w:val="000000" w:themeColor="text1"/>
          <w:szCs w:val="24"/>
        </w:rPr>
        <w:t>contain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0A7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0A7">
        <w:rPr>
          <w:rFonts w:cs="Times New Roman"/>
          <w:color w:val="000000" w:themeColor="text1"/>
          <w:szCs w:val="24"/>
        </w:rPr>
        <w:t>broad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0A7">
        <w:rPr>
          <w:rFonts w:cs="Times New Roman"/>
          <w:color w:val="000000" w:themeColor="text1"/>
          <w:szCs w:val="24"/>
        </w:rPr>
        <w:t>distribution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0A7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0A7">
        <w:rPr>
          <w:rFonts w:cs="Times New Roman"/>
          <w:color w:val="000000" w:themeColor="text1"/>
          <w:szCs w:val="24"/>
        </w:rPr>
        <w:t>fiber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0A7">
        <w:rPr>
          <w:rFonts w:cs="Times New Roman"/>
          <w:color w:val="000000" w:themeColor="text1"/>
          <w:szCs w:val="24"/>
        </w:rPr>
        <w:t>lengths.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0A7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0A7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0A7">
        <w:rPr>
          <w:rFonts w:cs="Times New Roman"/>
          <w:color w:val="000000" w:themeColor="text1"/>
          <w:szCs w:val="24"/>
        </w:rPr>
        <w:t>fiber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0A7">
        <w:rPr>
          <w:rFonts w:cs="Times New Roman"/>
          <w:color w:val="000000" w:themeColor="text1"/>
          <w:szCs w:val="24"/>
        </w:rPr>
        <w:t>bundle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0A7">
        <w:rPr>
          <w:rFonts w:cs="Times New Roman"/>
          <w:color w:val="000000" w:themeColor="text1"/>
          <w:szCs w:val="24"/>
        </w:rPr>
        <w:t>lengths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0A7">
        <w:rPr>
          <w:rFonts w:cs="Times New Roman"/>
          <w:color w:val="000000" w:themeColor="text1"/>
          <w:szCs w:val="24"/>
        </w:rPr>
        <w:t>usually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0A7">
        <w:rPr>
          <w:rFonts w:cs="Times New Roman"/>
          <w:color w:val="000000" w:themeColor="text1"/>
          <w:szCs w:val="24"/>
        </w:rPr>
        <w:t>range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0A7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0A7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0A7">
        <w:rPr>
          <w:rFonts w:cs="Times New Roman"/>
          <w:color w:val="000000" w:themeColor="text1"/>
          <w:szCs w:val="24"/>
        </w:rPr>
        <w:t>fraction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0A7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0A7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0A7">
        <w:rPr>
          <w:rFonts w:cs="Times New Roman"/>
          <w:color w:val="000000" w:themeColor="text1"/>
          <w:szCs w:val="24"/>
        </w:rPr>
        <w:t>millimeter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0A7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0A7">
        <w:rPr>
          <w:rFonts w:cs="Times New Roman"/>
          <w:color w:val="000000" w:themeColor="text1"/>
          <w:szCs w:val="24"/>
        </w:rPr>
        <w:t>several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0A7">
        <w:rPr>
          <w:rFonts w:cs="Times New Roman"/>
          <w:color w:val="000000" w:themeColor="text1"/>
          <w:szCs w:val="24"/>
        </w:rPr>
        <w:t>centimeters,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0A7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0A7">
        <w:rPr>
          <w:rFonts w:cs="Times New Roman"/>
          <w:color w:val="000000" w:themeColor="text1"/>
          <w:szCs w:val="24"/>
        </w:rPr>
        <w:t>diameters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0A7">
        <w:rPr>
          <w:rFonts w:cs="Times New Roman"/>
          <w:color w:val="000000" w:themeColor="text1"/>
          <w:szCs w:val="24"/>
        </w:rPr>
        <w:t>range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0A7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0A7">
        <w:rPr>
          <w:rFonts w:cs="Times New Roman"/>
          <w:color w:val="000000" w:themeColor="text1"/>
          <w:szCs w:val="24"/>
        </w:rPr>
        <w:t>0.1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0A7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0A7">
        <w:rPr>
          <w:rFonts w:cs="Times New Roman"/>
          <w:color w:val="000000" w:themeColor="text1"/>
          <w:szCs w:val="24"/>
        </w:rPr>
        <w:t>100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B2F53">
        <w:rPr>
          <w:rFonts w:cs="Times New Roman"/>
          <w:color w:val="000000" w:themeColor="text1"/>
          <w:szCs w:val="24"/>
        </w:rPr>
        <w:t>µ</w:t>
      </w:r>
      <w:r w:rsidRPr="00C317BB" w:rsidR="00DD00A7">
        <w:rPr>
          <w:rFonts w:cs="Times New Roman"/>
          <w:color w:val="000000" w:themeColor="text1"/>
          <w:szCs w:val="24"/>
        </w:rPr>
        <w:t>m.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0A7">
        <w:rPr>
          <w:rFonts w:cs="Times New Roman"/>
          <w:color w:val="000000" w:themeColor="text1"/>
          <w:szCs w:val="24"/>
        </w:rPr>
        <w:t>More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0A7">
        <w:rPr>
          <w:rFonts w:cs="Times New Roman"/>
          <w:color w:val="000000" w:themeColor="text1"/>
          <w:szCs w:val="24"/>
        </w:rPr>
        <w:t>information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0A7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5670C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0A7">
        <w:rPr>
          <w:rFonts w:cs="Times New Roman"/>
          <w:color w:val="000000" w:themeColor="text1"/>
          <w:szCs w:val="24"/>
        </w:rPr>
        <w:t>physical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0A7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0A7">
        <w:rPr>
          <w:rFonts w:cs="Times New Roman"/>
          <w:color w:val="000000" w:themeColor="text1"/>
          <w:szCs w:val="24"/>
        </w:rPr>
        <w:t>chemical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0A7">
        <w:rPr>
          <w:rFonts w:cs="Times New Roman"/>
          <w:color w:val="000000" w:themeColor="text1"/>
          <w:szCs w:val="24"/>
        </w:rPr>
        <w:t>properties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5670C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5670C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5670C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351EE93B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0A7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F1ADB">
        <w:rPr>
          <w:rFonts w:cs="Times New Roman"/>
          <w:color w:val="000000" w:themeColor="text1"/>
          <w:szCs w:val="24"/>
        </w:rPr>
        <w:t>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F1ADB">
        <w:rPr>
          <w:rFonts w:cs="Times New Roman"/>
          <w:color w:val="000000" w:themeColor="text1"/>
          <w:szCs w:val="24"/>
        </w:rPr>
        <w:t>1.1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F1AD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0A7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F3A5A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0A7">
        <w:rPr>
          <w:rFonts w:cs="Times New Roman"/>
          <w:color w:val="000000" w:themeColor="text1"/>
          <w:szCs w:val="24"/>
        </w:rPr>
        <w:t>Evaluation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5430D">
        <w:rPr>
          <w:rFonts w:cs="Times New Roman"/>
          <w:color w:val="000000" w:themeColor="text1"/>
          <w:szCs w:val="24"/>
        </w:rPr>
        <w:t>(</w:t>
      </w:r>
      <w:r w:rsidRPr="00C317BB" w:rsidR="00CB640D">
        <w:rPr>
          <w:rFonts w:cs="Times New Roman"/>
          <w:color w:val="000000" w:themeColor="text1"/>
          <w:szCs w:val="24"/>
        </w:rPr>
        <w:t>Ref.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2E2B">
        <w:rPr>
          <w:rFonts w:cs="Times New Roman"/>
          <w:color w:val="000000" w:themeColor="text1"/>
          <w:szCs w:val="24"/>
        </w:rPr>
        <w:t>1</w:t>
      </w:r>
      <w:r w:rsidRPr="00C317BB" w:rsidR="00A5430D">
        <w:rPr>
          <w:rFonts w:cs="Times New Roman"/>
          <w:color w:val="000000" w:themeColor="text1"/>
          <w:szCs w:val="24"/>
        </w:rPr>
        <w:t>)</w:t>
      </w:r>
      <w:r w:rsidRPr="00C317BB" w:rsidR="00DD00A7">
        <w:rPr>
          <w:rFonts w:cs="Times New Roman"/>
          <w:color w:val="000000" w:themeColor="text1"/>
          <w:szCs w:val="24"/>
        </w:rPr>
        <w:t>.</w:t>
      </w:r>
    </w:p>
    <w:p w:rsidRPr="00C317BB" w:rsidR="00DD00A7" w:rsidP="00F27167" w:rsidRDefault="00F225F7" w14:paraId="36705AC3" w14:textId="509D0010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0A7">
        <w:rPr>
          <w:rFonts w:cs="Times New Roman"/>
          <w:color w:val="000000" w:themeColor="text1"/>
          <w:szCs w:val="24"/>
        </w:rPr>
        <w:t>evaluated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96267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96267">
        <w:rPr>
          <w:rFonts w:cs="Times New Roman"/>
          <w:color w:val="000000" w:themeColor="text1"/>
          <w:szCs w:val="24"/>
        </w:rPr>
        <w:t>conditions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96267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96267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70D6B">
        <w:rPr>
          <w:rFonts w:cs="Times New Roman"/>
          <w:color w:val="000000" w:themeColor="text1"/>
          <w:szCs w:val="24"/>
        </w:rPr>
        <w:t>associated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70D6B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0A7">
        <w:rPr>
          <w:rFonts w:cs="Times New Roman"/>
          <w:color w:val="000000" w:themeColor="text1"/>
          <w:szCs w:val="24"/>
        </w:rPr>
        <w:t>six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0A7">
        <w:rPr>
          <w:rFonts w:cs="Times New Roman"/>
          <w:color w:val="000000" w:themeColor="text1"/>
          <w:szCs w:val="24"/>
        </w:rPr>
        <w:t>ongoing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0A7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0A7">
        <w:rPr>
          <w:rFonts w:cs="Times New Roman"/>
          <w:color w:val="000000" w:themeColor="text1"/>
          <w:szCs w:val="24"/>
        </w:rPr>
        <w:t>categories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0A7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0A7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0A7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0A7">
        <w:rPr>
          <w:rFonts w:cs="Times New Roman"/>
          <w:color w:val="000000" w:themeColor="text1"/>
          <w:szCs w:val="24"/>
        </w:rPr>
        <w:t>(chlor-alkali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0A7">
        <w:rPr>
          <w:rFonts w:cs="Times New Roman"/>
          <w:color w:val="000000" w:themeColor="text1"/>
          <w:szCs w:val="24"/>
        </w:rPr>
        <w:t>diaphragms,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0A7">
        <w:rPr>
          <w:rFonts w:cs="Times New Roman"/>
          <w:color w:val="000000" w:themeColor="text1"/>
          <w:szCs w:val="24"/>
        </w:rPr>
        <w:t>sheet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0A7">
        <w:rPr>
          <w:rFonts w:cs="Times New Roman"/>
          <w:color w:val="000000" w:themeColor="text1"/>
          <w:szCs w:val="24"/>
        </w:rPr>
        <w:t>gaskets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11DBE">
        <w:rPr>
          <w:rFonts w:cs="Times New Roman"/>
          <w:color w:val="000000" w:themeColor="text1"/>
          <w:szCs w:val="24"/>
        </w:rPr>
        <w:t>used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11DBE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11DBE">
        <w:rPr>
          <w:rFonts w:cs="Times New Roman"/>
          <w:color w:val="000000" w:themeColor="text1"/>
          <w:szCs w:val="24"/>
        </w:rPr>
        <w:t>chemical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11DBE">
        <w:rPr>
          <w:rFonts w:cs="Times New Roman"/>
          <w:color w:val="000000" w:themeColor="text1"/>
          <w:szCs w:val="24"/>
        </w:rPr>
        <w:t>production</w:t>
      </w:r>
      <w:r w:rsidRPr="00C317BB" w:rsidR="00DD00A7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0A7">
        <w:rPr>
          <w:rFonts w:cs="Times New Roman"/>
          <w:color w:val="000000" w:themeColor="text1"/>
          <w:szCs w:val="24"/>
        </w:rPr>
        <w:t>oilfield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0A7">
        <w:rPr>
          <w:rFonts w:cs="Times New Roman"/>
          <w:color w:val="000000" w:themeColor="text1"/>
          <w:szCs w:val="24"/>
        </w:rPr>
        <w:t>brake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0A7">
        <w:rPr>
          <w:rFonts w:cs="Times New Roman"/>
          <w:color w:val="000000" w:themeColor="text1"/>
          <w:szCs w:val="24"/>
        </w:rPr>
        <w:t>blocks,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0A7">
        <w:rPr>
          <w:rFonts w:cs="Times New Roman"/>
          <w:color w:val="000000" w:themeColor="text1"/>
          <w:szCs w:val="24"/>
        </w:rPr>
        <w:t>aftermarket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0A7">
        <w:rPr>
          <w:rFonts w:cs="Times New Roman"/>
          <w:color w:val="000000" w:themeColor="text1"/>
          <w:szCs w:val="24"/>
        </w:rPr>
        <w:t>automotive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0A7">
        <w:rPr>
          <w:rFonts w:cs="Times New Roman"/>
          <w:color w:val="000000" w:themeColor="text1"/>
          <w:szCs w:val="24"/>
        </w:rPr>
        <w:t>brakes/linings,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0A7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0A7">
        <w:rPr>
          <w:rFonts w:cs="Times New Roman"/>
          <w:color w:val="000000" w:themeColor="text1"/>
          <w:szCs w:val="24"/>
        </w:rPr>
        <w:t>vehicle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0A7">
        <w:rPr>
          <w:rFonts w:cs="Times New Roman"/>
          <w:color w:val="000000" w:themeColor="text1"/>
          <w:szCs w:val="24"/>
        </w:rPr>
        <w:t>friction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0A7">
        <w:rPr>
          <w:rFonts w:cs="Times New Roman"/>
          <w:color w:val="000000" w:themeColor="text1"/>
          <w:szCs w:val="24"/>
        </w:rPr>
        <w:t>products</w:t>
      </w:r>
      <w:r w:rsidRPr="00C317BB" w:rsidR="00226B68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26B68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26B68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26B68">
        <w:rPr>
          <w:rFonts w:cs="Times New Roman"/>
          <w:color w:val="000000" w:themeColor="text1"/>
          <w:szCs w:val="24"/>
        </w:rPr>
        <w:t>gaskets</w:t>
      </w:r>
      <w:r w:rsidRPr="00C317BB" w:rsidR="00DD00A7">
        <w:rPr>
          <w:rFonts w:cs="Times New Roman"/>
          <w:color w:val="000000" w:themeColor="text1"/>
          <w:szCs w:val="24"/>
        </w:rPr>
        <w:t>).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0A7">
        <w:rPr>
          <w:rFonts w:cs="Times New Roman"/>
          <w:color w:val="000000" w:themeColor="text1"/>
          <w:szCs w:val="24"/>
        </w:rPr>
        <w:t>There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0A7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0A7">
        <w:rPr>
          <w:rFonts w:cs="Times New Roman"/>
          <w:color w:val="000000" w:themeColor="text1"/>
          <w:szCs w:val="24"/>
        </w:rPr>
        <w:t>no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0A7">
        <w:rPr>
          <w:rFonts w:cs="Times New Roman"/>
          <w:color w:val="000000" w:themeColor="text1"/>
          <w:szCs w:val="24"/>
        </w:rPr>
        <w:t>domestic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0A7">
        <w:rPr>
          <w:rFonts w:cs="Times New Roman"/>
          <w:color w:val="000000" w:themeColor="text1"/>
          <w:szCs w:val="24"/>
        </w:rPr>
        <w:t>mining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0A7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0A7">
        <w:rPr>
          <w:rFonts w:cs="Times New Roman"/>
          <w:color w:val="000000" w:themeColor="text1"/>
          <w:szCs w:val="24"/>
        </w:rPr>
        <w:t>asbestos.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34606">
        <w:rPr>
          <w:rFonts w:cs="Times New Roman"/>
          <w:color w:val="000000" w:themeColor="text1"/>
          <w:szCs w:val="24"/>
        </w:rPr>
        <w:t>A</w:t>
      </w:r>
      <w:r w:rsidRPr="00C317BB" w:rsidR="00DD00A7">
        <w:rPr>
          <w:rFonts w:cs="Times New Roman"/>
          <w:color w:val="000000" w:themeColor="text1"/>
          <w:szCs w:val="24"/>
        </w:rPr>
        <w:t>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0A7">
        <w:rPr>
          <w:rFonts w:cs="Times New Roman"/>
          <w:color w:val="000000" w:themeColor="text1"/>
          <w:szCs w:val="24"/>
        </w:rPr>
        <w:t>imported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0A7">
        <w:rPr>
          <w:rFonts w:cs="Times New Roman"/>
          <w:color w:val="000000" w:themeColor="text1"/>
          <w:szCs w:val="24"/>
        </w:rPr>
        <w:t>raw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0A7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B5A99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0A7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0A7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B5A99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0A7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0A7">
        <w:rPr>
          <w:rFonts w:cs="Times New Roman"/>
          <w:color w:val="000000" w:themeColor="text1"/>
          <w:szCs w:val="24"/>
        </w:rPr>
        <w:t>used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0A7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0A7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0A7">
        <w:rPr>
          <w:rFonts w:cs="Times New Roman"/>
          <w:color w:val="000000" w:themeColor="text1"/>
          <w:szCs w:val="24"/>
        </w:rPr>
        <w:t>manufacture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0A7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0A7">
        <w:rPr>
          <w:rFonts w:cs="Times New Roman"/>
          <w:color w:val="000000" w:themeColor="text1"/>
          <w:szCs w:val="24"/>
        </w:rPr>
        <w:t>chlor-alkali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0A7">
        <w:rPr>
          <w:rFonts w:cs="Times New Roman"/>
          <w:color w:val="000000" w:themeColor="text1"/>
          <w:szCs w:val="24"/>
        </w:rPr>
        <w:t>diaphragms</w:t>
      </w:r>
      <w:r w:rsidRPr="00C317BB" w:rsidR="00E1185D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1185D">
        <w:rPr>
          <w:rFonts w:cs="Times New Roman"/>
          <w:color w:val="000000" w:themeColor="text1"/>
          <w:szCs w:val="24"/>
        </w:rPr>
        <w:t>According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1185D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1185D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1185D">
        <w:rPr>
          <w:rFonts w:cs="Times New Roman"/>
          <w:color w:val="000000" w:themeColor="text1"/>
          <w:szCs w:val="24"/>
        </w:rPr>
        <w:t>United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1185D">
        <w:rPr>
          <w:rFonts w:cs="Times New Roman"/>
          <w:color w:val="000000" w:themeColor="text1"/>
          <w:szCs w:val="24"/>
        </w:rPr>
        <w:t>States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1185D">
        <w:rPr>
          <w:rFonts w:cs="Times New Roman"/>
          <w:color w:val="000000" w:themeColor="text1"/>
          <w:szCs w:val="24"/>
        </w:rPr>
        <w:t>Geological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1185D">
        <w:rPr>
          <w:rFonts w:cs="Times New Roman"/>
          <w:color w:val="000000" w:themeColor="text1"/>
          <w:szCs w:val="24"/>
        </w:rPr>
        <w:t>Survey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1185D">
        <w:rPr>
          <w:rFonts w:cs="Times New Roman"/>
          <w:color w:val="000000" w:themeColor="text1"/>
          <w:szCs w:val="24"/>
        </w:rPr>
        <w:t>(USGS),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94651">
        <w:rPr>
          <w:rFonts w:cs="Times New Roman"/>
          <w:color w:val="000000" w:themeColor="text1"/>
          <w:szCs w:val="24"/>
        </w:rPr>
        <w:t>3</w:t>
      </w:r>
      <w:r w:rsidRPr="00C317BB" w:rsidR="000F1AF4">
        <w:rPr>
          <w:rFonts w:cs="Times New Roman"/>
          <w:color w:val="000000" w:themeColor="text1"/>
          <w:szCs w:val="24"/>
        </w:rPr>
        <w:t>00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1AF4">
        <w:rPr>
          <w:rFonts w:cs="Times New Roman"/>
          <w:color w:val="000000" w:themeColor="text1"/>
          <w:szCs w:val="24"/>
        </w:rPr>
        <w:t>metric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1AF4">
        <w:rPr>
          <w:rFonts w:cs="Times New Roman"/>
          <w:color w:val="000000" w:themeColor="text1"/>
          <w:szCs w:val="24"/>
        </w:rPr>
        <w:t>tons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1185D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1185D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1185D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54A3">
        <w:rPr>
          <w:rFonts w:cs="Times New Roman"/>
          <w:color w:val="000000" w:themeColor="text1"/>
          <w:szCs w:val="24"/>
        </w:rPr>
        <w:t>were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1185D">
        <w:rPr>
          <w:rFonts w:cs="Times New Roman"/>
          <w:color w:val="000000" w:themeColor="text1"/>
          <w:szCs w:val="24"/>
        </w:rPr>
        <w:t>imported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1AF4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1AF4">
        <w:rPr>
          <w:rFonts w:cs="Times New Roman"/>
          <w:color w:val="000000" w:themeColor="text1"/>
          <w:szCs w:val="24"/>
        </w:rPr>
        <w:t>20</w:t>
      </w:r>
      <w:r w:rsidRPr="00C317BB" w:rsidR="00694651">
        <w:rPr>
          <w:rFonts w:cs="Times New Roman"/>
          <w:color w:val="000000" w:themeColor="text1"/>
          <w:szCs w:val="24"/>
        </w:rPr>
        <w:t>20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0A7">
        <w:rPr>
          <w:rFonts w:cs="Times New Roman"/>
          <w:color w:val="000000" w:themeColor="text1"/>
          <w:szCs w:val="24"/>
        </w:rPr>
        <w:t>(</w:t>
      </w:r>
      <w:r w:rsidRPr="00C317BB" w:rsidR="00465D0D">
        <w:rPr>
          <w:rFonts w:cs="Times New Roman"/>
          <w:color w:val="000000" w:themeColor="text1"/>
          <w:szCs w:val="24"/>
        </w:rPr>
        <w:t>Ref.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E4436">
        <w:rPr>
          <w:rFonts w:cs="Times New Roman"/>
          <w:color w:val="000000" w:themeColor="text1"/>
          <w:szCs w:val="24"/>
        </w:rPr>
        <w:t>3</w:t>
      </w:r>
      <w:r w:rsidRPr="00C317BB" w:rsidR="00DD00A7">
        <w:rPr>
          <w:rFonts w:cs="Times New Roman"/>
          <w:color w:val="000000" w:themeColor="text1"/>
          <w:szCs w:val="24"/>
        </w:rPr>
        <w:t>).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DC6330" w:rsidP="00F27167" w:rsidRDefault="00DE0505" w14:paraId="739EEB58" w14:textId="7E542290">
      <w:pPr>
        <w:pStyle w:val="Heading2"/>
        <w:rPr>
          <w:rFonts w:cs="Times New Roman"/>
          <w:color w:val="000000" w:themeColor="text1"/>
          <w:szCs w:val="24"/>
        </w:rPr>
      </w:pPr>
      <w:r w:rsidRPr="00C317BB">
        <w:rPr>
          <w:rStyle w:val="Strong"/>
          <w:rFonts w:cs="Times New Roman"/>
          <w:b w:val="0"/>
          <w:color w:val="000000" w:themeColor="text1"/>
          <w:szCs w:val="24"/>
        </w:rPr>
        <w:t>B</w:t>
      </w:r>
      <w:r w:rsidRPr="00C317BB" w:rsidR="008E2F93">
        <w:rPr>
          <w:rStyle w:val="Strong"/>
          <w:rFonts w:cs="Times New Roman"/>
          <w:b w:val="0"/>
          <w:color w:val="000000" w:themeColor="text1"/>
          <w:szCs w:val="24"/>
        </w:rPr>
        <w:t>.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8E2F93">
        <w:rPr>
          <w:rStyle w:val="Strong"/>
          <w:rFonts w:cs="Times New Roman"/>
          <w:b w:val="0"/>
          <w:color w:val="000000" w:themeColor="text1"/>
          <w:szCs w:val="24"/>
        </w:rPr>
        <w:t>Regulatory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1C2788">
        <w:rPr>
          <w:rStyle w:val="Strong"/>
          <w:rFonts w:cs="Times New Roman"/>
          <w:b w:val="0"/>
          <w:color w:val="000000" w:themeColor="text1"/>
          <w:szCs w:val="24"/>
        </w:rPr>
        <w:t>a</w:t>
      </w:r>
      <w:r w:rsidRPr="00C317BB" w:rsidR="00437B59">
        <w:rPr>
          <w:rStyle w:val="Strong"/>
          <w:rFonts w:cs="Times New Roman"/>
          <w:b w:val="0"/>
          <w:color w:val="000000" w:themeColor="text1"/>
          <w:szCs w:val="24"/>
        </w:rPr>
        <w:t>ctions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913EB4">
        <w:rPr>
          <w:rStyle w:val="Strong"/>
          <w:rFonts w:cs="Times New Roman"/>
          <w:b w:val="0"/>
          <w:color w:val="000000" w:themeColor="text1"/>
          <w:szCs w:val="24"/>
        </w:rPr>
        <w:t>p</w:t>
      </w:r>
      <w:r w:rsidRPr="00C317BB" w:rsidR="00437B59">
        <w:rPr>
          <w:rStyle w:val="Strong"/>
          <w:rFonts w:cs="Times New Roman"/>
          <w:b w:val="0"/>
          <w:color w:val="000000" w:themeColor="text1"/>
          <w:szCs w:val="24"/>
        </w:rPr>
        <w:t>ertaining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437B59">
        <w:rPr>
          <w:rStyle w:val="Strong"/>
          <w:rFonts w:cs="Times New Roman"/>
          <w:b w:val="0"/>
          <w:color w:val="000000" w:themeColor="text1"/>
          <w:szCs w:val="24"/>
        </w:rPr>
        <w:t>to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913EB4">
        <w:rPr>
          <w:rStyle w:val="Strong"/>
          <w:rFonts w:cs="Times New Roman"/>
          <w:b w:val="0"/>
          <w:color w:val="000000" w:themeColor="text1"/>
          <w:szCs w:val="24"/>
        </w:rPr>
        <w:t>c</w:t>
      </w:r>
      <w:r w:rsidRPr="00C317BB" w:rsidR="003E5190">
        <w:rPr>
          <w:rStyle w:val="Strong"/>
          <w:rFonts w:cs="Times New Roman"/>
          <w:b w:val="0"/>
          <w:color w:val="000000" w:themeColor="text1"/>
          <w:szCs w:val="24"/>
        </w:rPr>
        <w:t>hrysotile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913EB4">
        <w:rPr>
          <w:rStyle w:val="Strong"/>
          <w:rFonts w:cs="Times New Roman"/>
          <w:b w:val="0"/>
          <w:color w:val="000000" w:themeColor="text1"/>
          <w:szCs w:val="24"/>
        </w:rPr>
        <w:t>a</w:t>
      </w:r>
      <w:r w:rsidRPr="00C317BB" w:rsidR="001F1A0E">
        <w:rPr>
          <w:rStyle w:val="Strong"/>
          <w:rFonts w:cs="Times New Roman"/>
          <w:b w:val="0"/>
          <w:color w:val="000000" w:themeColor="text1"/>
          <w:szCs w:val="24"/>
        </w:rPr>
        <w:t>s</w:t>
      </w:r>
      <w:r w:rsidRPr="00C317BB" w:rsidR="003E5190">
        <w:rPr>
          <w:rStyle w:val="Strong"/>
          <w:rFonts w:cs="Times New Roman"/>
          <w:b w:val="0"/>
          <w:color w:val="000000" w:themeColor="text1"/>
          <w:szCs w:val="24"/>
        </w:rPr>
        <w:t>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603440" w:rsidP="00F27167" w:rsidRDefault="00C50951" w14:paraId="114087E6" w14:textId="3218572E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2397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02D86">
        <w:rPr>
          <w:rFonts w:cs="Times New Roman"/>
          <w:color w:val="000000" w:themeColor="text1"/>
          <w:szCs w:val="24"/>
        </w:rPr>
        <w:t>subject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2397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2397">
        <w:rPr>
          <w:rFonts w:cs="Times New Roman"/>
          <w:color w:val="000000" w:themeColor="text1"/>
          <w:szCs w:val="24"/>
        </w:rPr>
        <w:t>numerous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02D86">
        <w:rPr>
          <w:rFonts w:cs="Times New Roman"/>
          <w:color w:val="000000" w:themeColor="text1"/>
          <w:szCs w:val="24"/>
        </w:rPr>
        <w:t>federal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12B1A">
        <w:rPr>
          <w:rFonts w:cs="Times New Roman"/>
          <w:color w:val="000000" w:themeColor="text1"/>
          <w:szCs w:val="24"/>
        </w:rPr>
        <w:t>laws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12B1A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02D86">
        <w:rPr>
          <w:rFonts w:cs="Times New Roman"/>
          <w:color w:val="000000" w:themeColor="text1"/>
          <w:szCs w:val="24"/>
        </w:rPr>
        <w:t>regulations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2634C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2634C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2634C">
        <w:rPr>
          <w:rFonts w:cs="Times New Roman"/>
          <w:color w:val="000000" w:themeColor="text1"/>
          <w:szCs w:val="24"/>
        </w:rPr>
        <w:t>United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2634C">
        <w:rPr>
          <w:rFonts w:cs="Times New Roman"/>
          <w:color w:val="000000" w:themeColor="text1"/>
          <w:szCs w:val="24"/>
        </w:rPr>
        <w:t>States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12B1A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12B1A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12B1A">
        <w:rPr>
          <w:rFonts w:cs="Times New Roman"/>
          <w:color w:val="000000" w:themeColor="text1"/>
          <w:szCs w:val="24"/>
        </w:rPr>
        <w:t>also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12B1A">
        <w:rPr>
          <w:rFonts w:cs="Times New Roman"/>
          <w:color w:val="000000" w:themeColor="text1"/>
          <w:szCs w:val="24"/>
        </w:rPr>
        <w:t>subject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12B1A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622C7">
        <w:rPr>
          <w:rFonts w:cs="Times New Roman"/>
          <w:color w:val="000000" w:themeColor="text1"/>
          <w:szCs w:val="24"/>
        </w:rPr>
        <w:t>regulatory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622C7">
        <w:rPr>
          <w:rFonts w:cs="Times New Roman"/>
          <w:color w:val="000000" w:themeColor="text1"/>
          <w:szCs w:val="24"/>
        </w:rPr>
        <w:t>actions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622C7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12B1A">
        <w:rPr>
          <w:rFonts w:cs="Times New Roman"/>
          <w:color w:val="000000" w:themeColor="text1"/>
          <w:szCs w:val="24"/>
        </w:rPr>
        <w:t>state</w:t>
      </w:r>
      <w:r w:rsidRPr="00C317BB" w:rsidR="000622C7">
        <w:rPr>
          <w:rFonts w:cs="Times New Roman"/>
          <w:color w:val="000000" w:themeColor="text1"/>
          <w:szCs w:val="24"/>
        </w:rPr>
        <w:t>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12B1A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622C7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622C7">
        <w:rPr>
          <w:rFonts w:cs="Times New Roman"/>
          <w:color w:val="000000" w:themeColor="text1"/>
          <w:szCs w:val="24"/>
        </w:rPr>
        <w:t>countries</w:t>
      </w:r>
      <w:r w:rsidRPr="00C317BB" w:rsidR="00F02D86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4368C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4368C">
        <w:rPr>
          <w:rFonts w:cs="Times New Roman"/>
          <w:color w:val="000000" w:themeColor="text1"/>
          <w:szCs w:val="24"/>
        </w:rPr>
        <w:t>following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4368C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4368C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4368C">
        <w:rPr>
          <w:rFonts w:cs="Times New Roman"/>
          <w:color w:val="000000" w:themeColor="text1"/>
          <w:szCs w:val="24"/>
        </w:rPr>
        <w:t>summary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4368C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4368C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12B1A">
        <w:rPr>
          <w:rFonts w:cs="Times New Roman"/>
          <w:color w:val="000000" w:themeColor="text1"/>
          <w:szCs w:val="24"/>
        </w:rPr>
        <w:t>laws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12B1A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4368C">
        <w:rPr>
          <w:rFonts w:cs="Times New Roman"/>
          <w:color w:val="000000" w:themeColor="text1"/>
          <w:szCs w:val="24"/>
        </w:rPr>
        <w:t>regulatory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4368C">
        <w:rPr>
          <w:rFonts w:cs="Times New Roman"/>
          <w:color w:val="000000" w:themeColor="text1"/>
          <w:szCs w:val="24"/>
        </w:rPr>
        <w:t>actions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4368C">
        <w:rPr>
          <w:rFonts w:cs="Times New Roman"/>
          <w:color w:val="000000" w:themeColor="text1"/>
          <w:szCs w:val="24"/>
        </w:rPr>
        <w:t>pertaining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4368C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12B1A">
        <w:rPr>
          <w:rFonts w:cs="Times New Roman"/>
          <w:color w:val="000000" w:themeColor="text1"/>
          <w:szCs w:val="24"/>
        </w:rPr>
        <w:t>implemented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12B1A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47026">
        <w:rPr>
          <w:rFonts w:cs="Times New Roman"/>
          <w:color w:val="000000" w:themeColor="text1"/>
          <w:szCs w:val="24"/>
        </w:rPr>
        <w:t>EPA</w:t>
      </w:r>
      <w:r w:rsidRPr="00C317BB" w:rsidR="00412B1A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47026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12B1A">
        <w:rPr>
          <w:rFonts w:cs="Times New Roman"/>
          <w:color w:val="000000" w:themeColor="text1"/>
          <w:szCs w:val="24"/>
        </w:rPr>
        <w:t>federal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47026">
        <w:rPr>
          <w:rFonts w:cs="Times New Roman"/>
          <w:color w:val="000000" w:themeColor="text1"/>
          <w:szCs w:val="24"/>
        </w:rPr>
        <w:t>agencies</w:t>
      </w:r>
      <w:r w:rsidRPr="00C317BB" w:rsidR="00412B1A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12B1A">
        <w:rPr>
          <w:rFonts w:cs="Times New Roman"/>
          <w:color w:val="000000" w:themeColor="text1"/>
          <w:szCs w:val="24"/>
        </w:rPr>
        <w:t>states,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52FF4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12B1A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12B1A">
        <w:rPr>
          <w:rFonts w:cs="Times New Roman"/>
          <w:color w:val="000000" w:themeColor="text1"/>
          <w:szCs w:val="24"/>
        </w:rPr>
        <w:t>countries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52FF4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52FF4">
        <w:rPr>
          <w:rFonts w:cs="Times New Roman"/>
          <w:color w:val="000000" w:themeColor="text1"/>
          <w:szCs w:val="24"/>
        </w:rPr>
        <w:t>via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12B1A">
        <w:rPr>
          <w:rFonts w:cs="Times New Roman"/>
          <w:color w:val="000000" w:themeColor="text1"/>
          <w:szCs w:val="24"/>
        </w:rPr>
        <w:t>international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12B1A">
        <w:rPr>
          <w:rFonts w:cs="Times New Roman"/>
          <w:color w:val="000000" w:themeColor="text1"/>
          <w:szCs w:val="24"/>
        </w:rPr>
        <w:t>treaties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12B1A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12B1A">
        <w:rPr>
          <w:rFonts w:cs="Times New Roman"/>
          <w:color w:val="000000" w:themeColor="text1"/>
          <w:szCs w:val="24"/>
        </w:rPr>
        <w:t>agreements</w:t>
      </w:r>
      <w:r w:rsidRPr="00C317BB" w:rsidR="00714E95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775BD">
        <w:rPr>
          <w:rFonts w:cs="Times New Roman"/>
          <w:color w:val="000000" w:themeColor="text1"/>
          <w:szCs w:val="24"/>
        </w:rPr>
        <w:t>None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775BD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775BD">
        <w:rPr>
          <w:rFonts w:cs="Times New Roman"/>
          <w:color w:val="000000" w:themeColor="text1"/>
          <w:szCs w:val="24"/>
        </w:rPr>
        <w:t>these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775BD">
        <w:rPr>
          <w:rFonts w:cs="Times New Roman"/>
          <w:color w:val="000000" w:themeColor="text1"/>
          <w:szCs w:val="24"/>
        </w:rPr>
        <w:t>actions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775BD">
        <w:rPr>
          <w:rFonts w:cs="Times New Roman"/>
          <w:color w:val="000000" w:themeColor="text1"/>
          <w:szCs w:val="24"/>
        </w:rPr>
        <w:t>addresses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775BD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775BD">
        <w:rPr>
          <w:rFonts w:cs="Times New Roman"/>
          <w:color w:val="000000" w:themeColor="text1"/>
          <w:szCs w:val="24"/>
        </w:rPr>
        <w:t>unreasonable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775BD">
        <w:rPr>
          <w:rFonts w:cs="Times New Roman"/>
          <w:color w:val="000000" w:themeColor="text1"/>
          <w:szCs w:val="24"/>
        </w:rPr>
        <w:t>risks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775BD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775BD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775BD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775BD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775BD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775BD">
        <w:rPr>
          <w:rFonts w:cs="Times New Roman"/>
          <w:color w:val="000000" w:themeColor="text1"/>
          <w:szCs w:val="24"/>
        </w:rPr>
        <w:t>rule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775BD">
        <w:rPr>
          <w:rFonts w:cs="Times New Roman"/>
          <w:color w:val="000000" w:themeColor="text1"/>
          <w:szCs w:val="24"/>
        </w:rPr>
        <w:t>would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775BD">
        <w:rPr>
          <w:rFonts w:cs="Times New Roman"/>
          <w:color w:val="000000" w:themeColor="text1"/>
          <w:szCs w:val="24"/>
        </w:rPr>
        <w:t>address.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12B1A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4368C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4368C">
        <w:rPr>
          <w:rFonts w:cs="Times New Roman"/>
          <w:color w:val="000000" w:themeColor="text1"/>
          <w:szCs w:val="24"/>
        </w:rPr>
        <w:t>full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4368C">
        <w:rPr>
          <w:rFonts w:cs="Times New Roman"/>
          <w:color w:val="000000" w:themeColor="text1"/>
          <w:szCs w:val="24"/>
        </w:rPr>
        <w:t>description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4368C">
        <w:rPr>
          <w:rFonts w:cs="Times New Roman"/>
          <w:color w:val="000000" w:themeColor="text1"/>
          <w:szCs w:val="24"/>
        </w:rPr>
        <w:t>see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4368C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4368C">
        <w:rPr>
          <w:rFonts w:cs="Times New Roman"/>
          <w:color w:val="000000" w:themeColor="text1"/>
          <w:szCs w:val="24"/>
        </w:rPr>
        <w:t>Appendix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4368C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4368C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4368C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4368C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4368C">
        <w:rPr>
          <w:rFonts w:cs="Times New Roman"/>
          <w:color w:val="000000" w:themeColor="text1"/>
          <w:szCs w:val="24"/>
        </w:rPr>
        <w:t>Evaluation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35ACF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35ACF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E7797">
        <w:rPr>
          <w:rFonts w:cs="Times New Roman"/>
          <w:color w:val="000000" w:themeColor="text1"/>
          <w:szCs w:val="24"/>
        </w:rPr>
        <w:t>Part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E7797">
        <w:rPr>
          <w:rFonts w:cs="Times New Roman"/>
          <w:color w:val="000000" w:themeColor="text1"/>
          <w:szCs w:val="24"/>
        </w:rPr>
        <w:t>1: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E7797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E7797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4368C">
        <w:rPr>
          <w:rFonts w:cs="Times New Roman"/>
          <w:color w:val="000000" w:themeColor="text1"/>
          <w:szCs w:val="24"/>
        </w:rPr>
        <w:t>(Ref.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4092D">
        <w:rPr>
          <w:rFonts w:cs="Times New Roman"/>
          <w:color w:val="000000" w:themeColor="text1"/>
          <w:szCs w:val="24"/>
        </w:rPr>
        <w:t>1</w:t>
      </w:r>
      <w:r w:rsidRPr="00C317BB" w:rsidR="0044368C">
        <w:rPr>
          <w:rFonts w:cs="Times New Roman"/>
          <w:color w:val="000000" w:themeColor="text1"/>
          <w:szCs w:val="24"/>
        </w:rPr>
        <w:t>)</w:t>
      </w:r>
      <w:r w:rsidRPr="00C317BB" w:rsidR="00603440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DC6330" w:rsidP="00F27167" w:rsidRDefault="004D41EC" w14:paraId="6F71E162" w14:textId="4743E9AD">
      <w:pPr>
        <w:pStyle w:val="Heading3"/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1.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F6815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B05C5">
        <w:rPr>
          <w:rFonts w:cs="Times New Roman"/>
          <w:color w:val="000000" w:themeColor="text1"/>
          <w:szCs w:val="24"/>
        </w:rPr>
        <w:t>a</w:t>
      </w:r>
      <w:r w:rsidRPr="00C317BB" w:rsidR="000622C7">
        <w:rPr>
          <w:rFonts w:cs="Times New Roman"/>
          <w:color w:val="000000" w:themeColor="text1"/>
          <w:szCs w:val="24"/>
        </w:rPr>
        <w:t>ctions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B05C5">
        <w:rPr>
          <w:rFonts w:cs="Times New Roman"/>
          <w:color w:val="000000" w:themeColor="text1"/>
          <w:szCs w:val="24"/>
        </w:rPr>
        <w:t>p</w:t>
      </w:r>
      <w:r w:rsidRPr="00C317BB" w:rsidR="00613397">
        <w:rPr>
          <w:rFonts w:cs="Times New Roman"/>
          <w:color w:val="000000" w:themeColor="text1"/>
          <w:szCs w:val="24"/>
        </w:rPr>
        <w:t>ertaining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13397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B05C5">
        <w:rPr>
          <w:rFonts w:cs="Times New Roman"/>
          <w:color w:val="000000" w:themeColor="text1"/>
          <w:szCs w:val="24"/>
        </w:rPr>
        <w:t>c</w:t>
      </w:r>
      <w:r w:rsidRPr="00C317BB" w:rsidR="00613397">
        <w:rPr>
          <w:rFonts w:cs="Times New Roman"/>
          <w:color w:val="000000" w:themeColor="text1"/>
          <w:szCs w:val="24"/>
        </w:rPr>
        <w:t>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B05C5">
        <w:rPr>
          <w:rFonts w:cs="Times New Roman"/>
          <w:color w:val="000000" w:themeColor="text1"/>
          <w:szCs w:val="24"/>
        </w:rPr>
        <w:t>a</w:t>
      </w:r>
      <w:r w:rsidRPr="00C317BB" w:rsidR="00613397">
        <w:rPr>
          <w:rFonts w:cs="Times New Roman"/>
          <w:color w:val="000000" w:themeColor="text1"/>
          <w:szCs w:val="24"/>
        </w:rPr>
        <w:t>sbestos</w:t>
      </w:r>
      <w:r w:rsidRPr="00C317BB" w:rsidR="00FA22F6">
        <w:rPr>
          <w:rFonts w:cs="Times New Roman"/>
          <w:color w:val="000000" w:themeColor="text1"/>
          <w:szCs w:val="24"/>
        </w:rPr>
        <w:t>.</w:t>
      </w:r>
    </w:p>
    <w:p w:rsidRPr="00C317BB" w:rsidR="00CA3EAB" w:rsidP="00F27167" w:rsidRDefault="00437B59" w14:paraId="5FC4C623" w14:textId="77777777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D45CE">
        <w:rPr>
          <w:rFonts w:cs="Times New Roman"/>
          <w:color w:val="000000" w:themeColor="text1"/>
          <w:szCs w:val="24"/>
        </w:rPr>
        <w:t>has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52FF4">
        <w:rPr>
          <w:rFonts w:cs="Times New Roman"/>
          <w:color w:val="000000" w:themeColor="text1"/>
          <w:szCs w:val="24"/>
        </w:rPr>
        <w:t>taken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622C7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622C7">
        <w:rPr>
          <w:rFonts w:cs="Times New Roman"/>
          <w:color w:val="000000" w:themeColor="text1"/>
          <w:szCs w:val="24"/>
        </w:rPr>
        <w:t>following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622C7">
        <w:rPr>
          <w:rFonts w:cs="Times New Roman"/>
          <w:color w:val="000000" w:themeColor="text1"/>
          <w:szCs w:val="24"/>
        </w:rPr>
        <w:t>actions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52FF4">
        <w:rPr>
          <w:rFonts w:cs="Times New Roman"/>
          <w:color w:val="000000" w:themeColor="text1"/>
          <w:szCs w:val="24"/>
        </w:rPr>
        <w:t>pertaining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52FF4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52FF4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52FF4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52FF4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35029">
        <w:rPr>
          <w:rFonts w:cs="Times New Roman"/>
          <w:color w:val="000000" w:themeColor="text1"/>
          <w:szCs w:val="24"/>
        </w:rPr>
        <w:t>its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F2CBA">
        <w:rPr>
          <w:rFonts w:cs="Times New Roman"/>
          <w:color w:val="000000" w:themeColor="text1"/>
          <w:szCs w:val="24"/>
        </w:rPr>
        <w:t>various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52FF4">
        <w:rPr>
          <w:rFonts w:cs="Times New Roman"/>
          <w:color w:val="000000" w:themeColor="text1"/>
          <w:szCs w:val="24"/>
        </w:rPr>
        <w:t>authorit</w:t>
      </w:r>
      <w:r w:rsidRPr="00C317BB" w:rsidR="00735029">
        <w:rPr>
          <w:rFonts w:cs="Times New Roman"/>
          <w:color w:val="000000" w:themeColor="text1"/>
          <w:szCs w:val="24"/>
        </w:rPr>
        <w:t>ies</w:t>
      </w:r>
      <w:r w:rsidRPr="00C317BB" w:rsidR="00A26690">
        <w:rPr>
          <w:rFonts w:cs="Times New Roman"/>
          <w:color w:val="000000" w:themeColor="text1"/>
          <w:szCs w:val="24"/>
        </w:rPr>
        <w:t>: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CA3EAB" w:rsidP="00F27167" w:rsidRDefault="00CA3EAB" w14:paraId="6A922306" w14:textId="77777777">
      <w:pPr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ab/>
        <w:t>•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F2CBA">
        <w:rPr>
          <w:rFonts w:cs="Times New Roman"/>
          <w:i/>
          <w:color w:val="000000" w:themeColor="text1"/>
          <w:szCs w:val="24"/>
          <w:shd w:val="clear" w:color="auto" w:fill="FFFFFF"/>
        </w:rPr>
        <w:t>Asbestos</w:t>
      </w:r>
      <w:r w:rsidR="005613B2">
        <w:rPr>
          <w:rFonts w:cs="Times New Roman"/>
          <w:i/>
          <w:color w:val="000000" w:themeColor="text1"/>
          <w:szCs w:val="24"/>
          <w:shd w:val="clear" w:color="auto" w:fill="FFFFFF"/>
        </w:rPr>
        <w:t xml:space="preserve"> </w:t>
      </w:r>
      <w:r w:rsidRPr="00C317BB" w:rsidR="002F2CBA">
        <w:rPr>
          <w:rFonts w:cs="Times New Roman"/>
          <w:i/>
          <w:color w:val="000000" w:themeColor="text1"/>
          <w:szCs w:val="24"/>
          <w:shd w:val="clear" w:color="auto" w:fill="FFFFFF"/>
        </w:rPr>
        <w:t>Hazard</w:t>
      </w:r>
      <w:r w:rsidR="005613B2">
        <w:rPr>
          <w:rFonts w:cs="Times New Roman"/>
          <w:i/>
          <w:color w:val="000000" w:themeColor="text1"/>
          <w:szCs w:val="24"/>
          <w:shd w:val="clear" w:color="auto" w:fill="FFFFFF"/>
        </w:rPr>
        <w:t xml:space="preserve"> </w:t>
      </w:r>
      <w:r w:rsidRPr="00C317BB" w:rsidR="002F2CBA">
        <w:rPr>
          <w:rFonts w:cs="Times New Roman"/>
          <w:i/>
          <w:color w:val="000000" w:themeColor="text1"/>
          <w:szCs w:val="24"/>
          <w:shd w:val="clear" w:color="auto" w:fill="FFFFFF"/>
        </w:rPr>
        <w:t>Emergency</w:t>
      </w:r>
      <w:r w:rsidR="005613B2">
        <w:rPr>
          <w:rFonts w:cs="Times New Roman"/>
          <w:i/>
          <w:color w:val="000000" w:themeColor="text1"/>
          <w:szCs w:val="24"/>
          <w:shd w:val="clear" w:color="auto" w:fill="FFFFFF"/>
        </w:rPr>
        <w:t xml:space="preserve"> </w:t>
      </w:r>
      <w:r w:rsidRPr="00C317BB" w:rsidR="002F2CBA">
        <w:rPr>
          <w:rFonts w:cs="Times New Roman"/>
          <w:i/>
          <w:color w:val="000000" w:themeColor="text1"/>
          <w:szCs w:val="24"/>
          <w:shd w:val="clear" w:color="auto" w:fill="FFFFFF"/>
        </w:rPr>
        <w:t>Response</w:t>
      </w:r>
      <w:r w:rsidR="005613B2">
        <w:rPr>
          <w:rFonts w:cs="Times New Roman"/>
          <w:i/>
          <w:color w:val="000000" w:themeColor="text1"/>
          <w:szCs w:val="24"/>
          <w:shd w:val="clear" w:color="auto" w:fill="FFFFFF"/>
        </w:rPr>
        <w:t xml:space="preserve"> </w:t>
      </w:r>
      <w:r w:rsidRPr="00C317BB" w:rsidR="002F2CBA">
        <w:rPr>
          <w:rFonts w:cs="Times New Roman"/>
          <w:i/>
          <w:color w:val="000000" w:themeColor="text1"/>
          <w:szCs w:val="24"/>
          <w:shd w:val="clear" w:color="auto" w:fill="FFFFFF"/>
        </w:rPr>
        <w:t>Act</w:t>
      </w:r>
      <w:r w:rsidR="005613B2">
        <w:rPr>
          <w:rFonts w:cs="Times New Roman"/>
          <w:i/>
          <w:color w:val="000000" w:themeColor="text1"/>
          <w:szCs w:val="24"/>
          <w:shd w:val="clear" w:color="auto" w:fill="FFFFFF"/>
        </w:rPr>
        <w:t xml:space="preserve"> </w:t>
      </w:r>
      <w:r w:rsidRPr="00C317BB" w:rsidR="002F2CBA">
        <w:rPr>
          <w:rFonts w:cs="Times New Roman"/>
          <w:i/>
          <w:color w:val="000000" w:themeColor="text1"/>
          <w:szCs w:val="24"/>
          <w:shd w:val="clear" w:color="auto" w:fill="FFFFFF"/>
        </w:rPr>
        <w:t>(AHERA):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BA0BCE">
        <w:rPr>
          <w:rFonts w:cs="Times New Roman"/>
          <w:color w:val="000000" w:themeColor="text1"/>
          <w:szCs w:val="24"/>
        </w:rPr>
        <w:t>T</w:t>
      </w:r>
      <w:r w:rsidRPr="00C317BB" w:rsidR="001B45B4">
        <w:rPr>
          <w:rFonts w:cs="Times New Roman"/>
          <w:color w:val="000000" w:themeColor="text1"/>
          <w:szCs w:val="24"/>
          <w:shd w:val="clear" w:color="auto" w:fill="FFFFFF"/>
        </w:rPr>
        <w:t>he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1B45B4">
        <w:rPr>
          <w:rFonts w:cs="Times New Roman"/>
          <w:color w:val="000000" w:themeColor="text1"/>
          <w:szCs w:val="24"/>
          <w:shd w:val="clear" w:color="auto" w:fill="FFFFFF"/>
        </w:rPr>
        <w:t>Asbestos-Containing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1B45B4">
        <w:rPr>
          <w:rFonts w:cs="Times New Roman"/>
          <w:color w:val="000000" w:themeColor="text1"/>
          <w:szCs w:val="24"/>
          <w:shd w:val="clear" w:color="auto" w:fill="FFFFFF"/>
        </w:rPr>
        <w:t>Materials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1B45B4">
        <w:rPr>
          <w:rFonts w:cs="Times New Roman"/>
          <w:color w:val="000000" w:themeColor="text1"/>
          <w:szCs w:val="24"/>
          <w:shd w:val="clear" w:color="auto" w:fill="FFFFFF"/>
        </w:rPr>
        <w:t>in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1B45B4">
        <w:rPr>
          <w:rFonts w:cs="Times New Roman"/>
          <w:color w:val="000000" w:themeColor="text1"/>
          <w:szCs w:val="24"/>
          <w:shd w:val="clear" w:color="auto" w:fill="FFFFFF"/>
        </w:rPr>
        <w:t>Schools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1B45B4">
        <w:rPr>
          <w:rFonts w:cs="Times New Roman"/>
          <w:color w:val="000000" w:themeColor="text1"/>
          <w:szCs w:val="24"/>
          <w:shd w:val="clear" w:color="auto" w:fill="FFFFFF"/>
        </w:rPr>
        <w:t>r</w:t>
      </w:r>
      <w:r w:rsidRPr="00C317BB" w:rsidR="008339C0">
        <w:rPr>
          <w:rFonts w:cs="Times New Roman"/>
          <w:color w:val="000000" w:themeColor="text1"/>
          <w:szCs w:val="24"/>
          <w:shd w:val="clear" w:color="auto" w:fill="FFFFFF"/>
        </w:rPr>
        <w:t>egulation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2F2CBA">
        <w:rPr>
          <w:rFonts w:cs="Times New Roman"/>
          <w:color w:val="000000" w:themeColor="text1"/>
          <w:szCs w:val="24"/>
          <w:shd w:val="clear" w:color="auto" w:fill="FFFFFF"/>
        </w:rPr>
        <w:t>(40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2F2CBA">
        <w:rPr>
          <w:rFonts w:cs="Times New Roman"/>
          <w:color w:val="000000" w:themeColor="text1"/>
          <w:szCs w:val="24"/>
          <w:shd w:val="clear" w:color="auto" w:fill="FFFFFF"/>
        </w:rPr>
        <w:t>CFR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2F2CBA">
        <w:rPr>
          <w:rFonts w:cs="Times New Roman"/>
          <w:color w:val="000000" w:themeColor="text1"/>
          <w:szCs w:val="24"/>
          <w:shd w:val="clear" w:color="auto" w:fill="FFFFFF"/>
        </w:rPr>
        <w:t>part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2F2CBA">
        <w:rPr>
          <w:rFonts w:cs="Times New Roman"/>
          <w:color w:val="000000" w:themeColor="text1"/>
          <w:szCs w:val="24"/>
          <w:shd w:val="clear" w:color="auto" w:fill="FFFFFF"/>
        </w:rPr>
        <w:t>763,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2F2CBA">
        <w:rPr>
          <w:rFonts w:cs="Times New Roman"/>
          <w:color w:val="000000" w:themeColor="text1"/>
          <w:szCs w:val="24"/>
          <w:shd w:val="clear" w:color="auto" w:fill="FFFFFF"/>
        </w:rPr>
        <w:t>subpart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2F2CBA">
        <w:rPr>
          <w:rFonts w:cs="Times New Roman"/>
          <w:color w:val="000000" w:themeColor="text1"/>
          <w:szCs w:val="24"/>
          <w:shd w:val="clear" w:color="auto" w:fill="FFFFFF"/>
        </w:rPr>
        <w:t>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2F2CBA">
        <w:rPr>
          <w:rFonts w:cs="Times New Roman"/>
          <w:color w:val="000000" w:themeColor="text1"/>
          <w:szCs w:val="24"/>
          <w:shd w:val="clear" w:color="auto" w:fill="FFFFFF"/>
        </w:rPr>
        <w:t>(1987</w:t>
      </w:r>
      <w:r w:rsidRPr="00C317BB" w:rsidR="2CD57AD2">
        <w:rPr>
          <w:rFonts w:cs="Times New Roman"/>
          <w:color w:val="000000" w:themeColor="text1"/>
          <w:szCs w:val="24"/>
          <w:shd w:val="clear" w:color="auto" w:fill="FFFFFF"/>
        </w:rPr>
        <w:t>)</w:t>
      </w:r>
      <w:r w:rsidRPr="00C317BB" w:rsidR="1103E8ED">
        <w:rPr>
          <w:rFonts w:cs="Times New Roman"/>
          <w:color w:val="000000" w:themeColor="text1"/>
          <w:szCs w:val="24"/>
          <w:shd w:val="clear" w:color="auto" w:fill="FFFFFF"/>
        </w:rPr>
        <w:t>)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1B45B4">
        <w:rPr>
          <w:rFonts w:cs="Times New Roman"/>
          <w:color w:val="000000" w:themeColor="text1"/>
          <w:szCs w:val="24"/>
          <w:shd w:val="clear" w:color="auto" w:fill="FFFFFF"/>
        </w:rPr>
        <w:t>requires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1B45B4">
        <w:rPr>
          <w:rFonts w:cs="Times New Roman"/>
          <w:color w:val="000000" w:themeColor="text1"/>
          <w:szCs w:val="24"/>
          <w:shd w:val="clear" w:color="auto" w:fill="FFFFFF"/>
        </w:rPr>
        <w:t>local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1B45B4">
        <w:rPr>
          <w:rFonts w:cs="Times New Roman"/>
          <w:color w:val="000000" w:themeColor="text1"/>
          <w:szCs w:val="24"/>
          <w:shd w:val="clear" w:color="auto" w:fill="FFFFFF"/>
        </w:rPr>
        <w:t>education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1B45B4">
        <w:rPr>
          <w:rFonts w:cs="Times New Roman"/>
          <w:color w:val="000000" w:themeColor="text1"/>
          <w:szCs w:val="24"/>
          <w:shd w:val="clear" w:color="auto" w:fill="FFFFFF"/>
        </w:rPr>
        <w:t>agencies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1B45B4">
        <w:rPr>
          <w:rFonts w:cs="Times New Roman"/>
          <w:color w:val="000000" w:themeColor="text1"/>
          <w:szCs w:val="24"/>
          <w:shd w:val="clear" w:color="auto" w:fill="FFFFFF"/>
        </w:rPr>
        <w:t>to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1B45B4">
        <w:rPr>
          <w:rFonts w:cs="Times New Roman"/>
          <w:color w:val="000000" w:themeColor="text1"/>
          <w:szCs w:val="24"/>
          <w:shd w:val="clear" w:color="auto" w:fill="FFFFFF"/>
        </w:rPr>
        <w:t>inspect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1B45B4">
        <w:rPr>
          <w:rFonts w:cs="Times New Roman"/>
          <w:color w:val="000000" w:themeColor="text1"/>
          <w:szCs w:val="24"/>
          <w:shd w:val="clear" w:color="auto" w:fill="FFFFFF"/>
        </w:rPr>
        <w:t>their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1B45B4">
        <w:rPr>
          <w:rFonts w:cs="Times New Roman"/>
          <w:color w:val="000000" w:themeColor="text1"/>
          <w:szCs w:val="24"/>
          <w:shd w:val="clear" w:color="auto" w:fill="FFFFFF"/>
        </w:rPr>
        <w:t>school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1B45B4">
        <w:rPr>
          <w:rFonts w:cs="Times New Roman"/>
          <w:color w:val="000000" w:themeColor="text1"/>
          <w:szCs w:val="24"/>
          <w:shd w:val="clear" w:color="auto" w:fill="FFFFFF"/>
        </w:rPr>
        <w:t>buildings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1B45B4">
        <w:rPr>
          <w:rFonts w:cs="Times New Roman"/>
          <w:color w:val="000000" w:themeColor="text1"/>
          <w:szCs w:val="24"/>
          <w:shd w:val="clear" w:color="auto" w:fill="FFFFFF"/>
        </w:rPr>
        <w:t>for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1B45B4">
        <w:rPr>
          <w:rFonts w:cs="Times New Roman"/>
          <w:color w:val="000000" w:themeColor="text1"/>
          <w:szCs w:val="24"/>
          <w:shd w:val="clear" w:color="auto" w:fill="FFFFFF"/>
        </w:rPr>
        <w:t>asbestos-containing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1B45B4">
        <w:rPr>
          <w:rFonts w:cs="Times New Roman"/>
          <w:color w:val="000000" w:themeColor="text1"/>
          <w:szCs w:val="24"/>
          <w:shd w:val="clear" w:color="auto" w:fill="FFFFFF"/>
        </w:rPr>
        <w:t>building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1B45B4">
        <w:rPr>
          <w:rFonts w:cs="Times New Roman"/>
          <w:color w:val="000000" w:themeColor="text1"/>
          <w:szCs w:val="24"/>
          <w:shd w:val="clear" w:color="auto" w:fill="FFFFFF"/>
        </w:rPr>
        <w:t>material,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1B45B4">
        <w:rPr>
          <w:rFonts w:cs="Times New Roman"/>
          <w:color w:val="000000" w:themeColor="text1"/>
          <w:szCs w:val="24"/>
          <w:shd w:val="clear" w:color="auto" w:fill="FFFFFF"/>
        </w:rPr>
        <w:t>prepare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1B45B4">
        <w:rPr>
          <w:rFonts w:cs="Times New Roman"/>
          <w:color w:val="000000" w:themeColor="text1"/>
          <w:szCs w:val="24"/>
          <w:shd w:val="clear" w:color="auto" w:fill="FFFFFF"/>
        </w:rPr>
        <w:t>asbestos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1B45B4">
        <w:rPr>
          <w:rFonts w:cs="Times New Roman"/>
          <w:color w:val="000000" w:themeColor="text1"/>
          <w:szCs w:val="24"/>
          <w:shd w:val="clear" w:color="auto" w:fill="FFFFFF"/>
        </w:rPr>
        <w:t>management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1B45B4">
        <w:rPr>
          <w:rFonts w:cs="Times New Roman"/>
          <w:color w:val="000000" w:themeColor="text1"/>
          <w:szCs w:val="24"/>
          <w:shd w:val="clear" w:color="auto" w:fill="FFFFFF"/>
        </w:rPr>
        <w:t>plans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1B45B4">
        <w:rPr>
          <w:rFonts w:cs="Times New Roman"/>
          <w:color w:val="000000" w:themeColor="text1"/>
          <w:szCs w:val="24"/>
          <w:shd w:val="clear" w:color="auto" w:fill="FFFFFF"/>
        </w:rPr>
        <w:t>and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1B45B4">
        <w:rPr>
          <w:rFonts w:cs="Times New Roman"/>
          <w:color w:val="000000" w:themeColor="text1"/>
          <w:szCs w:val="24"/>
          <w:shd w:val="clear" w:color="auto" w:fill="FFFFFF"/>
        </w:rPr>
        <w:t>perform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1B45B4">
        <w:rPr>
          <w:rFonts w:cs="Times New Roman"/>
          <w:color w:val="000000" w:themeColor="text1"/>
          <w:szCs w:val="24"/>
          <w:shd w:val="clear" w:color="auto" w:fill="FFFFFF"/>
        </w:rPr>
        <w:t>asbestos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1B45B4">
        <w:rPr>
          <w:rFonts w:cs="Times New Roman"/>
          <w:color w:val="000000" w:themeColor="text1"/>
          <w:szCs w:val="24"/>
          <w:shd w:val="clear" w:color="auto" w:fill="FFFFFF"/>
        </w:rPr>
        <w:t>response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1B45B4">
        <w:rPr>
          <w:rFonts w:cs="Times New Roman"/>
          <w:color w:val="000000" w:themeColor="text1"/>
          <w:szCs w:val="24"/>
          <w:shd w:val="clear" w:color="auto" w:fill="FFFFFF"/>
        </w:rPr>
        <w:t>actions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1B45B4">
        <w:rPr>
          <w:rFonts w:cs="Times New Roman"/>
          <w:color w:val="000000" w:themeColor="text1"/>
          <w:szCs w:val="24"/>
          <w:shd w:val="clear" w:color="auto" w:fill="FFFFFF"/>
        </w:rPr>
        <w:t>to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1B45B4">
        <w:rPr>
          <w:rFonts w:cs="Times New Roman"/>
          <w:color w:val="000000" w:themeColor="text1"/>
          <w:szCs w:val="24"/>
          <w:shd w:val="clear" w:color="auto" w:fill="FFFFFF"/>
        </w:rPr>
        <w:t>prevent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1B45B4">
        <w:rPr>
          <w:rFonts w:cs="Times New Roman"/>
          <w:color w:val="000000" w:themeColor="text1"/>
          <w:szCs w:val="24"/>
          <w:shd w:val="clear" w:color="auto" w:fill="FFFFFF"/>
        </w:rPr>
        <w:t>or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1B45B4">
        <w:rPr>
          <w:rFonts w:cs="Times New Roman"/>
          <w:color w:val="000000" w:themeColor="text1"/>
          <w:szCs w:val="24"/>
          <w:shd w:val="clear" w:color="auto" w:fill="FFFFFF"/>
        </w:rPr>
        <w:t>reduce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1B45B4">
        <w:rPr>
          <w:rFonts w:cs="Times New Roman"/>
          <w:color w:val="000000" w:themeColor="text1"/>
          <w:szCs w:val="24"/>
          <w:shd w:val="clear" w:color="auto" w:fill="FFFFFF"/>
        </w:rPr>
        <w:t>asbestos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1B45B4">
        <w:rPr>
          <w:rFonts w:cs="Times New Roman"/>
          <w:color w:val="000000" w:themeColor="text1"/>
          <w:szCs w:val="24"/>
          <w:shd w:val="clear" w:color="auto" w:fill="FFFFFF"/>
        </w:rPr>
        <w:t>hazards.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1B45B4">
        <w:rPr>
          <w:rFonts w:cs="Times New Roman"/>
          <w:color w:val="000000" w:themeColor="text1"/>
          <w:szCs w:val="24"/>
          <w:shd w:val="clear" w:color="auto" w:fill="FFFFFF"/>
        </w:rPr>
        <w:t>Public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1B45B4">
        <w:rPr>
          <w:rFonts w:cs="Times New Roman"/>
          <w:color w:val="000000" w:themeColor="text1"/>
          <w:szCs w:val="24"/>
          <w:shd w:val="clear" w:color="auto" w:fill="FFFFFF"/>
        </w:rPr>
        <w:t>school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1B45B4">
        <w:rPr>
          <w:rFonts w:cs="Times New Roman"/>
          <w:color w:val="000000" w:themeColor="text1"/>
          <w:szCs w:val="24"/>
          <w:shd w:val="clear" w:color="auto" w:fill="FFFFFF"/>
        </w:rPr>
        <w:t>districts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1B45B4">
        <w:rPr>
          <w:rFonts w:cs="Times New Roman"/>
          <w:color w:val="000000" w:themeColor="text1"/>
          <w:szCs w:val="24"/>
          <w:shd w:val="clear" w:color="auto" w:fill="FFFFFF"/>
        </w:rPr>
        <w:t>and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1B45B4">
        <w:rPr>
          <w:rFonts w:cs="Times New Roman"/>
          <w:color w:val="000000" w:themeColor="text1"/>
          <w:szCs w:val="24"/>
          <w:shd w:val="clear" w:color="auto" w:fill="FFFFFF"/>
        </w:rPr>
        <w:t>non-profit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1B45B4">
        <w:rPr>
          <w:rFonts w:cs="Times New Roman"/>
          <w:color w:val="000000" w:themeColor="text1"/>
          <w:szCs w:val="24"/>
          <w:shd w:val="clear" w:color="auto" w:fill="FFFFFF"/>
        </w:rPr>
        <w:t>private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1B45B4">
        <w:rPr>
          <w:rFonts w:cs="Times New Roman"/>
          <w:color w:val="000000" w:themeColor="text1"/>
          <w:szCs w:val="24"/>
          <w:shd w:val="clear" w:color="auto" w:fill="FFFFFF"/>
        </w:rPr>
        <w:t>schools,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1B45B4">
        <w:rPr>
          <w:rFonts w:cs="Times New Roman"/>
          <w:color w:val="000000" w:themeColor="text1"/>
          <w:szCs w:val="24"/>
          <w:shd w:val="clear" w:color="auto" w:fill="FFFFFF"/>
        </w:rPr>
        <w:t>including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1B45B4">
        <w:rPr>
          <w:rFonts w:cs="Times New Roman"/>
          <w:color w:val="000000" w:themeColor="text1"/>
          <w:szCs w:val="24"/>
          <w:shd w:val="clear" w:color="auto" w:fill="FFFFFF"/>
        </w:rPr>
        <w:t>charter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1B45B4">
        <w:rPr>
          <w:rFonts w:cs="Times New Roman"/>
          <w:color w:val="000000" w:themeColor="text1"/>
          <w:szCs w:val="24"/>
          <w:shd w:val="clear" w:color="auto" w:fill="FFFFFF"/>
        </w:rPr>
        <w:t>schools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1B45B4">
        <w:rPr>
          <w:rFonts w:cs="Times New Roman"/>
          <w:color w:val="000000" w:themeColor="text1"/>
          <w:szCs w:val="24"/>
          <w:shd w:val="clear" w:color="auto" w:fill="FFFFFF"/>
        </w:rPr>
        <w:t>and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1B45B4">
        <w:rPr>
          <w:rFonts w:cs="Times New Roman"/>
          <w:color w:val="000000" w:themeColor="text1"/>
          <w:szCs w:val="24"/>
          <w:shd w:val="clear" w:color="auto" w:fill="FFFFFF"/>
        </w:rPr>
        <w:t>schools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1B45B4">
        <w:rPr>
          <w:rFonts w:cs="Times New Roman"/>
          <w:color w:val="000000" w:themeColor="text1"/>
          <w:szCs w:val="24"/>
          <w:shd w:val="clear" w:color="auto" w:fill="FFFFFF"/>
        </w:rPr>
        <w:t>affiliated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1B45B4">
        <w:rPr>
          <w:rFonts w:cs="Times New Roman"/>
          <w:color w:val="000000" w:themeColor="text1"/>
          <w:szCs w:val="24"/>
          <w:shd w:val="clear" w:color="auto" w:fill="FFFFFF"/>
        </w:rPr>
        <w:t>with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1B45B4">
        <w:rPr>
          <w:rFonts w:cs="Times New Roman"/>
          <w:color w:val="000000" w:themeColor="text1"/>
          <w:szCs w:val="24"/>
          <w:shd w:val="clear" w:color="auto" w:fill="FFFFFF"/>
        </w:rPr>
        <w:t>religious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1B45B4">
        <w:rPr>
          <w:rFonts w:cs="Times New Roman"/>
          <w:color w:val="000000" w:themeColor="text1"/>
          <w:szCs w:val="24"/>
          <w:shd w:val="clear" w:color="auto" w:fill="FFFFFF"/>
        </w:rPr>
        <w:t>institutions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1B45B4">
        <w:rPr>
          <w:rFonts w:cs="Times New Roman"/>
          <w:color w:val="000000" w:themeColor="text1"/>
          <w:szCs w:val="24"/>
          <w:shd w:val="clear" w:color="auto" w:fill="FFFFFF"/>
        </w:rPr>
        <w:t>(collectively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1B45B4">
        <w:rPr>
          <w:rFonts w:cs="Times New Roman"/>
          <w:color w:val="000000" w:themeColor="text1"/>
          <w:szCs w:val="24"/>
          <w:shd w:val="clear" w:color="auto" w:fill="FFFFFF"/>
        </w:rPr>
        <w:t>called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1B45B4">
        <w:rPr>
          <w:rFonts w:cs="Times New Roman"/>
          <w:color w:val="000000" w:themeColor="text1"/>
          <w:szCs w:val="24"/>
          <w:shd w:val="clear" w:color="auto" w:fill="FFFFFF"/>
        </w:rPr>
        <w:t>local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1B45B4">
        <w:rPr>
          <w:rFonts w:cs="Times New Roman"/>
          <w:color w:val="000000" w:themeColor="text1"/>
          <w:szCs w:val="24"/>
          <w:shd w:val="clear" w:color="auto" w:fill="FFFFFF"/>
        </w:rPr>
        <w:t>education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1B45B4">
        <w:rPr>
          <w:rFonts w:cs="Times New Roman"/>
          <w:color w:val="000000" w:themeColor="text1"/>
          <w:szCs w:val="24"/>
          <w:shd w:val="clear" w:color="auto" w:fill="FFFFFF"/>
        </w:rPr>
        <w:t>agencies)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1B45B4">
        <w:rPr>
          <w:rFonts w:cs="Times New Roman"/>
          <w:color w:val="000000" w:themeColor="text1"/>
          <w:szCs w:val="24"/>
          <w:shd w:val="clear" w:color="auto" w:fill="FFFFFF"/>
        </w:rPr>
        <w:t>are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1B45B4">
        <w:rPr>
          <w:rFonts w:cs="Times New Roman"/>
          <w:color w:val="000000" w:themeColor="text1"/>
          <w:szCs w:val="24"/>
          <w:shd w:val="clear" w:color="auto" w:fill="FFFFFF"/>
        </w:rPr>
        <w:t>subject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1B45B4">
        <w:rPr>
          <w:rFonts w:cs="Times New Roman"/>
          <w:color w:val="000000" w:themeColor="text1"/>
          <w:szCs w:val="24"/>
          <w:shd w:val="clear" w:color="auto" w:fill="FFFFFF"/>
        </w:rPr>
        <w:t>to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1B45B4">
        <w:rPr>
          <w:rFonts w:cs="Times New Roman"/>
          <w:color w:val="000000" w:themeColor="text1"/>
          <w:szCs w:val="24"/>
          <w:shd w:val="clear" w:color="auto" w:fill="FFFFFF"/>
        </w:rPr>
        <w:t>the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1B45B4">
        <w:rPr>
          <w:rFonts w:cs="Times New Roman"/>
          <w:color w:val="000000" w:themeColor="text1"/>
          <w:szCs w:val="24"/>
          <w:shd w:val="clear" w:color="auto" w:fill="FFFFFF"/>
        </w:rPr>
        <w:t>rule’s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1B45B4">
        <w:rPr>
          <w:rFonts w:cs="Times New Roman"/>
          <w:color w:val="000000" w:themeColor="text1"/>
          <w:szCs w:val="24"/>
          <w:shd w:val="clear" w:color="auto" w:fill="FFFFFF"/>
        </w:rPr>
        <w:t>requirements.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1B45B4">
        <w:rPr>
          <w:rFonts w:cs="Times New Roman"/>
          <w:color w:val="000000" w:themeColor="text1"/>
          <w:szCs w:val="24"/>
        </w:rPr>
        <w:t>AHERA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B45B4">
        <w:rPr>
          <w:rFonts w:cs="Times New Roman"/>
          <w:color w:val="000000" w:themeColor="text1"/>
          <w:szCs w:val="24"/>
        </w:rPr>
        <w:t>defines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B45B4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B45B4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B45B4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B45B4">
        <w:rPr>
          <w:rFonts w:cs="Times New Roman"/>
          <w:color w:val="000000" w:themeColor="text1"/>
          <w:szCs w:val="24"/>
        </w:rPr>
        <w:t>asbestiform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B45B4">
        <w:rPr>
          <w:rFonts w:cs="Times New Roman"/>
          <w:color w:val="000000" w:themeColor="text1"/>
          <w:szCs w:val="24"/>
        </w:rPr>
        <w:t>varieties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B45B4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B45B4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B45B4">
        <w:rPr>
          <w:rFonts w:cs="Times New Roman"/>
          <w:color w:val="000000" w:themeColor="text1"/>
          <w:szCs w:val="24"/>
        </w:rPr>
        <w:t>(serpentine),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B45B4">
        <w:rPr>
          <w:rFonts w:cs="Times New Roman"/>
          <w:color w:val="000000" w:themeColor="text1"/>
          <w:szCs w:val="24"/>
        </w:rPr>
        <w:t>crocidolite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B45B4">
        <w:rPr>
          <w:rFonts w:cs="Times New Roman"/>
          <w:color w:val="000000" w:themeColor="text1"/>
          <w:szCs w:val="24"/>
        </w:rPr>
        <w:t>(riebeckite),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B45B4">
        <w:rPr>
          <w:rFonts w:cs="Times New Roman"/>
          <w:color w:val="000000" w:themeColor="text1"/>
          <w:szCs w:val="24"/>
        </w:rPr>
        <w:t>amosite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B45B4">
        <w:rPr>
          <w:rFonts w:cs="Times New Roman"/>
          <w:color w:val="000000" w:themeColor="text1"/>
          <w:szCs w:val="24"/>
        </w:rPr>
        <w:t>(cummingtonite-grunerite),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B45B4">
        <w:rPr>
          <w:rFonts w:cs="Times New Roman"/>
          <w:color w:val="000000" w:themeColor="text1"/>
          <w:szCs w:val="24"/>
        </w:rPr>
        <w:t>anthophyllite,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B45B4">
        <w:rPr>
          <w:rFonts w:cs="Times New Roman"/>
          <w:color w:val="000000" w:themeColor="text1"/>
          <w:szCs w:val="24"/>
        </w:rPr>
        <w:t>tremolite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B45B4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B45B4">
        <w:rPr>
          <w:rFonts w:cs="Times New Roman"/>
          <w:color w:val="000000" w:themeColor="text1"/>
          <w:szCs w:val="24"/>
        </w:rPr>
        <w:t>actinolite.</w:t>
      </w:r>
    </w:p>
    <w:p w:rsidRPr="00C317BB" w:rsidR="00897A49" w:rsidP="00F27167" w:rsidRDefault="00CA3EAB" w14:paraId="618A4EF8" w14:textId="1BE4D240">
      <w:pPr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ab/>
        <w:t>•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F2CBA">
        <w:rPr>
          <w:rFonts w:cs="Times New Roman"/>
          <w:i/>
          <w:color w:val="000000" w:themeColor="text1"/>
          <w:szCs w:val="24"/>
        </w:rPr>
        <w:t>Toxic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2F2CBA">
        <w:rPr>
          <w:rFonts w:cs="Times New Roman"/>
          <w:i/>
          <w:color w:val="000000" w:themeColor="text1"/>
          <w:szCs w:val="24"/>
        </w:rPr>
        <w:t>Substances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2F2CBA">
        <w:rPr>
          <w:rFonts w:cs="Times New Roman"/>
          <w:i/>
          <w:color w:val="000000" w:themeColor="text1"/>
          <w:szCs w:val="24"/>
        </w:rPr>
        <w:t>Control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2F2CBA">
        <w:rPr>
          <w:rFonts w:cs="Times New Roman"/>
          <w:i/>
          <w:color w:val="000000" w:themeColor="text1"/>
          <w:szCs w:val="24"/>
        </w:rPr>
        <w:t>Act: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4B7207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7207">
        <w:rPr>
          <w:rFonts w:cs="Times New Roman"/>
          <w:color w:val="000000" w:themeColor="text1"/>
          <w:szCs w:val="24"/>
        </w:rPr>
        <w:t>1989,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7207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7207">
        <w:rPr>
          <w:rFonts w:cs="Times New Roman"/>
          <w:color w:val="000000" w:themeColor="text1"/>
          <w:szCs w:val="24"/>
        </w:rPr>
        <w:t>issued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7207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7207">
        <w:rPr>
          <w:rFonts w:cs="Times New Roman"/>
          <w:color w:val="000000" w:themeColor="text1"/>
          <w:szCs w:val="24"/>
        </w:rPr>
        <w:t>final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70562">
        <w:rPr>
          <w:rFonts w:cs="Times New Roman"/>
          <w:color w:val="000000" w:themeColor="text1"/>
          <w:szCs w:val="24"/>
        </w:rPr>
        <w:t>rule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70562">
        <w:rPr>
          <w:rFonts w:cs="Times New Roman"/>
          <w:color w:val="000000" w:themeColor="text1"/>
          <w:szCs w:val="24"/>
        </w:rPr>
        <w:t>entitled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F2CBA">
        <w:rPr>
          <w:rFonts w:cs="Times New Roman"/>
          <w:i/>
          <w:color w:val="000000" w:themeColor="text1"/>
          <w:szCs w:val="24"/>
        </w:rPr>
        <w:t>Asbestos: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2F2CBA">
        <w:rPr>
          <w:rFonts w:cs="Times New Roman"/>
          <w:i/>
          <w:color w:val="000000" w:themeColor="text1"/>
          <w:szCs w:val="24"/>
        </w:rPr>
        <w:t>Manufacture,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2F2CBA">
        <w:rPr>
          <w:rFonts w:cs="Times New Roman"/>
          <w:i/>
          <w:color w:val="000000" w:themeColor="text1"/>
          <w:szCs w:val="24"/>
        </w:rPr>
        <w:t>Importation,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2F2CBA">
        <w:rPr>
          <w:rFonts w:cs="Times New Roman"/>
          <w:i/>
          <w:color w:val="000000" w:themeColor="text1"/>
          <w:szCs w:val="24"/>
        </w:rPr>
        <w:t>Processing,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2F2CBA">
        <w:rPr>
          <w:rFonts w:cs="Times New Roman"/>
          <w:i/>
          <w:color w:val="000000" w:themeColor="text1"/>
          <w:szCs w:val="24"/>
        </w:rPr>
        <w:t>and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2F2CBA">
        <w:rPr>
          <w:rFonts w:cs="Times New Roman"/>
          <w:i/>
          <w:color w:val="000000" w:themeColor="text1"/>
          <w:szCs w:val="24"/>
        </w:rPr>
        <w:t>Distribution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2F2CBA">
        <w:rPr>
          <w:rFonts w:cs="Times New Roman"/>
          <w:i/>
          <w:color w:val="000000" w:themeColor="text1"/>
          <w:szCs w:val="24"/>
        </w:rPr>
        <w:t>in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2F2CBA">
        <w:rPr>
          <w:rFonts w:cs="Times New Roman"/>
          <w:i/>
          <w:color w:val="000000" w:themeColor="text1"/>
          <w:szCs w:val="24"/>
        </w:rPr>
        <w:t>Commerce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2F2CBA">
        <w:rPr>
          <w:rFonts w:cs="Times New Roman"/>
          <w:i/>
          <w:color w:val="000000" w:themeColor="text1"/>
          <w:szCs w:val="24"/>
        </w:rPr>
        <w:t>Prohibitions;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2F2CBA">
        <w:rPr>
          <w:rFonts w:cs="Times New Roman"/>
          <w:i/>
          <w:color w:val="000000" w:themeColor="text1"/>
          <w:szCs w:val="24"/>
        </w:rPr>
        <w:t>Final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2F2CBA">
        <w:rPr>
          <w:rFonts w:cs="Times New Roman"/>
          <w:i/>
          <w:color w:val="000000" w:themeColor="text1"/>
          <w:szCs w:val="24"/>
        </w:rPr>
        <w:t>Rule,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F2CBA">
        <w:rPr>
          <w:rFonts w:cs="Times New Roman"/>
          <w:color w:val="000000" w:themeColor="text1"/>
          <w:szCs w:val="24"/>
        </w:rPr>
        <w:t>(54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F2CBA">
        <w:rPr>
          <w:rFonts w:cs="Times New Roman"/>
          <w:color w:val="000000" w:themeColor="text1"/>
          <w:szCs w:val="24"/>
        </w:rPr>
        <w:t>FR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F2CBA">
        <w:rPr>
          <w:rFonts w:cs="Times New Roman"/>
          <w:color w:val="000000" w:themeColor="text1"/>
          <w:szCs w:val="24"/>
        </w:rPr>
        <w:t>29460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F2CBA">
        <w:rPr>
          <w:rFonts w:cs="Times New Roman"/>
          <w:color w:val="000000" w:themeColor="text1"/>
          <w:szCs w:val="24"/>
        </w:rPr>
        <w:t>(1989))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7207">
        <w:rPr>
          <w:rFonts w:cs="Times New Roman"/>
          <w:color w:val="000000" w:themeColor="text1"/>
          <w:szCs w:val="24"/>
        </w:rPr>
        <w:t>banning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7207">
        <w:rPr>
          <w:rFonts w:cs="Times New Roman"/>
          <w:color w:val="000000" w:themeColor="text1"/>
          <w:szCs w:val="24"/>
        </w:rPr>
        <w:t>most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7207">
        <w:rPr>
          <w:rFonts w:cs="Times New Roman"/>
          <w:color w:val="000000" w:themeColor="text1"/>
          <w:szCs w:val="24"/>
        </w:rPr>
        <w:t>asbestos-containing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7207">
        <w:rPr>
          <w:rFonts w:cs="Times New Roman"/>
          <w:color w:val="000000" w:themeColor="text1"/>
          <w:szCs w:val="24"/>
        </w:rPr>
        <w:t>products.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42C8E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42C8E">
        <w:rPr>
          <w:rFonts w:cs="Times New Roman"/>
          <w:color w:val="000000" w:themeColor="text1"/>
          <w:szCs w:val="24"/>
        </w:rPr>
        <w:t>1991,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A0437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A0437">
        <w:rPr>
          <w:rFonts w:cs="Times New Roman"/>
          <w:color w:val="000000" w:themeColor="text1"/>
          <w:szCs w:val="24"/>
        </w:rPr>
        <w:t>federal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A0437">
        <w:rPr>
          <w:rFonts w:cs="Times New Roman"/>
          <w:color w:val="000000" w:themeColor="text1"/>
          <w:szCs w:val="24"/>
        </w:rPr>
        <w:t>court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A0437">
        <w:rPr>
          <w:rFonts w:cs="Times New Roman"/>
          <w:color w:val="000000" w:themeColor="text1"/>
          <w:szCs w:val="24"/>
        </w:rPr>
        <w:t>vacated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A0437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A0437">
        <w:rPr>
          <w:rFonts w:cs="Times New Roman"/>
          <w:color w:val="000000" w:themeColor="text1"/>
          <w:szCs w:val="24"/>
        </w:rPr>
        <w:t>remanded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A0437">
        <w:rPr>
          <w:rFonts w:cs="Times New Roman"/>
          <w:color w:val="000000" w:themeColor="text1"/>
          <w:szCs w:val="24"/>
        </w:rPr>
        <w:t>most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A0437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A0437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A0437">
        <w:rPr>
          <w:rFonts w:cs="Times New Roman"/>
          <w:color w:val="000000" w:themeColor="text1"/>
          <w:szCs w:val="24"/>
        </w:rPr>
        <w:t>final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A0437">
        <w:rPr>
          <w:rFonts w:cs="Times New Roman"/>
          <w:color w:val="000000" w:themeColor="text1"/>
          <w:szCs w:val="24"/>
        </w:rPr>
        <w:t>rule</w:t>
      </w:r>
      <w:r w:rsidRPr="00C317BB" w:rsidR="00542C8E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A0437">
        <w:rPr>
          <w:rFonts w:cs="Times New Roman"/>
          <w:color w:val="000000" w:themeColor="text1"/>
          <w:szCs w:val="24"/>
        </w:rPr>
        <w:t>thereby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A0437">
        <w:rPr>
          <w:rFonts w:cs="Times New Roman"/>
          <w:color w:val="000000" w:themeColor="text1"/>
          <w:szCs w:val="24"/>
        </w:rPr>
        <w:t>permitting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7207">
        <w:rPr>
          <w:rFonts w:cs="Times New Roman"/>
          <w:color w:val="000000" w:themeColor="text1"/>
          <w:szCs w:val="24"/>
        </w:rPr>
        <w:t>manufacture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5B48">
        <w:rPr>
          <w:rFonts w:cs="Times New Roman"/>
          <w:color w:val="000000" w:themeColor="text1"/>
          <w:szCs w:val="24"/>
        </w:rPr>
        <w:t>(including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7207">
        <w:rPr>
          <w:rFonts w:cs="Times New Roman"/>
          <w:color w:val="000000" w:themeColor="text1"/>
          <w:szCs w:val="24"/>
        </w:rPr>
        <w:t>import</w:t>
      </w:r>
      <w:r w:rsidRPr="00C317BB" w:rsidR="00AB5B48">
        <w:rPr>
          <w:rFonts w:cs="Times New Roman"/>
          <w:color w:val="000000" w:themeColor="text1"/>
          <w:szCs w:val="24"/>
        </w:rPr>
        <w:t>)</w:t>
      </w:r>
      <w:r w:rsidRPr="00C317BB" w:rsidR="004B7207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7207">
        <w:rPr>
          <w:rFonts w:cs="Times New Roman"/>
          <w:color w:val="000000" w:themeColor="text1"/>
          <w:szCs w:val="24"/>
        </w:rPr>
        <w:t>processing,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7207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7207">
        <w:rPr>
          <w:rFonts w:cs="Times New Roman"/>
          <w:color w:val="000000" w:themeColor="text1"/>
          <w:szCs w:val="24"/>
        </w:rPr>
        <w:t>distribution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7207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7207">
        <w:rPr>
          <w:rFonts w:cs="Times New Roman"/>
          <w:color w:val="000000" w:themeColor="text1"/>
          <w:szCs w:val="24"/>
        </w:rPr>
        <w:t>commerce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7207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7207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7207">
        <w:rPr>
          <w:rFonts w:cs="Times New Roman"/>
          <w:color w:val="000000" w:themeColor="text1"/>
          <w:szCs w:val="24"/>
        </w:rPr>
        <w:t>majority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7207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7207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7207">
        <w:rPr>
          <w:rFonts w:cs="Times New Roman"/>
          <w:color w:val="000000" w:themeColor="text1"/>
          <w:szCs w:val="24"/>
        </w:rPr>
        <w:t>asbestos-containing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7207">
        <w:rPr>
          <w:rFonts w:cs="Times New Roman"/>
          <w:color w:val="000000" w:themeColor="text1"/>
          <w:szCs w:val="24"/>
        </w:rPr>
        <w:t>products.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74B54">
        <w:rPr>
          <w:rFonts w:cs="Times New Roman"/>
          <w:i/>
          <w:color w:val="000000" w:themeColor="text1"/>
          <w:szCs w:val="24"/>
        </w:rPr>
        <w:t>Corrosion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E74B54">
        <w:rPr>
          <w:rFonts w:cs="Times New Roman"/>
          <w:i/>
          <w:color w:val="000000" w:themeColor="text1"/>
          <w:szCs w:val="24"/>
        </w:rPr>
        <w:t>Proof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E74B54">
        <w:rPr>
          <w:rFonts w:cs="Times New Roman"/>
          <w:i/>
          <w:color w:val="000000" w:themeColor="text1"/>
          <w:szCs w:val="24"/>
        </w:rPr>
        <w:t>Fittings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74B54">
        <w:rPr>
          <w:rFonts w:cs="Times New Roman"/>
          <w:i/>
          <w:color w:val="000000" w:themeColor="text1"/>
          <w:szCs w:val="24"/>
        </w:rPr>
        <w:t>v.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E74B54">
        <w:rPr>
          <w:rFonts w:cs="Times New Roman"/>
          <w:i/>
          <w:color w:val="000000" w:themeColor="text1"/>
          <w:szCs w:val="24"/>
        </w:rPr>
        <w:t>EPA</w:t>
      </w:r>
      <w:r w:rsidRPr="00C317BB" w:rsidR="00E74B54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74B54">
        <w:rPr>
          <w:rFonts w:cs="Times New Roman"/>
          <w:color w:val="000000" w:themeColor="text1"/>
          <w:szCs w:val="24"/>
        </w:rPr>
        <w:t>947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74B54">
        <w:rPr>
          <w:rFonts w:cs="Times New Roman"/>
          <w:color w:val="000000" w:themeColor="text1"/>
          <w:szCs w:val="24"/>
        </w:rPr>
        <w:t>F.2d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74B54">
        <w:rPr>
          <w:rFonts w:cs="Times New Roman"/>
          <w:color w:val="000000" w:themeColor="text1"/>
          <w:szCs w:val="24"/>
        </w:rPr>
        <w:t>1201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74B54">
        <w:rPr>
          <w:rFonts w:cs="Times New Roman"/>
          <w:color w:val="000000" w:themeColor="text1"/>
          <w:szCs w:val="24"/>
        </w:rPr>
        <w:t>(5</w:t>
      </w:r>
      <w:r w:rsidRPr="00C317BB" w:rsidR="00E74B54">
        <w:rPr>
          <w:rFonts w:cs="Times New Roman"/>
          <w:color w:val="000000" w:themeColor="text1"/>
          <w:szCs w:val="24"/>
          <w:vertAlign w:val="superscript"/>
        </w:rPr>
        <w:t>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74B54">
        <w:rPr>
          <w:rFonts w:cs="Times New Roman"/>
          <w:color w:val="000000" w:themeColor="text1"/>
          <w:szCs w:val="24"/>
        </w:rPr>
        <w:t>Cir.,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74B54">
        <w:rPr>
          <w:rFonts w:cs="Times New Roman"/>
          <w:color w:val="000000" w:themeColor="text1"/>
          <w:szCs w:val="24"/>
        </w:rPr>
        <w:t>1991).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bookmarkStart w:name="_Hlk88126390" w:id="16"/>
      <w:r w:rsidRPr="00C317BB" w:rsidR="00D70562">
        <w:rPr>
          <w:rFonts w:cs="Times New Roman"/>
          <w:color w:val="000000" w:themeColor="text1"/>
          <w:szCs w:val="24"/>
        </w:rPr>
        <w:t>Manufacture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70562">
        <w:rPr>
          <w:rFonts w:cs="Times New Roman"/>
          <w:color w:val="000000" w:themeColor="text1"/>
          <w:szCs w:val="24"/>
        </w:rPr>
        <w:t>(including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70562">
        <w:rPr>
          <w:rFonts w:cs="Times New Roman"/>
          <w:color w:val="000000" w:themeColor="text1"/>
          <w:szCs w:val="24"/>
        </w:rPr>
        <w:t>import),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70562">
        <w:rPr>
          <w:rFonts w:cs="Times New Roman"/>
          <w:color w:val="000000" w:themeColor="text1"/>
          <w:szCs w:val="24"/>
        </w:rPr>
        <w:t>processing,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70562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70562">
        <w:rPr>
          <w:rFonts w:cs="Times New Roman"/>
          <w:color w:val="000000" w:themeColor="text1"/>
          <w:szCs w:val="24"/>
        </w:rPr>
        <w:t>distribution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70562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70562">
        <w:rPr>
          <w:rFonts w:cs="Times New Roman"/>
          <w:color w:val="000000" w:themeColor="text1"/>
          <w:szCs w:val="24"/>
        </w:rPr>
        <w:t>commerce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70562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bookmarkEnd w:id="16"/>
      <w:r w:rsidRPr="00C317BB" w:rsidR="00D70562">
        <w:rPr>
          <w:rFonts w:cs="Times New Roman"/>
          <w:color w:val="000000" w:themeColor="text1"/>
          <w:szCs w:val="24"/>
        </w:rPr>
        <w:t>t</w:t>
      </w:r>
      <w:r w:rsidRPr="00C317BB" w:rsidR="004B7207">
        <w:rPr>
          <w:rFonts w:cs="Times New Roman"/>
          <w:color w:val="000000" w:themeColor="text1"/>
          <w:szCs w:val="24"/>
        </w:rPr>
        <w:t>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7207">
        <w:rPr>
          <w:rFonts w:cs="Times New Roman"/>
          <w:color w:val="000000" w:themeColor="text1"/>
          <w:szCs w:val="24"/>
        </w:rPr>
        <w:t>following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7207">
        <w:rPr>
          <w:rFonts w:cs="Times New Roman"/>
          <w:color w:val="000000" w:themeColor="text1"/>
          <w:szCs w:val="24"/>
        </w:rPr>
        <w:t>products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7207">
        <w:rPr>
          <w:rFonts w:cs="Times New Roman"/>
          <w:color w:val="000000" w:themeColor="text1"/>
          <w:szCs w:val="24"/>
        </w:rPr>
        <w:t>remain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7207">
        <w:rPr>
          <w:rFonts w:cs="Times New Roman"/>
          <w:color w:val="000000" w:themeColor="text1"/>
          <w:szCs w:val="24"/>
        </w:rPr>
        <w:t>banned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7207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7207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7207">
        <w:rPr>
          <w:rFonts w:cs="Times New Roman"/>
          <w:color w:val="000000" w:themeColor="text1"/>
          <w:szCs w:val="24"/>
        </w:rPr>
        <w:t>rule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7207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7207">
        <w:rPr>
          <w:rFonts w:cs="Times New Roman"/>
          <w:color w:val="000000" w:themeColor="text1"/>
          <w:szCs w:val="24"/>
        </w:rPr>
        <w:t>TSCA: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7207">
        <w:rPr>
          <w:rFonts w:cs="Times New Roman"/>
          <w:color w:val="000000" w:themeColor="text1"/>
          <w:szCs w:val="24"/>
        </w:rPr>
        <w:t>corrugated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7207">
        <w:rPr>
          <w:rFonts w:cs="Times New Roman"/>
          <w:color w:val="000000" w:themeColor="text1"/>
          <w:szCs w:val="24"/>
        </w:rPr>
        <w:t>paper,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7207">
        <w:rPr>
          <w:rFonts w:cs="Times New Roman"/>
          <w:color w:val="000000" w:themeColor="text1"/>
          <w:szCs w:val="24"/>
        </w:rPr>
        <w:t>rollboard,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7207">
        <w:rPr>
          <w:rFonts w:cs="Times New Roman"/>
          <w:color w:val="000000" w:themeColor="text1"/>
          <w:szCs w:val="24"/>
        </w:rPr>
        <w:t>commercial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7207">
        <w:rPr>
          <w:rFonts w:cs="Times New Roman"/>
          <w:color w:val="000000" w:themeColor="text1"/>
          <w:szCs w:val="24"/>
        </w:rPr>
        <w:t>paper,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7207">
        <w:rPr>
          <w:rFonts w:cs="Times New Roman"/>
          <w:color w:val="000000" w:themeColor="text1"/>
          <w:szCs w:val="24"/>
        </w:rPr>
        <w:t>specialty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7207">
        <w:rPr>
          <w:rFonts w:cs="Times New Roman"/>
          <w:color w:val="000000" w:themeColor="text1"/>
          <w:szCs w:val="24"/>
        </w:rPr>
        <w:t>paper,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7207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7207">
        <w:rPr>
          <w:rFonts w:cs="Times New Roman"/>
          <w:color w:val="000000" w:themeColor="text1"/>
          <w:szCs w:val="24"/>
        </w:rPr>
        <w:t>flooring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7207">
        <w:rPr>
          <w:rFonts w:cs="Times New Roman"/>
          <w:color w:val="000000" w:themeColor="text1"/>
          <w:szCs w:val="24"/>
        </w:rPr>
        <w:t>felt.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7207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7207">
        <w:rPr>
          <w:rFonts w:cs="Times New Roman"/>
          <w:color w:val="000000" w:themeColor="text1"/>
          <w:szCs w:val="24"/>
        </w:rPr>
        <w:t>addition,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7207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7207">
        <w:rPr>
          <w:rFonts w:cs="Times New Roman"/>
          <w:color w:val="000000" w:themeColor="text1"/>
          <w:szCs w:val="24"/>
        </w:rPr>
        <w:t>1989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7207">
        <w:rPr>
          <w:rFonts w:cs="Times New Roman"/>
          <w:color w:val="000000" w:themeColor="text1"/>
          <w:szCs w:val="24"/>
        </w:rPr>
        <w:t>rule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7207">
        <w:rPr>
          <w:rFonts w:cs="Times New Roman"/>
          <w:color w:val="000000" w:themeColor="text1"/>
          <w:szCs w:val="24"/>
        </w:rPr>
        <w:t>continues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7207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7207">
        <w:rPr>
          <w:rFonts w:cs="Times New Roman"/>
          <w:color w:val="000000" w:themeColor="text1"/>
          <w:szCs w:val="24"/>
        </w:rPr>
        <w:t>ban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7207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70562">
        <w:rPr>
          <w:rFonts w:cs="Times New Roman"/>
          <w:color w:val="000000" w:themeColor="text1"/>
          <w:szCs w:val="24"/>
        </w:rPr>
        <w:t>manufacture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70562">
        <w:rPr>
          <w:rFonts w:cs="Times New Roman"/>
          <w:color w:val="000000" w:themeColor="text1"/>
          <w:szCs w:val="24"/>
        </w:rPr>
        <w:t>(including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70562">
        <w:rPr>
          <w:rFonts w:cs="Times New Roman"/>
          <w:color w:val="000000" w:themeColor="text1"/>
          <w:szCs w:val="24"/>
        </w:rPr>
        <w:t>import),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70562">
        <w:rPr>
          <w:rFonts w:cs="Times New Roman"/>
          <w:color w:val="000000" w:themeColor="text1"/>
          <w:szCs w:val="24"/>
        </w:rPr>
        <w:t>processing,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70562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70562">
        <w:rPr>
          <w:rFonts w:cs="Times New Roman"/>
          <w:color w:val="000000" w:themeColor="text1"/>
          <w:szCs w:val="24"/>
        </w:rPr>
        <w:t>distribution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70562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70562">
        <w:rPr>
          <w:rFonts w:cs="Times New Roman"/>
          <w:color w:val="000000" w:themeColor="text1"/>
          <w:szCs w:val="24"/>
        </w:rPr>
        <w:t>commerce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70562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7207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7207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7207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7207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7207">
        <w:rPr>
          <w:rFonts w:cs="Times New Roman"/>
          <w:color w:val="000000" w:themeColor="text1"/>
          <w:szCs w:val="24"/>
        </w:rPr>
        <w:t>products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7207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7207">
        <w:rPr>
          <w:rFonts w:cs="Times New Roman"/>
          <w:color w:val="000000" w:themeColor="text1"/>
          <w:szCs w:val="24"/>
        </w:rPr>
        <w:t>have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7207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7207">
        <w:rPr>
          <w:rFonts w:cs="Times New Roman"/>
          <w:color w:val="000000" w:themeColor="text1"/>
          <w:szCs w:val="24"/>
        </w:rPr>
        <w:t>historically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7207">
        <w:rPr>
          <w:rFonts w:cs="Times New Roman"/>
          <w:color w:val="000000" w:themeColor="text1"/>
          <w:szCs w:val="24"/>
        </w:rPr>
        <w:t>contained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7207">
        <w:rPr>
          <w:rFonts w:cs="Times New Roman"/>
          <w:color w:val="000000" w:themeColor="text1"/>
          <w:szCs w:val="24"/>
        </w:rPr>
        <w:t>asbestos,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7207">
        <w:rPr>
          <w:rFonts w:cs="Times New Roman"/>
          <w:color w:val="000000" w:themeColor="text1"/>
          <w:szCs w:val="24"/>
        </w:rPr>
        <w:t>referred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7207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A3A62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A3A62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A3A62">
        <w:rPr>
          <w:rFonts w:cs="Times New Roman"/>
          <w:color w:val="000000" w:themeColor="text1"/>
          <w:szCs w:val="24"/>
        </w:rPr>
        <w:t>1989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A3A62">
        <w:rPr>
          <w:rFonts w:cs="Times New Roman"/>
          <w:color w:val="000000" w:themeColor="text1"/>
          <w:szCs w:val="24"/>
        </w:rPr>
        <w:t>rule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7207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A0437">
        <w:rPr>
          <w:rFonts w:cs="Times New Roman"/>
          <w:color w:val="000000" w:themeColor="text1"/>
          <w:szCs w:val="24"/>
        </w:rPr>
        <w:t>“</w:t>
      </w:r>
      <w:r w:rsidRPr="00C317BB" w:rsidR="004B7207">
        <w:rPr>
          <w:rFonts w:cs="Times New Roman"/>
          <w:color w:val="000000" w:themeColor="text1"/>
          <w:szCs w:val="24"/>
        </w:rPr>
        <w:t>new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7207">
        <w:rPr>
          <w:rFonts w:cs="Times New Roman"/>
          <w:color w:val="000000" w:themeColor="text1"/>
          <w:szCs w:val="24"/>
        </w:rPr>
        <w:t>uses”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7207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7207">
        <w:rPr>
          <w:rFonts w:cs="Times New Roman"/>
          <w:color w:val="000000" w:themeColor="text1"/>
          <w:szCs w:val="24"/>
        </w:rPr>
        <w:t>asbestos</w:t>
      </w:r>
      <w:r w:rsidRPr="00C317BB" w:rsidR="0054221F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92642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4221F">
        <w:rPr>
          <w:rFonts w:cs="Times New Roman"/>
          <w:color w:val="000000" w:themeColor="text1"/>
          <w:szCs w:val="24"/>
        </w:rPr>
        <w:t>d</w:t>
      </w:r>
      <w:r w:rsidRPr="00C317BB" w:rsidR="004B7207">
        <w:rPr>
          <w:rFonts w:cs="Times New Roman"/>
          <w:color w:val="000000" w:themeColor="text1"/>
          <w:szCs w:val="24"/>
        </w:rPr>
        <w:t>efined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7207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7207">
        <w:rPr>
          <w:rFonts w:cs="Times New Roman"/>
          <w:color w:val="000000" w:themeColor="text1"/>
          <w:szCs w:val="24"/>
        </w:rPr>
        <w:t>40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7207">
        <w:rPr>
          <w:rFonts w:cs="Times New Roman"/>
          <w:color w:val="000000" w:themeColor="text1"/>
          <w:szCs w:val="24"/>
        </w:rPr>
        <w:t>CFR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7207">
        <w:rPr>
          <w:rFonts w:cs="Times New Roman"/>
          <w:color w:val="000000" w:themeColor="text1"/>
          <w:szCs w:val="24"/>
        </w:rPr>
        <w:t>763.163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7207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7207">
        <w:rPr>
          <w:rFonts w:cs="Times New Roman"/>
          <w:color w:val="000000" w:themeColor="text1"/>
          <w:szCs w:val="24"/>
        </w:rPr>
        <w:t>“commercial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7207">
        <w:rPr>
          <w:rFonts w:cs="Times New Roman"/>
          <w:color w:val="000000" w:themeColor="text1"/>
          <w:szCs w:val="24"/>
        </w:rPr>
        <w:t>uses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7207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7207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7207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7207">
        <w:rPr>
          <w:rFonts w:cs="Times New Roman"/>
          <w:color w:val="000000" w:themeColor="text1"/>
          <w:szCs w:val="24"/>
        </w:rPr>
        <w:t>identified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7207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A0437">
        <w:rPr>
          <w:rFonts w:cs="Times New Roman"/>
          <w:color w:val="000000" w:themeColor="text1"/>
          <w:szCs w:val="24"/>
        </w:rPr>
        <w:t>part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7207">
        <w:rPr>
          <w:rFonts w:cs="Times New Roman"/>
          <w:color w:val="000000" w:themeColor="text1"/>
          <w:szCs w:val="24"/>
        </w:rPr>
        <w:t>763.165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7207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7207">
        <w:rPr>
          <w:rFonts w:cs="Times New Roman"/>
          <w:color w:val="000000" w:themeColor="text1"/>
          <w:szCs w:val="24"/>
        </w:rPr>
        <w:t>manufacture,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7207">
        <w:rPr>
          <w:rFonts w:cs="Times New Roman"/>
          <w:color w:val="000000" w:themeColor="text1"/>
          <w:szCs w:val="24"/>
        </w:rPr>
        <w:t>importation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7207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7207">
        <w:rPr>
          <w:rFonts w:cs="Times New Roman"/>
          <w:color w:val="000000" w:themeColor="text1"/>
          <w:szCs w:val="24"/>
        </w:rPr>
        <w:t>processing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7207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7207">
        <w:rPr>
          <w:rFonts w:cs="Times New Roman"/>
          <w:color w:val="000000" w:themeColor="text1"/>
          <w:szCs w:val="24"/>
        </w:rPr>
        <w:t>which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7207">
        <w:rPr>
          <w:rFonts w:cs="Times New Roman"/>
          <w:color w:val="000000" w:themeColor="text1"/>
          <w:szCs w:val="24"/>
        </w:rPr>
        <w:t>would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7207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7207">
        <w:rPr>
          <w:rFonts w:cs="Times New Roman"/>
          <w:color w:val="000000" w:themeColor="text1"/>
          <w:szCs w:val="24"/>
        </w:rPr>
        <w:t>initiated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7207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7207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7207">
        <w:rPr>
          <w:rFonts w:cs="Times New Roman"/>
          <w:color w:val="000000" w:themeColor="text1"/>
          <w:szCs w:val="24"/>
        </w:rPr>
        <w:t>first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7207">
        <w:rPr>
          <w:rFonts w:cs="Times New Roman"/>
          <w:color w:val="000000" w:themeColor="text1"/>
          <w:szCs w:val="24"/>
        </w:rPr>
        <w:t>ti</w:t>
      </w:r>
      <w:r w:rsidRPr="00C317BB" w:rsidR="00343B3E">
        <w:rPr>
          <w:rFonts w:cs="Times New Roman"/>
          <w:color w:val="000000" w:themeColor="text1"/>
          <w:szCs w:val="24"/>
        </w:rPr>
        <w:t>m</w:t>
      </w:r>
      <w:r w:rsidRPr="00C317BB" w:rsidR="004B7207">
        <w:rPr>
          <w:rFonts w:cs="Times New Roman"/>
          <w:color w:val="000000" w:themeColor="text1"/>
          <w:szCs w:val="24"/>
        </w:rPr>
        <w:t>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7207">
        <w:rPr>
          <w:rFonts w:cs="Times New Roman"/>
          <w:color w:val="000000" w:themeColor="text1"/>
          <w:szCs w:val="24"/>
        </w:rPr>
        <w:t>after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7207">
        <w:rPr>
          <w:rFonts w:cs="Times New Roman"/>
          <w:color w:val="000000" w:themeColor="text1"/>
          <w:szCs w:val="24"/>
        </w:rPr>
        <w:t>August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7207">
        <w:rPr>
          <w:rFonts w:cs="Times New Roman"/>
          <w:color w:val="000000" w:themeColor="text1"/>
          <w:szCs w:val="24"/>
        </w:rPr>
        <w:t>25,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7207">
        <w:rPr>
          <w:rFonts w:cs="Times New Roman"/>
          <w:color w:val="000000" w:themeColor="text1"/>
          <w:szCs w:val="24"/>
        </w:rPr>
        <w:t>1989</w:t>
      </w:r>
      <w:r w:rsidRPr="00C317BB" w:rsidR="0054221F">
        <w:rPr>
          <w:rFonts w:cs="Times New Roman"/>
          <w:color w:val="000000" w:themeColor="text1"/>
          <w:szCs w:val="24"/>
        </w:rPr>
        <w:t>.</w:t>
      </w:r>
      <w:r w:rsidRPr="00C317BB" w:rsidR="004B7207">
        <w:rPr>
          <w:rFonts w:cs="Times New Roman"/>
          <w:color w:val="000000" w:themeColor="text1"/>
          <w:szCs w:val="24"/>
        </w:rPr>
        <w:t>”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CA3EAB" w:rsidP="00F27167" w:rsidRDefault="006935B2" w14:paraId="7DDA7BEB" w14:textId="1FE5DC9C">
      <w:pPr>
        <w:pStyle w:val="ListParagraph"/>
        <w:ind w:left="0"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Through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authority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664B">
        <w:rPr>
          <w:rFonts w:cs="Times New Roman"/>
          <w:color w:val="000000" w:themeColor="text1"/>
          <w:szCs w:val="24"/>
        </w:rPr>
        <w:t>s</w:t>
      </w:r>
      <w:r w:rsidRPr="00C317BB">
        <w:rPr>
          <w:rFonts w:cs="Times New Roman"/>
          <w:color w:val="000000" w:themeColor="text1"/>
          <w:szCs w:val="24"/>
        </w:rPr>
        <w:t>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6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TSCA,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extended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worker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protection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requirements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state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local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government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employees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involved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work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who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were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previously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covered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664B">
        <w:rPr>
          <w:rFonts w:cs="Times New Roman"/>
          <w:color w:val="000000" w:themeColor="text1"/>
          <w:szCs w:val="24"/>
        </w:rPr>
        <w:t>existing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</w:t>
      </w:r>
      <w:r w:rsidRPr="00C317BB" w:rsidR="0045345D">
        <w:rPr>
          <w:rFonts w:cs="Times New Roman"/>
          <w:color w:val="000000" w:themeColor="text1"/>
          <w:szCs w:val="24"/>
        </w:rPr>
        <w:t>ccupational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</w:t>
      </w:r>
      <w:r w:rsidRPr="00C317BB" w:rsidR="0045345D">
        <w:rPr>
          <w:rFonts w:cs="Times New Roman"/>
          <w:color w:val="000000" w:themeColor="text1"/>
          <w:szCs w:val="24"/>
        </w:rPr>
        <w:t>afety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5345D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</w:t>
      </w:r>
      <w:r w:rsidRPr="00C317BB" w:rsidR="0045345D">
        <w:rPr>
          <w:rFonts w:cs="Times New Roman"/>
          <w:color w:val="000000" w:themeColor="text1"/>
          <w:szCs w:val="24"/>
        </w:rPr>
        <w:t>ealth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Pr="00C317BB" w:rsidR="0045345D">
        <w:rPr>
          <w:rFonts w:cs="Times New Roman"/>
          <w:color w:val="000000" w:themeColor="text1"/>
          <w:szCs w:val="24"/>
        </w:rPr>
        <w:t>dministration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5345D">
        <w:rPr>
          <w:rFonts w:cs="Times New Roman"/>
          <w:color w:val="000000" w:themeColor="text1"/>
          <w:szCs w:val="24"/>
        </w:rPr>
        <w:t>(</w:t>
      </w:r>
      <w:r w:rsidRPr="00C317BB">
        <w:rPr>
          <w:rFonts w:cs="Times New Roman"/>
          <w:color w:val="000000" w:themeColor="text1"/>
          <w:szCs w:val="24"/>
        </w:rPr>
        <w:t>OSHA</w:t>
      </w:r>
      <w:r w:rsidRPr="00C317BB" w:rsidR="0045345D">
        <w:rPr>
          <w:rFonts w:cs="Times New Roman"/>
          <w:color w:val="000000" w:themeColor="text1"/>
          <w:szCs w:val="24"/>
        </w:rPr>
        <w:t>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97279">
        <w:rPr>
          <w:rFonts w:cs="Times New Roman"/>
          <w:color w:val="000000" w:themeColor="text1"/>
          <w:szCs w:val="24"/>
        </w:rPr>
        <w:t>occupational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97279">
        <w:rPr>
          <w:rFonts w:cs="Times New Roman"/>
          <w:color w:val="000000" w:themeColor="text1"/>
          <w:szCs w:val="24"/>
        </w:rPr>
        <w:t>health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97279">
        <w:rPr>
          <w:rFonts w:cs="Times New Roman"/>
          <w:color w:val="000000" w:themeColor="text1"/>
          <w:szCs w:val="24"/>
        </w:rPr>
        <w:t>standards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97279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through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i/>
          <w:color w:val="000000" w:themeColor="text1"/>
          <w:szCs w:val="24"/>
        </w:rPr>
        <w:t>Asbestos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>
        <w:rPr>
          <w:rFonts w:cs="Times New Roman"/>
          <w:i/>
          <w:color w:val="000000" w:themeColor="text1"/>
          <w:szCs w:val="24"/>
        </w:rPr>
        <w:t>Worker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>
        <w:rPr>
          <w:rFonts w:cs="Times New Roman"/>
          <w:i/>
          <w:color w:val="000000" w:themeColor="text1"/>
          <w:szCs w:val="24"/>
        </w:rPr>
        <w:t>Protection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>
        <w:rPr>
          <w:rFonts w:cs="Times New Roman"/>
          <w:i/>
          <w:color w:val="000000" w:themeColor="text1"/>
          <w:szCs w:val="24"/>
        </w:rPr>
        <w:t>Rule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(40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CFR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Part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763,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Subpart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(2000)).</w:t>
      </w:r>
    </w:p>
    <w:p w:rsidRPr="00C317BB" w:rsidR="00CA3EAB" w:rsidP="00F27167" w:rsidRDefault="00CA3EAB" w14:paraId="5EE7325C" w14:textId="33082784">
      <w:pPr>
        <w:pStyle w:val="ListParagraph"/>
        <w:ind w:left="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ab/>
        <w:t>•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4364C">
        <w:rPr>
          <w:rFonts w:cs="Times New Roman"/>
          <w:i/>
          <w:color w:val="000000" w:themeColor="text1"/>
          <w:szCs w:val="24"/>
        </w:rPr>
        <w:t>Restriction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74364C">
        <w:rPr>
          <w:rFonts w:cs="Times New Roman"/>
          <w:i/>
          <w:color w:val="000000" w:themeColor="text1"/>
          <w:szCs w:val="24"/>
        </w:rPr>
        <w:t>on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74364C">
        <w:rPr>
          <w:rFonts w:cs="Times New Roman"/>
          <w:i/>
          <w:color w:val="000000" w:themeColor="text1"/>
          <w:szCs w:val="24"/>
        </w:rPr>
        <w:t>Discontinued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74364C">
        <w:rPr>
          <w:rFonts w:cs="Times New Roman"/>
          <w:i/>
          <w:color w:val="000000" w:themeColor="text1"/>
          <w:szCs w:val="24"/>
        </w:rPr>
        <w:t>Uses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74364C">
        <w:rPr>
          <w:rFonts w:cs="Times New Roman"/>
          <w:i/>
          <w:color w:val="000000" w:themeColor="text1"/>
          <w:szCs w:val="24"/>
        </w:rPr>
        <w:t>of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74364C">
        <w:rPr>
          <w:rFonts w:cs="Times New Roman"/>
          <w:i/>
          <w:color w:val="000000" w:themeColor="text1"/>
          <w:szCs w:val="24"/>
        </w:rPr>
        <w:t>Asbestos;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74364C">
        <w:rPr>
          <w:rFonts w:cs="Times New Roman"/>
          <w:i/>
          <w:color w:val="000000" w:themeColor="text1"/>
          <w:szCs w:val="24"/>
        </w:rPr>
        <w:t>Significant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74364C">
        <w:rPr>
          <w:rFonts w:cs="Times New Roman"/>
          <w:i/>
          <w:color w:val="000000" w:themeColor="text1"/>
          <w:szCs w:val="24"/>
        </w:rPr>
        <w:t>New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74364C">
        <w:rPr>
          <w:rFonts w:cs="Times New Roman"/>
          <w:i/>
          <w:color w:val="000000" w:themeColor="text1"/>
          <w:szCs w:val="24"/>
        </w:rPr>
        <w:t>Use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74364C">
        <w:rPr>
          <w:rFonts w:cs="Times New Roman"/>
          <w:i/>
          <w:color w:val="000000" w:themeColor="text1"/>
          <w:szCs w:val="24"/>
        </w:rPr>
        <w:t>Rule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74364C">
        <w:rPr>
          <w:rFonts w:cs="Times New Roman"/>
          <w:i/>
          <w:color w:val="000000" w:themeColor="text1"/>
          <w:szCs w:val="24"/>
        </w:rPr>
        <w:t>(SNUR).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74364C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4364C">
        <w:rPr>
          <w:rFonts w:cs="Times New Roman"/>
          <w:color w:val="000000" w:themeColor="text1"/>
          <w:szCs w:val="24"/>
        </w:rPr>
        <w:t>2019,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4364C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4364C">
        <w:rPr>
          <w:rFonts w:cs="Times New Roman"/>
          <w:color w:val="000000" w:themeColor="text1"/>
          <w:szCs w:val="24"/>
        </w:rPr>
        <w:t>promulgated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4364C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4364C">
        <w:rPr>
          <w:rFonts w:cs="Times New Roman"/>
          <w:color w:val="000000" w:themeColor="text1"/>
          <w:szCs w:val="24"/>
        </w:rPr>
        <w:t>significant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4364C">
        <w:rPr>
          <w:rFonts w:cs="Times New Roman"/>
          <w:color w:val="000000" w:themeColor="text1"/>
          <w:szCs w:val="24"/>
        </w:rPr>
        <w:t>new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4364C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4364C">
        <w:rPr>
          <w:rFonts w:cs="Times New Roman"/>
          <w:color w:val="000000" w:themeColor="text1"/>
          <w:szCs w:val="24"/>
        </w:rPr>
        <w:t>rule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4364C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4364C">
        <w:rPr>
          <w:rFonts w:cs="Times New Roman"/>
          <w:color w:val="000000" w:themeColor="text1"/>
          <w:szCs w:val="24"/>
        </w:rPr>
        <w:t>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4364C">
        <w:rPr>
          <w:rFonts w:cs="Times New Roman"/>
          <w:color w:val="000000" w:themeColor="text1"/>
          <w:szCs w:val="24"/>
        </w:rPr>
        <w:t>5(a)(2)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4364C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4364C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4364C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4364C">
        <w:rPr>
          <w:rFonts w:cs="Times New Roman"/>
          <w:color w:val="000000" w:themeColor="text1"/>
          <w:szCs w:val="24"/>
        </w:rPr>
        <w:t>ensure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4364C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4364C">
        <w:rPr>
          <w:rFonts w:cs="Times New Roman"/>
          <w:color w:val="000000" w:themeColor="text1"/>
          <w:szCs w:val="24"/>
        </w:rPr>
        <w:t>any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4364C">
        <w:rPr>
          <w:rFonts w:cs="Times New Roman"/>
          <w:color w:val="000000" w:themeColor="text1"/>
          <w:szCs w:val="24"/>
        </w:rPr>
        <w:t>discontinued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4364C">
        <w:rPr>
          <w:rFonts w:cs="Times New Roman"/>
          <w:color w:val="000000" w:themeColor="text1"/>
          <w:szCs w:val="24"/>
        </w:rPr>
        <w:t>uses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4364C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4364C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4364C">
        <w:rPr>
          <w:rFonts w:cs="Times New Roman"/>
          <w:color w:val="000000" w:themeColor="text1"/>
          <w:szCs w:val="24"/>
        </w:rPr>
        <w:t>cannot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4364C">
        <w:rPr>
          <w:rFonts w:cs="Times New Roman"/>
          <w:color w:val="000000" w:themeColor="text1"/>
          <w:szCs w:val="24"/>
        </w:rPr>
        <w:t>reenter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4364C">
        <w:rPr>
          <w:rFonts w:cs="Times New Roman"/>
          <w:color w:val="000000" w:themeColor="text1"/>
          <w:szCs w:val="24"/>
        </w:rPr>
        <w:t>commerce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4364C">
        <w:rPr>
          <w:rFonts w:cs="Times New Roman"/>
          <w:color w:val="000000" w:themeColor="text1"/>
          <w:szCs w:val="24"/>
        </w:rPr>
        <w:t>without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4364C">
        <w:rPr>
          <w:rFonts w:cs="Times New Roman"/>
          <w:color w:val="000000" w:themeColor="text1"/>
          <w:szCs w:val="24"/>
        </w:rPr>
        <w:t>prior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4364C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4364C">
        <w:rPr>
          <w:rFonts w:cs="Times New Roman"/>
          <w:color w:val="000000" w:themeColor="text1"/>
          <w:szCs w:val="24"/>
        </w:rPr>
        <w:t>review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4364C">
        <w:rPr>
          <w:rFonts w:cs="Times New Roman"/>
          <w:color w:val="000000" w:themeColor="text1"/>
          <w:szCs w:val="24"/>
        </w:rPr>
        <w:t>(84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4364C">
        <w:rPr>
          <w:rFonts w:cs="Times New Roman"/>
          <w:color w:val="000000" w:themeColor="text1"/>
          <w:szCs w:val="24"/>
        </w:rPr>
        <w:t>FR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4364C">
        <w:rPr>
          <w:rFonts w:cs="Times New Roman"/>
          <w:color w:val="000000" w:themeColor="text1"/>
          <w:szCs w:val="24"/>
        </w:rPr>
        <w:t>17345</w:t>
      </w:r>
      <w:r w:rsidR="005613B2">
        <w:rPr>
          <w:rFonts w:cs="Times New Roman"/>
          <w:color w:val="000000" w:themeColor="text1"/>
          <w:szCs w:val="24"/>
        </w:rPr>
        <w:t xml:space="preserve">, </w:t>
      </w:r>
      <w:r w:rsidRPr="00C317BB" w:rsidR="0074364C">
        <w:rPr>
          <w:rFonts w:cs="Times New Roman"/>
          <w:color w:val="000000" w:themeColor="text1"/>
          <w:szCs w:val="24"/>
        </w:rPr>
        <w:t>April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4364C">
        <w:rPr>
          <w:rFonts w:cs="Times New Roman"/>
          <w:color w:val="000000" w:themeColor="text1"/>
          <w:szCs w:val="24"/>
        </w:rPr>
        <w:t>25,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4364C">
        <w:rPr>
          <w:rFonts w:cs="Times New Roman"/>
          <w:color w:val="000000" w:themeColor="text1"/>
          <w:szCs w:val="24"/>
        </w:rPr>
        <w:t>2019).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4364C">
        <w:rPr>
          <w:rFonts w:cs="Times New Roman"/>
          <w:color w:val="000000" w:themeColor="text1"/>
          <w:szCs w:val="24"/>
        </w:rPr>
        <w:t>These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4364C">
        <w:rPr>
          <w:rFonts w:cs="Times New Roman"/>
          <w:color w:val="000000" w:themeColor="text1"/>
          <w:szCs w:val="24"/>
        </w:rPr>
        <w:t>new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4364C">
        <w:rPr>
          <w:rFonts w:cs="Times New Roman"/>
          <w:color w:val="000000" w:themeColor="text1"/>
          <w:szCs w:val="24"/>
        </w:rPr>
        <w:t>provisions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4364C">
        <w:rPr>
          <w:rFonts w:cs="Times New Roman"/>
          <w:color w:val="000000" w:themeColor="text1"/>
          <w:szCs w:val="24"/>
        </w:rPr>
        <w:t>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4364C">
        <w:rPr>
          <w:rFonts w:cs="Times New Roman"/>
          <w:color w:val="000000" w:themeColor="text1"/>
          <w:szCs w:val="24"/>
        </w:rPr>
        <w:t>40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4364C">
        <w:rPr>
          <w:rFonts w:cs="Times New Roman"/>
          <w:color w:val="000000" w:themeColor="text1"/>
          <w:szCs w:val="24"/>
        </w:rPr>
        <w:t>CFR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4364C">
        <w:rPr>
          <w:rFonts w:cs="Times New Roman"/>
          <w:color w:val="000000" w:themeColor="text1"/>
          <w:szCs w:val="24"/>
        </w:rPr>
        <w:t>721.11095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4364C">
        <w:rPr>
          <w:rFonts w:cs="Times New Roman"/>
          <w:color w:val="000000" w:themeColor="text1"/>
          <w:szCs w:val="24"/>
        </w:rPr>
        <w:t>require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4364C">
        <w:rPr>
          <w:rFonts w:cs="Times New Roman"/>
          <w:color w:val="000000" w:themeColor="text1"/>
          <w:szCs w:val="24"/>
        </w:rPr>
        <w:t>persons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4364C">
        <w:rPr>
          <w:rFonts w:cs="Times New Roman"/>
          <w:color w:val="000000" w:themeColor="text1"/>
          <w:szCs w:val="24"/>
        </w:rPr>
        <w:t>subject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4364C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4364C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4364C">
        <w:rPr>
          <w:rFonts w:cs="Times New Roman"/>
          <w:color w:val="000000" w:themeColor="text1"/>
          <w:szCs w:val="24"/>
        </w:rPr>
        <w:t>rule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4364C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4364C">
        <w:rPr>
          <w:rFonts w:cs="Times New Roman"/>
          <w:color w:val="000000" w:themeColor="text1"/>
          <w:szCs w:val="24"/>
        </w:rPr>
        <w:t>notify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4364C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4364C">
        <w:rPr>
          <w:rFonts w:cs="Times New Roman"/>
          <w:color w:val="000000" w:themeColor="text1"/>
          <w:szCs w:val="24"/>
        </w:rPr>
        <w:t>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4364C">
        <w:rPr>
          <w:rFonts w:cs="Times New Roman"/>
          <w:color w:val="000000" w:themeColor="text1"/>
          <w:szCs w:val="24"/>
        </w:rPr>
        <w:t>least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4364C">
        <w:rPr>
          <w:rFonts w:cs="Times New Roman"/>
          <w:color w:val="000000" w:themeColor="text1"/>
          <w:szCs w:val="24"/>
        </w:rPr>
        <w:t>90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4364C">
        <w:rPr>
          <w:rFonts w:cs="Times New Roman"/>
          <w:color w:val="000000" w:themeColor="text1"/>
          <w:szCs w:val="24"/>
        </w:rPr>
        <w:t>days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4364C">
        <w:rPr>
          <w:rFonts w:cs="Times New Roman"/>
          <w:color w:val="000000" w:themeColor="text1"/>
          <w:szCs w:val="24"/>
        </w:rPr>
        <w:t>before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4364C">
        <w:rPr>
          <w:rFonts w:cs="Times New Roman"/>
          <w:color w:val="000000" w:themeColor="text1"/>
          <w:szCs w:val="24"/>
        </w:rPr>
        <w:t>commencing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4364C">
        <w:rPr>
          <w:rFonts w:cs="Times New Roman"/>
          <w:color w:val="000000" w:themeColor="text1"/>
          <w:szCs w:val="24"/>
        </w:rPr>
        <w:t>any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4364C">
        <w:rPr>
          <w:rFonts w:cs="Times New Roman"/>
          <w:color w:val="000000" w:themeColor="text1"/>
          <w:szCs w:val="24"/>
        </w:rPr>
        <w:t>manufacturing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A4E4F">
        <w:rPr>
          <w:rFonts w:cs="Times New Roman"/>
          <w:color w:val="000000" w:themeColor="text1"/>
          <w:szCs w:val="24"/>
        </w:rPr>
        <w:t>(including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4364C">
        <w:rPr>
          <w:rFonts w:cs="Times New Roman"/>
          <w:color w:val="000000" w:themeColor="text1"/>
          <w:szCs w:val="24"/>
        </w:rPr>
        <w:t>importing</w:t>
      </w:r>
      <w:r w:rsidRPr="00C317BB" w:rsidR="00FA4E4F">
        <w:rPr>
          <w:rFonts w:cs="Times New Roman"/>
          <w:color w:val="000000" w:themeColor="text1"/>
          <w:szCs w:val="24"/>
        </w:rPr>
        <w:t>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4364C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4364C">
        <w:rPr>
          <w:rFonts w:cs="Times New Roman"/>
          <w:color w:val="000000" w:themeColor="text1"/>
          <w:szCs w:val="24"/>
        </w:rPr>
        <w:t>processing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4364C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4364C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4364C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4364C">
        <w:rPr>
          <w:rFonts w:cs="Times New Roman"/>
          <w:color w:val="000000" w:themeColor="text1"/>
          <w:szCs w:val="24"/>
        </w:rPr>
        <w:t>asbestos-containing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4364C">
        <w:rPr>
          <w:rFonts w:cs="Times New Roman"/>
          <w:color w:val="000000" w:themeColor="text1"/>
          <w:szCs w:val="24"/>
        </w:rPr>
        <w:t>products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4364C">
        <w:rPr>
          <w:rFonts w:cs="Times New Roman"/>
          <w:color w:val="000000" w:themeColor="text1"/>
          <w:szCs w:val="24"/>
        </w:rPr>
        <w:t>covered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4364C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4364C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4364C">
        <w:rPr>
          <w:rFonts w:cs="Times New Roman"/>
          <w:color w:val="000000" w:themeColor="text1"/>
          <w:szCs w:val="24"/>
        </w:rPr>
        <w:t>rule.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4364C">
        <w:rPr>
          <w:rFonts w:cs="Times New Roman"/>
          <w:color w:val="000000" w:themeColor="text1"/>
          <w:szCs w:val="24"/>
        </w:rPr>
        <w:t>These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4364C">
        <w:rPr>
          <w:rFonts w:cs="Times New Roman"/>
          <w:color w:val="000000" w:themeColor="text1"/>
          <w:szCs w:val="24"/>
        </w:rPr>
        <w:t>uses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4364C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78FF">
        <w:rPr>
          <w:rFonts w:cs="Times New Roman"/>
          <w:color w:val="000000" w:themeColor="text1"/>
          <w:szCs w:val="24"/>
        </w:rPr>
        <w:t>designated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78FF">
        <w:rPr>
          <w:rFonts w:cs="Times New Roman"/>
          <w:color w:val="000000" w:themeColor="text1"/>
          <w:szCs w:val="24"/>
        </w:rPr>
        <w:t>significant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78FF">
        <w:rPr>
          <w:rFonts w:cs="Times New Roman"/>
          <w:color w:val="000000" w:themeColor="text1"/>
          <w:szCs w:val="24"/>
        </w:rPr>
        <w:t>new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78FF">
        <w:rPr>
          <w:rFonts w:cs="Times New Roman"/>
          <w:color w:val="000000" w:themeColor="text1"/>
          <w:szCs w:val="24"/>
        </w:rPr>
        <w:t>uses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78FF">
        <w:rPr>
          <w:rFonts w:cs="Times New Roman"/>
          <w:color w:val="000000" w:themeColor="text1"/>
          <w:szCs w:val="24"/>
        </w:rPr>
        <w:t>and,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78FF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78FF">
        <w:rPr>
          <w:rFonts w:cs="Times New Roman"/>
          <w:color w:val="000000" w:themeColor="text1"/>
          <w:szCs w:val="24"/>
        </w:rPr>
        <w:t>such,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78FF">
        <w:rPr>
          <w:rFonts w:cs="Times New Roman"/>
          <w:color w:val="000000" w:themeColor="text1"/>
          <w:szCs w:val="24"/>
        </w:rPr>
        <w:t>cannot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78FF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78FF">
        <w:rPr>
          <w:rFonts w:cs="Times New Roman"/>
          <w:color w:val="000000" w:themeColor="text1"/>
          <w:szCs w:val="24"/>
        </w:rPr>
        <w:t>resumed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78FF">
        <w:rPr>
          <w:rFonts w:cs="Times New Roman"/>
          <w:color w:val="000000" w:themeColor="text1"/>
          <w:szCs w:val="24"/>
        </w:rPr>
        <w:t>unless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78FF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78FF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78FF">
        <w:rPr>
          <w:rFonts w:cs="Times New Roman"/>
          <w:color w:val="000000" w:themeColor="text1"/>
          <w:szCs w:val="24"/>
        </w:rPr>
        <w:t>notified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78FF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78FF">
        <w:rPr>
          <w:rFonts w:cs="Times New Roman"/>
          <w:color w:val="000000" w:themeColor="text1"/>
          <w:szCs w:val="24"/>
        </w:rPr>
        <w:t>makes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78FF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78FF">
        <w:rPr>
          <w:rFonts w:cs="Times New Roman"/>
          <w:color w:val="000000" w:themeColor="text1"/>
          <w:szCs w:val="24"/>
        </w:rPr>
        <w:t>required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78FF">
        <w:rPr>
          <w:rFonts w:cs="Times New Roman"/>
          <w:color w:val="000000" w:themeColor="text1"/>
          <w:szCs w:val="24"/>
        </w:rPr>
        <w:t>determination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78FF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78FF">
        <w:rPr>
          <w:rFonts w:cs="Times New Roman"/>
          <w:color w:val="000000" w:themeColor="text1"/>
          <w:szCs w:val="24"/>
        </w:rPr>
        <w:t>takes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78FF">
        <w:rPr>
          <w:rFonts w:cs="Times New Roman"/>
          <w:color w:val="000000" w:themeColor="text1"/>
          <w:szCs w:val="24"/>
        </w:rPr>
        <w:t>action,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78FF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78FF">
        <w:rPr>
          <w:rFonts w:cs="Times New Roman"/>
          <w:color w:val="000000" w:themeColor="text1"/>
          <w:szCs w:val="24"/>
        </w:rPr>
        <w:t>appropriate,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78FF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78FF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78FF">
        <w:rPr>
          <w:rFonts w:cs="Times New Roman"/>
          <w:color w:val="000000" w:themeColor="text1"/>
          <w:szCs w:val="24"/>
        </w:rPr>
        <w:t>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78FF">
        <w:rPr>
          <w:rFonts w:cs="Times New Roman"/>
          <w:color w:val="000000" w:themeColor="text1"/>
          <w:szCs w:val="24"/>
        </w:rPr>
        <w:t>5</w:t>
      </w:r>
      <w:r w:rsidRPr="00C317BB" w:rsidR="0074364C">
        <w:rPr>
          <w:rFonts w:cs="Times New Roman"/>
          <w:color w:val="000000" w:themeColor="text1"/>
          <w:szCs w:val="24"/>
        </w:rPr>
        <w:t>.</w:t>
      </w:r>
    </w:p>
    <w:p w:rsidRPr="00C317BB" w:rsidR="00CA3EAB" w:rsidP="00F27167" w:rsidRDefault="00CA3EAB" w14:paraId="1CE7587C" w14:textId="463DE63E">
      <w:pPr>
        <w:pStyle w:val="ListParagraph"/>
        <w:ind w:left="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ab/>
        <w:t>•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4CA8">
        <w:rPr>
          <w:rFonts w:cs="Times New Roman"/>
          <w:i/>
          <w:color w:val="000000" w:themeColor="text1"/>
          <w:szCs w:val="24"/>
        </w:rPr>
        <w:t>Asbestos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A510D8">
        <w:rPr>
          <w:rFonts w:cs="Times New Roman"/>
          <w:i/>
          <w:color w:val="000000" w:themeColor="text1"/>
          <w:szCs w:val="24"/>
        </w:rPr>
        <w:t>Information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5C4CA8">
        <w:rPr>
          <w:rFonts w:cs="Times New Roman"/>
          <w:i/>
          <w:color w:val="000000" w:themeColor="text1"/>
          <w:szCs w:val="24"/>
        </w:rPr>
        <w:t>Act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5C4CA8">
        <w:rPr>
          <w:rFonts w:cs="Times New Roman"/>
          <w:i/>
          <w:color w:val="000000" w:themeColor="text1"/>
          <w:szCs w:val="24"/>
        </w:rPr>
        <w:t>of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5C4CA8">
        <w:rPr>
          <w:rFonts w:cs="Times New Roman"/>
          <w:i/>
          <w:color w:val="000000" w:themeColor="text1"/>
          <w:szCs w:val="24"/>
        </w:rPr>
        <w:t>1988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94222F">
        <w:rPr>
          <w:rFonts w:cs="Times New Roman"/>
          <w:i/>
          <w:color w:val="000000" w:themeColor="text1"/>
          <w:szCs w:val="24"/>
        </w:rPr>
        <w:t>(AIA)</w:t>
      </w:r>
      <w:r w:rsidRPr="00C317BB" w:rsidR="005E0121">
        <w:rPr>
          <w:rFonts w:cs="Times New Roman"/>
          <w:i/>
          <w:color w:val="000000" w:themeColor="text1"/>
          <w:szCs w:val="24"/>
        </w:rPr>
        <w:t>: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26E07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26E07">
        <w:rPr>
          <w:rFonts w:cs="Times New Roman"/>
          <w:color w:val="000000" w:themeColor="text1"/>
          <w:szCs w:val="24"/>
        </w:rPr>
        <w:t>AIA,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85D9F">
        <w:rPr>
          <w:rFonts w:cs="Times New Roman"/>
          <w:color w:val="000000" w:themeColor="text1"/>
          <w:szCs w:val="24"/>
        </w:rPr>
        <w:t>Pub.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85D9F">
        <w:rPr>
          <w:rFonts w:cs="Times New Roman"/>
          <w:color w:val="000000" w:themeColor="text1"/>
          <w:szCs w:val="24"/>
        </w:rPr>
        <w:t>L.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85D9F">
        <w:rPr>
          <w:rFonts w:cs="Times New Roman"/>
          <w:color w:val="000000" w:themeColor="text1"/>
          <w:szCs w:val="24"/>
        </w:rPr>
        <w:t>100-577,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4CA8">
        <w:rPr>
          <w:rFonts w:cs="Times New Roman"/>
          <w:color w:val="000000" w:themeColor="text1"/>
          <w:szCs w:val="24"/>
        </w:rPr>
        <w:t>helped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4CA8">
        <w:rPr>
          <w:rFonts w:cs="Times New Roman"/>
          <w:color w:val="000000" w:themeColor="text1"/>
          <w:szCs w:val="24"/>
        </w:rPr>
        <w:t>provide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4CA8">
        <w:rPr>
          <w:rFonts w:cs="Times New Roman"/>
          <w:color w:val="000000" w:themeColor="text1"/>
          <w:szCs w:val="24"/>
        </w:rPr>
        <w:t>transparency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4CA8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4CA8">
        <w:rPr>
          <w:rFonts w:cs="Times New Roman"/>
          <w:color w:val="000000" w:themeColor="text1"/>
          <w:szCs w:val="24"/>
        </w:rPr>
        <w:t>identify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4CA8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4CA8">
        <w:rPr>
          <w:rFonts w:cs="Times New Roman"/>
          <w:color w:val="000000" w:themeColor="text1"/>
          <w:szCs w:val="24"/>
        </w:rPr>
        <w:t>companies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4CA8">
        <w:rPr>
          <w:rFonts w:cs="Times New Roman"/>
          <w:color w:val="000000" w:themeColor="text1"/>
          <w:szCs w:val="24"/>
        </w:rPr>
        <w:t>making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4CA8">
        <w:rPr>
          <w:rFonts w:cs="Times New Roman"/>
          <w:color w:val="000000" w:themeColor="text1"/>
          <w:szCs w:val="24"/>
        </w:rPr>
        <w:t>certain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4CA8">
        <w:rPr>
          <w:rFonts w:cs="Times New Roman"/>
          <w:color w:val="000000" w:themeColor="text1"/>
          <w:szCs w:val="24"/>
        </w:rPr>
        <w:t>types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4CA8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4CA8">
        <w:rPr>
          <w:rFonts w:cs="Times New Roman"/>
          <w:color w:val="000000" w:themeColor="text1"/>
          <w:szCs w:val="24"/>
        </w:rPr>
        <w:t>asbestos-containing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4CA8">
        <w:rPr>
          <w:rFonts w:cs="Times New Roman"/>
          <w:color w:val="000000" w:themeColor="text1"/>
          <w:szCs w:val="24"/>
        </w:rPr>
        <w:t>products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4CA8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4CA8">
        <w:rPr>
          <w:rFonts w:cs="Times New Roman"/>
          <w:color w:val="000000" w:themeColor="text1"/>
          <w:szCs w:val="24"/>
        </w:rPr>
        <w:t>requiring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4CA8">
        <w:rPr>
          <w:rFonts w:cs="Times New Roman"/>
          <w:color w:val="000000" w:themeColor="text1"/>
          <w:szCs w:val="24"/>
        </w:rPr>
        <w:t>manufacturers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4CA8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4CA8">
        <w:rPr>
          <w:rFonts w:cs="Times New Roman"/>
          <w:color w:val="000000" w:themeColor="text1"/>
          <w:szCs w:val="24"/>
        </w:rPr>
        <w:t>report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4CA8">
        <w:rPr>
          <w:rFonts w:cs="Times New Roman"/>
          <w:color w:val="000000" w:themeColor="text1"/>
          <w:szCs w:val="24"/>
        </w:rPr>
        <w:t>production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4CA8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4CA8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4CA8">
        <w:rPr>
          <w:rFonts w:cs="Times New Roman"/>
          <w:color w:val="000000" w:themeColor="text1"/>
          <w:szCs w:val="24"/>
        </w:rPr>
        <w:t>EPA.</w:t>
      </w:r>
    </w:p>
    <w:p w:rsidRPr="00C317BB" w:rsidR="00CA3EAB" w:rsidP="00F27167" w:rsidRDefault="00CA3EAB" w14:paraId="2245A493" w14:textId="5AE0CBBE">
      <w:pPr>
        <w:pStyle w:val="ListParagraph"/>
        <w:ind w:left="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ab/>
        <w:t>•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4CA8">
        <w:rPr>
          <w:rFonts w:cs="Times New Roman"/>
          <w:i/>
          <w:color w:val="000000" w:themeColor="text1"/>
          <w:szCs w:val="24"/>
        </w:rPr>
        <w:t>Emergency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5C4CA8">
        <w:rPr>
          <w:rFonts w:cs="Times New Roman"/>
          <w:i/>
          <w:color w:val="000000" w:themeColor="text1"/>
          <w:szCs w:val="24"/>
        </w:rPr>
        <w:t>Planning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5C4CA8">
        <w:rPr>
          <w:rFonts w:cs="Times New Roman"/>
          <w:i/>
          <w:color w:val="000000" w:themeColor="text1"/>
          <w:szCs w:val="24"/>
        </w:rPr>
        <w:t>and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5C4CA8">
        <w:rPr>
          <w:rFonts w:cs="Times New Roman"/>
          <w:i/>
          <w:color w:val="000000" w:themeColor="text1"/>
          <w:szCs w:val="24"/>
        </w:rPr>
        <w:t>Community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5C4CA8">
        <w:rPr>
          <w:rFonts w:cs="Times New Roman"/>
          <w:i/>
          <w:color w:val="000000" w:themeColor="text1"/>
          <w:szCs w:val="24"/>
        </w:rPr>
        <w:t>Right-To-Know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5C4CA8">
        <w:rPr>
          <w:rFonts w:cs="Times New Roman"/>
          <w:i/>
          <w:color w:val="000000" w:themeColor="text1"/>
          <w:szCs w:val="24"/>
        </w:rPr>
        <w:t>Act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5C4CA8">
        <w:rPr>
          <w:rFonts w:cs="Times New Roman"/>
          <w:color w:val="000000" w:themeColor="text1"/>
          <w:szCs w:val="24"/>
        </w:rPr>
        <w:t>(EPCRA)</w:t>
      </w:r>
      <w:r w:rsidRPr="00C317BB" w:rsidR="002F2CBA">
        <w:rPr>
          <w:rFonts w:cs="Times New Roman"/>
          <w:color w:val="000000" w:themeColor="text1"/>
          <w:szCs w:val="24"/>
        </w:rPr>
        <w:t>: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4CA8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4CA8">
        <w:rPr>
          <w:rFonts w:cs="Times New Roman"/>
          <w:color w:val="000000" w:themeColor="text1"/>
          <w:szCs w:val="24"/>
        </w:rPr>
        <w:t>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4CA8">
        <w:rPr>
          <w:rFonts w:cs="Times New Roman"/>
          <w:color w:val="000000" w:themeColor="text1"/>
          <w:szCs w:val="24"/>
        </w:rPr>
        <w:t>313,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66757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4CA8">
        <w:rPr>
          <w:rFonts w:cs="Times New Roman"/>
          <w:color w:val="000000" w:themeColor="text1"/>
          <w:szCs w:val="24"/>
        </w:rPr>
        <w:t>Toxics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4CA8">
        <w:rPr>
          <w:rFonts w:cs="Times New Roman"/>
          <w:color w:val="000000" w:themeColor="text1"/>
          <w:szCs w:val="24"/>
        </w:rPr>
        <w:t>Release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4CA8">
        <w:rPr>
          <w:rFonts w:cs="Times New Roman"/>
          <w:color w:val="000000" w:themeColor="text1"/>
          <w:szCs w:val="24"/>
        </w:rPr>
        <w:t>Inventory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4CA8">
        <w:rPr>
          <w:rFonts w:cs="Times New Roman"/>
          <w:color w:val="000000" w:themeColor="text1"/>
          <w:szCs w:val="24"/>
        </w:rPr>
        <w:t>(TRI)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4CA8">
        <w:rPr>
          <w:rFonts w:cs="Times New Roman"/>
          <w:color w:val="000000" w:themeColor="text1"/>
          <w:szCs w:val="24"/>
        </w:rPr>
        <w:t>requires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4CA8">
        <w:rPr>
          <w:rFonts w:cs="Times New Roman"/>
          <w:color w:val="000000" w:themeColor="text1"/>
          <w:szCs w:val="24"/>
        </w:rPr>
        <w:t>reporting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4CA8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4CA8">
        <w:rPr>
          <w:rFonts w:cs="Times New Roman"/>
          <w:color w:val="000000" w:themeColor="text1"/>
          <w:szCs w:val="24"/>
        </w:rPr>
        <w:t>environmental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4CA8">
        <w:rPr>
          <w:rFonts w:cs="Times New Roman"/>
          <w:color w:val="000000" w:themeColor="text1"/>
          <w:szCs w:val="24"/>
        </w:rPr>
        <w:t>releases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4CA8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4CA8">
        <w:rPr>
          <w:rFonts w:cs="Times New Roman"/>
          <w:color w:val="000000" w:themeColor="text1"/>
          <w:szCs w:val="24"/>
        </w:rPr>
        <w:t>friable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4CA8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4CA8">
        <w:rPr>
          <w:rFonts w:cs="Times New Roman"/>
          <w:color w:val="000000" w:themeColor="text1"/>
          <w:szCs w:val="24"/>
        </w:rPr>
        <w:t>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4CA8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4CA8">
        <w:rPr>
          <w:rFonts w:cs="Times New Roman"/>
          <w:color w:val="000000" w:themeColor="text1"/>
          <w:szCs w:val="24"/>
        </w:rPr>
        <w:t>concentration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4CA8">
        <w:rPr>
          <w:rFonts w:cs="Times New Roman"/>
          <w:color w:val="000000" w:themeColor="text1"/>
          <w:szCs w:val="24"/>
        </w:rPr>
        <w:t>level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4CA8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4CA8">
        <w:rPr>
          <w:rFonts w:cs="Times New Roman"/>
          <w:color w:val="000000" w:themeColor="text1"/>
          <w:szCs w:val="24"/>
        </w:rPr>
        <w:t>0.1%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66757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66757">
        <w:rPr>
          <w:rFonts w:cs="Times New Roman"/>
          <w:color w:val="000000" w:themeColor="text1"/>
          <w:szCs w:val="24"/>
        </w:rPr>
        <w:t>greater</w:t>
      </w:r>
      <w:r w:rsidRPr="00C317BB" w:rsidR="005C4CA8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4CA8">
        <w:rPr>
          <w:rFonts w:cs="Times New Roman"/>
          <w:color w:val="000000" w:themeColor="text1"/>
          <w:szCs w:val="24"/>
        </w:rPr>
        <w:t>Also</w:t>
      </w:r>
      <w:r w:rsidRPr="00C317BB" w:rsidR="00B63E54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4CA8">
        <w:rPr>
          <w:rFonts w:cs="Times New Roman"/>
          <w:color w:val="000000" w:themeColor="text1"/>
          <w:szCs w:val="24"/>
        </w:rPr>
        <w:t>within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4CA8">
        <w:rPr>
          <w:rFonts w:cs="Times New Roman"/>
          <w:color w:val="000000" w:themeColor="text1"/>
          <w:szCs w:val="24"/>
        </w:rPr>
        <w:t>EPCRA,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F2CBA">
        <w:rPr>
          <w:rFonts w:cs="Times New Roman"/>
          <w:color w:val="000000" w:themeColor="text1"/>
          <w:szCs w:val="24"/>
        </w:rPr>
        <w:t>friable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4CA8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4CA8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4CA8">
        <w:rPr>
          <w:rFonts w:cs="Times New Roman"/>
          <w:color w:val="000000" w:themeColor="text1"/>
          <w:szCs w:val="24"/>
        </w:rPr>
        <w:t>designated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4CA8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4CA8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4CA8">
        <w:rPr>
          <w:rFonts w:cs="Times New Roman"/>
          <w:color w:val="000000" w:themeColor="text1"/>
          <w:szCs w:val="24"/>
        </w:rPr>
        <w:t>hazardous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4CA8">
        <w:rPr>
          <w:rFonts w:cs="Times New Roman"/>
          <w:color w:val="000000" w:themeColor="text1"/>
          <w:szCs w:val="24"/>
        </w:rPr>
        <w:t>substance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4CA8">
        <w:rPr>
          <w:rFonts w:cs="Times New Roman"/>
          <w:color w:val="000000" w:themeColor="text1"/>
          <w:szCs w:val="24"/>
        </w:rPr>
        <w:t>subject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4CA8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4CA8">
        <w:rPr>
          <w:rFonts w:cs="Times New Roman"/>
          <w:color w:val="000000" w:themeColor="text1"/>
          <w:szCs w:val="24"/>
        </w:rPr>
        <w:t>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4CA8">
        <w:rPr>
          <w:rFonts w:cs="Times New Roman"/>
          <w:color w:val="000000" w:themeColor="text1"/>
          <w:szCs w:val="24"/>
        </w:rPr>
        <w:t>Emergency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4CA8">
        <w:rPr>
          <w:rFonts w:cs="Times New Roman"/>
          <w:color w:val="000000" w:themeColor="text1"/>
          <w:szCs w:val="24"/>
        </w:rPr>
        <w:t>Release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4CA8">
        <w:rPr>
          <w:rFonts w:cs="Times New Roman"/>
          <w:color w:val="000000" w:themeColor="text1"/>
          <w:szCs w:val="24"/>
        </w:rPr>
        <w:t>Notification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4CA8">
        <w:rPr>
          <w:rFonts w:cs="Times New Roman"/>
          <w:color w:val="000000" w:themeColor="text1"/>
          <w:szCs w:val="24"/>
        </w:rPr>
        <w:t>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4CA8">
        <w:rPr>
          <w:rFonts w:cs="Times New Roman"/>
          <w:color w:val="000000" w:themeColor="text1"/>
          <w:szCs w:val="24"/>
        </w:rPr>
        <w:t>40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4CA8">
        <w:rPr>
          <w:rFonts w:cs="Times New Roman"/>
          <w:color w:val="000000" w:themeColor="text1"/>
          <w:szCs w:val="24"/>
        </w:rPr>
        <w:t>CFR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4CA8">
        <w:rPr>
          <w:rFonts w:cs="Times New Roman"/>
          <w:color w:val="000000" w:themeColor="text1"/>
          <w:szCs w:val="24"/>
        </w:rPr>
        <w:t>355.40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4CA8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4CA8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4CA8">
        <w:rPr>
          <w:rFonts w:cs="Times New Roman"/>
          <w:color w:val="000000" w:themeColor="text1"/>
          <w:szCs w:val="24"/>
        </w:rPr>
        <w:t>reportable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4CA8">
        <w:rPr>
          <w:rFonts w:cs="Times New Roman"/>
          <w:color w:val="000000" w:themeColor="text1"/>
          <w:szCs w:val="24"/>
        </w:rPr>
        <w:t>quantity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4CA8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4CA8">
        <w:rPr>
          <w:rFonts w:cs="Times New Roman"/>
          <w:color w:val="000000" w:themeColor="text1"/>
          <w:szCs w:val="24"/>
        </w:rPr>
        <w:t>1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4CA8">
        <w:rPr>
          <w:rFonts w:cs="Times New Roman"/>
          <w:color w:val="000000" w:themeColor="text1"/>
          <w:szCs w:val="24"/>
        </w:rPr>
        <w:t>pound.</w:t>
      </w:r>
    </w:p>
    <w:p w:rsidRPr="00C317BB" w:rsidR="00CA3EAB" w:rsidP="00F27167" w:rsidRDefault="00CA3EAB" w14:paraId="54C10CA4" w14:textId="77777777">
      <w:pPr>
        <w:pStyle w:val="ListParagraph"/>
        <w:ind w:left="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ab/>
        <w:t>•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C1463">
        <w:rPr>
          <w:rFonts w:cs="Times New Roman"/>
          <w:i/>
          <w:color w:val="000000" w:themeColor="text1"/>
          <w:szCs w:val="24"/>
        </w:rPr>
        <w:t>Clean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8C1463">
        <w:rPr>
          <w:rFonts w:cs="Times New Roman"/>
          <w:i/>
          <w:color w:val="000000" w:themeColor="text1"/>
          <w:szCs w:val="24"/>
        </w:rPr>
        <w:t>Air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8C1463">
        <w:rPr>
          <w:rFonts w:cs="Times New Roman"/>
          <w:i/>
          <w:color w:val="000000" w:themeColor="text1"/>
          <w:szCs w:val="24"/>
        </w:rPr>
        <w:t>Act</w:t>
      </w:r>
      <w:r w:rsidRPr="00C317BB" w:rsidR="005E0121">
        <w:rPr>
          <w:rFonts w:cs="Times New Roman"/>
          <w:color w:val="000000" w:themeColor="text1"/>
          <w:szCs w:val="24"/>
        </w:rPr>
        <w:t>: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935B2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935B2">
        <w:rPr>
          <w:rFonts w:cs="Times New Roman"/>
          <w:color w:val="000000" w:themeColor="text1"/>
          <w:szCs w:val="24"/>
        </w:rPr>
        <w:t>has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935B2">
        <w:rPr>
          <w:rFonts w:cs="Times New Roman"/>
          <w:color w:val="000000" w:themeColor="text1"/>
          <w:szCs w:val="24"/>
        </w:rPr>
        <w:t>been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935B2">
        <w:rPr>
          <w:rFonts w:cs="Times New Roman"/>
          <w:color w:val="000000" w:themeColor="text1"/>
          <w:szCs w:val="24"/>
        </w:rPr>
        <w:t>designated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935B2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935B2">
        <w:rPr>
          <w:rFonts w:cs="Times New Roman"/>
          <w:color w:val="000000" w:themeColor="text1"/>
          <w:szCs w:val="24"/>
        </w:rPr>
        <w:t>hazardous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935B2">
        <w:rPr>
          <w:rFonts w:cs="Times New Roman"/>
          <w:color w:val="000000" w:themeColor="text1"/>
          <w:szCs w:val="24"/>
        </w:rPr>
        <w:t>air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935B2">
        <w:rPr>
          <w:rFonts w:cs="Times New Roman"/>
          <w:color w:val="000000" w:themeColor="text1"/>
          <w:szCs w:val="24"/>
        </w:rPr>
        <w:t>pollutant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935B2">
        <w:rPr>
          <w:rFonts w:cs="Times New Roman"/>
          <w:color w:val="000000" w:themeColor="text1"/>
          <w:szCs w:val="24"/>
        </w:rPr>
        <w:t>(HAP)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935B2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935B2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935B2">
        <w:rPr>
          <w:rFonts w:cs="Times New Roman"/>
          <w:color w:val="000000" w:themeColor="text1"/>
          <w:szCs w:val="24"/>
        </w:rPr>
        <w:t>CAA.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335E9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335E9">
        <w:rPr>
          <w:rFonts w:cs="Times New Roman"/>
          <w:color w:val="000000" w:themeColor="text1"/>
          <w:szCs w:val="24"/>
        </w:rPr>
        <w:t>1973,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C1463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65E56">
        <w:rPr>
          <w:rFonts w:cs="Times New Roman"/>
          <w:color w:val="000000" w:themeColor="text1"/>
          <w:szCs w:val="24"/>
        </w:rPr>
        <w:t>promulgated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935B2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935B2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935B2">
        <w:rPr>
          <w:rFonts w:cs="Times New Roman"/>
          <w:color w:val="000000" w:themeColor="text1"/>
          <w:szCs w:val="24"/>
        </w:rPr>
        <w:t>National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935B2">
        <w:rPr>
          <w:rFonts w:cs="Times New Roman"/>
          <w:color w:val="000000" w:themeColor="text1"/>
          <w:szCs w:val="24"/>
        </w:rPr>
        <w:t>Emission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935B2">
        <w:rPr>
          <w:rFonts w:cs="Times New Roman"/>
          <w:color w:val="000000" w:themeColor="text1"/>
          <w:szCs w:val="24"/>
        </w:rPr>
        <w:t>Standard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935B2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935B2">
        <w:rPr>
          <w:rFonts w:cs="Times New Roman"/>
          <w:color w:val="000000" w:themeColor="text1"/>
          <w:szCs w:val="24"/>
        </w:rPr>
        <w:t>Hazardous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935B2">
        <w:rPr>
          <w:rFonts w:cs="Times New Roman"/>
          <w:color w:val="000000" w:themeColor="text1"/>
          <w:szCs w:val="24"/>
        </w:rPr>
        <w:t>Air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935B2">
        <w:rPr>
          <w:rFonts w:cs="Times New Roman"/>
          <w:color w:val="000000" w:themeColor="text1"/>
          <w:szCs w:val="24"/>
        </w:rPr>
        <w:t>Pollutants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935B2">
        <w:rPr>
          <w:rFonts w:cs="Times New Roman"/>
          <w:color w:val="000000" w:themeColor="text1"/>
          <w:szCs w:val="24"/>
        </w:rPr>
        <w:t>(NESHAP)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935B2">
        <w:rPr>
          <w:rFonts w:cs="Times New Roman"/>
          <w:color w:val="000000" w:themeColor="text1"/>
          <w:szCs w:val="24"/>
        </w:rPr>
        <w:t>(40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935B2">
        <w:rPr>
          <w:rFonts w:cs="Times New Roman"/>
          <w:color w:val="000000" w:themeColor="text1"/>
          <w:szCs w:val="24"/>
        </w:rPr>
        <w:t>CFR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935B2">
        <w:rPr>
          <w:rFonts w:cs="Times New Roman"/>
          <w:color w:val="000000" w:themeColor="text1"/>
          <w:szCs w:val="24"/>
        </w:rPr>
        <w:t>Part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935B2">
        <w:rPr>
          <w:rFonts w:cs="Times New Roman"/>
          <w:color w:val="000000" w:themeColor="text1"/>
          <w:szCs w:val="24"/>
        </w:rPr>
        <w:t>61,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935B2">
        <w:rPr>
          <w:rFonts w:cs="Times New Roman"/>
          <w:color w:val="000000" w:themeColor="text1"/>
          <w:szCs w:val="24"/>
        </w:rPr>
        <w:t>Subpart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935B2">
        <w:rPr>
          <w:rFonts w:cs="Times New Roman"/>
          <w:color w:val="000000" w:themeColor="text1"/>
          <w:szCs w:val="24"/>
        </w:rPr>
        <w:t>M).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935B2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935B2">
        <w:rPr>
          <w:rFonts w:cs="Times New Roman"/>
          <w:color w:val="000000" w:themeColor="text1"/>
          <w:szCs w:val="24"/>
        </w:rPr>
        <w:t>regulation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935B2">
        <w:rPr>
          <w:rFonts w:cs="Times New Roman"/>
          <w:color w:val="000000" w:themeColor="text1"/>
          <w:szCs w:val="24"/>
        </w:rPr>
        <w:t>require</w:t>
      </w:r>
      <w:r w:rsidRPr="00C317BB" w:rsidR="00017401">
        <w:rPr>
          <w:rFonts w:cs="Times New Roman"/>
          <w:color w:val="000000" w:themeColor="text1"/>
          <w:szCs w:val="24"/>
        </w:rPr>
        <w:t>s</w:t>
      </w:r>
      <w:r w:rsidRPr="00C317BB" w:rsidR="006935B2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935B2">
        <w:rPr>
          <w:rFonts w:cs="Times New Roman"/>
          <w:color w:val="000000" w:themeColor="text1"/>
          <w:szCs w:val="24"/>
        </w:rPr>
        <w:t>among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935B2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935B2">
        <w:rPr>
          <w:rFonts w:cs="Times New Roman"/>
          <w:color w:val="000000" w:themeColor="text1"/>
          <w:szCs w:val="24"/>
        </w:rPr>
        <w:t>requirements,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935B2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935B2">
        <w:rPr>
          <w:rFonts w:cs="Times New Roman"/>
          <w:color w:val="000000" w:themeColor="text1"/>
          <w:szCs w:val="24"/>
        </w:rPr>
        <w:t>some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935B2">
        <w:rPr>
          <w:rFonts w:cs="Times New Roman"/>
          <w:color w:val="000000" w:themeColor="text1"/>
          <w:szCs w:val="24"/>
        </w:rPr>
        <w:t>manufacturing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935B2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935B2">
        <w:rPr>
          <w:rFonts w:cs="Times New Roman"/>
          <w:color w:val="000000" w:themeColor="text1"/>
          <w:szCs w:val="24"/>
        </w:rPr>
        <w:t>fabricating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935B2">
        <w:rPr>
          <w:rFonts w:cs="Times New Roman"/>
          <w:color w:val="000000" w:themeColor="text1"/>
          <w:szCs w:val="24"/>
        </w:rPr>
        <w:t>operations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935B2">
        <w:rPr>
          <w:rFonts w:cs="Times New Roman"/>
          <w:color w:val="000000" w:themeColor="text1"/>
          <w:szCs w:val="24"/>
        </w:rPr>
        <w:t>either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935B2">
        <w:rPr>
          <w:rFonts w:cs="Times New Roman"/>
          <w:color w:val="000000" w:themeColor="text1"/>
          <w:szCs w:val="24"/>
        </w:rPr>
        <w:t>cannot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935B2">
        <w:rPr>
          <w:rFonts w:cs="Times New Roman"/>
          <w:color w:val="000000" w:themeColor="text1"/>
          <w:szCs w:val="24"/>
        </w:rPr>
        <w:t>emit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935B2">
        <w:rPr>
          <w:rFonts w:cs="Times New Roman"/>
          <w:color w:val="000000" w:themeColor="text1"/>
          <w:szCs w:val="24"/>
        </w:rPr>
        <w:t>visible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935B2">
        <w:rPr>
          <w:rFonts w:cs="Times New Roman"/>
          <w:color w:val="000000" w:themeColor="text1"/>
          <w:szCs w:val="24"/>
        </w:rPr>
        <w:t>emissions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935B2">
        <w:rPr>
          <w:rFonts w:cs="Times New Roman"/>
          <w:color w:val="000000" w:themeColor="text1"/>
          <w:szCs w:val="24"/>
        </w:rPr>
        <w:t>into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935B2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935B2">
        <w:rPr>
          <w:rFonts w:cs="Times New Roman"/>
          <w:color w:val="000000" w:themeColor="text1"/>
          <w:szCs w:val="24"/>
        </w:rPr>
        <w:t>outside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935B2">
        <w:rPr>
          <w:rFonts w:cs="Times New Roman"/>
          <w:color w:val="000000" w:themeColor="text1"/>
          <w:szCs w:val="24"/>
        </w:rPr>
        <w:t>air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935B2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935B2">
        <w:rPr>
          <w:rFonts w:cs="Times New Roman"/>
          <w:color w:val="000000" w:themeColor="text1"/>
          <w:szCs w:val="24"/>
        </w:rPr>
        <w:t>must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935B2">
        <w:rPr>
          <w:rFonts w:cs="Times New Roman"/>
          <w:color w:val="000000" w:themeColor="text1"/>
          <w:szCs w:val="24"/>
        </w:rPr>
        <w:t>follow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935B2">
        <w:rPr>
          <w:rFonts w:cs="Times New Roman"/>
          <w:color w:val="000000" w:themeColor="text1"/>
          <w:szCs w:val="24"/>
        </w:rPr>
        <w:t>air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935B2">
        <w:rPr>
          <w:rFonts w:cs="Times New Roman"/>
          <w:color w:val="000000" w:themeColor="text1"/>
          <w:szCs w:val="24"/>
        </w:rPr>
        <w:t>cleaning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935B2">
        <w:rPr>
          <w:rFonts w:cs="Times New Roman"/>
          <w:color w:val="000000" w:themeColor="text1"/>
          <w:szCs w:val="24"/>
        </w:rPr>
        <w:t>procedures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935B2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A7503">
        <w:rPr>
          <w:rFonts w:cs="Times New Roman"/>
          <w:color w:val="000000" w:themeColor="text1"/>
          <w:szCs w:val="24"/>
        </w:rPr>
        <w:t>generally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935B2">
        <w:rPr>
          <w:rFonts w:cs="Times New Roman"/>
          <w:color w:val="000000" w:themeColor="text1"/>
          <w:szCs w:val="24"/>
        </w:rPr>
        <w:t>must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935B2">
        <w:rPr>
          <w:rFonts w:cs="Times New Roman"/>
          <w:color w:val="000000" w:themeColor="text1"/>
          <w:szCs w:val="24"/>
        </w:rPr>
        <w:t>seal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935B2">
        <w:rPr>
          <w:rFonts w:cs="Times New Roman"/>
          <w:color w:val="000000" w:themeColor="text1"/>
          <w:szCs w:val="24"/>
        </w:rPr>
        <w:t>asbestos-containing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935B2">
        <w:rPr>
          <w:rFonts w:cs="Times New Roman"/>
          <w:color w:val="000000" w:themeColor="text1"/>
          <w:szCs w:val="24"/>
        </w:rPr>
        <w:t>waste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935B2">
        <w:rPr>
          <w:rFonts w:cs="Times New Roman"/>
          <w:color w:val="000000" w:themeColor="text1"/>
          <w:szCs w:val="24"/>
        </w:rPr>
        <w:t>material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935B2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935B2">
        <w:rPr>
          <w:rFonts w:cs="Times New Roman"/>
          <w:color w:val="000000" w:themeColor="text1"/>
          <w:szCs w:val="24"/>
        </w:rPr>
        <w:t>regulated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935B2">
        <w:rPr>
          <w:rFonts w:cs="Times New Roman"/>
          <w:color w:val="000000" w:themeColor="text1"/>
          <w:szCs w:val="24"/>
        </w:rPr>
        <w:t>activities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935B2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935B2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935B2">
        <w:rPr>
          <w:rFonts w:cs="Times New Roman"/>
          <w:color w:val="000000" w:themeColor="text1"/>
          <w:szCs w:val="24"/>
        </w:rPr>
        <w:t>leak-tight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935B2">
        <w:rPr>
          <w:rFonts w:cs="Times New Roman"/>
          <w:color w:val="000000" w:themeColor="text1"/>
          <w:szCs w:val="24"/>
        </w:rPr>
        <w:t>container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935B2">
        <w:rPr>
          <w:rFonts w:cs="Times New Roman"/>
          <w:color w:val="000000" w:themeColor="text1"/>
          <w:szCs w:val="24"/>
        </w:rPr>
        <w:t>while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935B2">
        <w:rPr>
          <w:rFonts w:cs="Times New Roman"/>
          <w:color w:val="000000" w:themeColor="text1"/>
          <w:szCs w:val="24"/>
        </w:rPr>
        <w:t>wet,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935B2">
        <w:rPr>
          <w:rFonts w:cs="Times New Roman"/>
          <w:color w:val="000000" w:themeColor="text1"/>
          <w:szCs w:val="24"/>
        </w:rPr>
        <w:t>label,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935B2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935B2">
        <w:rPr>
          <w:rFonts w:cs="Times New Roman"/>
          <w:color w:val="000000" w:themeColor="text1"/>
          <w:szCs w:val="24"/>
        </w:rPr>
        <w:t>dispose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935B2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935B2">
        <w:rPr>
          <w:rFonts w:cs="Times New Roman"/>
          <w:color w:val="000000" w:themeColor="text1"/>
          <w:szCs w:val="24"/>
        </w:rPr>
        <w:t>properly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935B2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935B2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935B2">
        <w:rPr>
          <w:rFonts w:cs="Times New Roman"/>
          <w:color w:val="000000" w:themeColor="text1"/>
          <w:szCs w:val="24"/>
        </w:rPr>
        <w:t>landfill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935B2">
        <w:rPr>
          <w:rFonts w:cs="Times New Roman"/>
          <w:color w:val="000000" w:themeColor="text1"/>
          <w:szCs w:val="24"/>
        </w:rPr>
        <w:t>permitted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935B2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935B2">
        <w:rPr>
          <w:rFonts w:cs="Times New Roman"/>
          <w:color w:val="000000" w:themeColor="text1"/>
          <w:szCs w:val="24"/>
        </w:rPr>
        <w:t>receive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935B2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935B2">
        <w:rPr>
          <w:rFonts w:cs="Times New Roman"/>
          <w:color w:val="000000" w:themeColor="text1"/>
          <w:szCs w:val="24"/>
        </w:rPr>
        <w:t>waste.</w:t>
      </w:r>
    </w:p>
    <w:p w:rsidRPr="00C317BB" w:rsidR="00CA3EAB" w:rsidP="00F27167" w:rsidRDefault="00CA3EAB" w14:paraId="625099F9" w14:textId="2C2DCAC1">
      <w:pPr>
        <w:pStyle w:val="ListParagraph"/>
        <w:ind w:left="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ab/>
        <w:t>•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4CA8">
        <w:rPr>
          <w:rFonts w:cs="Times New Roman"/>
          <w:i/>
          <w:color w:val="000000" w:themeColor="text1"/>
          <w:szCs w:val="24"/>
        </w:rPr>
        <w:t>Clean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5C4CA8">
        <w:rPr>
          <w:rFonts w:cs="Times New Roman"/>
          <w:i/>
          <w:color w:val="000000" w:themeColor="text1"/>
          <w:szCs w:val="24"/>
        </w:rPr>
        <w:t>Water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5C4CA8">
        <w:rPr>
          <w:rFonts w:cs="Times New Roman"/>
          <w:i/>
          <w:color w:val="000000" w:themeColor="text1"/>
          <w:szCs w:val="24"/>
        </w:rPr>
        <w:t>Act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5C4CA8">
        <w:rPr>
          <w:rFonts w:cs="Times New Roman"/>
          <w:color w:val="000000" w:themeColor="text1"/>
          <w:szCs w:val="24"/>
        </w:rPr>
        <w:t>(CWA)</w:t>
      </w:r>
      <w:r w:rsidRPr="00C317BB" w:rsidR="006935B2">
        <w:rPr>
          <w:rFonts w:cs="Times New Roman"/>
          <w:color w:val="000000" w:themeColor="text1"/>
          <w:szCs w:val="24"/>
        </w:rPr>
        <w:t>: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4CA8">
        <w:rPr>
          <w:rFonts w:cs="Times New Roman"/>
          <w:color w:val="000000" w:themeColor="text1"/>
          <w:szCs w:val="24"/>
        </w:rPr>
        <w:t>CWA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4CA8">
        <w:rPr>
          <w:rFonts w:cs="Times New Roman"/>
          <w:color w:val="000000" w:themeColor="text1"/>
          <w:szCs w:val="24"/>
        </w:rPr>
        <w:t>defines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4CA8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4CA8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4CA8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4CA8">
        <w:rPr>
          <w:rFonts w:cs="Times New Roman"/>
          <w:color w:val="000000" w:themeColor="text1"/>
          <w:szCs w:val="24"/>
        </w:rPr>
        <w:t>toxic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4CA8">
        <w:rPr>
          <w:rFonts w:cs="Times New Roman"/>
          <w:color w:val="000000" w:themeColor="text1"/>
          <w:szCs w:val="24"/>
        </w:rPr>
        <w:t>pollutant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4CA8">
        <w:rPr>
          <w:rFonts w:cs="Times New Roman"/>
          <w:color w:val="000000" w:themeColor="text1"/>
          <w:szCs w:val="24"/>
        </w:rPr>
        <w:t>per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B01D1">
        <w:rPr>
          <w:rFonts w:cs="Times New Roman"/>
          <w:color w:val="000000" w:themeColor="text1"/>
          <w:szCs w:val="24"/>
        </w:rPr>
        <w:t>33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B01D1">
        <w:rPr>
          <w:rFonts w:cs="Times New Roman"/>
          <w:color w:val="000000" w:themeColor="text1"/>
          <w:szCs w:val="24"/>
        </w:rPr>
        <w:t>U.S.C</w:t>
      </w:r>
      <w:r w:rsidRPr="00C317BB" w:rsidR="00AA68E9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4CA8">
        <w:rPr>
          <w:rFonts w:cs="Times New Roman"/>
          <w:color w:val="000000" w:themeColor="text1"/>
          <w:szCs w:val="24"/>
        </w:rPr>
        <w:t>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4CA8">
        <w:rPr>
          <w:rFonts w:cs="Times New Roman"/>
          <w:color w:val="000000" w:themeColor="text1"/>
          <w:szCs w:val="24"/>
        </w:rPr>
        <w:t>1317.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361AA">
        <w:rPr>
          <w:rFonts w:cs="Times New Roman"/>
          <w:color w:val="000000" w:themeColor="text1"/>
          <w:szCs w:val="24"/>
        </w:rPr>
        <w:t>Each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361AA">
        <w:rPr>
          <w:rFonts w:cs="Times New Roman"/>
          <w:color w:val="000000" w:themeColor="text1"/>
          <w:szCs w:val="24"/>
        </w:rPr>
        <w:t>toxic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361AA">
        <w:rPr>
          <w:rFonts w:cs="Times New Roman"/>
          <w:color w:val="000000" w:themeColor="text1"/>
          <w:szCs w:val="24"/>
        </w:rPr>
        <w:t>pollutant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361AA">
        <w:rPr>
          <w:rFonts w:cs="Times New Roman"/>
          <w:color w:val="000000" w:themeColor="text1"/>
          <w:szCs w:val="24"/>
        </w:rPr>
        <w:t>listed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361AA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361AA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361AA">
        <w:rPr>
          <w:rFonts w:cs="Times New Roman"/>
          <w:color w:val="000000" w:themeColor="text1"/>
          <w:szCs w:val="24"/>
        </w:rPr>
        <w:t>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15852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361AA">
        <w:rPr>
          <w:rFonts w:cs="Times New Roman"/>
          <w:color w:val="000000" w:themeColor="text1"/>
          <w:szCs w:val="24"/>
        </w:rPr>
        <w:t>subject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361AA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361AA">
        <w:rPr>
          <w:rFonts w:cs="Times New Roman"/>
          <w:color w:val="000000" w:themeColor="text1"/>
          <w:szCs w:val="24"/>
        </w:rPr>
        <w:t>effluent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361AA">
        <w:rPr>
          <w:rFonts w:cs="Times New Roman"/>
          <w:color w:val="000000" w:themeColor="text1"/>
          <w:szCs w:val="24"/>
        </w:rPr>
        <w:t>limitations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935C7">
        <w:rPr>
          <w:rFonts w:cs="Times New Roman"/>
          <w:color w:val="000000" w:themeColor="text1"/>
          <w:szCs w:val="24"/>
        </w:rPr>
        <w:t>guidelines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935C7">
        <w:rPr>
          <w:rFonts w:cs="Times New Roman"/>
          <w:color w:val="000000" w:themeColor="text1"/>
          <w:szCs w:val="24"/>
        </w:rPr>
        <w:t>based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935C7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361AA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361AA">
        <w:rPr>
          <w:rFonts w:cs="Times New Roman"/>
          <w:color w:val="000000" w:themeColor="text1"/>
          <w:szCs w:val="24"/>
        </w:rPr>
        <w:t>best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361AA">
        <w:rPr>
          <w:rFonts w:cs="Times New Roman"/>
          <w:color w:val="000000" w:themeColor="text1"/>
          <w:szCs w:val="24"/>
        </w:rPr>
        <w:t>available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361AA">
        <w:rPr>
          <w:rFonts w:cs="Times New Roman"/>
          <w:color w:val="000000" w:themeColor="text1"/>
          <w:szCs w:val="24"/>
        </w:rPr>
        <w:t>technology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361AA">
        <w:rPr>
          <w:rFonts w:cs="Times New Roman"/>
          <w:color w:val="000000" w:themeColor="text1"/>
          <w:szCs w:val="24"/>
        </w:rPr>
        <w:t>economically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361AA">
        <w:rPr>
          <w:rFonts w:cs="Times New Roman"/>
          <w:color w:val="000000" w:themeColor="text1"/>
          <w:szCs w:val="24"/>
        </w:rPr>
        <w:t>achievable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361AA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361AA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361AA">
        <w:rPr>
          <w:rFonts w:cs="Times New Roman"/>
          <w:color w:val="000000" w:themeColor="text1"/>
          <w:szCs w:val="24"/>
        </w:rPr>
        <w:t>applicable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361AA">
        <w:rPr>
          <w:rFonts w:cs="Times New Roman"/>
          <w:color w:val="000000" w:themeColor="text1"/>
          <w:szCs w:val="24"/>
        </w:rPr>
        <w:t>category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361AA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361AA">
        <w:rPr>
          <w:rFonts w:cs="Times New Roman"/>
          <w:color w:val="000000" w:themeColor="text1"/>
          <w:szCs w:val="24"/>
        </w:rPr>
        <w:t>class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361AA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361AA">
        <w:rPr>
          <w:rFonts w:cs="Times New Roman"/>
          <w:color w:val="000000" w:themeColor="text1"/>
          <w:szCs w:val="24"/>
        </w:rPr>
        <w:t>point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361AA">
        <w:rPr>
          <w:rFonts w:cs="Times New Roman"/>
          <w:color w:val="000000" w:themeColor="text1"/>
          <w:szCs w:val="24"/>
        </w:rPr>
        <w:t>sources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361AA">
        <w:rPr>
          <w:rFonts w:cs="Times New Roman"/>
          <w:color w:val="000000" w:themeColor="text1"/>
          <w:szCs w:val="24"/>
        </w:rPr>
        <w:t>established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361AA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361AA">
        <w:rPr>
          <w:rFonts w:cs="Times New Roman"/>
          <w:color w:val="000000" w:themeColor="text1"/>
          <w:szCs w:val="24"/>
        </w:rPr>
        <w:t>accordance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361AA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361AA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361AA">
        <w:rPr>
          <w:rFonts w:cs="Times New Roman"/>
          <w:color w:val="000000" w:themeColor="text1"/>
          <w:szCs w:val="24"/>
        </w:rPr>
        <w:t>CWA.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361AA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361AA">
        <w:rPr>
          <w:rFonts w:cs="Times New Roman"/>
          <w:color w:val="000000" w:themeColor="text1"/>
          <w:szCs w:val="24"/>
        </w:rPr>
        <w:t>effluent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361AA">
        <w:rPr>
          <w:rFonts w:cs="Times New Roman"/>
          <w:color w:val="000000" w:themeColor="text1"/>
          <w:szCs w:val="24"/>
        </w:rPr>
        <w:t>limitations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935C7">
        <w:rPr>
          <w:rFonts w:cs="Times New Roman"/>
          <w:color w:val="000000" w:themeColor="text1"/>
          <w:szCs w:val="24"/>
        </w:rPr>
        <w:t>guidelines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361AA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935C7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361AA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935C7">
        <w:rPr>
          <w:rFonts w:cs="Times New Roman"/>
          <w:color w:val="000000" w:themeColor="text1"/>
          <w:szCs w:val="24"/>
        </w:rPr>
        <w:t>manufacturing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935C7">
        <w:rPr>
          <w:rFonts w:cs="Times New Roman"/>
          <w:color w:val="000000" w:themeColor="text1"/>
          <w:szCs w:val="24"/>
        </w:rPr>
        <w:t>point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935C7">
        <w:rPr>
          <w:rFonts w:cs="Times New Roman"/>
          <w:color w:val="000000" w:themeColor="text1"/>
          <w:szCs w:val="24"/>
        </w:rPr>
        <w:t>source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935C7">
        <w:rPr>
          <w:rFonts w:cs="Times New Roman"/>
          <w:color w:val="000000" w:themeColor="text1"/>
          <w:szCs w:val="24"/>
        </w:rPr>
        <w:t>category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361AA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361AA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361AA">
        <w:rPr>
          <w:rFonts w:cs="Times New Roman"/>
          <w:color w:val="000000" w:themeColor="text1"/>
          <w:szCs w:val="24"/>
        </w:rPr>
        <w:t>40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361AA">
        <w:rPr>
          <w:rFonts w:cs="Times New Roman"/>
          <w:color w:val="000000" w:themeColor="text1"/>
          <w:szCs w:val="24"/>
        </w:rPr>
        <w:t>CFR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361AA">
        <w:rPr>
          <w:rFonts w:cs="Times New Roman"/>
          <w:color w:val="000000" w:themeColor="text1"/>
          <w:szCs w:val="24"/>
        </w:rPr>
        <w:t>Part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361AA">
        <w:rPr>
          <w:rFonts w:cs="Times New Roman"/>
          <w:color w:val="000000" w:themeColor="text1"/>
          <w:szCs w:val="24"/>
        </w:rPr>
        <w:t>427.</w:t>
      </w:r>
    </w:p>
    <w:p w:rsidRPr="00C317BB" w:rsidR="00CA3EAB" w:rsidP="00F27167" w:rsidRDefault="00CA3EAB" w14:paraId="71F9A57E" w14:textId="6D5BC449">
      <w:pPr>
        <w:pStyle w:val="ListParagraph"/>
        <w:ind w:left="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ab/>
        <w:t>•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C10B4">
        <w:rPr>
          <w:rFonts w:cs="Times New Roman"/>
          <w:i/>
          <w:color w:val="000000" w:themeColor="text1"/>
          <w:szCs w:val="24"/>
        </w:rPr>
        <w:t>Resource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BC10B4">
        <w:rPr>
          <w:rFonts w:cs="Times New Roman"/>
          <w:i/>
          <w:color w:val="000000" w:themeColor="text1"/>
          <w:szCs w:val="24"/>
        </w:rPr>
        <w:t>Conservation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BC10B4">
        <w:rPr>
          <w:rFonts w:cs="Times New Roman"/>
          <w:i/>
          <w:color w:val="000000" w:themeColor="text1"/>
          <w:szCs w:val="24"/>
        </w:rPr>
        <w:t>and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BC10B4">
        <w:rPr>
          <w:rFonts w:cs="Times New Roman"/>
          <w:i/>
          <w:color w:val="000000" w:themeColor="text1"/>
          <w:szCs w:val="24"/>
        </w:rPr>
        <w:t>Recovery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BC10B4">
        <w:rPr>
          <w:rFonts w:cs="Times New Roman"/>
          <w:i/>
          <w:color w:val="000000" w:themeColor="text1"/>
          <w:szCs w:val="24"/>
        </w:rPr>
        <w:t>Act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BC10B4">
        <w:rPr>
          <w:rFonts w:cs="Times New Roman"/>
          <w:color w:val="000000" w:themeColor="text1"/>
          <w:szCs w:val="24"/>
        </w:rPr>
        <w:t>(RCRA)</w:t>
      </w:r>
      <w:r w:rsidRPr="00C317BB" w:rsidR="006935B2">
        <w:rPr>
          <w:rFonts w:cs="Times New Roman"/>
          <w:color w:val="000000" w:themeColor="text1"/>
          <w:szCs w:val="24"/>
        </w:rPr>
        <w:t>:</w:t>
      </w:r>
      <w:r w:rsidR="005613B2">
        <w:rPr>
          <w:rFonts w:cs="Times New Roman"/>
          <w:szCs w:val="24"/>
        </w:rPr>
        <w:t xml:space="preserve"> </w:t>
      </w:r>
      <w:r w:rsidRPr="00C317BB" w:rsidR="002A44EF">
        <w:rPr>
          <w:rFonts w:cs="Times New Roman"/>
          <w:color w:val="000000" w:themeColor="text1"/>
          <w:szCs w:val="24"/>
        </w:rPr>
        <w:t>RCRA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A44EF">
        <w:rPr>
          <w:rFonts w:cs="Times New Roman"/>
          <w:color w:val="000000" w:themeColor="text1"/>
          <w:szCs w:val="24"/>
        </w:rPr>
        <w:t>gives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A44EF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A44EF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A44EF">
        <w:rPr>
          <w:rFonts w:cs="Times New Roman"/>
          <w:color w:val="000000" w:themeColor="text1"/>
          <w:szCs w:val="24"/>
        </w:rPr>
        <w:t>authority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A44EF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A44EF">
        <w:rPr>
          <w:rFonts w:cs="Times New Roman"/>
          <w:color w:val="000000" w:themeColor="text1"/>
          <w:szCs w:val="24"/>
        </w:rPr>
        <w:t>control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A44EF">
        <w:rPr>
          <w:rFonts w:cs="Times New Roman"/>
          <w:color w:val="000000" w:themeColor="text1"/>
          <w:szCs w:val="24"/>
        </w:rPr>
        <w:t>hazardous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A44EF">
        <w:rPr>
          <w:rFonts w:cs="Times New Roman"/>
          <w:color w:val="000000" w:themeColor="text1"/>
          <w:szCs w:val="24"/>
        </w:rPr>
        <w:t>wastes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A44EF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A44EF">
        <w:rPr>
          <w:rFonts w:cs="Times New Roman"/>
          <w:color w:val="000000" w:themeColor="text1"/>
          <w:szCs w:val="24"/>
        </w:rPr>
        <w:t>cradle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A44EF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A44EF">
        <w:rPr>
          <w:rFonts w:cs="Times New Roman"/>
          <w:color w:val="000000" w:themeColor="text1"/>
          <w:szCs w:val="24"/>
        </w:rPr>
        <w:t>grave,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A44EF">
        <w:rPr>
          <w:rFonts w:cs="Times New Roman"/>
          <w:color w:val="000000" w:themeColor="text1"/>
          <w:szCs w:val="24"/>
        </w:rPr>
        <w:t>including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A44EF">
        <w:rPr>
          <w:rFonts w:cs="Times New Roman"/>
          <w:color w:val="000000" w:themeColor="text1"/>
          <w:szCs w:val="24"/>
        </w:rPr>
        <w:t>generation,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A44EF">
        <w:rPr>
          <w:rFonts w:cs="Times New Roman"/>
          <w:color w:val="000000" w:themeColor="text1"/>
          <w:szCs w:val="24"/>
        </w:rPr>
        <w:t>transportation,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A44EF">
        <w:rPr>
          <w:rFonts w:cs="Times New Roman"/>
          <w:color w:val="000000" w:themeColor="text1"/>
          <w:szCs w:val="24"/>
        </w:rPr>
        <w:t>treatment,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A44EF">
        <w:rPr>
          <w:rFonts w:cs="Times New Roman"/>
          <w:color w:val="000000" w:themeColor="text1"/>
          <w:szCs w:val="24"/>
        </w:rPr>
        <w:t>storage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A44EF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A44EF">
        <w:rPr>
          <w:rFonts w:cs="Times New Roman"/>
          <w:color w:val="000000" w:themeColor="text1"/>
          <w:szCs w:val="24"/>
        </w:rPr>
        <w:t>disposal.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A44EF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A44EF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A44EF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A44EF">
        <w:rPr>
          <w:rFonts w:cs="Times New Roman"/>
          <w:color w:val="000000" w:themeColor="text1"/>
          <w:szCs w:val="24"/>
        </w:rPr>
        <w:t>regulated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A44EF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A44EF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A44EF">
        <w:rPr>
          <w:rFonts w:cs="Times New Roman"/>
          <w:color w:val="000000" w:themeColor="text1"/>
          <w:szCs w:val="24"/>
        </w:rPr>
        <w:t>hazardous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D4E52">
        <w:rPr>
          <w:rFonts w:cs="Times New Roman"/>
          <w:color w:val="000000" w:themeColor="text1"/>
          <w:szCs w:val="24"/>
        </w:rPr>
        <w:t>waste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A44EF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A44EF">
        <w:rPr>
          <w:rFonts w:cs="Times New Roman"/>
          <w:color w:val="000000" w:themeColor="text1"/>
          <w:szCs w:val="24"/>
        </w:rPr>
        <w:t>RCRA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D4E52">
        <w:rPr>
          <w:rFonts w:cs="Times New Roman"/>
          <w:color w:val="000000" w:themeColor="text1"/>
          <w:szCs w:val="24"/>
        </w:rPr>
        <w:t>Subtitle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D4E52">
        <w:rPr>
          <w:rFonts w:cs="Times New Roman"/>
          <w:color w:val="000000" w:themeColor="text1"/>
          <w:szCs w:val="24"/>
        </w:rPr>
        <w:t>C</w:t>
      </w:r>
      <w:r w:rsidRPr="00C317BB" w:rsidR="002A44EF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A44EF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A44EF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A44EF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A44EF">
        <w:rPr>
          <w:rFonts w:cs="Times New Roman"/>
          <w:color w:val="000000" w:themeColor="text1"/>
          <w:szCs w:val="24"/>
        </w:rPr>
        <w:t>non-hazardous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A44EF">
        <w:rPr>
          <w:rFonts w:cs="Times New Roman"/>
          <w:color w:val="000000" w:themeColor="text1"/>
          <w:szCs w:val="24"/>
        </w:rPr>
        <w:t>solid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A44EF">
        <w:rPr>
          <w:rFonts w:cs="Times New Roman"/>
          <w:color w:val="000000" w:themeColor="text1"/>
          <w:szCs w:val="24"/>
        </w:rPr>
        <w:t>waste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A44EF">
        <w:rPr>
          <w:rFonts w:cs="Times New Roman"/>
          <w:color w:val="000000" w:themeColor="text1"/>
          <w:szCs w:val="24"/>
        </w:rPr>
        <w:t>regulated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A44EF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A44EF">
        <w:rPr>
          <w:rFonts w:cs="Times New Roman"/>
          <w:color w:val="000000" w:themeColor="text1"/>
          <w:szCs w:val="24"/>
        </w:rPr>
        <w:t>Subtitle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A44EF">
        <w:rPr>
          <w:rFonts w:cs="Times New Roman"/>
          <w:color w:val="000000" w:themeColor="text1"/>
          <w:szCs w:val="24"/>
        </w:rPr>
        <w:t>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A44EF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A44EF">
        <w:rPr>
          <w:rFonts w:cs="Times New Roman"/>
          <w:color w:val="000000" w:themeColor="text1"/>
          <w:szCs w:val="24"/>
        </w:rPr>
        <w:t>RCRA.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A44EF">
        <w:rPr>
          <w:rFonts w:cs="Times New Roman"/>
          <w:color w:val="000000" w:themeColor="text1"/>
          <w:szCs w:val="24"/>
        </w:rPr>
        <w:t>Regulations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A44EF">
        <w:rPr>
          <w:rFonts w:cs="Times New Roman"/>
          <w:color w:val="000000" w:themeColor="text1"/>
          <w:szCs w:val="24"/>
        </w:rPr>
        <w:t>established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A44EF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A44EF">
        <w:rPr>
          <w:rFonts w:cs="Times New Roman"/>
          <w:color w:val="000000" w:themeColor="text1"/>
          <w:szCs w:val="24"/>
        </w:rPr>
        <w:t>Subtitle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A44EF">
        <w:rPr>
          <w:rFonts w:cs="Times New Roman"/>
          <w:color w:val="000000" w:themeColor="text1"/>
          <w:szCs w:val="24"/>
        </w:rPr>
        <w:t>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A44EF">
        <w:rPr>
          <w:rFonts w:cs="Times New Roman"/>
          <w:color w:val="000000" w:themeColor="text1"/>
          <w:szCs w:val="24"/>
        </w:rPr>
        <w:t>ban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A44EF">
        <w:rPr>
          <w:rFonts w:cs="Times New Roman"/>
          <w:color w:val="000000" w:themeColor="text1"/>
          <w:szCs w:val="24"/>
        </w:rPr>
        <w:t>open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A44EF">
        <w:rPr>
          <w:rFonts w:cs="Times New Roman"/>
          <w:color w:val="000000" w:themeColor="text1"/>
          <w:szCs w:val="24"/>
        </w:rPr>
        <w:t>dumping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A44EF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A44EF">
        <w:rPr>
          <w:rFonts w:cs="Times New Roman"/>
          <w:color w:val="000000" w:themeColor="text1"/>
          <w:szCs w:val="24"/>
        </w:rPr>
        <w:t>waste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A44EF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A44EF">
        <w:rPr>
          <w:rFonts w:cs="Times New Roman"/>
          <w:color w:val="000000" w:themeColor="text1"/>
          <w:szCs w:val="24"/>
        </w:rPr>
        <w:t>set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A44EF">
        <w:rPr>
          <w:rFonts w:cs="Times New Roman"/>
          <w:color w:val="000000" w:themeColor="text1"/>
          <w:szCs w:val="24"/>
        </w:rPr>
        <w:t>minimum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A44EF">
        <w:rPr>
          <w:rFonts w:cs="Times New Roman"/>
          <w:color w:val="000000" w:themeColor="text1"/>
          <w:szCs w:val="24"/>
        </w:rPr>
        <w:t>federal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A44EF">
        <w:rPr>
          <w:rFonts w:cs="Times New Roman"/>
          <w:color w:val="000000" w:themeColor="text1"/>
          <w:szCs w:val="24"/>
        </w:rPr>
        <w:t>criteria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A44EF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A44EF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A44EF">
        <w:rPr>
          <w:rFonts w:cs="Times New Roman"/>
          <w:color w:val="000000" w:themeColor="text1"/>
          <w:szCs w:val="24"/>
        </w:rPr>
        <w:t>operation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A44EF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A44EF">
        <w:rPr>
          <w:rFonts w:cs="Times New Roman"/>
          <w:color w:val="000000" w:themeColor="text1"/>
          <w:szCs w:val="24"/>
        </w:rPr>
        <w:t>municipal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A44EF">
        <w:rPr>
          <w:rFonts w:cs="Times New Roman"/>
          <w:color w:val="000000" w:themeColor="text1"/>
          <w:szCs w:val="24"/>
        </w:rPr>
        <w:t>waste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A44EF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A44EF">
        <w:rPr>
          <w:rFonts w:cs="Times New Roman"/>
          <w:color w:val="000000" w:themeColor="text1"/>
          <w:szCs w:val="24"/>
        </w:rPr>
        <w:t>industrial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A44EF">
        <w:rPr>
          <w:rFonts w:cs="Times New Roman"/>
          <w:color w:val="000000" w:themeColor="text1"/>
          <w:szCs w:val="24"/>
        </w:rPr>
        <w:t>waste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A44EF">
        <w:rPr>
          <w:rFonts w:cs="Times New Roman"/>
          <w:color w:val="000000" w:themeColor="text1"/>
          <w:szCs w:val="24"/>
        </w:rPr>
        <w:t>landfills,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A44EF">
        <w:rPr>
          <w:rFonts w:cs="Times New Roman"/>
          <w:color w:val="000000" w:themeColor="text1"/>
          <w:szCs w:val="24"/>
        </w:rPr>
        <w:t>including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A44EF">
        <w:rPr>
          <w:rFonts w:cs="Times New Roman"/>
          <w:color w:val="000000" w:themeColor="text1"/>
          <w:szCs w:val="24"/>
        </w:rPr>
        <w:t>design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A44EF">
        <w:rPr>
          <w:rFonts w:cs="Times New Roman"/>
          <w:color w:val="000000" w:themeColor="text1"/>
          <w:szCs w:val="24"/>
        </w:rPr>
        <w:t>criteria,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A44EF">
        <w:rPr>
          <w:rFonts w:cs="Times New Roman"/>
          <w:color w:val="000000" w:themeColor="text1"/>
          <w:szCs w:val="24"/>
        </w:rPr>
        <w:t>location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A44EF">
        <w:rPr>
          <w:rFonts w:cs="Times New Roman"/>
          <w:color w:val="000000" w:themeColor="text1"/>
          <w:szCs w:val="24"/>
        </w:rPr>
        <w:t>restrictions,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A44EF">
        <w:rPr>
          <w:rFonts w:cs="Times New Roman"/>
          <w:color w:val="000000" w:themeColor="text1"/>
          <w:szCs w:val="24"/>
        </w:rPr>
        <w:t>financial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A44EF">
        <w:rPr>
          <w:rFonts w:cs="Times New Roman"/>
          <w:color w:val="000000" w:themeColor="text1"/>
          <w:szCs w:val="24"/>
        </w:rPr>
        <w:t>assurance,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A44EF">
        <w:rPr>
          <w:rFonts w:cs="Times New Roman"/>
          <w:color w:val="000000" w:themeColor="text1"/>
          <w:szCs w:val="24"/>
        </w:rPr>
        <w:t>corrective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A44EF">
        <w:rPr>
          <w:rFonts w:cs="Times New Roman"/>
          <w:color w:val="000000" w:themeColor="text1"/>
          <w:szCs w:val="24"/>
        </w:rPr>
        <w:t>action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A44EF">
        <w:rPr>
          <w:rFonts w:cs="Times New Roman"/>
          <w:color w:val="000000" w:themeColor="text1"/>
          <w:szCs w:val="24"/>
        </w:rPr>
        <w:t>(cleanup),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A44EF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A44EF">
        <w:rPr>
          <w:rFonts w:cs="Times New Roman"/>
          <w:color w:val="000000" w:themeColor="text1"/>
          <w:szCs w:val="24"/>
        </w:rPr>
        <w:t>closure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A44EF">
        <w:rPr>
          <w:rFonts w:cs="Times New Roman"/>
          <w:color w:val="000000" w:themeColor="text1"/>
          <w:szCs w:val="24"/>
        </w:rPr>
        <w:t>requirement</w:t>
      </w:r>
      <w:r w:rsidRPr="00C317BB" w:rsidR="009D4E52">
        <w:rPr>
          <w:rFonts w:cs="Times New Roman"/>
          <w:color w:val="000000" w:themeColor="text1"/>
          <w:szCs w:val="24"/>
        </w:rPr>
        <w:t>s</w:t>
      </w:r>
      <w:r w:rsidRPr="00C317BB" w:rsidR="002A44EF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A44EF">
        <w:rPr>
          <w:rFonts w:cs="Times New Roman"/>
          <w:color w:val="000000" w:themeColor="text1"/>
          <w:szCs w:val="24"/>
        </w:rPr>
        <w:t>States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A44EF">
        <w:rPr>
          <w:rFonts w:cs="Times New Roman"/>
          <w:color w:val="000000" w:themeColor="text1"/>
          <w:szCs w:val="24"/>
        </w:rPr>
        <w:t>play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A44EF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A44EF">
        <w:rPr>
          <w:rFonts w:cs="Times New Roman"/>
          <w:color w:val="000000" w:themeColor="text1"/>
          <w:szCs w:val="24"/>
        </w:rPr>
        <w:t>lead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A44EF">
        <w:rPr>
          <w:rFonts w:cs="Times New Roman"/>
          <w:color w:val="000000" w:themeColor="text1"/>
          <w:szCs w:val="24"/>
        </w:rPr>
        <w:t>role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A44EF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A44EF">
        <w:rPr>
          <w:rFonts w:cs="Times New Roman"/>
          <w:color w:val="000000" w:themeColor="text1"/>
          <w:szCs w:val="24"/>
        </w:rPr>
        <w:t>implementing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A44EF">
        <w:rPr>
          <w:rFonts w:cs="Times New Roman"/>
          <w:color w:val="000000" w:themeColor="text1"/>
          <w:szCs w:val="24"/>
        </w:rPr>
        <w:t>these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A44EF">
        <w:rPr>
          <w:rFonts w:cs="Times New Roman"/>
          <w:color w:val="000000" w:themeColor="text1"/>
          <w:szCs w:val="24"/>
        </w:rPr>
        <w:t>regulations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A44EF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A44EF">
        <w:rPr>
          <w:rFonts w:cs="Times New Roman"/>
          <w:color w:val="000000" w:themeColor="text1"/>
          <w:szCs w:val="24"/>
        </w:rPr>
        <w:t>may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A44EF">
        <w:rPr>
          <w:rFonts w:cs="Times New Roman"/>
          <w:color w:val="000000" w:themeColor="text1"/>
          <w:szCs w:val="24"/>
        </w:rPr>
        <w:t>set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A44EF">
        <w:rPr>
          <w:rFonts w:cs="Times New Roman"/>
          <w:color w:val="000000" w:themeColor="text1"/>
          <w:szCs w:val="24"/>
        </w:rPr>
        <w:t>more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A44EF">
        <w:rPr>
          <w:rFonts w:cs="Times New Roman"/>
          <w:color w:val="000000" w:themeColor="text1"/>
          <w:szCs w:val="24"/>
        </w:rPr>
        <w:t>stringent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A44EF">
        <w:rPr>
          <w:rFonts w:cs="Times New Roman"/>
          <w:color w:val="000000" w:themeColor="text1"/>
          <w:szCs w:val="24"/>
        </w:rPr>
        <w:t>requirements.</w:t>
      </w:r>
    </w:p>
    <w:p w:rsidRPr="00C317BB" w:rsidR="00CA3EAB" w:rsidP="00F27167" w:rsidRDefault="00CA3EAB" w14:paraId="593F1461" w14:textId="77777777">
      <w:pPr>
        <w:pStyle w:val="ListParagraph"/>
        <w:ind w:left="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ab/>
        <w:t>•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A735E">
        <w:rPr>
          <w:rFonts w:cs="Times New Roman"/>
          <w:i/>
          <w:color w:val="000000" w:themeColor="text1"/>
          <w:szCs w:val="24"/>
        </w:rPr>
        <w:t>Comprehensive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DA735E">
        <w:rPr>
          <w:rFonts w:cs="Times New Roman"/>
          <w:i/>
          <w:color w:val="000000" w:themeColor="text1"/>
          <w:szCs w:val="24"/>
        </w:rPr>
        <w:t>Environmental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DA735E">
        <w:rPr>
          <w:rFonts w:cs="Times New Roman"/>
          <w:i/>
          <w:color w:val="000000" w:themeColor="text1"/>
          <w:szCs w:val="24"/>
        </w:rPr>
        <w:t>Response,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DA735E">
        <w:rPr>
          <w:rFonts w:cs="Times New Roman"/>
          <w:i/>
          <w:color w:val="000000" w:themeColor="text1"/>
          <w:szCs w:val="24"/>
        </w:rPr>
        <w:t>Compensation,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DA735E">
        <w:rPr>
          <w:rFonts w:cs="Times New Roman"/>
          <w:i/>
          <w:color w:val="000000" w:themeColor="text1"/>
          <w:szCs w:val="24"/>
        </w:rPr>
        <w:t>and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DA735E">
        <w:rPr>
          <w:rFonts w:cs="Times New Roman"/>
          <w:i/>
          <w:color w:val="000000" w:themeColor="text1"/>
          <w:szCs w:val="24"/>
        </w:rPr>
        <w:t>Liability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DA735E">
        <w:rPr>
          <w:rFonts w:cs="Times New Roman"/>
          <w:i/>
          <w:color w:val="000000" w:themeColor="text1"/>
          <w:szCs w:val="24"/>
        </w:rPr>
        <w:t>Act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652D">
        <w:rPr>
          <w:rFonts w:cs="Times New Roman"/>
          <w:color w:val="000000" w:themeColor="text1"/>
          <w:szCs w:val="24"/>
        </w:rPr>
        <w:t>(</w:t>
      </w:r>
      <w:r w:rsidRPr="00C317BB" w:rsidR="007A7FAA">
        <w:rPr>
          <w:rFonts w:cs="Times New Roman"/>
          <w:color w:val="000000" w:themeColor="text1"/>
          <w:szCs w:val="24"/>
        </w:rPr>
        <w:t>CERCLA</w:t>
      </w:r>
      <w:r w:rsidRPr="00C317BB" w:rsidR="005E0121">
        <w:rPr>
          <w:rFonts w:cs="Times New Roman"/>
          <w:color w:val="000000" w:themeColor="text1"/>
          <w:szCs w:val="24"/>
        </w:rPr>
        <w:t>):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E0121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E0121">
        <w:rPr>
          <w:rFonts w:cs="Times New Roman"/>
          <w:i/>
          <w:color w:val="000000" w:themeColor="text1"/>
          <w:szCs w:val="24"/>
        </w:rPr>
        <w:t>Designation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5E0121">
        <w:rPr>
          <w:rFonts w:cs="Times New Roman"/>
          <w:i/>
          <w:color w:val="000000" w:themeColor="text1"/>
          <w:szCs w:val="24"/>
        </w:rPr>
        <w:t>of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5E0121">
        <w:rPr>
          <w:rFonts w:cs="Times New Roman"/>
          <w:i/>
          <w:color w:val="000000" w:themeColor="text1"/>
          <w:szCs w:val="24"/>
        </w:rPr>
        <w:t>Hazardous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5E0121">
        <w:rPr>
          <w:rFonts w:cs="Times New Roman"/>
          <w:i/>
          <w:color w:val="000000" w:themeColor="text1"/>
          <w:szCs w:val="24"/>
        </w:rPr>
        <w:t>Substances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5E0121">
        <w:rPr>
          <w:rFonts w:cs="Times New Roman"/>
          <w:i/>
          <w:color w:val="000000" w:themeColor="text1"/>
          <w:szCs w:val="24"/>
        </w:rPr>
        <w:t>Rule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6B7BB7">
        <w:rPr>
          <w:rFonts w:cs="Times New Roman"/>
          <w:color w:val="000000" w:themeColor="text1"/>
          <w:szCs w:val="24"/>
        </w:rPr>
        <w:t>(</w:t>
      </w:r>
      <w:r w:rsidRPr="00C317BB" w:rsidR="001A071C">
        <w:rPr>
          <w:rFonts w:cs="Times New Roman"/>
          <w:color w:val="000000" w:themeColor="text1"/>
          <w:szCs w:val="24"/>
        </w:rPr>
        <w:t>40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A071C">
        <w:rPr>
          <w:rFonts w:cs="Times New Roman"/>
          <w:color w:val="000000" w:themeColor="text1"/>
          <w:szCs w:val="24"/>
        </w:rPr>
        <w:t>CFR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A071C">
        <w:rPr>
          <w:rFonts w:cs="Times New Roman"/>
          <w:color w:val="000000" w:themeColor="text1"/>
          <w:szCs w:val="24"/>
        </w:rPr>
        <w:t>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A071C">
        <w:rPr>
          <w:rFonts w:cs="Times New Roman"/>
          <w:color w:val="000000" w:themeColor="text1"/>
          <w:szCs w:val="24"/>
        </w:rPr>
        <w:t>302.4)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131E3">
        <w:rPr>
          <w:rFonts w:cs="Times New Roman"/>
          <w:color w:val="000000" w:themeColor="text1"/>
          <w:szCs w:val="24"/>
        </w:rPr>
        <w:t>designates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E4CFC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A7FAA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A7FAA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A7FAA">
        <w:rPr>
          <w:rFonts w:cs="Times New Roman"/>
          <w:color w:val="000000" w:themeColor="text1"/>
          <w:szCs w:val="24"/>
        </w:rPr>
        <w:t>hazardous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A7FAA">
        <w:rPr>
          <w:rFonts w:cs="Times New Roman"/>
          <w:color w:val="000000" w:themeColor="text1"/>
          <w:szCs w:val="24"/>
        </w:rPr>
        <w:t>substance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A7FAA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A7FAA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A7FAA">
        <w:rPr>
          <w:rFonts w:cs="Times New Roman"/>
          <w:color w:val="000000" w:themeColor="text1"/>
          <w:szCs w:val="24"/>
        </w:rPr>
        <w:t>reportable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A7FAA">
        <w:rPr>
          <w:rFonts w:cs="Times New Roman"/>
          <w:color w:val="000000" w:themeColor="text1"/>
          <w:szCs w:val="24"/>
        </w:rPr>
        <w:t>quantity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A7FAA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A7FAA">
        <w:rPr>
          <w:rFonts w:cs="Times New Roman"/>
          <w:color w:val="000000" w:themeColor="text1"/>
          <w:szCs w:val="24"/>
        </w:rPr>
        <w:t>Superfund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A7FAA">
        <w:rPr>
          <w:rFonts w:cs="Times New Roman"/>
          <w:color w:val="000000" w:themeColor="text1"/>
          <w:szCs w:val="24"/>
        </w:rPr>
        <w:t>regulations.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87268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87268">
        <w:rPr>
          <w:rFonts w:cs="Times New Roman"/>
          <w:color w:val="000000" w:themeColor="text1"/>
          <w:szCs w:val="24"/>
        </w:rPr>
        <w:t>regulation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87268">
        <w:rPr>
          <w:rFonts w:cs="Times New Roman"/>
          <w:color w:val="000000" w:themeColor="text1"/>
          <w:szCs w:val="24"/>
        </w:rPr>
        <w:t>also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87268">
        <w:rPr>
          <w:rFonts w:cs="Times New Roman"/>
          <w:color w:val="000000" w:themeColor="text1"/>
          <w:szCs w:val="24"/>
        </w:rPr>
        <w:t>set</w:t>
      </w:r>
      <w:r w:rsidRPr="00C317BB" w:rsidR="00CA3A62">
        <w:rPr>
          <w:rFonts w:cs="Times New Roman"/>
          <w:color w:val="000000" w:themeColor="text1"/>
          <w:szCs w:val="24"/>
        </w:rPr>
        <w:t>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0015E">
        <w:rPr>
          <w:rFonts w:cs="Times New Roman"/>
          <w:color w:val="000000" w:themeColor="text1"/>
          <w:szCs w:val="24"/>
        </w:rPr>
        <w:t>forth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0015E">
        <w:rPr>
          <w:rFonts w:cs="Times New Roman"/>
          <w:color w:val="000000" w:themeColor="text1"/>
          <w:szCs w:val="24"/>
        </w:rPr>
        <w:t>reportable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A46FD">
        <w:rPr>
          <w:rFonts w:cs="Times New Roman"/>
          <w:color w:val="000000" w:themeColor="text1"/>
          <w:szCs w:val="24"/>
        </w:rPr>
        <w:t>quantities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C7B01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C7B01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C7B01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C7B01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C7B01">
        <w:rPr>
          <w:rFonts w:cs="Times New Roman"/>
          <w:color w:val="000000" w:themeColor="text1"/>
          <w:szCs w:val="24"/>
        </w:rPr>
        <w:t>Clean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C7B01">
        <w:rPr>
          <w:rFonts w:cs="Times New Roman"/>
          <w:color w:val="000000" w:themeColor="text1"/>
          <w:szCs w:val="24"/>
        </w:rPr>
        <w:t>Water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C7B01">
        <w:rPr>
          <w:rFonts w:cs="Times New Roman"/>
          <w:color w:val="000000" w:themeColor="text1"/>
          <w:szCs w:val="24"/>
        </w:rPr>
        <w:t>Act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40BC4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40BC4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40BC4">
        <w:rPr>
          <w:rFonts w:cs="Times New Roman"/>
          <w:color w:val="000000" w:themeColor="text1"/>
          <w:szCs w:val="24"/>
        </w:rPr>
        <w:t>Resource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50378">
        <w:rPr>
          <w:rFonts w:cs="Times New Roman"/>
          <w:color w:val="000000" w:themeColor="text1"/>
          <w:szCs w:val="24"/>
        </w:rPr>
        <w:t>Conservation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50378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40BC4">
        <w:rPr>
          <w:rFonts w:cs="Times New Roman"/>
          <w:color w:val="000000" w:themeColor="text1"/>
          <w:szCs w:val="24"/>
        </w:rPr>
        <w:t>Recovery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40BC4">
        <w:rPr>
          <w:rFonts w:cs="Times New Roman"/>
          <w:color w:val="000000" w:themeColor="text1"/>
          <w:szCs w:val="24"/>
        </w:rPr>
        <w:t>Act</w:t>
      </w:r>
      <w:r w:rsidRPr="00C317BB" w:rsidR="00850378">
        <w:rPr>
          <w:rFonts w:cs="Times New Roman"/>
          <w:color w:val="000000" w:themeColor="text1"/>
          <w:szCs w:val="24"/>
        </w:rPr>
        <w:t>.</w:t>
      </w:r>
    </w:p>
    <w:p w:rsidRPr="00C317BB" w:rsidR="00FC1722" w:rsidP="00F27167" w:rsidRDefault="00CA3EAB" w14:paraId="3CC98C78" w14:textId="16B28257">
      <w:pPr>
        <w:pStyle w:val="ListParagraph"/>
        <w:ind w:left="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ab/>
        <w:t>•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935B2">
        <w:rPr>
          <w:rFonts w:cs="Times New Roman"/>
          <w:i/>
          <w:color w:val="000000" w:themeColor="text1"/>
          <w:szCs w:val="24"/>
        </w:rPr>
        <w:t>Safe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6935B2">
        <w:rPr>
          <w:rFonts w:cs="Times New Roman"/>
          <w:i/>
          <w:color w:val="000000" w:themeColor="text1"/>
          <w:szCs w:val="24"/>
        </w:rPr>
        <w:t>Drinking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6935B2">
        <w:rPr>
          <w:rFonts w:cs="Times New Roman"/>
          <w:i/>
          <w:color w:val="000000" w:themeColor="text1"/>
          <w:szCs w:val="24"/>
        </w:rPr>
        <w:t>Water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6935B2">
        <w:rPr>
          <w:rFonts w:cs="Times New Roman"/>
          <w:i/>
          <w:color w:val="000000" w:themeColor="text1"/>
          <w:szCs w:val="24"/>
        </w:rPr>
        <w:t>Act: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FC1722">
        <w:rPr>
          <w:rFonts w:cs="Times New Roman"/>
          <w:color w:val="000000" w:themeColor="text1"/>
          <w:szCs w:val="24"/>
        </w:rPr>
        <w:t>Established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D5F7C">
        <w:rPr>
          <w:rFonts w:cs="Times New Roman"/>
          <w:i/>
          <w:color w:val="000000" w:themeColor="text1"/>
          <w:szCs w:val="24"/>
        </w:rPr>
        <w:t>National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FD5F7C">
        <w:rPr>
          <w:rFonts w:cs="Times New Roman"/>
          <w:i/>
          <w:color w:val="000000" w:themeColor="text1"/>
          <w:szCs w:val="24"/>
        </w:rPr>
        <w:t>Primary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FD5F7C">
        <w:rPr>
          <w:rFonts w:cs="Times New Roman"/>
          <w:i/>
          <w:color w:val="000000" w:themeColor="text1"/>
          <w:szCs w:val="24"/>
        </w:rPr>
        <w:t>Drinking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FD5F7C">
        <w:rPr>
          <w:rFonts w:cs="Times New Roman"/>
          <w:i/>
          <w:color w:val="000000" w:themeColor="text1"/>
          <w:szCs w:val="24"/>
        </w:rPr>
        <w:t>Water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FD5F7C">
        <w:rPr>
          <w:rFonts w:cs="Times New Roman"/>
          <w:i/>
          <w:color w:val="000000" w:themeColor="text1"/>
          <w:szCs w:val="24"/>
        </w:rPr>
        <w:t>Regulations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FD5F7C">
        <w:rPr>
          <w:rFonts w:cs="Times New Roman"/>
          <w:color w:val="000000" w:themeColor="text1"/>
          <w:szCs w:val="24"/>
        </w:rPr>
        <w:t>(NPDWR)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D5F7C">
        <w:rPr>
          <w:rFonts w:cs="Times New Roman"/>
          <w:color w:val="000000" w:themeColor="text1"/>
          <w:szCs w:val="24"/>
        </w:rPr>
        <w:t>(40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D5F7C">
        <w:rPr>
          <w:rFonts w:cs="Times New Roman"/>
          <w:color w:val="000000" w:themeColor="text1"/>
          <w:szCs w:val="24"/>
        </w:rPr>
        <w:t>CFR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D5F7C">
        <w:rPr>
          <w:rFonts w:cs="Times New Roman"/>
          <w:color w:val="000000" w:themeColor="text1"/>
          <w:szCs w:val="24"/>
        </w:rPr>
        <w:t>Part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D5F7C">
        <w:rPr>
          <w:rFonts w:cs="Times New Roman"/>
          <w:color w:val="000000" w:themeColor="text1"/>
          <w:szCs w:val="24"/>
        </w:rPr>
        <w:t>141,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D5F7C">
        <w:rPr>
          <w:rFonts w:cs="Times New Roman"/>
          <w:color w:val="000000" w:themeColor="text1"/>
          <w:szCs w:val="24"/>
        </w:rPr>
        <w:t>Subpart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D5F7C">
        <w:rPr>
          <w:rFonts w:cs="Times New Roman"/>
          <w:color w:val="000000" w:themeColor="text1"/>
          <w:szCs w:val="24"/>
        </w:rPr>
        <w:t>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D5F7C">
        <w:rPr>
          <w:rFonts w:cs="Times New Roman"/>
          <w:color w:val="000000" w:themeColor="text1"/>
          <w:szCs w:val="24"/>
        </w:rPr>
        <w:t>(1991)).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C1722">
        <w:rPr>
          <w:rFonts w:cs="Times New Roman"/>
          <w:color w:val="000000" w:themeColor="text1"/>
          <w:szCs w:val="24"/>
        </w:rPr>
        <w:t>NPDWR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C67C6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C67C6">
        <w:rPr>
          <w:rFonts w:cs="Times New Roman"/>
          <w:color w:val="000000" w:themeColor="text1"/>
          <w:szCs w:val="24"/>
        </w:rPr>
        <w:t>enforceable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A00C1">
        <w:rPr>
          <w:rFonts w:cs="Times New Roman"/>
          <w:color w:val="000000" w:themeColor="text1"/>
          <w:szCs w:val="24"/>
        </w:rPr>
        <w:t>drinking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A00C1">
        <w:rPr>
          <w:rFonts w:cs="Times New Roman"/>
          <w:color w:val="000000" w:themeColor="text1"/>
          <w:szCs w:val="24"/>
        </w:rPr>
        <w:t>water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A00C1">
        <w:rPr>
          <w:rFonts w:cs="Times New Roman"/>
          <w:color w:val="000000" w:themeColor="text1"/>
          <w:szCs w:val="24"/>
        </w:rPr>
        <w:t>standards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1720E">
        <w:rPr>
          <w:rFonts w:cs="Times New Roman"/>
          <w:color w:val="000000" w:themeColor="text1"/>
          <w:szCs w:val="24"/>
        </w:rPr>
        <w:t>expressed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129FD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51193">
        <w:rPr>
          <w:rFonts w:cs="Times New Roman"/>
          <w:color w:val="000000" w:themeColor="text1"/>
          <w:szCs w:val="24"/>
        </w:rPr>
        <w:t>M</w:t>
      </w:r>
      <w:r w:rsidRPr="00C317BB" w:rsidR="009A45D2">
        <w:rPr>
          <w:rFonts w:cs="Times New Roman"/>
          <w:color w:val="000000" w:themeColor="text1"/>
          <w:szCs w:val="24"/>
        </w:rPr>
        <w:t>aximum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5112C">
        <w:rPr>
          <w:rFonts w:cs="Times New Roman"/>
          <w:color w:val="000000" w:themeColor="text1"/>
          <w:szCs w:val="24"/>
        </w:rPr>
        <w:t>Contaminant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F60CB">
        <w:rPr>
          <w:rFonts w:cs="Times New Roman"/>
          <w:color w:val="000000" w:themeColor="text1"/>
          <w:szCs w:val="24"/>
        </w:rPr>
        <w:t>Levels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F60CB">
        <w:rPr>
          <w:rFonts w:cs="Times New Roman"/>
          <w:color w:val="000000" w:themeColor="text1"/>
          <w:szCs w:val="24"/>
        </w:rPr>
        <w:t>(MCLs)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05818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05818">
        <w:rPr>
          <w:rFonts w:cs="Times New Roman"/>
          <w:color w:val="000000" w:themeColor="text1"/>
          <w:szCs w:val="24"/>
        </w:rPr>
        <w:t>treatment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05818">
        <w:rPr>
          <w:rFonts w:cs="Times New Roman"/>
          <w:color w:val="000000" w:themeColor="text1"/>
          <w:szCs w:val="24"/>
        </w:rPr>
        <w:t>techniques</w:t>
      </w:r>
      <w:r w:rsidRPr="00C317BB" w:rsidR="001C4284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A3B66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A3B66">
        <w:rPr>
          <w:rFonts w:cs="Times New Roman"/>
          <w:color w:val="000000" w:themeColor="text1"/>
          <w:szCs w:val="24"/>
        </w:rPr>
        <w:t>MCL</w:t>
      </w:r>
      <w:r w:rsidRPr="00C317BB" w:rsidR="00CE1639">
        <w:rPr>
          <w:rFonts w:cs="Times New Roman"/>
          <w:color w:val="000000" w:themeColor="text1"/>
          <w:szCs w:val="24"/>
        </w:rPr>
        <w:t>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1639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065FE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065FE">
        <w:rPr>
          <w:rFonts w:cs="Times New Roman"/>
          <w:color w:val="000000" w:themeColor="text1"/>
          <w:szCs w:val="24"/>
        </w:rPr>
        <w:t>maximum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C6623">
        <w:rPr>
          <w:rFonts w:cs="Times New Roman"/>
          <w:color w:val="000000" w:themeColor="text1"/>
          <w:szCs w:val="24"/>
        </w:rPr>
        <w:t>level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C1722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C1722">
        <w:rPr>
          <w:rFonts w:cs="Times New Roman"/>
          <w:color w:val="000000" w:themeColor="text1"/>
          <w:szCs w:val="24"/>
        </w:rPr>
        <w:t>contaminants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C1722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C1722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C1722">
        <w:rPr>
          <w:rFonts w:cs="Times New Roman"/>
          <w:color w:val="000000" w:themeColor="text1"/>
          <w:szCs w:val="24"/>
        </w:rPr>
        <w:t>allowed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C1722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C1722">
        <w:rPr>
          <w:rFonts w:cs="Times New Roman"/>
          <w:color w:val="000000" w:themeColor="text1"/>
          <w:szCs w:val="24"/>
        </w:rPr>
        <w:t>public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C1722">
        <w:rPr>
          <w:rFonts w:cs="Times New Roman"/>
          <w:color w:val="000000" w:themeColor="text1"/>
          <w:szCs w:val="24"/>
        </w:rPr>
        <w:t>water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C1722">
        <w:rPr>
          <w:rFonts w:cs="Times New Roman"/>
          <w:color w:val="000000" w:themeColor="text1"/>
          <w:szCs w:val="24"/>
        </w:rPr>
        <w:t>system</w:t>
      </w:r>
      <w:r w:rsidRPr="00C317BB" w:rsidR="00E46B57">
        <w:rPr>
          <w:rFonts w:cs="Times New Roman"/>
          <w:color w:val="000000" w:themeColor="text1"/>
          <w:szCs w:val="24"/>
        </w:rPr>
        <w:t>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C1722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C1722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C1722">
        <w:rPr>
          <w:rFonts w:cs="Times New Roman"/>
          <w:color w:val="000000" w:themeColor="text1"/>
          <w:szCs w:val="24"/>
        </w:rPr>
        <w:t>United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C1722">
        <w:rPr>
          <w:rFonts w:cs="Times New Roman"/>
          <w:color w:val="000000" w:themeColor="text1"/>
          <w:szCs w:val="24"/>
        </w:rPr>
        <w:t>States.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C1722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C1722">
        <w:rPr>
          <w:rFonts w:cs="Times New Roman"/>
          <w:color w:val="000000" w:themeColor="text1"/>
          <w:szCs w:val="24"/>
        </w:rPr>
        <w:t>40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C1722">
        <w:rPr>
          <w:rFonts w:cs="Times New Roman"/>
          <w:color w:val="000000" w:themeColor="text1"/>
          <w:szCs w:val="24"/>
        </w:rPr>
        <w:t>CFR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C1722">
        <w:rPr>
          <w:rFonts w:cs="Times New Roman"/>
          <w:color w:val="000000" w:themeColor="text1"/>
          <w:szCs w:val="24"/>
        </w:rPr>
        <w:t>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C1722">
        <w:rPr>
          <w:rFonts w:cs="Times New Roman"/>
          <w:color w:val="000000" w:themeColor="text1"/>
          <w:szCs w:val="24"/>
        </w:rPr>
        <w:t>141.62,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C1722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C1722">
        <w:rPr>
          <w:rFonts w:cs="Times New Roman"/>
          <w:color w:val="000000" w:themeColor="text1"/>
          <w:szCs w:val="24"/>
        </w:rPr>
        <w:t>set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C1722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C1722">
        <w:rPr>
          <w:rFonts w:cs="Times New Roman"/>
          <w:color w:val="000000" w:themeColor="text1"/>
          <w:szCs w:val="24"/>
        </w:rPr>
        <w:t>maximum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C1722">
        <w:rPr>
          <w:rFonts w:cs="Times New Roman"/>
          <w:color w:val="000000" w:themeColor="text1"/>
          <w:szCs w:val="24"/>
        </w:rPr>
        <w:t>contaminant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C1722">
        <w:rPr>
          <w:rFonts w:cs="Times New Roman"/>
          <w:color w:val="000000" w:themeColor="text1"/>
          <w:szCs w:val="24"/>
        </w:rPr>
        <w:t>level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C1722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C1722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C1722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C1722">
        <w:rPr>
          <w:rFonts w:cs="Times New Roman"/>
          <w:color w:val="000000" w:themeColor="text1"/>
          <w:szCs w:val="24"/>
        </w:rPr>
        <w:t>community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C1722">
        <w:rPr>
          <w:rFonts w:cs="Times New Roman"/>
          <w:color w:val="000000" w:themeColor="text1"/>
          <w:szCs w:val="24"/>
        </w:rPr>
        <w:t>water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C1722">
        <w:rPr>
          <w:rFonts w:cs="Times New Roman"/>
          <w:color w:val="000000" w:themeColor="text1"/>
          <w:szCs w:val="24"/>
        </w:rPr>
        <w:t>systems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375D8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375D8">
        <w:rPr>
          <w:rFonts w:cs="Times New Roman"/>
          <w:color w:val="000000" w:themeColor="text1"/>
          <w:szCs w:val="24"/>
        </w:rPr>
        <w:t>non-transitory,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375D8">
        <w:rPr>
          <w:rFonts w:cs="Times New Roman"/>
          <w:color w:val="000000" w:themeColor="text1"/>
          <w:szCs w:val="24"/>
        </w:rPr>
        <w:t>non</w:t>
      </w:r>
      <w:r w:rsidRPr="00C317BB" w:rsidR="00082887">
        <w:rPr>
          <w:rFonts w:cs="Times New Roman"/>
          <w:color w:val="000000" w:themeColor="text1"/>
          <w:szCs w:val="24"/>
        </w:rPr>
        <w:t>-</w:t>
      </w:r>
      <w:r w:rsidRPr="00C317BB" w:rsidR="00A375D8">
        <w:rPr>
          <w:rFonts w:cs="Times New Roman"/>
          <w:color w:val="000000" w:themeColor="text1"/>
          <w:szCs w:val="24"/>
        </w:rPr>
        <w:t>community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375D8">
        <w:rPr>
          <w:rFonts w:cs="Times New Roman"/>
          <w:color w:val="000000" w:themeColor="text1"/>
          <w:szCs w:val="24"/>
        </w:rPr>
        <w:t>water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375D8">
        <w:rPr>
          <w:rFonts w:cs="Times New Roman"/>
          <w:color w:val="000000" w:themeColor="text1"/>
          <w:szCs w:val="24"/>
        </w:rPr>
        <w:t>systems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C1722">
        <w:rPr>
          <w:rFonts w:cs="Times New Roman"/>
          <w:color w:val="000000" w:themeColor="text1"/>
          <w:szCs w:val="24"/>
        </w:rPr>
        <w:t>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C1722">
        <w:rPr>
          <w:rFonts w:cs="Times New Roman"/>
          <w:color w:val="000000" w:themeColor="text1"/>
          <w:szCs w:val="24"/>
        </w:rPr>
        <w:t>7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C1722">
        <w:rPr>
          <w:rFonts w:cs="Times New Roman"/>
          <w:color w:val="000000" w:themeColor="text1"/>
          <w:szCs w:val="24"/>
        </w:rPr>
        <w:t>million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C1722">
        <w:rPr>
          <w:rFonts w:cs="Times New Roman"/>
          <w:color w:val="000000" w:themeColor="text1"/>
          <w:szCs w:val="24"/>
        </w:rPr>
        <w:t>fibers/liter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C1722">
        <w:rPr>
          <w:rFonts w:cs="Times New Roman"/>
          <w:color w:val="000000" w:themeColor="text1"/>
          <w:szCs w:val="24"/>
        </w:rPr>
        <w:t>(longer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C1722">
        <w:rPr>
          <w:rFonts w:cs="Times New Roman"/>
          <w:color w:val="000000" w:themeColor="text1"/>
          <w:szCs w:val="24"/>
        </w:rPr>
        <w:t>than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C1722">
        <w:rPr>
          <w:rFonts w:cs="Times New Roman"/>
          <w:color w:val="000000" w:themeColor="text1"/>
          <w:szCs w:val="24"/>
        </w:rPr>
        <w:t>10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C1722">
        <w:rPr>
          <w:rFonts w:cs="Times New Roman"/>
          <w:color w:val="000000" w:themeColor="text1"/>
          <w:szCs w:val="24"/>
        </w:rPr>
        <w:t>µm).</w:t>
      </w:r>
    </w:p>
    <w:p w:rsidRPr="00C317BB" w:rsidR="00DC6330" w:rsidP="00F27167" w:rsidRDefault="00530AB5" w14:paraId="7510F10F" w14:textId="7486070C">
      <w:pPr>
        <w:pStyle w:val="Heading3"/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2.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F3F777A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3C66">
        <w:rPr>
          <w:rFonts w:cs="Times New Roman"/>
          <w:color w:val="000000" w:themeColor="text1"/>
          <w:szCs w:val="24"/>
        </w:rPr>
        <w:t>pertinent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D5F7C">
        <w:rPr>
          <w:rFonts w:cs="Times New Roman"/>
          <w:color w:val="000000" w:themeColor="text1"/>
          <w:szCs w:val="24"/>
        </w:rPr>
        <w:t>Federal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B05C5">
        <w:rPr>
          <w:rFonts w:cs="Times New Roman"/>
          <w:color w:val="000000" w:themeColor="text1"/>
          <w:szCs w:val="24"/>
        </w:rPr>
        <w:t>a</w:t>
      </w:r>
      <w:r w:rsidRPr="00C317BB" w:rsidR="00FD5F7C">
        <w:rPr>
          <w:rFonts w:cs="Times New Roman"/>
          <w:color w:val="000000" w:themeColor="text1"/>
          <w:szCs w:val="24"/>
        </w:rPr>
        <w:t>ctions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B05C5">
        <w:rPr>
          <w:rFonts w:cs="Times New Roman"/>
          <w:color w:val="000000" w:themeColor="text1"/>
          <w:szCs w:val="24"/>
        </w:rPr>
        <w:t>p</w:t>
      </w:r>
      <w:r w:rsidRPr="00C317BB" w:rsidR="00613397">
        <w:rPr>
          <w:rFonts w:cs="Times New Roman"/>
          <w:color w:val="000000" w:themeColor="text1"/>
          <w:szCs w:val="24"/>
        </w:rPr>
        <w:t>ertaining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13397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B05C5">
        <w:rPr>
          <w:rFonts w:cs="Times New Roman"/>
          <w:color w:val="000000" w:themeColor="text1"/>
          <w:szCs w:val="24"/>
        </w:rPr>
        <w:t>c</w:t>
      </w:r>
      <w:r w:rsidRPr="00C317BB" w:rsidR="00613397">
        <w:rPr>
          <w:rFonts w:cs="Times New Roman"/>
          <w:color w:val="000000" w:themeColor="text1"/>
          <w:szCs w:val="24"/>
        </w:rPr>
        <w:t>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B05C5">
        <w:rPr>
          <w:rFonts w:cs="Times New Roman"/>
          <w:color w:val="000000" w:themeColor="text1"/>
          <w:szCs w:val="24"/>
        </w:rPr>
        <w:t>a</w:t>
      </w:r>
      <w:r w:rsidRPr="00C317BB" w:rsidR="00613397">
        <w:rPr>
          <w:rFonts w:cs="Times New Roman"/>
          <w:color w:val="000000" w:themeColor="text1"/>
          <w:szCs w:val="24"/>
        </w:rPr>
        <w:t>sbestos</w:t>
      </w:r>
      <w:r w:rsidRPr="00C317BB" w:rsidR="00FA22F6">
        <w:rPr>
          <w:rFonts w:cs="Times New Roman"/>
          <w:color w:val="000000" w:themeColor="text1"/>
          <w:szCs w:val="24"/>
        </w:rPr>
        <w:t>.</w:t>
      </w:r>
    </w:p>
    <w:p w:rsidRPr="00C317BB" w:rsidR="003008B4" w:rsidP="00F27167" w:rsidRDefault="00FD5F7C" w14:paraId="2149F167" w14:textId="77777777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Actions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</w:t>
      </w:r>
      <w:r w:rsidRPr="00C317BB" w:rsidR="00AD17C6">
        <w:rPr>
          <w:rFonts w:cs="Times New Roman"/>
          <w:color w:val="000000" w:themeColor="text1"/>
          <w:szCs w:val="24"/>
        </w:rPr>
        <w:t>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458D0">
        <w:rPr>
          <w:rFonts w:cs="Times New Roman"/>
          <w:color w:val="000000" w:themeColor="text1"/>
          <w:szCs w:val="24"/>
        </w:rPr>
        <w:t>federal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458D0">
        <w:rPr>
          <w:rFonts w:cs="Times New Roman"/>
          <w:color w:val="000000" w:themeColor="text1"/>
          <w:szCs w:val="24"/>
        </w:rPr>
        <w:t>agencies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related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458D0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458D0">
        <w:rPr>
          <w:rFonts w:cs="Times New Roman"/>
          <w:color w:val="000000" w:themeColor="text1"/>
          <w:szCs w:val="24"/>
        </w:rPr>
        <w:t>include</w:t>
      </w:r>
      <w:r w:rsidRPr="00C317BB" w:rsidR="00741B80">
        <w:rPr>
          <w:rFonts w:cs="Times New Roman"/>
          <w:color w:val="000000" w:themeColor="text1"/>
          <w:szCs w:val="24"/>
        </w:rPr>
        <w:t>:</w:t>
      </w:r>
    </w:p>
    <w:p w:rsidRPr="00C317BB" w:rsidR="003008B4" w:rsidP="00F27167" w:rsidRDefault="00CA3EAB" w14:paraId="3BC364AD" w14:textId="2E34B4AE">
      <w:pPr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ab/>
        <w:t>•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9FE">
        <w:rPr>
          <w:rFonts w:cs="Times New Roman"/>
          <w:i/>
          <w:color w:val="000000" w:themeColor="text1"/>
          <w:szCs w:val="24"/>
        </w:rPr>
        <w:t>Occupational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1859FE">
        <w:rPr>
          <w:rFonts w:cs="Times New Roman"/>
          <w:i/>
          <w:color w:val="000000" w:themeColor="text1"/>
          <w:szCs w:val="24"/>
        </w:rPr>
        <w:t>Safety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1859FE">
        <w:rPr>
          <w:rFonts w:cs="Times New Roman"/>
          <w:i/>
          <w:color w:val="000000" w:themeColor="text1"/>
          <w:szCs w:val="24"/>
        </w:rPr>
        <w:t>and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1859FE">
        <w:rPr>
          <w:rFonts w:cs="Times New Roman"/>
          <w:i/>
          <w:color w:val="000000" w:themeColor="text1"/>
          <w:szCs w:val="24"/>
        </w:rPr>
        <w:t>Health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1859FE">
        <w:rPr>
          <w:rFonts w:cs="Times New Roman"/>
          <w:i/>
          <w:color w:val="000000" w:themeColor="text1"/>
          <w:szCs w:val="24"/>
        </w:rPr>
        <w:t>Administration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1859FE">
        <w:rPr>
          <w:rFonts w:cs="Times New Roman"/>
          <w:color w:val="000000" w:themeColor="text1"/>
          <w:szCs w:val="24"/>
        </w:rPr>
        <w:t>(OSHA).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9FE">
        <w:rPr>
          <w:rFonts w:cs="Times New Roman"/>
          <w:color w:val="000000" w:themeColor="text1"/>
          <w:szCs w:val="24"/>
        </w:rPr>
        <w:t>OSHA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9FE">
        <w:rPr>
          <w:rFonts w:cs="Times New Roman"/>
          <w:color w:val="000000" w:themeColor="text1"/>
          <w:szCs w:val="24"/>
        </w:rPr>
        <w:t>has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9FE">
        <w:rPr>
          <w:rFonts w:cs="Times New Roman"/>
          <w:color w:val="000000" w:themeColor="text1"/>
          <w:szCs w:val="24"/>
        </w:rPr>
        <w:t>established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9FE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9FE">
        <w:rPr>
          <w:rFonts w:cs="Times New Roman"/>
          <w:color w:val="000000" w:themeColor="text1"/>
          <w:szCs w:val="24"/>
        </w:rPr>
        <w:t>permissible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9FE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9FE">
        <w:rPr>
          <w:rFonts w:cs="Times New Roman"/>
          <w:color w:val="000000" w:themeColor="text1"/>
          <w:szCs w:val="24"/>
        </w:rPr>
        <w:t>limit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9FE">
        <w:rPr>
          <w:rFonts w:cs="Times New Roman"/>
          <w:color w:val="000000" w:themeColor="text1"/>
          <w:szCs w:val="24"/>
        </w:rPr>
        <w:t>(PEL)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9FE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9FE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9FE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9FE">
        <w:rPr>
          <w:rFonts w:cs="Times New Roman"/>
          <w:color w:val="000000" w:themeColor="text1"/>
          <w:szCs w:val="24"/>
        </w:rPr>
        <w:t>0.1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9FE">
        <w:rPr>
          <w:rFonts w:cs="Times New Roman"/>
          <w:color w:val="000000" w:themeColor="text1"/>
          <w:szCs w:val="24"/>
        </w:rPr>
        <w:t>fibers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9FE">
        <w:rPr>
          <w:rFonts w:cs="Times New Roman"/>
          <w:color w:val="000000" w:themeColor="text1"/>
          <w:szCs w:val="24"/>
        </w:rPr>
        <w:t>per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9FE">
        <w:rPr>
          <w:rFonts w:cs="Times New Roman"/>
          <w:color w:val="000000" w:themeColor="text1"/>
          <w:szCs w:val="24"/>
        </w:rPr>
        <w:t>cubic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9FE">
        <w:rPr>
          <w:rFonts w:cs="Times New Roman"/>
          <w:color w:val="000000" w:themeColor="text1"/>
          <w:szCs w:val="24"/>
        </w:rPr>
        <w:t>centimeter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9FE">
        <w:rPr>
          <w:rFonts w:cs="Times New Roman"/>
          <w:color w:val="000000" w:themeColor="text1"/>
          <w:szCs w:val="24"/>
        </w:rPr>
        <w:t>(cc)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9FE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9FE">
        <w:rPr>
          <w:rFonts w:cs="Times New Roman"/>
          <w:color w:val="000000" w:themeColor="text1"/>
          <w:szCs w:val="24"/>
        </w:rPr>
        <w:t>air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9FE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9FE">
        <w:rPr>
          <w:rFonts w:cs="Times New Roman"/>
          <w:color w:val="000000" w:themeColor="text1"/>
          <w:szCs w:val="24"/>
        </w:rPr>
        <w:t>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9FE">
        <w:rPr>
          <w:rFonts w:cs="Times New Roman"/>
          <w:color w:val="000000" w:themeColor="text1"/>
          <w:szCs w:val="24"/>
        </w:rPr>
        <w:t>eight-hour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9FE">
        <w:rPr>
          <w:rFonts w:cs="Times New Roman"/>
          <w:color w:val="000000" w:themeColor="text1"/>
          <w:szCs w:val="24"/>
        </w:rPr>
        <w:t>time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9FE">
        <w:rPr>
          <w:rFonts w:cs="Times New Roman"/>
          <w:color w:val="000000" w:themeColor="text1"/>
          <w:szCs w:val="24"/>
        </w:rPr>
        <w:t>weighted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9FE">
        <w:rPr>
          <w:rFonts w:cs="Times New Roman"/>
          <w:color w:val="000000" w:themeColor="text1"/>
          <w:szCs w:val="24"/>
        </w:rPr>
        <w:t>average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9FE">
        <w:rPr>
          <w:rFonts w:cs="Times New Roman"/>
          <w:color w:val="000000" w:themeColor="text1"/>
          <w:szCs w:val="24"/>
        </w:rPr>
        <w:t>(TWA),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9FE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9FE">
        <w:rPr>
          <w:rFonts w:cs="Times New Roman"/>
          <w:color w:val="000000" w:themeColor="text1"/>
          <w:szCs w:val="24"/>
        </w:rPr>
        <w:t>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9FE">
        <w:rPr>
          <w:rFonts w:cs="Times New Roman"/>
          <w:color w:val="000000" w:themeColor="text1"/>
          <w:szCs w:val="24"/>
        </w:rPr>
        <w:t>excursion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9FE">
        <w:rPr>
          <w:rFonts w:cs="Times New Roman"/>
          <w:color w:val="000000" w:themeColor="text1"/>
          <w:szCs w:val="24"/>
        </w:rPr>
        <w:t>limit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9FE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9FE">
        <w:rPr>
          <w:rFonts w:cs="Times New Roman"/>
          <w:color w:val="000000" w:themeColor="text1"/>
          <w:szCs w:val="24"/>
        </w:rPr>
        <w:t>1.0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9FE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9FE">
        <w:rPr>
          <w:rFonts w:cs="Times New Roman"/>
          <w:color w:val="000000" w:themeColor="text1"/>
          <w:szCs w:val="24"/>
        </w:rPr>
        <w:t>fibers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9FE">
        <w:rPr>
          <w:rFonts w:cs="Times New Roman"/>
          <w:color w:val="000000" w:themeColor="text1"/>
          <w:szCs w:val="24"/>
        </w:rPr>
        <w:t>per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9FE">
        <w:rPr>
          <w:rFonts w:cs="Times New Roman"/>
          <w:color w:val="000000" w:themeColor="text1"/>
          <w:szCs w:val="24"/>
        </w:rPr>
        <w:t>cubic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9FE">
        <w:rPr>
          <w:rFonts w:cs="Times New Roman"/>
          <w:color w:val="000000" w:themeColor="text1"/>
          <w:szCs w:val="24"/>
        </w:rPr>
        <w:t>centimeter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9FE">
        <w:rPr>
          <w:rFonts w:cs="Times New Roman"/>
          <w:color w:val="000000" w:themeColor="text1"/>
          <w:szCs w:val="24"/>
        </w:rPr>
        <w:t>over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9FE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9FE">
        <w:rPr>
          <w:rFonts w:cs="Times New Roman"/>
          <w:color w:val="000000" w:themeColor="text1"/>
          <w:szCs w:val="24"/>
        </w:rPr>
        <w:t>30-minute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9FE">
        <w:rPr>
          <w:rFonts w:cs="Times New Roman"/>
          <w:color w:val="000000" w:themeColor="text1"/>
          <w:szCs w:val="24"/>
        </w:rPr>
        <w:t>period.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602BA">
        <w:rPr>
          <w:rFonts w:cs="Times New Roman"/>
          <w:color w:val="000000" w:themeColor="text1"/>
          <w:szCs w:val="24"/>
        </w:rPr>
        <w:t>Among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602BA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602BA">
        <w:rPr>
          <w:rFonts w:cs="Times New Roman"/>
          <w:color w:val="000000" w:themeColor="text1"/>
          <w:szCs w:val="24"/>
        </w:rPr>
        <w:t>requirements,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9FE">
        <w:rPr>
          <w:rFonts w:cs="Times New Roman"/>
          <w:color w:val="000000" w:themeColor="text1"/>
          <w:szCs w:val="24"/>
        </w:rPr>
        <w:t>OSHA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9FE">
        <w:rPr>
          <w:rFonts w:cs="Times New Roman"/>
          <w:color w:val="000000" w:themeColor="text1"/>
          <w:szCs w:val="24"/>
        </w:rPr>
        <w:t>requires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9FE">
        <w:rPr>
          <w:rFonts w:cs="Times New Roman"/>
          <w:color w:val="000000" w:themeColor="text1"/>
          <w:szCs w:val="24"/>
        </w:rPr>
        <w:t>assessments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9FE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9FE">
        <w:rPr>
          <w:rFonts w:cs="Times New Roman"/>
          <w:color w:val="000000" w:themeColor="text1"/>
          <w:szCs w:val="24"/>
        </w:rPr>
        <w:t>workplaces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9FE">
        <w:rPr>
          <w:rFonts w:cs="Times New Roman"/>
          <w:color w:val="000000" w:themeColor="text1"/>
          <w:szCs w:val="24"/>
        </w:rPr>
        <w:t>covered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9FE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9FE">
        <w:rPr>
          <w:rFonts w:cs="Times New Roman"/>
          <w:color w:val="000000" w:themeColor="text1"/>
          <w:szCs w:val="24"/>
        </w:rPr>
        <w:t>one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9FE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9FE">
        <w:rPr>
          <w:rFonts w:cs="Times New Roman"/>
          <w:color w:val="000000" w:themeColor="text1"/>
          <w:szCs w:val="24"/>
        </w:rPr>
        <w:t>three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9FE">
        <w:rPr>
          <w:rFonts w:cs="Times New Roman"/>
          <w:color w:val="000000" w:themeColor="text1"/>
          <w:szCs w:val="24"/>
        </w:rPr>
        <w:t>standards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9FE">
        <w:rPr>
          <w:rFonts w:cs="Times New Roman"/>
          <w:color w:val="000000" w:themeColor="text1"/>
          <w:szCs w:val="24"/>
        </w:rPr>
        <w:t>(General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9FE">
        <w:rPr>
          <w:rFonts w:cs="Times New Roman"/>
          <w:color w:val="000000" w:themeColor="text1"/>
          <w:szCs w:val="24"/>
        </w:rPr>
        <w:t>Industry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9FE">
        <w:rPr>
          <w:rFonts w:cs="Times New Roman"/>
          <w:color w:val="000000" w:themeColor="text1"/>
          <w:szCs w:val="24"/>
        </w:rPr>
        <w:t>(29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9FE">
        <w:rPr>
          <w:rFonts w:cs="Times New Roman"/>
          <w:color w:val="000000" w:themeColor="text1"/>
          <w:szCs w:val="24"/>
        </w:rPr>
        <w:t>CFR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9FE">
        <w:rPr>
          <w:rFonts w:cs="Times New Roman"/>
          <w:color w:val="000000" w:themeColor="text1"/>
          <w:szCs w:val="24"/>
        </w:rPr>
        <w:t>1910.1001);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9FE">
        <w:rPr>
          <w:rFonts w:cs="Times New Roman"/>
          <w:color w:val="000000" w:themeColor="text1"/>
          <w:szCs w:val="24"/>
        </w:rPr>
        <w:t>Shipyards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9FE">
        <w:rPr>
          <w:rFonts w:cs="Times New Roman"/>
          <w:color w:val="000000" w:themeColor="text1"/>
          <w:szCs w:val="24"/>
        </w:rPr>
        <w:t>(29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9FE">
        <w:rPr>
          <w:rFonts w:cs="Times New Roman"/>
          <w:color w:val="000000" w:themeColor="text1"/>
          <w:szCs w:val="24"/>
        </w:rPr>
        <w:t>CFR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9FE">
        <w:rPr>
          <w:rFonts w:cs="Times New Roman"/>
          <w:color w:val="000000" w:themeColor="text1"/>
          <w:szCs w:val="24"/>
        </w:rPr>
        <w:t>1915.1001);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9FE">
        <w:rPr>
          <w:rFonts w:cs="Times New Roman"/>
          <w:color w:val="000000" w:themeColor="text1"/>
          <w:szCs w:val="24"/>
        </w:rPr>
        <w:t>Construction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9FE">
        <w:rPr>
          <w:rFonts w:cs="Times New Roman"/>
          <w:color w:val="000000" w:themeColor="text1"/>
          <w:szCs w:val="24"/>
        </w:rPr>
        <w:t>(29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9FE">
        <w:rPr>
          <w:rFonts w:cs="Times New Roman"/>
          <w:color w:val="000000" w:themeColor="text1"/>
          <w:szCs w:val="24"/>
        </w:rPr>
        <w:t>CFR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9FE">
        <w:rPr>
          <w:rFonts w:cs="Times New Roman"/>
          <w:color w:val="000000" w:themeColor="text1"/>
          <w:szCs w:val="24"/>
        </w:rPr>
        <w:t>1926.1101)</w:t>
      </w:r>
      <w:r w:rsidRPr="00C317BB" w:rsidR="009E7684">
        <w:rPr>
          <w:rFonts w:cs="Times New Roman"/>
          <w:color w:val="000000" w:themeColor="text1"/>
          <w:szCs w:val="24"/>
        </w:rPr>
        <w:t>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9FE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9FE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9FE">
        <w:rPr>
          <w:rFonts w:cs="Times New Roman"/>
          <w:color w:val="000000" w:themeColor="text1"/>
          <w:szCs w:val="24"/>
        </w:rPr>
        <w:t>completed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9FE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9FE">
        <w:rPr>
          <w:rFonts w:cs="Times New Roman"/>
          <w:color w:val="000000" w:themeColor="text1"/>
          <w:szCs w:val="24"/>
        </w:rPr>
        <w:t>determine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9FE">
        <w:rPr>
          <w:rFonts w:cs="Times New Roman"/>
          <w:color w:val="000000" w:themeColor="text1"/>
          <w:szCs w:val="24"/>
        </w:rPr>
        <w:t>if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9FE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9FE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9FE">
        <w:rPr>
          <w:rFonts w:cs="Times New Roman"/>
          <w:color w:val="000000" w:themeColor="text1"/>
          <w:szCs w:val="24"/>
        </w:rPr>
        <w:t>present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9FE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9FE">
        <w:rPr>
          <w:rFonts w:cs="Times New Roman"/>
          <w:color w:val="000000" w:themeColor="text1"/>
          <w:szCs w:val="24"/>
        </w:rPr>
        <w:t>if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9FE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9FE">
        <w:rPr>
          <w:rFonts w:cs="Times New Roman"/>
          <w:color w:val="000000" w:themeColor="text1"/>
          <w:szCs w:val="24"/>
        </w:rPr>
        <w:t>work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9FE">
        <w:rPr>
          <w:rFonts w:cs="Times New Roman"/>
          <w:color w:val="000000" w:themeColor="text1"/>
          <w:szCs w:val="24"/>
        </w:rPr>
        <w:t>will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9FE">
        <w:rPr>
          <w:rFonts w:cs="Times New Roman"/>
          <w:color w:val="000000" w:themeColor="text1"/>
          <w:szCs w:val="24"/>
        </w:rPr>
        <w:t>generate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9FE">
        <w:rPr>
          <w:rFonts w:cs="Times New Roman"/>
          <w:color w:val="000000" w:themeColor="text1"/>
          <w:szCs w:val="24"/>
        </w:rPr>
        <w:t>airborne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9FE">
        <w:rPr>
          <w:rFonts w:cs="Times New Roman"/>
          <w:color w:val="000000" w:themeColor="text1"/>
          <w:szCs w:val="24"/>
        </w:rPr>
        <w:t>fibers.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9FE">
        <w:rPr>
          <w:rFonts w:cs="Times New Roman"/>
          <w:color w:val="000000" w:themeColor="text1"/>
          <w:szCs w:val="24"/>
        </w:rPr>
        <w:t>Further,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9FE">
        <w:rPr>
          <w:rFonts w:cs="Times New Roman"/>
          <w:color w:val="000000" w:themeColor="text1"/>
          <w:szCs w:val="24"/>
        </w:rPr>
        <w:t>monitoring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9FE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9FE">
        <w:rPr>
          <w:rFonts w:cs="Times New Roman"/>
          <w:color w:val="000000" w:themeColor="text1"/>
          <w:szCs w:val="24"/>
        </w:rPr>
        <w:t>required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9FE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9FE">
        <w:rPr>
          <w:rFonts w:cs="Times New Roman"/>
          <w:color w:val="000000" w:themeColor="text1"/>
          <w:szCs w:val="24"/>
        </w:rPr>
        <w:t>detect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9FE">
        <w:rPr>
          <w:rFonts w:cs="Times New Roman"/>
          <w:color w:val="000000" w:themeColor="text1"/>
          <w:szCs w:val="24"/>
        </w:rPr>
        <w:t>if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9FE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9FE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9FE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9FE">
        <w:rPr>
          <w:rFonts w:cs="Times New Roman"/>
          <w:color w:val="000000" w:themeColor="text1"/>
          <w:szCs w:val="24"/>
        </w:rPr>
        <w:t>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9FE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9FE">
        <w:rPr>
          <w:rFonts w:cs="Times New Roman"/>
          <w:color w:val="000000" w:themeColor="text1"/>
          <w:szCs w:val="24"/>
        </w:rPr>
        <w:t>above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9FE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9FE">
        <w:rPr>
          <w:rFonts w:cs="Times New Roman"/>
          <w:color w:val="000000" w:themeColor="text1"/>
          <w:szCs w:val="24"/>
        </w:rPr>
        <w:t>PEL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9FE">
        <w:rPr>
          <w:rFonts w:cs="Times New Roman"/>
          <w:color w:val="000000" w:themeColor="text1"/>
          <w:szCs w:val="24"/>
        </w:rPr>
        <w:t>TWA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9FE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9FE">
        <w:rPr>
          <w:rFonts w:cs="Times New Roman"/>
          <w:color w:val="000000" w:themeColor="text1"/>
          <w:szCs w:val="24"/>
        </w:rPr>
        <w:t>excursion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9FE">
        <w:rPr>
          <w:rFonts w:cs="Times New Roman"/>
          <w:color w:val="000000" w:themeColor="text1"/>
          <w:szCs w:val="24"/>
        </w:rPr>
        <w:t>limit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9FE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9FE">
        <w:rPr>
          <w:rFonts w:cs="Times New Roman"/>
          <w:color w:val="000000" w:themeColor="text1"/>
          <w:szCs w:val="24"/>
        </w:rPr>
        <w:t>workers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9FE">
        <w:rPr>
          <w:rFonts w:cs="Times New Roman"/>
          <w:color w:val="000000" w:themeColor="text1"/>
          <w:szCs w:val="24"/>
        </w:rPr>
        <w:t>who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9FE">
        <w:rPr>
          <w:rFonts w:cs="Times New Roman"/>
          <w:color w:val="000000" w:themeColor="text1"/>
          <w:szCs w:val="24"/>
        </w:rPr>
        <w:t>are,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9FE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9FE">
        <w:rPr>
          <w:rFonts w:cs="Times New Roman"/>
          <w:color w:val="000000" w:themeColor="text1"/>
          <w:szCs w:val="24"/>
        </w:rPr>
        <w:t>may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9FE">
        <w:rPr>
          <w:rFonts w:cs="Times New Roman"/>
          <w:color w:val="000000" w:themeColor="text1"/>
          <w:szCs w:val="24"/>
        </w:rPr>
        <w:t>be,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9FE">
        <w:rPr>
          <w:rFonts w:cs="Times New Roman"/>
          <w:color w:val="000000" w:themeColor="text1"/>
          <w:szCs w:val="24"/>
        </w:rPr>
        <w:t>expected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9FE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9FE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9FE">
        <w:rPr>
          <w:rFonts w:cs="Times New Roman"/>
          <w:color w:val="000000" w:themeColor="text1"/>
          <w:szCs w:val="24"/>
        </w:rPr>
        <w:t>exposed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9FE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9FE">
        <w:rPr>
          <w:rFonts w:cs="Times New Roman"/>
          <w:color w:val="000000" w:themeColor="text1"/>
          <w:szCs w:val="24"/>
        </w:rPr>
        <w:t>asbestos.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9FE">
        <w:rPr>
          <w:rFonts w:cs="Times New Roman"/>
          <w:color w:val="000000" w:themeColor="text1"/>
          <w:szCs w:val="24"/>
        </w:rPr>
        <w:t>Monitoring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9FE">
        <w:rPr>
          <w:rFonts w:cs="Times New Roman"/>
          <w:color w:val="000000" w:themeColor="text1"/>
          <w:szCs w:val="24"/>
        </w:rPr>
        <w:t>frequency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9FE">
        <w:rPr>
          <w:rFonts w:cs="Times New Roman"/>
          <w:color w:val="000000" w:themeColor="text1"/>
          <w:szCs w:val="24"/>
        </w:rPr>
        <w:t>depends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9FE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9FE">
        <w:rPr>
          <w:rFonts w:cs="Times New Roman"/>
          <w:color w:val="000000" w:themeColor="text1"/>
          <w:szCs w:val="24"/>
        </w:rPr>
        <w:t>work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9FE">
        <w:rPr>
          <w:rFonts w:cs="Times New Roman"/>
          <w:color w:val="000000" w:themeColor="text1"/>
          <w:szCs w:val="24"/>
        </w:rPr>
        <w:t>classification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9FE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9FE">
        <w:rPr>
          <w:rFonts w:cs="Times New Roman"/>
          <w:color w:val="000000" w:themeColor="text1"/>
          <w:szCs w:val="24"/>
        </w:rPr>
        <w:t>exposure.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F2C19">
        <w:rPr>
          <w:rFonts w:cs="Times New Roman"/>
          <w:color w:val="000000" w:themeColor="text1"/>
          <w:szCs w:val="24"/>
        </w:rPr>
        <w:t>Unit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1549">
        <w:rPr>
          <w:rFonts w:cs="Times New Roman"/>
          <w:color w:val="000000" w:themeColor="text1"/>
          <w:szCs w:val="24"/>
        </w:rPr>
        <w:t>II.C.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1549">
        <w:rPr>
          <w:rFonts w:cs="Times New Roman"/>
          <w:color w:val="000000" w:themeColor="text1"/>
          <w:szCs w:val="24"/>
        </w:rPr>
        <w:t>describes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1549">
        <w:rPr>
          <w:rFonts w:cs="Times New Roman"/>
          <w:color w:val="000000" w:themeColor="text1"/>
          <w:szCs w:val="24"/>
        </w:rPr>
        <w:t>EPA’s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97279">
        <w:rPr>
          <w:rFonts w:cs="Times New Roman"/>
          <w:color w:val="000000" w:themeColor="text1"/>
          <w:szCs w:val="24"/>
        </w:rPr>
        <w:t>general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97279">
        <w:rPr>
          <w:rFonts w:cs="Times New Roman"/>
          <w:color w:val="000000" w:themeColor="text1"/>
          <w:szCs w:val="24"/>
        </w:rPr>
        <w:t>approach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97279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97279">
        <w:rPr>
          <w:rFonts w:cs="Times New Roman"/>
          <w:color w:val="000000" w:themeColor="text1"/>
          <w:szCs w:val="24"/>
        </w:rPr>
        <w:t>considering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97279">
        <w:rPr>
          <w:rFonts w:cs="Times New Roman"/>
          <w:color w:val="000000" w:themeColor="text1"/>
          <w:szCs w:val="24"/>
        </w:rPr>
        <w:t>OSHA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97279">
        <w:rPr>
          <w:rFonts w:cs="Times New Roman"/>
          <w:color w:val="000000" w:themeColor="text1"/>
          <w:szCs w:val="24"/>
        </w:rPr>
        <w:t>occupational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97279">
        <w:rPr>
          <w:rFonts w:cs="Times New Roman"/>
          <w:color w:val="000000" w:themeColor="text1"/>
          <w:szCs w:val="24"/>
        </w:rPr>
        <w:t>health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1549">
        <w:rPr>
          <w:rFonts w:cs="Times New Roman"/>
          <w:color w:val="000000" w:themeColor="text1"/>
          <w:szCs w:val="24"/>
        </w:rPr>
        <w:t>standards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1549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1549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1549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1549">
        <w:rPr>
          <w:rFonts w:cs="Times New Roman"/>
          <w:color w:val="000000" w:themeColor="text1"/>
          <w:szCs w:val="24"/>
        </w:rPr>
        <w:t>evaluations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1549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1549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1549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1549">
        <w:rPr>
          <w:rFonts w:cs="Times New Roman"/>
          <w:color w:val="000000" w:themeColor="text1"/>
          <w:szCs w:val="24"/>
        </w:rPr>
        <w:t>management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1549">
        <w:rPr>
          <w:rFonts w:cs="Times New Roman"/>
          <w:color w:val="000000" w:themeColor="text1"/>
          <w:szCs w:val="24"/>
        </w:rPr>
        <w:t>actions.</w:t>
      </w:r>
    </w:p>
    <w:p w:rsidRPr="00C317BB" w:rsidR="00361E88" w:rsidP="00F27167" w:rsidRDefault="00361E88" w14:paraId="62E4D43C" w14:textId="7EB6AD35">
      <w:pPr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ab/>
        <w:t>•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F17F9">
        <w:rPr>
          <w:rFonts w:cs="Times New Roman"/>
          <w:i/>
          <w:color w:val="000000" w:themeColor="text1"/>
          <w:szCs w:val="24"/>
        </w:rPr>
        <w:t>The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FF17F9">
        <w:rPr>
          <w:rFonts w:cs="Times New Roman"/>
          <w:i/>
          <w:color w:val="000000" w:themeColor="text1"/>
          <w:szCs w:val="24"/>
        </w:rPr>
        <w:t>National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FF17F9">
        <w:rPr>
          <w:rFonts w:cs="Times New Roman"/>
          <w:i/>
          <w:color w:val="000000" w:themeColor="text1"/>
          <w:szCs w:val="24"/>
        </w:rPr>
        <w:t>Institute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FF17F9">
        <w:rPr>
          <w:rFonts w:cs="Times New Roman"/>
          <w:i/>
          <w:color w:val="000000" w:themeColor="text1"/>
          <w:szCs w:val="24"/>
        </w:rPr>
        <w:t>for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FF17F9">
        <w:rPr>
          <w:rFonts w:cs="Times New Roman"/>
          <w:i/>
          <w:color w:val="000000" w:themeColor="text1"/>
          <w:szCs w:val="24"/>
        </w:rPr>
        <w:t>Occupational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FF17F9">
        <w:rPr>
          <w:rFonts w:cs="Times New Roman"/>
          <w:i/>
          <w:color w:val="000000" w:themeColor="text1"/>
          <w:szCs w:val="24"/>
        </w:rPr>
        <w:t>Safety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FF17F9">
        <w:rPr>
          <w:rFonts w:cs="Times New Roman"/>
          <w:i/>
          <w:color w:val="000000" w:themeColor="text1"/>
          <w:szCs w:val="24"/>
        </w:rPr>
        <w:t>and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FF17F9">
        <w:rPr>
          <w:rFonts w:cs="Times New Roman"/>
          <w:i/>
          <w:color w:val="000000" w:themeColor="text1"/>
          <w:szCs w:val="24"/>
        </w:rPr>
        <w:t>Health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FF17F9">
        <w:rPr>
          <w:rFonts w:cs="Times New Roman"/>
          <w:i/>
          <w:color w:val="000000" w:themeColor="text1"/>
          <w:szCs w:val="24"/>
        </w:rPr>
        <w:t>(NIOSH),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F17F9">
        <w:rPr>
          <w:rFonts w:cs="Times New Roman"/>
          <w:color w:val="000000" w:themeColor="text1"/>
          <w:szCs w:val="24"/>
        </w:rPr>
        <w:t>part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F17F9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F17F9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F17F9">
        <w:rPr>
          <w:rFonts w:cs="Times New Roman"/>
          <w:color w:val="000000" w:themeColor="text1"/>
          <w:szCs w:val="24"/>
        </w:rPr>
        <w:t>U.S.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F17F9">
        <w:rPr>
          <w:rFonts w:cs="Times New Roman"/>
          <w:color w:val="000000" w:themeColor="text1"/>
          <w:szCs w:val="24"/>
        </w:rPr>
        <w:t>Centers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F17F9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F17F9">
        <w:rPr>
          <w:rFonts w:cs="Times New Roman"/>
          <w:color w:val="000000" w:themeColor="text1"/>
          <w:szCs w:val="24"/>
        </w:rPr>
        <w:t>Disease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F17F9">
        <w:rPr>
          <w:rFonts w:cs="Times New Roman"/>
          <w:color w:val="000000" w:themeColor="text1"/>
          <w:szCs w:val="24"/>
        </w:rPr>
        <w:t>Control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F17F9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F17F9">
        <w:rPr>
          <w:rFonts w:cs="Times New Roman"/>
          <w:color w:val="000000" w:themeColor="text1"/>
          <w:szCs w:val="24"/>
        </w:rPr>
        <w:t>Prevention,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F17F9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F17F9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F17F9">
        <w:rPr>
          <w:rFonts w:cs="Times New Roman"/>
          <w:color w:val="000000" w:themeColor="text1"/>
          <w:szCs w:val="24"/>
        </w:rPr>
        <w:t>U.S.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F17F9">
        <w:rPr>
          <w:rFonts w:cs="Times New Roman"/>
          <w:color w:val="000000" w:themeColor="text1"/>
          <w:szCs w:val="24"/>
        </w:rPr>
        <w:t>Department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F17F9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F17F9">
        <w:rPr>
          <w:rFonts w:cs="Times New Roman"/>
          <w:color w:val="000000" w:themeColor="text1"/>
          <w:szCs w:val="24"/>
        </w:rPr>
        <w:t>Health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F17F9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F17F9">
        <w:rPr>
          <w:rFonts w:cs="Times New Roman"/>
          <w:color w:val="000000" w:themeColor="text1"/>
          <w:szCs w:val="24"/>
        </w:rPr>
        <w:t>Human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F17F9">
        <w:rPr>
          <w:rFonts w:cs="Times New Roman"/>
          <w:color w:val="000000" w:themeColor="text1"/>
          <w:szCs w:val="24"/>
        </w:rPr>
        <w:t>Services,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F17F9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F17F9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F17F9">
        <w:rPr>
          <w:rFonts w:cs="Times New Roman"/>
          <w:color w:val="000000" w:themeColor="text1"/>
          <w:szCs w:val="24"/>
        </w:rPr>
        <w:t>research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F17F9">
        <w:rPr>
          <w:rFonts w:cs="Times New Roman"/>
          <w:color w:val="000000" w:themeColor="text1"/>
          <w:szCs w:val="24"/>
        </w:rPr>
        <w:t>agency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F17F9">
        <w:rPr>
          <w:rFonts w:cs="Times New Roman"/>
          <w:color w:val="000000" w:themeColor="text1"/>
          <w:szCs w:val="24"/>
        </w:rPr>
        <w:t>focused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F17F9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F17F9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F17F9">
        <w:rPr>
          <w:rFonts w:cs="Times New Roman"/>
          <w:color w:val="000000" w:themeColor="text1"/>
          <w:szCs w:val="24"/>
        </w:rPr>
        <w:t>study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F17F9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F17F9">
        <w:rPr>
          <w:rFonts w:cs="Times New Roman"/>
          <w:color w:val="000000" w:themeColor="text1"/>
          <w:szCs w:val="24"/>
        </w:rPr>
        <w:t>worker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F17F9">
        <w:rPr>
          <w:rFonts w:cs="Times New Roman"/>
          <w:color w:val="000000" w:themeColor="text1"/>
          <w:szCs w:val="24"/>
        </w:rPr>
        <w:t>safety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F17F9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F17F9">
        <w:rPr>
          <w:rFonts w:cs="Times New Roman"/>
          <w:color w:val="000000" w:themeColor="text1"/>
          <w:szCs w:val="24"/>
        </w:rPr>
        <w:t>health.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F17F9">
        <w:rPr>
          <w:rFonts w:cs="Times New Roman"/>
          <w:color w:val="000000" w:themeColor="text1"/>
          <w:szCs w:val="24"/>
        </w:rPr>
        <w:t>NIOSH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F17F9">
        <w:rPr>
          <w:rFonts w:cs="Times New Roman"/>
          <w:color w:val="000000" w:themeColor="text1"/>
          <w:szCs w:val="24"/>
        </w:rPr>
        <w:t>has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F17F9">
        <w:rPr>
          <w:rFonts w:cs="Times New Roman"/>
          <w:color w:val="000000" w:themeColor="text1"/>
          <w:szCs w:val="24"/>
        </w:rPr>
        <w:t>established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F17F9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F17F9">
        <w:rPr>
          <w:rFonts w:cs="Times New Roman"/>
          <w:color w:val="000000" w:themeColor="text1"/>
          <w:szCs w:val="24"/>
        </w:rPr>
        <w:t>Recommended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F17F9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F17F9">
        <w:rPr>
          <w:rFonts w:cs="Times New Roman"/>
          <w:color w:val="000000" w:themeColor="text1"/>
          <w:szCs w:val="24"/>
        </w:rPr>
        <w:t>Limit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F17F9">
        <w:rPr>
          <w:rFonts w:cs="Times New Roman"/>
          <w:color w:val="000000" w:themeColor="text1"/>
          <w:szCs w:val="24"/>
        </w:rPr>
        <w:t>(REL)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F17F9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F17F9">
        <w:rPr>
          <w:rFonts w:cs="Times New Roman"/>
          <w:color w:val="000000" w:themeColor="text1"/>
          <w:szCs w:val="24"/>
        </w:rPr>
        <w:t>asbestos.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F17F9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F17F9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F17F9">
        <w:rPr>
          <w:rFonts w:cs="Times New Roman"/>
          <w:color w:val="000000" w:themeColor="text1"/>
          <w:szCs w:val="24"/>
        </w:rPr>
        <w:t>fibers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F17F9">
        <w:rPr>
          <w:rFonts w:cs="Times New Roman"/>
          <w:color w:val="000000" w:themeColor="text1"/>
          <w:szCs w:val="24"/>
        </w:rPr>
        <w:t>&gt;5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F17F9">
        <w:rPr>
          <w:rFonts w:cs="Times New Roman"/>
          <w:color w:val="000000" w:themeColor="text1"/>
          <w:szCs w:val="24"/>
        </w:rPr>
        <w:t>micrometers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35EA0">
        <w:rPr>
          <w:rFonts w:cs="Times New Roman"/>
          <w:color w:val="000000" w:themeColor="text1"/>
          <w:szCs w:val="24"/>
        </w:rPr>
        <w:t>long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35EA0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35EA0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F17F9">
        <w:rPr>
          <w:rFonts w:cs="Times New Roman"/>
          <w:color w:val="000000" w:themeColor="text1"/>
          <w:szCs w:val="24"/>
        </w:rPr>
        <w:t>length</w:t>
      </w:r>
      <w:r w:rsidRPr="00C317BB" w:rsidR="00C35EA0">
        <w:rPr>
          <w:rFonts w:cs="Times New Roman"/>
          <w:color w:val="000000" w:themeColor="text1"/>
          <w:szCs w:val="24"/>
        </w:rPr>
        <w:t>-to-width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35EA0">
        <w:rPr>
          <w:rFonts w:cs="Times New Roman"/>
          <w:color w:val="000000" w:themeColor="text1"/>
          <w:szCs w:val="24"/>
        </w:rPr>
        <w:t>ratio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35EA0">
        <w:rPr>
          <w:rFonts w:cs="Times New Roman"/>
          <w:color w:val="000000" w:themeColor="text1"/>
          <w:szCs w:val="24"/>
        </w:rPr>
        <w:t>equal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35EA0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35EA0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35EA0">
        <w:rPr>
          <w:rFonts w:cs="Times New Roman"/>
          <w:color w:val="000000" w:themeColor="text1"/>
          <w:szCs w:val="24"/>
        </w:rPr>
        <w:t>greater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35EA0">
        <w:rPr>
          <w:rFonts w:cs="Times New Roman"/>
          <w:color w:val="000000" w:themeColor="text1"/>
          <w:szCs w:val="24"/>
        </w:rPr>
        <w:t>than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35EA0">
        <w:rPr>
          <w:rFonts w:cs="Times New Roman"/>
          <w:color w:val="000000" w:themeColor="text1"/>
          <w:szCs w:val="24"/>
        </w:rPr>
        <w:t>3:1</w:t>
      </w:r>
      <w:r w:rsidRPr="00C317BB" w:rsidR="00FF17F9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F17F9">
        <w:rPr>
          <w:rFonts w:cs="Times New Roman"/>
          <w:color w:val="000000" w:themeColor="text1"/>
          <w:szCs w:val="24"/>
        </w:rPr>
        <w:t>NIOSH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F17F9">
        <w:rPr>
          <w:rFonts w:cs="Times New Roman"/>
          <w:color w:val="000000" w:themeColor="text1"/>
          <w:szCs w:val="24"/>
        </w:rPr>
        <w:t>recommends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F17F9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F17F9">
        <w:rPr>
          <w:rFonts w:cs="Times New Roman"/>
          <w:color w:val="000000" w:themeColor="text1"/>
          <w:szCs w:val="24"/>
        </w:rPr>
        <w:t>REL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F17F9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F17F9">
        <w:rPr>
          <w:rFonts w:cs="Times New Roman"/>
          <w:color w:val="000000" w:themeColor="text1"/>
          <w:szCs w:val="24"/>
        </w:rPr>
        <w:t>100,000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F17F9">
        <w:rPr>
          <w:rFonts w:cs="Times New Roman"/>
          <w:color w:val="000000" w:themeColor="text1"/>
          <w:szCs w:val="24"/>
        </w:rPr>
        <w:t>fibers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F17F9">
        <w:rPr>
          <w:rFonts w:cs="Times New Roman"/>
          <w:color w:val="000000" w:themeColor="text1"/>
          <w:szCs w:val="24"/>
        </w:rPr>
        <w:t>per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F17F9">
        <w:rPr>
          <w:rFonts w:cs="Times New Roman"/>
          <w:color w:val="000000" w:themeColor="text1"/>
          <w:szCs w:val="24"/>
        </w:rPr>
        <w:t>cubic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F17F9">
        <w:rPr>
          <w:rFonts w:cs="Times New Roman"/>
          <w:color w:val="000000" w:themeColor="text1"/>
          <w:szCs w:val="24"/>
        </w:rPr>
        <w:t>meter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F17F9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F17F9">
        <w:rPr>
          <w:rFonts w:cs="Times New Roman"/>
          <w:color w:val="000000" w:themeColor="text1"/>
          <w:szCs w:val="24"/>
        </w:rPr>
        <w:t>air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F17F9">
        <w:rPr>
          <w:rFonts w:cs="Times New Roman"/>
          <w:color w:val="000000" w:themeColor="text1"/>
          <w:szCs w:val="24"/>
        </w:rPr>
        <w:t>(100,000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F17F9">
        <w:rPr>
          <w:rFonts w:cs="Times New Roman"/>
          <w:color w:val="000000" w:themeColor="text1"/>
          <w:szCs w:val="24"/>
        </w:rPr>
        <w:t>f/m3),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F17F9">
        <w:rPr>
          <w:rFonts w:cs="Times New Roman"/>
          <w:color w:val="000000" w:themeColor="text1"/>
          <w:szCs w:val="24"/>
        </w:rPr>
        <w:t>which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F17F9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F17F9">
        <w:rPr>
          <w:rFonts w:cs="Times New Roman"/>
          <w:color w:val="000000" w:themeColor="text1"/>
          <w:szCs w:val="24"/>
        </w:rPr>
        <w:t>equal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F17F9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F17F9">
        <w:rPr>
          <w:rFonts w:cs="Times New Roman"/>
          <w:color w:val="000000" w:themeColor="text1"/>
          <w:szCs w:val="24"/>
        </w:rPr>
        <w:t>0.1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F17F9">
        <w:rPr>
          <w:rFonts w:cs="Times New Roman"/>
          <w:color w:val="000000" w:themeColor="text1"/>
          <w:szCs w:val="24"/>
        </w:rPr>
        <w:t>fiber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F17F9">
        <w:rPr>
          <w:rFonts w:cs="Times New Roman"/>
          <w:color w:val="000000" w:themeColor="text1"/>
          <w:szCs w:val="24"/>
        </w:rPr>
        <w:t>per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F17F9">
        <w:rPr>
          <w:rFonts w:cs="Times New Roman"/>
          <w:color w:val="000000" w:themeColor="text1"/>
          <w:szCs w:val="24"/>
        </w:rPr>
        <w:t>cubic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F17F9">
        <w:rPr>
          <w:rFonts w:cs="Times New Roman"/>
          <w:color w:val="000000" w:themeColor="text1"/>
          <w:szCs w:val="24"/>
        </w:rPr>
        <w:t>centimeter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F17F9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F17F9">
        <w:rPr>
          <w:rFonts w:cs="Times New Roman"/>
          <w:color w:val="000000" w:themeColor="text1"/>
          <w:szCs w:val="24"/>
        </w:rPr>
        <w:t>air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949C5">
        <w:rPr>
          <w:rFonts w:cs="Times New Roman"/>
          <w:color w:val="000000" w:themeColor="text1"/>
          <w:szCs w:val="24"/>
        </w:rPr>
        <w:t>(f/cc)</w:t>
      </w:r>
      <w:r w:rsidRPr="00C317BB" w:rsidR="00BE48D5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F17F9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F17F9">
        <w:rPr>
          <w:rFonts w:cs="Times New Roman"/>
          <w:color w:val="000000" w:themeColor="text1"/>
          <w:szCs w:val="24"/>
        </w:rPr>
        <w:t>determined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F17F9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F17F9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F17F9">
        <w:rPr>
          <w:rFonts w:cs="Times New Roman"/>
          <w:color w:val="000000" w:themeColor="text1"/>
          <w:szCs w:val="24"/>
        </w:rPr>
        <w:t>400-liter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F17F9">
        <w:rPr>
          <w:rFonts w:cs="Times New Roman"/>
          <w:color w:val="000000" w:themeColor="text1"/>
          <w:szCs w:val="24"/>
        </w:rPr>
        <w:t>air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F17F9">
        <w:rPr>
          <w:rFonts w:cs="Times New Roman"/>
          <w:color w:val="000000" w:themeColor="text1"/>
          <w:szCs w:val="24"/>
        </w:rPr>
        <w:t>sample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F17F9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F17F9">
        <w:rPr>
          <w:rFonts w:cs="Times New Roman"/>
          <w:color w:val="000000" w:themeColor="text1"/>
          <w:szCs w:val="24"/>
        </w:rPr>
        <w:t>accordance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F17F9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F17F9">
        <w:rPr>
          <w:rFonts w:cs="Times New Roman"/>
          <w:color w:val="000000" w:themeColor="text1"/>
          <w:szCs w:val="24"/>
        </w:rPr>
        <w:t>NIOSH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F17F9">
        <w:rPr>
          <w:rFonts w:cs="Times New Roman"/>
          <w:color w:val="000000" w:themeColor="text1"/>
          <w:szCs w:val="24"/>
        </w:rPr>
        <w:t>Analytical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F17F9">
        <w:rPr>
          <w:rFonts w:cs="Times New Roman"/>
          <w:color w:val="000000" w:themeColor="text1"/>
          <w:szCs w:val="24"/>
        </w:rPr>
        <w:t>Method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F17F9">
        <w:rPr>
          <w:rFonts w:cs="Times New Roman"/>
          <w:color w:val="000000" w:themeColor="text1"/>
          <w:szCs w:val="24"/>
        </w:rPr>
        <w:t>7400.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76350">
        <w:rPr>
          <w:rFonts w:cs="Times New Roman"/>
          <w:i/>
          <w:color w:val="000000" w:themeColor="text1"/>
          <w:szCs w:val="24"/>
        </w:rPr>
        <w:t>NIOSH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F76350">
        <w:rPr>
          <w:rFonts w:cs="Times New Roman"/>
          <w:i/>
          <w:color w:val="000000" w:themeColor="text1"/>
          <w:szCs w:val="24"/>
        </w:rPr>
        <w:t>Pocket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F76350">
        <w:rPr>
          <w:rFonts w:cs="Times New Roman"/>
          <w:i/>
          <w:color w:val="000000" w:themeColor="text1"/>
          <w:szCs w:val="24"/>
        </w:rPr>
        <w:t>Guide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3C3A95">
        <w:rPr>
          <w:rFonts w:cs="Times New Roman"/>
          <w:i/>
          <w:color w:val="000000" w:themeColor="text1"/>
          <w:szCs w:val="24"/>
        </w:rPr>
        <w:t>to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F76350">
        <w:rPr>
          <w:rFonts w:cs="Times New Roman"/>
          <w:i/>
          <w:color w:val="000000" w:themeColor="text1"/>
          <w:szCs w:val="24"/>
        </w:rPr>
        <w:t>Chemical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B27D5F">
        <w:rPr>
          <w:rFonts w:cs="Times New Roman"/>
          <w:i/>
          <w:color w:val="000000" w:themeColor="text1"/>
          <w:szCs w:val="24"/>
        </w:rPr>
        <w:t>Hazards</w:t>
      </w:r>
      <w:r w:rsidRPr="00C317BB" w:rsidR="001D7DA5">
        <w:rPr>
          <w:rFonts w:cs="Times New Roman"/>
          <w:i/>
          <w:color w:val="000000" w:themeColor="text1"/>
          <w:szCs w:val="24"/>
        </w:rPr>
        <w:t>,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1D7DA5">
        <w:rPr>
          <w:rFonts w:cs="Times New Roman"/>
          <w:i/>
          <w:color w:val="000000" w:themeColor="text1"/>
          <w:szCs w:val="24"/>
        </w:rPr>
        <w:t>Appendix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1D7DA5">
        <w:rPr>
          <w:rFonts w:cs="Times New Roman"/>
          <w:i/>
          <w:color w:val="000000" w:themeColor="text1"/>
          <w:szCs w:val="24"/>
        </w:rPr>
        <w:t>C.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F17F9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F17F9">
        <w:rPr>
          <w:rFonts w:cs="Times New Roman"/>
          <w:color w:val="000000" w:themeColor="text1"/>
          <w:szCs w:val="24"/>
        </w:rPr>
        <w:t>NIOSH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F17F9">
        <w:rPr>
          <w:rFonts w:cs="Times New Roman"/>
          <w:color w:val="000000" w:themeColor="text1"/>
          <w:szCs w:val="24"/>
        </w:rPr>
        <w:t>Recommended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F17F9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F17F9">
        <w:rPr>
          <w:rFonts w:cs="Times New Roman"/>
          <w:color w:val="000000" w:themeColor="text1"/>
          <w:szCs w:val="24"/>
        </w:rPr>
        <w:t>Limit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F17F9">
        <w:rPr>
          <w:rFonts w:cs="Times New Roman"/>
          <w:color w:val="000000" w:themeColor="text1"/>
          <w:szCs w:val="24"/>
        </w:rPr>
        <w:t>(REL)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F17F9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F17F9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F17F9">
        <w:rPr>
          <w:rFonts w:cs="Times New Roman"/>
          <w:color w:val="000000" w:themeColor="text1"/>
          <w:szCs w:val="24"/>
        </w:rPr>
        <w:t>non-mandatory,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F17F9">
        <w:rPr>
          <w:rFonts w:cs="Times New Roman"/>
          <w:color w:val="000000" w:themeColor="text1"/>
          <w:szCs w:val="24"/>
        </w:rPr>
        <w:t>recommended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F17F9">
        <w:rPr>
          <w:rFonts w:cs="Times New Roman"/>
          <w:color w:val="000000" w:themeColor="text1"/>
          <w:szCs w:val="24"/>
        </w:rPr>
        <w:t>occupational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F17F9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F17F9">
        <w:rPr>
          <w:rFonts w:cs="Times New Roman"/>
          <w:color w:val="000000" w:themeColor="text1"/>
          <w:szCs w:val="24"/>
        </w:rPr>
        <w:t>limit.</w:t>
      </w:r>
      <w:r w:rsidR="005613B2">
        <w:rPr>
          <w:rFonts w:cs="Times New Roman"/>
          <w:szCs w:val="24"/>
        </w:rPr>
        <w:t xml:space="preserve"> </w:t>
      </w:r>
      <w:r w:rsidRPr="00C317BB" w:rsidR="00532186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32186">
        <w:rPr>
          <w:rFonts w:cs="Times New Roman"/>
          <w:color w:val="000000" w:themeColor="text1"/>
          <w:szCs w:val="24"/>
        </w:rPr>
        <w:t>0.1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32186">
        <w:rPr>
          <w:rFonts w:cs="Times New Roman"/>
          <w:color w:val="000000" w:themeColor="text1"/>
          <w:szCs w:val="24"/>
        </w:rPr>
        <w:t>f/cc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32186">
        <w:rPr>
          <w:rFonts w:cs="Times New Roman"/>
          <w:color w:val="000000" w:themeColor="text1"/>
          <w:szCs w:val="24"/>
        </w:rPr>
        <w:t>level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32186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32186">
        <w:rPr>
          <w:rFonts w:cs="Times New Roman"/>
          <w:color w:val="000000" w:themeColor="text1"/>
          <w:szCs w:val="24"/>
        </w:rPr>
        <w:t>consistent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32186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32186">
        <w:rPr>
          <w:rFonts w:cs="Times New Roman"/>
          <w:color w:val="000000" w:themeColor="text1"/>
          <w:szCs w:val="24"/>
        </w:rPr>
        <w:t>OSHA’s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32186">
        <w:rPr>
          <w:rFonts w:cs="Times New Roman"/>
          <w:color w:val="000000" w:themeColor="text1"/>
          <w:szCs w:val="24"/>
        </w:rPr>
        <w:t>PEL,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32186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32186">
        <w:rPr>
          <w:rFonts w:cs="Times New Roman"/>
          <w:color w:val="000000" w:themeColor="text1"/>
          <w:szCs w:val="24"/>
        </w:rPr>
        <w:t>well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32186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32186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32186">
        <w:rPr>
          <w:rFonts w:cs="Times New Roman"/>
          <w:color w:val="000000" w:themeColor="text1"/>
          <w:szCs w:val="24"/>
        </w:rPr>
        <w:t>0.1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949C5">
        <w:rPr>
          <w:rFonts w:cs="Times New Roman"/>
          <w:color w:val="000000" w:themeColor="text1"/>
          <w:szCs w:val="24"/>
        </w:rPr>
        <w:t>f</w:t>
      </w:r>
      <w:r w:rsidRPr="00C317BB" w:rsidR="00532186">
        <w:rPr>
          <w:rFonts w:cs="Times New Roman"/>
          <w:color w:val="000000" w:themeColor="text1"/>
          <w:szCs w:val="24"/>
        </w:rPr>
        <w:t>/cc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32186">
        <w:rPr>
          <w:rFonts w:cs="Times New Roman"/>
          <w:color w:val="000000" w:themeColor="text1"/>
          <w:szCs w:val="24"/>
        </w:rPr>
        <w:t>Threshold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32186">
        <w:rPr>
          <w:rFonts w:cs="Times New Roman"/>
          <w:color w:val="000000" w:themeColor="text1"/>
          <w:szCs w:val="24"/>
        </w:rPr>
        <w:t>Limit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32186">
        <w:rPr>
          <w:rFonts w:cs="Times New Roman"/>
          <w:color w:val="000000" w:themeColor="text1"/>
          <w:szCs w:val="24"/>
        </w:rPr>
        <w:t>Value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32186">
        <w:rPr>
          <w:rFonts w:cs="Times New Roman"/>
          <w:color w:val="000000" w:themeColor="text1"/>
          <w:szCs w:val="24"/>
        </w:rPr>
        <w:t>(TLV)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32186">
        <w:rPr>
          <w:rFonts w:cs="Times New Roman"/>
          <w:color w:val="000000" w:themeColor="text1"/>
          <w:szCs w:val="24"/>
        </w:rPr>
        <w:t>guidance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32186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32186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32186">
        <w:rPr>
          <w:rFonts w:cs="Times New Roman"/>
          <w:color w:val="000000" w:themeColor="text1"/>
          <w:szCs w:val="24"/>
        </w:rPr>
        <w:t>American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32186">
        <w:rPr>
          <w:rFonts w:cs="Times New Roman"/>
          <w:color w:val="000000" w:themeColor="text1"/>
          <w:szCs w:val="24"/>
        </w:rPr>
        <w:t>Conference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32186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32186">
        <w:rPr>
          <w:rFonts w:cs="Times New Roman"/>
          <w:color w:val="000000" w:themeColor="text1"/>
          <w:szCs w:val="24"/>
        </w:rPr>
        <w:t>Governmental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32186">
        <w:rPr>
          <w:rFonts w:cs="Times New Roman"/>
          <w:color w:val="000000" w:themeColor="text1"/>
          <w:szCs w:val="24"/>
        </w:rPr>
        <w:t>Industrial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32186">
        <w:rPr>
          <w:rFonts w:cs="Times New Roman"/>
          <w:color w:val="000000" w:themeColor="text1"/>
          <w:szCs w:val="24"/>
        </w:rPr>
        <w:t>Hygienists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32186">
        <w:rPr>
          <w:rFonts w:cs="Times New Roman"/>
          <w:color w:val="000000" w:themeColor="text1"/>
          <w:szCs w:val="24"/>
        </w:rPr>
        <w:t>(ACGIH),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32186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32186">
        <w:rPr>
          <w:rFonts w:cs="Times New Roman"/>
          <w:color w:val="000000" w:themeColor="text1"/>
          <w:szCs w:val="24"/>
        </w:rPr>
        <w:t>private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32186">
        <w:rPr>
          <w:rFonts w:cs="Times New Roman"/>
          <w:color w:val="000000" w:themeColor="text1"/>
          <w:szCs w:val="24"/>
        </w:rPr>
        <w:t>not-for-profit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32186">
        <w:rPr>
          <w:rFonts w:cs="Times New Roman"/>
          <w:color w:val="000000" w:themeColor="text1"/>
          <w:szCs w:val="24"/>
        </w:rPr>
        <w:t>scientific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32186">
        <w:rPr>
          <w:rFonts w:cs="Times New Roman"/>
          <w:color w:val="000000" w:themeColor="text1"/>
          <w:szCs w:val="24"/>
        </w:rPr>
        <w:t>association.</w:t>
      </w:r>
    </w:p>
    <w:p w:rsidRPr="00C317BB" w:rsidR="003008B4" w:rsidP="00F27167" w:rsidRDefault="005613B2" w14:paraId="587A6ADA" w14:textId="5E75EE45">
      <w:pPr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 </w:t>
      </w:r>
      <w:r w:rsidRPr="00C317BB" w:rsidR="00CA3EAB">
        <w:rPr>
          <w:rFonts w:cs="Times New Roman"/>
          <w:color w:val="000000" w:themeColor="text1"/>
          <w:szCs w:val="24"/>
        </w:rPr>
        <w:tab/>
        <w:t>•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BF51ED">
        <w:rPr>
          <w:rFonts w:cs="Times New Roman"/>
          <w:i/>
          <w:color w:val="000000" w:themeColor="text1"/>
          <w:szCs w:val="24"/>
        </w:rPr>
        <w:t>Co</w:t>
      </w:r>
      <w:r w:rsidRPr="00C317BB" w:rsidR="00486228">
        <w:rPr>
          <w:rFonts w:cs="Times New Roman"/>
          <w:i/>
          <w:color w:val="000000" w:themeColor="text1"/>
          <w:szCs w:val="24"/>
        </w:rPr>
        <w:t>nsumer</w:t>
      </w:r>
      <w:r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486228">
        <w:rPr>
          <w:rFonts w:cs="Times New Roman"/>
          <w:i/>
          <w:color w:val="000000" w:themeColor="text1"/>
          <w:szCs w:val="24"/>
        </w:rPr>
        <w:t>Product</w:t>
      </w:r>
      <w:r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486228">
        <w:rPr>
          <w:rFonts w:cs="Times New Roman"/>
          <w:i/>
          <w:color w:val="000000" w:themeColor="text1"/>
          <w:szCs w:val="24"/>
        </w:rPr>
        <w:t>Safety</w:t>
      </w:r>
      <w:r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486228">
        <w:rPr>
          <w:rFonts w:cs="Times New Roman"/>
          <w:i/>
          <w:color w:val="000000" w:themeColor="text1"/>
          <w:szCs w:val="24"/>
        </w:rPr>
        <w:t>Com</w:t>
      </w:r>
      <w:r w:rsidRPr="00C317BB" w:rsidR="00023C9B">
        <w:rPr>
          <w:rFonts w:cs="Times New Roman"/>
          <w:i/>
          <w:color w:val="000000" w:themeColor="text1"/>
          <w:szCs w:val="24"/>
        </w:rPr>
        <w:t>m</w:t>
      </w:r>
      <w:r w:rsidRPr="00C317BB" w:rsidR="00486228">
        <w:rPr>
          <w:rFonts w:cs="Times New Roman"/>
          <w:i/>
          <w:color w:val="000000" w:themeColor="text1"/>
          <w:szCs w:val="24"/>
        </w:rPr>
        <w:t>ission</w:t>
      </w:r>
      <w:r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2371BD">
        <w:rPr>
          <w:rFonts w:cs="Times New Roman"/>
          <w:i/>
          <w:color w:val="000000" w:themeColor="text1"/>
          <w:szCs w:val="24"/>
        </w:rPr>
        <w:t>(CPSC).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C3DF3">
        <w:rPr>
          <w:rFonts w:cs="Times New Roman"/>
          <w:szCs w:val="24"/>
        </w:rPr>
        <w:t>CPSC</w:t>
      </w:r>
      <w:r>
        <w:rPr>
          <w:rFonts w:cs="Times New Roman"/>
          <w:szCs w:val="24"/>
        </w:rPr>
        <w:t xml:space="preserve"> </w:t>
      </w:r>
      <w:r w:rsidRPr="00C317BB" w:rsidR="005C3DF3">
        <w:rPr>
          <w:rFonts w:cs="Times New Roman"/>
          <w:szCs w:val="24"/>
        </w:rPr>
        <w:t>is</w:t>
      </w:r>
      <w:r>
        <w:rPr>
          <w:rFonts w:cs="Times New Roman"/>
          <w:szCs w:val="24"/>
        </w:rPr>
        <w:t xml:space="preserve"> </w:t>
      </w:r>
      <w:r w:rsidRPr="00C317BB" w:rsidR="005C3DF3">
        <w:rPr>
          <w:rFonts w:cs="Times New Roman"/>
          <w:szCs w:val="24"/>
        </w:rPr>
        <w:t>charged</w:t>
      </w:r>
      <w:r>
        <w:rPr>
          <w:rFonts w:cs="Times New Roman"/>
          <w:szCs w:val="24"/>
        </w:rPr>
        <w:t xml:space="preserve"> </w:t>
      </w:r>
      <w:r w:rsidRPr="00C317BB" w:rsidR="005C3DF3">
        <w:rPr>
          <w:rFonts w:cs="Times New Roman"/>
          <w:szCs w:val="24"/>
        </w:rPr>
        <w:t>with</w:t>
      </w:r>
      <w:r>
        <w:rPr>
          <w:rFonts w:cs="Times New Roman"/>
          <w:szCs w:val="24"/>
        </w:rPr>
        <w:t xml:space="preserve"> </w:t>
      </w:r>
      <w:r w:rsidRPr="00C317BB" w:rsidR="005C3DF3">
        <w:rPr>
          <w:rFonts w:cs="Times New Roman"/>
          <w:szCs w:val="24"/>
        </w:rPr>
        <w:t>protecting</w:t>
      </w:r>
      <w:r>
        <w:rPr>
          <w:rFonts w:cs="Times New Roman"/>
          <w:szCs w:val="24"/>
        </w:rPr>
        <w:t xml:space="preserve"> </w:t>
      </w:r>
      <w:r w:rsidRPr="00C317BB" w:rsidR="005C3DF3">
        <w:rPr>
          <w:rFonts w:cs="Times New Roman"/>
          <w:szCs w:val="24"/>
        </w:rPr>
        <w:t>the</w:t>
      </w:r>
      <w:r>
        <w:rPr>
          <w:rFonts w:cs="Times New Roman"/>
          <w:szCs w:val="24"/>
        </w:rPr>
        <w:t xml:space="preserve"> </w:t>
      </w:r>
      <w:r w:rsidRPr="00C317BB" w:rsidR="005C3DF3">
        <w:rPr>
          <w:rFonts w:cs="Times New Roman"/>
          <w:szCs w:val="24"/>
        </w:rPr>
        <w:t>public</w:t>
      </w:r>
      <w:r>
        <w:rPr>
          <w:rFonts w:cs="Times New Roman"/>
          <w:szCs w:val="24"/>
        </w:rPr>
        <w:t xml:space="preserve"> </w:t>
      </w:r>
      <w:r w:rsidRPr="00C317BB" w:rsidR="005C3DF3">
        <w:rPr>
          <w:rFonts w:cs="Times New Roman"/>
          <w:szCs w:val="24"/>
        </w:rPr>
        <w:t>from</w:t>
      </w:r>
      <w:r>
        <w:rPr>
          <w:rFonts w:cs="Times New Roman"/>
          <w:szCs w:val="24"/>
        </w:rPr>
        <w:t xml:space="preserve"> </w:t>
      </w:r>
      <w:r w:rsidRPr="00C317BB" w:rsidR="005C3DF3">
        <w:rPr>
          <w:rFonts w:cs="Times New Roman"/>
          <w:szCs w:val="24"/>
        </w:rPr>
        <w:t>unreasonable</w:t>
      </w:r>
      <w:r>
        <w:rPr>
          <w:rFonts w:cs="Times New Roman"/>
          <w:szCs w:val="24"/>
        </w:rPr>
        <w:t xml:space="preserve"> </w:t>
      </w:r>
      <w:r w:rsidRPr="00C317BB" w:rsidR="005C3DF3">
        <w:rPr>
          <w:rFonts w:cs="Times New Roman"/>
          <w:szCs w:val="24"/>
        </w:rPr>
        <w:t>risks</w:t>
      </w:r>
      <w:r>
        <w:rPr>
          <w:rFonts w:cs="Times New Roman"/>
          <w:szCs w:val="24"/>
        </w:rPr>
        <w:t xml:space="preserve"> </w:t>
      </w:r>
      <w:r w:rsidRPr="00C317BB" w:rsidR="005C3DF3">
        <w:rPr>
          <w:rFonts w:cs="Times New Roman"/>
          <w:szCs w:val="24"/>
        </w:rPr>
        <w:t>of</w:t>
      </w:r>
      <w:r>
        <w:rPr>
          <w:rFonts w:cs="Times New Roman"/>
          <w:szCs w:val="24"/>
        </w:rPr>
        <w:t xml:space="preserve"> </w:t>
      </w:r>
      <w:r w:rsidRPr="00C317BB" w:rsidR="005C3DF3">
        <w:rPr>
          <w:rFonts w:cs="Times New Roman"/>
          <w:szCs w:val="24"/>
        </w:rPr>
        <w:t>injury</w:t>
      </w:r>
      <w:r>
        <w:rPr>
          <w:rFonts w:cs="Times New Roman"/>
          <w:szCs w:val="24"/>
        </w:rPr>
        <w:t xml:space="preserve"> </w:t>
      </w:r>
      <w:r w:rsidRPr="00C317BB" w:rsidR="005C3DF3">
        <w:rPr>
          <w:rFonts w:cs="Times New Roman"/>
          <w:szCs w:val="24"/>
        </w:rPr>
        <w:t>or</w:t>
      </w:r>
      <w:r>
        <w:rPr>
          <w:rFonts w:cs="Times New Roman"/>
          <w:szCs w:val="24"/>
        </w:rPr>
        <w:t xml:space="preserve"> </w:t>
      </w:r>
      <w:r w:rsidRPr="00C317BB" w:rsidR="005C3DF3">
        <w:rPr>
          <w:rFonts w:cs="Times New Roman"/>
          <w:szCs w:val="24"/>
        </w:rPr>
        <w:t>death</w:t>
      </w:r>
      <w:r>
        <w:rPr>
          <w:rFonts w:cs="Times New Roman"/>
          <w:szCs w:val="24"/>
        </w:rPr>
        <w:t xml:space="preserve"> </w:t>
      </w:r>
      <w:r w:rsidRPr="00C317BB" w:rsidR="005C3DF3">
        <w:rPr>
          <w:rFonts w:cs="Times New Roman"/>
          <w:szCs w:val="24"/>
        </w:rPr>
        <w:t>associated</w:t>
      </w:r>
      <w:r>
        <w:rPr>
          <w:rFonts w:cs="Times New Roman"/>
          <w:szCs w:val="24"/>
        </w:rPr>
        <w:t xml:space="preserve"> </w:t>
      </w:r>
      <w:r w:rsidRPr="00C317BB" w:rsidR="005C3DF3">
        <w:rPr>
          <w:rFonts w:cs="Times New Roman"/>
          <w:szCs w:val="24"/>
        </w:rPr>
        <w:t>with</w:t>
      </w:r>
      <w:r>
        <w:rPr>
          <w:rFonts w:cs="Times New Roman"/>
          <w:szCs w:val="24"/>
        </w:rPr>
        <w:t xml:space="preserve"> </w:t>
      </w:r>
      <w:r w:rsidRPr="00C317BB" w:rsidR="005C3DF3">
        <w:rPr>
          <w:rFonts w:cs="Times New Roman"/>
          <w:szCs w:val="24"/>
        </w:rPr>
        <w:t>the</w:t>
      </w:r>
      <w:r>
        <w:rPr>
          <w:rFonts w:cs="Times New Roman"/>
          <w:szCs w:val="24"/>
        </w:rPr>
        <w:t xml:space="preserve"> </w:t>
      </w:r>
      <w:r w:rsidRPr="00C317BB" w:rsidR="005C3DF3">
        <w:rPr>
          <w:rFonts w:cs="Times New Roman"/>
          <w:szCs w:val="24"/>
        </w:rPr>
        <w:t>use</w:t>
      </w:r>
      <w:r>
        <w:rPr>
          <w:rFonts w:cs="Times New Roman"/>
          <w:szCs w:val="24"/>
        </w:rPr>
        <w:t xml:space="preserve"> </w:t>
      </w:r>
      <w:r w:rsidRPr="00C317BB" w:rsidR="005C3DF3">
        <w:rPr>
          <w:rFonts w:cs="Times New Roman"/>
          <w:szCs w:val="24"/>
        </w:rPr>
        <w:t>of</w:t>
      </w:r>
      <w:r>
        <w:rPr>
          <w:rFonts w:cs="Times New Roman"/>
          <w:szCs w:val="24"/>
        </w:rPr>
        <w:t xml:space="preserve"> </w:t>
      </w:r>
      <w:r w:rsidRPr="00C317BB" w:rsidR="005C3DF3">
        <w:rPr>
          <w:rFonts w:cs="Times New Roman"/>
          <w:szCs w:val="24"/>
        </w:rPr>
        <w:t>the</w:t>
      </w:r>
      <w:r>
        <w:rPr>
          <w:rFonts w:cs="Times New Roman"/>
          <w:szCs w:val="24"/>
        </w:rPr>
        <w:t xml:space="preserve"> </w:t>
      </w:r>
      <w:r w:rsidRPr="00C317BB" w:rsidR="005C3DF3">
        <w:rPr>
          <w:rFonts w:cs="Times New Roman"/>
          <w:szCs w:val="24"/>
        </w:rPr>
        <w:t>thousands</w:t>
      </w:r>
      <w:r>
        <w:rPr>
          <w:rFonts w:cs="Times New Roman"/>
          <w:szCs w:val="24"/>
        </w:rPr>
        <w:t xml:space="preserve"> </w:t>
      </w:r>
      <w:r w:rsidRPr="00C317BB" w:rsidR="005C3DF3">
        <w:rPr>
          <w:rFonts w:cs="Times New Roman"/>
          <w:szCs w:val="24"/>
        </w:rPr>
        <w:t>of</w:t>
      </w:r>
      <w:r>
        <w:rPr>
          <w:rFonts w:cs="Times New Roman"/>
          <w:szCs w:val="24"/>
        </w:rPr>
        <w:t xml:space="preserve"> </w:t>
      </w:r>
      <w:r w:rsidRPr="00C317BB" w:rsidR="005C3DF3">
        <w:rPr>
          <w:rFonts w:cs="Times New Roman"/>
          <w:szCs w:val="24"/>
        </w:rPr>
        <w:t>types</w:t>
      </w:r>
      <w:r>
        <w:rPr>
          <w:rFonts w:cs="Times New Roman"/>
          <w:szCs w:val="24"/>
        </w:rPr>
        <w:t xml:space="preserve"> </w:t>
      </w:r>
      <w:r w:rsidRPr="00C317BB" w:rsidR="005C3DF3">
        <w:rPr>
          <w:rFonts w:cs="Times New Roman"/>
          <w:szCs w:val="24"/>
        </w:rPr>
        <w:t>of</w:t>
      </w:r>
      <w:r>
        <w:rPr>
          <w:rFonts w:cs="Times New Roman"/>
          <w:szCs w:val="24"/>
        </w:rPr>
        <w:t xml:space="preserve"> </w:t>
      </w:r>
      <w:r w:rsidRPr="00C317BB" w:rsidR="005C3DF3">
        <w:rPr>
          <w:rFonts w:cs="Times New Roman"/>
          <w:szCs w:val="24"/>
        </w:rPr>
        <w:t>consumer</w:t>
      </w:r>
      <w:r>
        <w:rPr>
          <w:rFonts w:cs="Times New Roman"/>
          <w:szCs w:val="24"/>
        </w:rPr>
        <w:t xml:space="preserve"> </w:t>
      </w:r>
      <w:r w:rsidRPr="00C317BB" w:rsidR="005C3DF3">
        <w:rPr>
          <w:rFonts w:cs="Times New Roman"/>
          <w:szCs w:val="24"/>
        </w:rPr>
        <w:t>products</w:t>
      </w:r>
      <w:r>
        <w:rPr>
          <w:rFonts w:cs="Times New Roman"/>
          <w:szCs w:val="24"/>
        </w:rPr>
        <w:t xml:space="preserve"> </w:t>
      </w:r>
      <w:r w:rsidRPr="00C317BB" w:rsidR="005C3DF3">
        <w:rPr>
          <w:rFonts w:cs="Times New Roman"/>
          <w:szCs w:val="24"/>
        </w:rPr>
        <w:t>under</w:t>
      </w:r>
      <w:r>
        <w:rPr>
          <w:rFonts w:cs="Times New Roman"/>
          <w:szCs w:val="24"/>
        </w:rPr>
        <w:t xml:space="preserve"> </w:t>
      </w:r>
      <w:r w:rsidRPr="00C317BB" w:rsidR="005C3DF3">
        <w:rPr>
          <w:rFonts w:cs="Times New Roman"/>
          <w:szCs w:val="24"/>
        </w:rPr>
        <w:t>the</w:t>
      </w:r>
      <w:r>
        <w:rPr>
          <w:rFonts w:cs="Times New Roman"/>
          <w:szCs w:val="24"/>
        </w:rPr>
        <w:t xml:space="preserve"> </w:t>
      </w:r>
      <w:r w:rsidRPr="00C317BB" w:rsidR="005C3DF3">
        <w:rPr>
          <w:rFonts w:cs="Times New Roman"/>
          <w:szCs w:val="24"/>
        </w:rPr>
        <w:t>agency's</w:t>
      </w:r>
      <w:r>
        <w:rPr>
          <w:rFonts w:cs="Times New Roman"/>
          <w:szCs w:val="24"/>
        </w:rPr>
        <w:t xml:space="preserve"> </w:t>
      </w:r>
      <w:r w:rsidRPr="00C317BB" w:rsidR="005C3DF3">
        <w:rPr>
          <w:rFonts w:cs="Times New Roman"/>
          <w:szCs w:val="24"/>
        </w:rPr>
        <w:t>jurisdiction.</w:t>
      </w:r>
      <w:r>
        <w:rPr>
          <w:rFonts w:cs="Times New Roman"/>
          <w:szCs w:val="24"/>
        </w:rPr>
        <w:t xml:space="preserve"> </w:t>
      </w:r>
      <w:r w:rsidRPr="00C317BB" w:rsidR="00FF7594">
        <w:rPr>
          <w:rFonts w:cs="Times New Roman"/>
          <w:color w:val="000000" w:themeColor="text1"/>
          <w:szCs w:val="24"/>
        </w:rPr>
        <w:t>The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FF7594">
        <w:rPr>
          <w:rFonts w:cs="Times New Roman"/>
          <w:color w:val="000000" w:themeColor="text1"/>
          <w:szCs w:val="24"/>
        </w:rPr>
        <w:t>CPS</w:t>
      </w:r>
      <w:r w:rsidRPr="00C317BB" w:rsidR="000845AA">
        <w:rPr>
          <w:rFonts w:cs="Times New Roman"/>
          <w:color w:val="000000" w:themeColor="text1"/>
          <w:szCs w:val="24"/>
        </w:rPr>
        <w:t>C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0845AA">
        <w:rPr>
          <w:rFonts w:cs="Times New Roman"/>
          <w:color w:val="000000" w:themeColor="text1"/>
          <w:szCs w:val="24"/>
        </w:rPr>
        <w:t>has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AA6EF1">
        <w:rPr>
          <w:rFonts w:cs="Times New Roman"/>
          <w:color w:val="000000" w:themeColor="text1"/>
          <w:szCs w:val="24"/>
        </w:rPr>
        <w:t>banned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AE3517">
        <w:rPr>
          <w:rFonts w:cs="Times New Roman"/>
          <w:color w:val="000000" w:themeColor="text1"/>
          <w:szCs w:val="24"/>
        </w:rPr>
        <w:t>or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AE3517">
        <w:rPr>
          <w:rFonts w:cs="Times New Roman"/>
          <w:color w:val="000000" w:themeColor="text1"/>
          <w:szCs w:val="24"/>
        </w:rPr>
        <w:t>restri</w:t>
      </w:r>
      <w:r w:rsidRPr="00C317BB" w:rsidR="002728A3">
        <w:rPr>
          <w:rFonts w:cs="Times New Roman"/>
          <w:color w:val="000000" w:themeColor="text1"/>
          <w:szCs w:val="24"/>
        </w:rPr>
        <w:t>cted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2728A3">
        <w:rPr>
          <w:rFonts w:cs="Times New Roman"/>
          <w:color w:val="000000" w:themeColor="text1"/>
          <w:szCs w:val="24"/>
        </w:rPr>
        <w:t>the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2728A3">
        <w:rPr>
          <w:rFonts w:cs="Times New Roman"/>
          <w:color w:val="000000" w:themeColor="text1"/>
          <w:szCs w:val="24"/>
        </w:rPr>
        <w:t>following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2728A3">
        <w:rPr>
          <w:rFonts w:cs="Times New Roman"/>
          <w:color w:val="000000" w:themeColor="text1"/>
          <w:szCs w:val="24"/>
        </w:rPr>
        <w:t>as</w:t>
      </w:r>
      <w:r w:rsidRPr="00C317BB" w:rsidR="00410D91">
        <w:rPr>
          <w:rFonts w:cs="Times New Roman"/>
          <w:color w:val="000000" w:themeColor="text1"/>
          <w:szCs w:val="24"/>
        </w:rPr>
        <w:t>bestos-containing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410D91">
        <w:rPr>
          <w:rFonts w:cs="Times New Roman"/>
          <w:color w:val="000000" w:themeColor="text1"/>
          <w:szCs w:val="24"/>
        </w:rPr>
        <w:t>products:</w:t>
      </w:r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C317BB" w:rsidR="00410D91">
        <w:rPr>
          <w:rFonts w:cs="Times New Roman"/>
          <w:color w:val="000000" w:themeColor="text1"/>
          <w:szCs w:val="24"/>
        </w:rPr>
        <w:t>emberizing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r w:rsidRPr="00C317BB" w:rsidR="00410D91">
        <w:rPr>
          <w:rFonts w:cs="Times New Roman"/>
          <w:color w:val="000000" w:themeColor="text1"/>
          <w:szCs w:val="24"/>
        </w:rPr>
        <w:t>materials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301A3E">
        <w:rPr>
          <w:rFonts w:cs="Times New Roman"/>
          <w:color w:val="000000" w:themeColor="text1"/>
          <w:szCs w:val="24"/>
        </w:rPr>
        <w:t>(ash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301A3E">
        <w:rPr>
          <w:rFonts w:cs="Times New Roman"/>
          <w:color w:val="000000" w:themeColor="text1"/>
          <w:szCs w:val="24"/>
        </w:rPr>
        <w:t>and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301A3E">
        <w:rPr>
          <w:rFonts w:cs="Times New Roman"/>
          <w:color w:val="000000" w:themeColor="text1"/>
          <w:szCs w:val="24"/>
        </w:rPr>
        <w:t>embers)</w:t>
      </w:r>
      <w:r w:rsidRPr="00C317BB" w:rsidR="00410D91">
        <w:rPr>
          <w:rFonts w:cs="Times New Roman"/>
          <w:color w:val="000000" w:themeColor="text1"/>
          <w:szCs w:val="24"/>
        </w:rPr>
        <w:t>,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410D91">
        <w:rPr>
          <w:rFonts w:cs="Times New Roman"/>
          <w:color w:val="000000" w:themeColor="text1"/>
          <w:szCs w:val="24"/>
        </w:rPr>
        <w:t>patching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410D91">
        <w:rPr>
          <w:rFonts w:cs="Times New Roman"/>
          <w:color w:val="000000" w:themeColor="text1"/>
          <w:szCs w:val="24"/>
        </w:rPr>
        <w:t>compounds,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410D91">
        <w:rPr>
          <w:rFonts w:cs="Times New Roman"/>
          <w:color w:val="000000" w:themeColor="text1"/>
          <w:szCs w:val="24"/>
        </w:rPr>
        <w:t>and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410D91">
        <w:rPr>
          <w:rFonts w:cs="Times New Roman"/>
          <w:color w:val="000000" w:themeColor="text1"/>
          <w:szCs w:val="24"/>
        </w:rPr>
        <w:t>asbestos</w:t>
      </w:r>
      <w:r w:rsidRPr="00C317BB" w:rsidR="00E04C0F">
        <w:rPr>
          <w:rFonts w:cs="Times New Roman"/>
          <w:color w:val="000000" w:themeColor="text1"/>
          <w:szCs w:val="24"/>
        </w:rPr>
        <w:t>-</w:t>
      </w:r>
      <w:r w:rsidRPr="00C317BB" w:rsidR="00410D91">
        <w:rPr>
          <w:rFonts w:cs="Times New Roman"/>
          <w:color w:val="000000" w:themeColor="text1"/>
          <w:szCs w:val="24"/>
        </w:rPr>
        <w:t>containing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410D91">
        <w:rPr>
          <w:rFonts w:cs="Times New Roman"/>
          <w:color w:val="000000" w:themeColor="text1"/>
          <w:szCs w:val="24"/>
        </w:rPr>
        <w:t>garments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410D91">
        <w:rPr>
          <w:rFonts w:cs="Times New Roman"/>
          <w:color w:val="000000" w:themeColor="text1"/>
          <w:szCs w:val="24"/>
        </w:rPr>
        <w:t>for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410D91">
        <w:rPr>
          <w:rFonts w:cs="Times New Roman"/>
          <w:color w:val="000000" w:themeColor="text1"/>
          <w:szCs w:val="24"/>
        </w:rPr>
        <w:t>general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410D91">
        <w:rPr>
          <w:rFonts w:cs="Times New Roman"/>
          <w:color w:val="000000" w:themeColor="text1"/>
          <w:szCs w:val="24"/>
        </w:rPr>
        <w:t>use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C3741E">
        <w:rPr>
          <w:rFonts w:cs="Times New Roman"/>
          <w:color w:val="000000" w:themeColor="text1"/>
          <w:szCs w:val="24"/>
        </w:rPr>
        <w:t>(16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C3741E">
        <w:rPr>
          <w:rFonts w:cs="Times New Roman"/>
          <w:color w:val="000000" w:themeColor="text1"/>
          <w:szCs w:val="24"/>
        </w:rPr>
        <w:t>CFR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C3741E">
        <w:rPr>
          <w:rFonts w:cs="Times New Roman"/>
          <w:color w:val="000000" w:themeColor="text1"/>
          <w:szCs w:val="24"/>
        </w:rPr>
        <w:t>part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C3741E">
        <w:rPr>
          <w:rFonts w:cs="Times New Roman"/>
          <w:color w:val="000000" w:themeColor="text1"/>
          <w:szCs w:val="24"/>
        </w:rPr>
        <w:t>1305</w:t>
      </w:r>
      <w:r w:rsidRPr="00C317BB" w:rsidR="007A07D6">
        <w:rPr>
          <w:rFonts w:cs="Times New Roman"/>
          <w:color w:val="000000" w:themeColor="text1"/>
          <w:szCs w:val="24"/>
        </w:rPr>
        <w:t>;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C3741E">
        <w:rPr>
          <w:rFonts w:cs="Times New Roman"/>
          <w:color w:val="000000" w:themeColor="text1"/>
          <w:szCs w:val="24"/>
        </w:rPr>
        <w:t>16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C3741E">
        <w:rPr>
          <w:rFonts w:cs="Times New Roman"/>
          <w:color w:val="000000" w:themeColor="text1"/>
          <w:szCs w:val="24"/>
        </w:rPr>
        <w:t>CFR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C3741E">
        <w:rPr>
          <w:rFonts w:cs="Times New Roman"/>
          <w:color w:val="000000" w:themeColor="text1"/>
          <w:szCs w:val="24"/>
        </w:rPr>
        <w:t>part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C3741E">
        <w:rPr>
          <w:rFonts w:cs="Times New Roman"/>
          <w:color w:val="000000" w:themeColor="text1"/>
          <w:szCs w:val="24"/>
        </w:rPr>
        <w:t>1304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7A07D6">
        <w:rPr>
          <w:rFonts w:cs="Times New Roman"/>
          <w:color w:val="000000" w:themeColor="text1"/>
          <w:szCs w:val="24"/>
        </w:rPr>
        <w:t>and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7A07D6">
        <w:rPr>
          <w:rFonts w:cs="Times New Roman"/>
          <w:szCs w:val="24"/>
        </w:rPr>
        <w:t>16</w:t>
      </w:r>
      <w:r>
        <w:rPr>
          <w:rFonts w:cs="Times New Roman"/>
          <w:szCs w:val="24"/>
        </w:rPr>
        <w:t xml:space="preserve"> </w:t>
      </w:r>
      <w:r w:rsidRPr="00C317BB" w:rsidR="007A07D6">
        <w:rPr>
          <w:rFonts w:cs="Times New Roman"/>
          <w:szCs w:val="24"/>
        </w:rPr>
        <w:t>CFR</w:t>
      </w:r>
      <w:r>
        <w:rPr>
          <w:rFonts w:cs="Times New Roman"/>
          <w:szCs w:val="24"/>
        </w:rPr>
        <w:t xml:space="preserve"> </w:t>
      </w:r>
      <w:r w:rsidRPr="00C317BB" w:rsidR="007A07D6">
        <w:rPr>
          <w:rFonts w:cs="Times New Roman"/>
          <w:szCs w:val="24"/>
        </w:rPr>
        <w:t>1500.17(a)(7)</w:t>
      </w:r>
      <w:r w:rsidRPr="00C317BB" w:rsidR="00C3741E">
        <w:rPr>
          <w:rFonts w:cs="Times New Roman"/>
          <w:color w:val="000000" w:themeColor="text1"/>
          <w:szCs w:val="24"/>
        </w:rPr>
        <w:t>).</w:t>
      </w:r>
    </w:p>
    <w:p w:rsidRPr="00C317BB" w:rsidR="0073731A" w:rsidP="00F27167" w:rsidRDefault="00CA3EAB" w14:paraId="23E47075" w14:textId="646BF041">
      <w:pPr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ab/>
        <w:t>•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3731A">
        <w:rPr>
          <w:rFonts w:cs="Times New Roman"/>
          <w:i/>
          <w:color w:val="000000" w:themeColor="text1"/>
          <w:szCs w:val="24"/>
        </w:rPr>
        <w:t>Mine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73731A">
        <w:rPr>
          <w:rFonts w:cs="Times New Roman"/>
          <w:i/>
          <w:color w:val="000000" w:themeColor="text1"/>
          <w:szCs w:val="24"/>
        </w:rPr>
        <w:t>Safety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73731A">
        <w:rPr>
          <w:rFonts w:cs="Times New Roman"/>
          <w:i/>
          <w:color w:val="000000" w:themeColor="text1"/>
          <w:szCs w:val="24"/>
        </w:rPr>
        <w:t>and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73731A">
        <w:rPr>
          <w:rFonts w:cs="Times New Roman"/>
          <w:i/>
          <w:color w:val="000000" w:themeColor="text1"/>
          <w:szCs w:val="24"/>
        </w:rPr>
        <w:t>Health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73731A">
        <w:rPr>
          <w:rFonts w:cs="Times New Roman"/>
          <w:i/>
          <w:color w:val="000000" w:themeColor="text1"/>
          <w:szCs w:val="24"/>
        </w:rPr>
        <w:t>Administration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8E4535">
        <w:rPr>
          <w:rFonts w:cs="Times New Roman"/>
          <w:i/>
          <w:color w:val="000000" w:themeColor="text1"/>
          <w:szCs w:val="24"/>
        </w:rPr>
        <w:t>(MSHA).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E4535">
        <w:rPr>
          <w:rFonts w:cs="Times New Roman"/>
          <w:color w:val="000000" w:themeColor="text1"/>
          <w:szCs w:val="24"/>
        </w:rPr>
        <w:t>MSHA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E4535">
        <w:rPr>
          <w:rFonts w:cs="Times New Roman"/>
          <w:color w:val="000000" w:themeColor="text1"/>
          <w:szCs w:val="24"/>
        </w:rPr>
        <w:t>adopted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E4535">
        <w:rPr>
          <w:rFonts w:cs="Times New Roman"/>
          <w:color w:val="000000" w:themeColor="text1"/>
          <w:szCs w:val="24"/>
        </w:rPr>
        <w:t>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E4535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E4535">
        <w:rPr>
          <w:rFonts w:cs="Times New Roman"/>
          <w:color w:val="000000" w:themeColor="text1"/>
          <w:szCs w:val="24"/>
        </w:rPr>
        <w:t>standard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E4535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E4535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E4535">
        <w:rPr>
          <w:rFonts w:cs="Times New Roman"/>
          <w:color w:val="000000" w:themeColor="text1"/>
          <w:szCs w:val="24"/>
        </w:rPr>
        <w:t>limits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E4535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E4535">
        <w:rPr>
          <w:rFonts w:cs="Times New Roman"/>
          <w:color w:val="000000" w:themeColor="text1"/>
          <w:szCs w:val="24"/>
        </w:rPr>
        <w:t>airborne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E4535">
        <w:rPr>
          <w:rFonts w:cs="Times New Roman"/>
          <w:color w:val="000000" w:themeColor="text1"/>
          <w:szCs w:val="24"/>
        </w:rPr>
        <w:t>contaminants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E4535">
        <w:rPr>
          <w:rFonts w:cs="Times New Roman"/>
          <w:color w:val="000000" w:themeColor="text1"/>
          <w:szCs w:val="24"/>
        </w:rPr>
        <w:t>(30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E4535">
        <w:rPr>
          <w:rFonts w:cs="Times New Roman"/>
          <w:color w:val="000000" w:themeColor="text1"/>
          <w:szCs w:val="24"/>
        </w:rPr>
        <w:t>CFR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E4535">
        <w:rPr>
          <w:rFonts w:cs="Times New Roman"/>
          <w:color w:val="000000" w:themeColor="text1"/>
          <w:szCs w:val="24"/>
        </w:rPr>
        <w:t>parts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E4535">
        <w:rPr>
          <w:rFonts w:cs="Times New Roman"/>
          <w:color w:val="000000" w:themeColor="text1"/>
          <w:szCs w:val="24"/>
        </w:rPr>
        <w:t>56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E4535">
        <w:rPr>
          <w:rFonts w:cs="Times New Roman"/>
          <w:color w:val="000000" w:themeColor="text1"/>
          <w:szCs w:val="24"/>
        </w:rPr>
        <w:t>&amp;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E4535">
        <w:rPr>
          <w:rFonts w:cs="Times New Roman"/>
          <w:color w:val="000000" w:themeColor="text1"/>
          <w:szCs w:val="24"/>
        </w:rPr>
        <w:t>57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E4535">
        <w:rPr>
          <w:rFonts w:cs="Times New Roman"/>
          <w:color w:val="000000" w:themeColor="text1"/>
          <w:szCs w:val="24"/>
        </w:rPr>
        <w:t>(Subpart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E4535">
        <w:rPr>
          <w:rFonts w:cs="Times New Roman"/>
          <w:color w:val="000000" w:themeColor="text1"/>
          <w:szCs w:val="24"/>
        </w:rPr>
        <w:t>D)).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E4535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E4535">
        <w:rPr>
          <w:rFonts w:cs="Times New Roman"/>
          <w:color w:val="000000" w:themeColor="text1"/>
          <w:szCs w:val="24"/>
        </w:rPr>
        <w:t>these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E4535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E4535">
        <w:rPr>
          <w:rFonts w:cs="Times New Roman"/>
          <w:color w:val="000000" w:themeColor="text1"/>
          <w:szCs w:val="24"/>
        </w:rPr>
        <w:t>limits,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E4535">
        <w:rPr>
          <w:rFonts w:cs="Times New Roman"/>
          <w:color w:val="000000" w:themeColor="text1"/>
          <w:szCs w:val="24"/>
        </w:rPr>
        <w:t>MSHA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E4535">
        <w:rPr>
          <w:rFonts w:cs="Times New Roman"/>
          <w:color w:val="000000" w:themeColor="text1"/>
          <w:szCs w:val="24"/>
        </w:rPr>
        <w:t>identifies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E4535">
        <w:rPr>
          <w:rFonts w:cs="Times New Roman"/>
          <w:color w:val="000000" w:themeColor="text1"/>
          <w:szCs w:val="24"/>
        </w:rPr>
        <w:t>respiratory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E4535">
        <w:rPr>
          <w:rFonts w:cs="Times New Roman"/>
          <w:color w:val="000000" w:themeColor="text1"/>
          <w:szCs w:val="24"/>
        </w:rPr>
        <w:t>protection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E4535">
        <w:rPr>
          <w:rFonts w:cs="Times New Roman"/>
          <w:color w:val="000000" w:themeColor="text1"/>
          <w:szCs w:val="24"/>
        </w:rPr>
        <w:t>requirements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E4535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E4535">
        <w:rPr>
          <w:rFonts w:cs="Times New Roman"/>
          <w:color w:val="000000" w:themeColor="text1"/>
          <w:szCs w:val="24"/>
        </w:rPr>
        <w:t>mine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E4535">
        <w:rPr>
          <w:rFonts w:cs="Times New Roman"/>
          <w:color w:val="000000" w:themeColor="text1"/>
          <w:szCs w:val="24"/>
        </w:rPr>
        <w:t>workers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E4535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E4535">
        <w:rPr>
          <w:rFonts w:cs="Times New Roman"/>
          <w:color w:val="000000" w:themeColor="text1"/>
          <w:szCs w:val="24"/>
        </w:rPr>
        <w:t>both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E4535">
        <w:rPr>
          <w:rFonts w:cs="Times New Roman"/>
          <w:color w:val="000000" w:themeColor="text1"/>
          <w:szCs w:val="24"/>
        </w:rPr>
        <w:t>surface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E4535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E4535">
        <w:rPr>
          <w:rFonts w:cs="Times New Roman"/>
          <w:color w:val="000000" w:themeColor="text1"/>
          <w:szCs w:val="24"/>
        </w:rPr>
        <w:t>underground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E4535">
        <w:rPr>
          <w:rFonts w:cs="Times New Roman"/>
          <w:color w:val="000000" w:themeColor="text1"/>
          <w:szCs w:val="24"/>
        </w:rPr>
        <w:t>mines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458D0">
        <w:rPr>
          <w:rFonts w:cs="Times New Roman"/>
          <w:color w:val="000000" w:themeColor="text1"/>
          <w:szCs w:val="24"/>
        </w:rPr>
        <w:t>(</w:t>
      </w:r>
      <w:r w:rsidRPr="00C317BB" w:rsidR="0074092D">
        <w:rPr>
          <w:rFonts w:cs="Times New Roman"/>
          <w:color w:val="000000" w:themeColor="text1"/>
          <w:szCs w:val="24"/>
        </w:rPr>
        <w:t>Ref</w:t>
      </w:r>
      <w:r w:rsidRPr="00C317BB" w:rsidR="007458D0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4092D">
        <w:rPr>
          <w:rFonts w:cs="Times New Roman"/>
          <w:color w:val="000000" w:themeColor="text1"/>
          <w:szCs w:val="24"/>
        </w:rPr>
        <w:t>1</w:t>
      </w:r>
      <w:r w:rsidRPr="00C317BB" w:rsidR="007458D0">
        <w:rPr>
          <w:rFonts w:cs="Times New Roman"/>
          <w:color w:val="000000" w:themeColor="text1"/>
          <w:szCs w:val="24"/>
        </w:rPr>
        <w:t>)</w:t>
      </w:r>
      <w:r w:rsidRPr="00C317BB" w:rsidR="001617C0">
        <w:rPr>
          <w:rFonts w:cs="Times New Roman"/>
          <w:color w:val="000000" w:themeColor="text1"/>
          <w:szCs w:val="24"/>
        </w:rPr>
        <w:t>.</w:t>
      </w:r>
    </w:p>
    <w:p w:rsidRPr="00C317BB" w:rsidR="00DC6330" w:rsidP="00F27167" w:rsidRDefault="00530AB5" w14:paraId="0E7B12F0" w14:textId="1B5FDEF3">
      <w:pPr>
        <w:pStyle w:val="Heading3"/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3.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2F71">
        <w:rPr>
          <w:rFonts w:cs="Times New Roman"/>
          <w:color w:val="000000" w:themeColor="text1"/>
          <w:szCs w:val="24"/>
        </w:rPr>
        <w:t>State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B05C5">
        <w:rPr>
          <w:rFonts w:cs="Times New Roman"/>
          <w:color w:val="000000" w:themeColor="text1"/>
          <w:szCs w:val="24"/>
        </w:rPr>
        <w:t>a</w:t>
      </w:r>
      <w:r w:rsidRPr="00C317BB" w:rsidR="0015419E">
        <w:rPr>
          <w:rFonts w:cs="Times New Roman"/>
          <w:color w:val="000000" w:themeColor="text1"/>
          <w:szCs w:val="24"/>
        </w:rPr>
        <w:t>ctions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B05C5">
        <w:rPr>
          <w:rFonts w:cs="Times New Roman"/>
          <w:color w:val="000000" w:themeColor="text1"/>
          <w:szCs w:val="24"/>
        </w:rPr>
        <w:t>p</w:t>
      </w:r>
      <w:r w:rsidRPr="00C317BB" w:rsidR="00570356">
        <w:rPr>
          <w:rFonts w:cs="Times New Roman"/>
          <w:color w:val="000000" w:themeColor="text1"/>
          <w:szCs w:val="24"/>
        </w:rPr>
        <w:t>ertaining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75E74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B05C5">
        <w:rPr>
          <w:rFonts w:cs="Times New Roman"/>
          <w:color w:val="000000" w:themeColor="text1"/>
          <w:szCs w:val="24"/>
        </w:rPr>
        <w:t>c</w:t>
      </w:r>
      <w:r w:rsidRPr="00C317BB" w:rsidR="00E46CEC">
        <w:rPr>
          <w:rFonts w:cs="Times New Roman"/>
          <w:color w:val="000000" w:themeColor="text1"/>
          <w:szCs w:val="24"/>
        </w:rPr>
        <w:t>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B05C5">
        <w:rPr>
          <w:rFonts w:cs="Times New Roman"/>
          <w:color w:val="000000" w:themeColor="text1"/>
          <w:szCs w:val="24"/>
        </w:rPr>
        <w:t>a</w:t>
      </w:r>
      <w:r w:rsidRPr="00C317BB" w:rsidR="00632E8C">
        <w:rPr>
          <w:rFonts w:cs="Times New Roman"/>
          <w:color w:val="000000" w:themeColor="text1"/>
          <w:szCs w:val="24"/>
        </w:rPr>
        <w:t>s</w:t>
      </w:r>
      <w:r w:rsidRPr="00C317BB" w:rsidR="00E46CEC">
        <w:rPr>
          <w:rFonts w:cs="Times New Roman"/>
          <w:color w:val="000000" w:themeColor="text1"/>
          <w:szCs w:val="24"/>
        </w:rPr>
        <w:t>bestos</w:t>
      </w:r>
      <w:r w:rsidRPr="00C317BB" w:rsidR="0044368C">
        <w:rPr>
          <w:rFonts w:cs="Times New Roman"/>
          <w:color w:val="000000" w:themeColor="text1"/>
          <w:szCs w:val="24"/>
        </w:rPr>
        <w:t>.</w:t>
      </w:r>
    </w:p>
    <w:p w:rsidRPr="00C317BB" w:rsidR="004A746D" w:rsidP="00F27167" w:rsidRDefault="00341D01" w14:paraId="229249F2" w14:textId="1C153C59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Pursuant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AHERA</w:t>
      </w:r>
      <w:r w:rsidRPr="00C317BB" w:rsidR="007C3797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C761E">
        <w:rPr>
          <w:rFonts w:cs="Times New Roman"/>
          <w:color w:val="000000" w:themeColor="text1"/>
          <w:szCs w:val="24"/>
        </w:rPr>
        <w:t>many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5A3C">
        <w:rPr>
          <w:rFonts w:cs="Times New Roman"/>
          <w:color w:val="000000" w:themeColor="text1"/>
          <w:szCs w:val="24"/>
        </w:rPr>
        <w:t>states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5A3C">
        <w:rPr>
          <w:rFonts w:cs="Times New Roman"/>
          <w:color w:val="000000" w:themeColor="text1"/>
          <w:szCs w:val="24"/>
        </w:rPr>
        <w:t>have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5A3C">
        <w:rPr>
          <w:rFonts w:cs="Times New Roman"/>
          <w:color w:val="000000" w:themeColor="text1"/>
          <w:szCs w:val="24"/>
        </w:rPr>
        <w:t>adopted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5A3C">
        <w:rPr>
          <w:rFonts w:cs="Times New Roman"/>
          <w:color w:val="000000" w:themeColor="text1"/>
          <w:szCs w:val="24"/>
        </w:rPr>
        <w:t>EPA’s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86E4E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E4535">
        <w:rPr>
          <w:rFonts w:cs="Times New Roman"/>
          <w:color w:val="000000" w:themeColor="text1"/>
          <w:szCs w:val="24"/>
        </w:rPr>
        <w:t>Model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E4535">
        <w:rPr>
          <w:rFonts w:cs="Times New Roman"/>
          <w:color w:val="000000" w:themeColor="text1"/>
          <w:szCs w:val="24"/>
        </w:rPr>
        <w:t>Accreditation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E4535">
        <w:rPr>
          <w:rFonts w:cs="Times New Roman"/>
          <w:color w:val="000000" w:themeColor="text1"/>
          <w:szCs w:val="24"/>
        </w:rPr>
        <w:t>Plan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E4535">
        <w:rPr>
          <w:rFonts w:cs="Times New Roman"/>
          <w:color w:val="000000" w:themeColor="text1"/>
          <w:szCs w:val="24"/>
        </w:rPr>
        <w:t>(</w:t>
      </w:r>
      <w:r w:rsidRPr="00C317BB" w:rsidR="00155A3C">
        <w:rPr>
          <w:rFonts w:cs="Times New Roman"/>
          <w:color w:val="000000" w:themeColor="text1"/>
          <w:szCs w:val="24"/>
        </w:rPr>
        <w:t>MAP</w:t>
      </w:r>
      <w:r w:rsidRPr="00C317BB" w:rsidR="008E4535">
        <w:rPr>
          <w:rFonts w:cs="Times New Roman"/>
          <w:color w:val="000000" w:themeColor="text1"/>
          <w:szCs w:val="24"/>
        </w:rPr>
        <w:t>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1E47">
        <w:rPr>
          <w:rFonts w:cs="Times New Roman"/>
          <w:color w:val="000000" w:themeColor="text1"/>
          <w:szCs w:val="24"/>
        </w:rPr>
        <w:t>(Appendix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1E47">
        <w:rPr>
          <w:rFonts w:cs="Times New Roman"/>
          <w:color w:val="000000" w:themeColor="text1"/>
          <w:szCs w:val="24"/>
        </w:rPr>
        <w:t>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1E47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1E47">
        <w:rPr>
          <w:rFonts w:cs="Times New Roman"/>
          <w:color w:val="000000" w:themeColor="text1"/>
          <w:szCs w:val="24"/>
        </w:rPr>
        <w:t>40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1E47">
        <w:rPr>
          <w:rFonts w:cs="Times New Roman"/>
          <w:color w:val="000000" w:themeColor="text1"/>
          <w:szCs w:val="24"/>
        </w:rPr>
        <w:t>CFR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1E47">
        <w:rPr>
          <w:rFonts w:cs="Times New Roman"/>
          <w:color w:val="000000" w:themeColor="text1"/>
          <w:szCs w:val="24"/>
        </w:rPr>
        <w:t>part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1E47">
        <w:rPr>
          <w:rFonts w:cs="Times New Roman"/>
          <w:color w:val="000000" w:themeColor="text1"/>
          <w:szCs w:val="24"/>
        </w:rPr>
        <w:t>763,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1E47">
        <w:rPr>
          <w:rFonts w:cs="Times New Roman"/>
          <w:color w:val="000000" w:themeColor="text1"/>
          <w:szCs w:val="24"/>
        </w:rPr>
        <w:t>subpart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1E47">
        <w:rPr>
          <w:rFonts w:cs="Times New Roman"/>
          <w:color w:val="000000" w:themeColor="text1"/>
          <w:szCs w:val="24"/>
        </w:rPr>
        <w:t>E)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5A3C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5A3C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52BD">
        <w:rPr>
          <w:rFonts w:cs="Times New Roman"/>
          <w:color w:val="000000" w:themeColor="text1"/>
          <w:szCs w:val="24"/>
        </w:rPr>
        <w:t>abat</w:t>
      </w:r>
      <w:r w:rsidRPr="00C317BB" w:rsidR="00155A3C">
        <w:rPr>
          <w:rFonts w:cs="Times New Roman"/>
          <w:color w:val="000000" w:themeColor="text1"/>
          <w:szCs w:val="24"/>
        </w:rPr>
        <w:t>ement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5A3C">
        <w:rPr>
          <w:rFonts w:cs="Times New Roman"/>
          <w:color w:val="000000" w:themeColor="text1"/>
          <w:szCs w:val="24"/>
        </w:rPr>
        <w:t>professionals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5A3C">
        <w:rPr>
          <w:rFonts w:cs="Times New Roman"/>
          <w:color w:val="000000" w:themeColor="text1"/>
          <w:szCs w:val="24"/>
        </w:rPr>
        <w:t>who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C761E">
        <w:rPr>
          <w:rFonts w:cs="Times New Roman"/>
          <w:color w:val="000000" w:themeColor="text1"/>
          <w:szCs w:val="24"/>
        </w:rPr>
        <w:t>perform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5A3C">
        <w:rPr>
          <w:rFonts w:cs="Times New Roman"/>
          <w:color w:val="000000" w:themeColor="text1"/>
          <w:szCs w:val="24"/>
        </w:rPr>
        <w:t>work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5A3C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5A3C">
        <w:rPr>
          <w:rFonts w:cs="Times New Roman"/>
          <w:color w:val="000000" w:themeColor="text1"/>
          <w:szCs w:val="24"/>
        </w:rPr>
        <w:t>schools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5A3C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5A3C">
        <w:rPr>
          <w:rFonts w:cs="Times New Roman"/>
          <w:color w:val="000000" w:themeColor="text1"/>
          <w:szCs w:val="24"/>
        </w:rPr>
        <w:t>public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5A3C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5A3C">
        <w:rPr>
          <w:rFonts w:cs="Times New Roman"/>
          <w:color w:val="000000" w:themeColor="text1"/>
          <w:szCs w:val="24"/>
        </w:rPr>
        <w:t>commercial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5A3C">
        <w:rPr>
          <w:rFonts w:cs="Times New Roman"/>
          <w:color w:val="000000" w:themeColor="text1"/>
          <w:szCs w:val="24"/>
        </w:rPr>
        <w:t>buildings.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62AA7">
        <w:rPr>
          <w:rFonts w:cs="Times New Roman"/>
          <w:color w:val="000000" w:themeColor="text1"/>
          <w:szCs w:val="24"/>
        </w:rPr>
        <w:t>Thirty-nine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62AA7">
        <w:rPr>
          <w:rFonts w:cs="Times New Roman"/>
          <w:color w:val="000000" w:themeColor="text1"/>
          <w:szCs w:val="24"/>
        </w:rPr>
        <w:t>states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62AA7">
        <w:rPr>
          <w:rFonts w:cs="Times New Roman"/>
          <w:color w:val="000000" w:themeColor="text1"/>
          <w:szCs w:val="24"/>
        </w:rPr>
        <w:t>have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62AA7">
        <w:rPr>
          <w:rFonts w:cs="Times New Roman"/>
          <w:color w:val="000000" w:themeColor="text1"/>
          <w:szCs w:val="24"/>
        </w:rPr>
        <w:t>EPA-approved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62AA7">
        <w:rPr>
          <w:rFonts w:cs="Times New Roman"/>
          <w:color w:val="000000" w:themeColor="text1"/>
          <w:szCs w:val="24"/>
        </w:rPr>
        <w:t>MAP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62AA7">
        <w:rPr>
          <w:rFonts w:cs="Times New Roman"/>
          <w:color w:val="000000" w:themeColor="text1"/>
          <w:szCs w:val="24"/>
        </w:rPr>
        <w:t>programs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62AA7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7EDC">
        <w:rPr>
          <w:rFonts w:cs="Times New Roman"/>
          <w:color w:val="000000" w:themeColor="text1"/>
          <w:szCs w:val="24"/>
        </w:rPr>
        <w:t>separately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62AA7">
        <w:rPr>
          <w:rFonts w:cs="Times New Roman"/>
          <w:color w:val="000000" w:themeColor="text1"/>
          <w:szCs w:val="24"/>
        </w:rPr>
        <w:t>twelve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62AA7">
        <w:rPr>
          <w:rFonts w:cs="Times New Roman"/>
          <w:color w:val="000000" w:themeColor="text1"/>
          <w:szCs w:val="24"/>
        </w:rPr>
        <w:t>states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97C5A">
        <w:rPr>
          <w:rFonts w:cs="Times New Roman"/>
          <w:color w:val="000000" w:themeColor="text1"/>
          <w:szCs w:val="24"/>
        </w:rPr>
        <w:t>have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97C5A">
        <w:rPr>
          <w:rFonts w:cs="Times New Roman"/>
          <w:color w:val="000000" w:themeColor="text1"/>
          <w:szCs w:val="24"/>
        </w:rPr>
        <w:t>also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97C5A">
        <w:rPr>
          <w:rFonts w:cs="Times New Roman"/>
          <w:color w:val="000000" w:themeColor="text1"/>
          <w:szCs w:val="24"/>
        </w:rPr>
        <w:t>applied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97C5A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97C5A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97C5A">
        <w:rPr>
          <w:rFonts w:cs="Times New Roman"/>
          <w:color w:val="000000" w:themeColor="text1"/>
          <w:szCs w:val="24"/>
        </w:rPr>
        <w:t>received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97C5A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97C5A">
        <w:rPr>
          <w:rFonts w:cs="Times New Roman"/>
          <w:color w:val="000000" w:themeColor="text1"/>
          <w:szCs w:val="24"/>
        </w:rPr>
        <w:t>waiver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97C5A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97C5A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97C5A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97C5A">
        <w:rPr>
          <w:rFonts w:cs="Times New Roman"/>
          <w:color w:val="000000" w:themeColor="text1"/>
          <w:szCs w:val="24"/>
        </w:rPr>
        <w:t>oversee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97C5A">
        <w:rPr>
          <w:rFonts w:cs="Times New Roman"/>
          <w:color w:val="000000" w:themeColor="text1"/>
          <w:szCs w:val="24"/>
        </w:rPr>
        <w:t>implementation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97C5A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977F4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97C5A">
        <w:rPr>
          <w:rFonts w:cs="Times New Roman"/>
          <w:color w:val="000000" w:themeColor="text1"/>
          <w:szCs w:val="24"/>
        </w:rPr>
        <w:t>Asbestos-Containing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97C5A">
        <w:rPr>
          <w:rFonts w:cs="Times New Roman"/>
          <w:color w:val="000000" w:themeColor="text1"/>
          <w:szCs w:val="24"/>
        </w:rPr>
        <w:t>Mater</w:t>
      </w:r>
      <w:r w:rsidRPr="00C317BB" w:rsidR="002977F4">
        <w:rPr>
          <w:rFonts w:cs="Times New Roman"/>
          <w:color w:val="000000" w:themeColor="text1"/>
          <w:szCs w:val="24"/>
        </w:rPr>
        <w:t>i</w:t>
      </w:r>
      <w:r w:rsidRPr="00C317BB" w:rsidR="00397C5A">
        <w:rPr>
          <w:rFonts w:cs="Times New Roman"/>
          <w:color w:val="000000" w:themeColor="text1"/>
          <w:szCs w:val="24"/>
        </w:rPr>
        <w:t>als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97C5A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97C5A">
        <w:rPr>
          <w:rFonts w:cs="Times New Roman"/>
          <w:color w:val="000000" w:themeColor="text1"/>
          <w:szCs w:val="24"/>
        </w:rPr>
        <w:t>Schools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97C5A">
        <w:rPr>
          <w:rFonts w:cs="Times New Roman"/>
          <w:color w:val="000000" w:themeColor="text1"/>
          <w:szCs w:val="24"/>
        </w:rPr>
        <w:t>Rule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1E47">
        <w:rPr>
          <w:rFonts w:cs="Times New Roman"/>
          <w:color w:val="000000" w:themeColor="text1"/>
          <w:szCs w:val="24"/>
        </w:rPr>
        <w:t>(40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1E47">
        <w:rPr>
          <w:rFonts w:cs="Times New Roman"/>
          <w:color w:val="000000" w:themeColor="text1"/>
          <w:szCs w:val="24"/>
        </w:rPr>
        <w:t>CFR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1E47">
        <w:rPr>
          <w:rFonts w:cs="Times New Roman"/>
          <w:color w:val="000000" w:themeColor="text1"/>
          <w:szCs w:val="24"/>
        </w:rPr>
        <w:t>part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1E47">
        <w:rPr>
          <w:rFonts w:cs="Times New Roman"/>
          <w:color w:val="000000" w:themeColor="text1"/>
          <w:szCs w:val="24"/>
        </w:rPr>
        <w:t>763,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1E47">
        <w:rPr>
          <w:rFonts w:cs="Times New Roman"/>
          <w:color w:val="000000" w:themeColor="text1"/>
          <w:szCs w:val="24"/>
        </w:rPr>
        <w:t>subpart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1E47">
        <w:rPr>
          <w:rFonts w:cs="Times New Roman"/>
          <w:color w:val="000000" w:themeColor="text1"/>
          <w:szCs w:val="24"/>
        </w:rPr>
        <w:t>E)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97C5A">
        <w:rPr>
          <w:rFonts w:cs="Times New Roman"/>
          <w:color w:val="000000" w:themeColor="text1"/>
          <w:szCs w:val="24"/>
        </w:rPr>
        <w:t>pursuant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97C5A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97C5A">
        <w:rPr>
          <w:rFonts w:cs="Times New Roman"/>
          <w:color w:val="000000" w:themeColor="text1"/>
          <w:szCs w:val="24"/>
        </w:rPr>
        <w:t>AHERA</w:t>
      </w:r>
      <w:r w:rsidRPr="00C317BB" w:rsidR="00C62373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62373">
        <w:rPr>
          <w:rFonts w:cs="Times New Roman"/>
          <w:color w:val="000000" w:themeColor="text1"/>
          <w:szCs w:val="24"/>
        </w:rPr>
        <w:t>States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62373">
        <w:rPr>
          <w:rFonts w:cs="Times New Roman"/>
          <w:color w:val="000000" w:themeColor="text1"/>
          <w:szCs w:val="24"/>
        </w:rPr>
        <w:t>also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62373">
        <w:rPr>
          <w:rFonts w:cs="Times New Roman"/>
          <w:color w:val="000000" w:themeColor="text1"/>
          <w:szCs w:val="24"/>
        </w:rPr>
        <w:t>implement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62373">
        <w:rPr>
          <w:rFonts w:cs="Times New Roman"/>
          <w:color w:val="000000" w:themeColor="text1"/>
          <w:szCs w:val="24"/>
        </w:rPr>
        <w:t>regulations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62373">
        <w:rPr>
          <w:rFonts w:cs="Times New Roman"/>
          <w:color w:val="000000" w:themeColor="text1"/>
          <w:szCs w:val="24"/>
        </w:rPr>
        <w:t>pursuant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62373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62373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D538E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D538E">
        <w:rPr>
          <w:rFonts w:cs="Times New Roman"/>
          <w:color w:val="000000" w:themeColor="text1"/>
          <w:szCs w:val="24"/>
        </w:rPr>
        <w:t>NESHAP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D538E">
        <w:rPr>
          <w:rFonts w:cs="Times New Roman"/>
          <w:color w:val="000000" w:themeColor="text1"/>
          <w:szCs w:val="24"/>
        </w:rPr>
        <w:t>regulations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1E47">
        <w:rPr>
          <w:rFonts w:cs="Times New Roman"/>
          <w:color w:val="000000" w:themeColor="text1"/>
          <w:szCs w:val="24"/>
        </w:rPr>
        <w:t>(40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1E47">
        <w:rPr>
          <w:rFonts w:cs="Times New Roman"/>
          <w:color w:val="000000" w:themeColor="text1"/>
          <w:szCs w:val="24"/>
        </w:rPr>
        <w:t>CFR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1E47">
        <w:rPr>
          <w:rFonts w:cs="Times New Roman"/>
          <w:color w:val="000000" w:themeColor="text1"/>
          <w:szCs w:val="24"/>
        </w:rPr>
        <w:t>part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1E47">
        <w:rPr>
          <w:rFonts w:cs="Times New Roman"/>
          <w:color w:val="000000" w:themeColor="text1"/>
          <w:szCs w:val="24"/>
        </w:rPr>
        <w:t>61,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1E47">
        <w:rPr>
          <w:rFonts w:cs="Times New Roman"/>
          <w:color w:val="000000" w:themeColor="text1"/>
          <w:szCs w:val="24"/>
        </w:rPr>
        <w:t>subpart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1E47">
        <w:rPr>
          <w:rFonts w:cs="Times New Roman"/>
          <w:color w:val="000000" w:themeColor="text1"/>
          <w:szCs w:val="24"/>
        </w:rPr>
        <w:t>M)</w:t>
      </w:r>
      <w:r w:rsidRPr="00C317BB" w:rsidR="007608F2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608F2">
        <w:rPr>
          <w:rFonts w:cs="Times New Roman"/>
          <w:color w:val="000000" w:themeColor="text1"/>
          <w:szCs w:val="24"/>
        </w:rPr>
        <w:t>While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86E4E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86E4E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86E4E">
        <w:rPr>
          <w:rFonts w:cs="Times New Roman"/>
          <w:color w:val="000000" w:themeColor="text1"/>
          <w:szCs w:val="24"/>
        </w:rPr>
        <w:t>MAP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86E4E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86E4E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86E4E">
        <w:rPr>
          <w:rFonts w:cs="Times New Roman"/>
          <w:color w:val="000000" w:themeColor="text1"/>
          <w:szCs w:val="24"/>
        </w:rPr>
        <w:t>NESHAP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86E4E">
        <w:rPr>
          <w:rFonts w:cs="Times New Roman"/>
          <w:color w:val="000000" w:themeColor="text1"/>
          <w:szCs w:val="24"/>
        </w:rPr>
        <w:t>regulations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608F2">
        <w:rPr>
          <w:rFonts w:cs="Times New Roman"/>
          <w:color w:val="000000" w:themeColor="text1"/>
          <w:szCs w:val="24"/>
        </w:rPr>
        <w:t>set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608F2">
        <w:rPr>
          <w:rFonts w:cs="Times New Roman"/>
          <w:color w:val="000000" w:themeColor="text1"/>
          <w:szCs w:val="24"/>
        </w:rPr>
        <w:t>minimum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86E4E">
        <w:rPr>
          <w:rFonts w:cs="Times New Roman"/>
          <w:color w:val="000000" w:themeColor="text1"/>
          <w:szCs w:val="24"/>
        </w:rPr>
        <w:t>national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608F2">
        <w:rPr>
          <w:rFonts w:cs="Times New Roman"/>
          <w:color w:val="000000" w:themeColor="text1"/>
          <w:szCs w:val="24"/>
        </w:rPr>
        <w:t>standards,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608F2">
        <w:rPr>
          <w:rFonts w:cs="Times New Roman"/>
          <w:color w:val="000000" w:themeColor="text1"/>
          <w:szCs w:val="24"/>
        </w:rPr>
        <w:t>states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608F2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608F2">
        <w:rPr>
          <w:rFonts w:cs="Times New Roman"/>
          <w:color w:val="000000" w:themeColor="text1"/>
          <w:szCs w:val="24"/>
        </w:rPr>
        <w:t>free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608F2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608F2">
        <w:rPr>
          <w:rFonts w:cs="Times New Roman"/>
          <w:color w:val="000000" w:themeColor="text1"/>
          <w:szCs w:val="24"/>
        </w:rPr>
        <w:t>impose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608F2">
        <w:rPr>
          <w:rFonts w:cs="Times New Roman"/>
          <w:color w:val="000000" w:themeColor="text1"/>
          <w:szCs w:val="24"/>
        </w:rPr>
        <w:t>more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608F2">
        <w:rPr>
          <w:rFonts w:cs="Times New Roman"/>
          <w:color w:val="000000" w:themeColor="text1"/>
          <w:szCs w:val="24"/>
        </w:rPr>
        <w:t>stringent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608F2">
        <w:rPr>
          <w:rFonts w:cs="Times New Roman"/>
          <w:color w:val="000000" w:themeColor="text1"/>
          <w:szCs w:val="24"/>
        </w:rPr>
        <w:t>regulations.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35F0B">
        <w:rPr>
          <w:rFonts w:cs="Times New Roman"/>
          <w:color w:val="000000" w:themeColor="text1"/>
          <w:szCs w:val="24"/>
        </w:rPr>
        <w:t>Also</w:t>
      </w:r>
      <w:r w:rsidRPr="00C317BB" w:rsidR="006E526C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E0A2B">
        <w:rPr>
          <w:rFonts w:cs="Times New Roman"/>
          <w:color w:val="000000" w:themeColor="text1"/>
          <w:szCs w:val="24"/>
        </w:rPr>
        <w:t>both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B7B53">
        <w:rPr>
          <w:rFonts w:cs="Times New Roman"/>
          <w:color w:val="000000" w:themeColor="text1"/>
          <w:szCs w:val="24"/>
        </w:rPr>
        <w:t>California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B7B53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B7B53">
        <w:rPr>
          <w:rFonts w:cs="Times New Roman"/>
          <w:color w:val="000000" w:themeColor="text1"/>
          <w:szCs w:val="24"/>
        </w:rPr>
        <w:t>Washington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B7B53">
        <w:rPr>
          <w:rFonts w:cs="Times New Roman"/>
          <w:color w:val="000000" w:themeColor="text1"/>
          <w:szCs w:val="24"/>
        </w:rPr>
        <w:t>p</w:t>
      </w:r>
      <w:r w:rsidRPr="00C317BB" w:rsidR="00177A15">
        <w:rPr>
          <w:rFonts w:cs="Times New Roman"/>
          <w:color w:val="000000" w:themeColor="text1"/>
          <w:szCs w:val="24"/>
        </w:rPr>
        <w:t>rohibit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B58C5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77A15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77A15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77A15">
        <w:rPr>
          <w:rFonts w:cs="Times New Roman"/>
          <w:color w:val="000000" w:themeColor="text1"/>
          <w:szCs w:val="24"/>
        </w:rPr>
        <w:t>more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77A15">
        <w:rPr>
          <w:rFonts w:cs="Times New Roman"/>
          <w:color w:val="000000" w:themeColor="text1"/>
          <w:szCs w:val="24"/>
        </w:rPr>
        <w:t>than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77A15">
        <w:rPr>
          <w:rFonts w:cs="Times New Roman"/>
          <w:color w:val="000000" w:themeColor="text1"/>
          <w:szCs w:val="24"/>
        </w:rPr>
        <w:t>0.1%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77A15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77A15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77A15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77A15">
        <w:rPr>
          <w:rFonts w:cs="Times New Roman"/>
          <w:color w:val="000000" w:themeColor="text1"/>
          <w:szCs w:val="24"/>
        </w:rPr>
        <w:t>brake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77A15">
        <w:rPr>
          <w:rFonts w:cs="Times New Roman"/>
          <w:color w:val="000000" w:themeColor="text1"/>
          <w:szCs w:val="24"/>
        </w:rPr>
        <w:t>pads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77A15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77A15">
        <w:rPr>
          <w:rFonts w:cs="Times New Roman"/>
          <w:color w:val="000000" w:themeColor="text1"/>
          <w:szCs w:val="24"/>
        </w:rPr>
        <w:t>require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77A15">
        <w:rPr>
          <w:rFonts w:cs="Times New Roman"/>
          <w:color w:val="000000" w:themeColor="text1"/>
          <w:szCs w:val="24"/>
        </w:rPr>
        <w:t>laboratory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77A15">
        <w:rPr>
          <w:rFonts w:cs="Times New Roman"/>
          <w:color w:val="000000" w:themeColor="text1"/>
          <w:szCs w:val="24"/>
        </w:rPr>
        <w:t>testing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A0338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A0338">
        <w:rPr>
          <w:rFonts w:cs="Times New Roman"/>
          <w:color w:val="000000" w:themeColor="text1"/>
          <w:szCs w:val="24"/>
        </w:rPr>
        <w:t>brake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A0338">
        <w:rPr>
          <w:rFonts w:cs="Times New Roman"/>
          <w:color w:val="000000" w:themeColor="text1"/>
          <w:szCs w:val="24"/>
        </w:rPr>
        <w:t>pads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77A15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77A15">
        <w:rPr>
          <w:rFonts w:cs="Times New Roman"/>
          <w:color w:val="000000" w:themeColor="text1"/>
          <w:szCs w:val="24"/>
        </w:rPr>
        <w:t>labeling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C3BFC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C3BFC">
        <w:rPr>
          <w:rFonts w:cs="Times New Roman"/>
          <w:color w:val="000000" w:themeColor="text1"/>
          <w:szCs w:val="24"/>
        </w:rPr>
        <w:t>certify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C3BFC">
        <w:rPr>
          <w:rFonts w:cs="Times New Roman"/>
          <w:color w:val="000000" w:themeColor="text1"/>
          <w:szCs w:val="24"/>
        </w:rPr>
        <w:t>compliance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C3BFC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C3BFC">
        <w:rPr>
          <w:rFonts w:cs="Times New Roman"/>
          <w:color w:val="000000" w:themeColor="text1"/>
          <w:szCs w:val="24"/>
        </w:rPr>
        <w:t>the</w:t>
      </w:r>
      <w:r w:rsidRPr="00C317BB" w:rsidR="00492E35">
        <w:rPr>
          <w:rFonts w:cs="Times New Roman"/>
          <w:color w:val="000000" w:themeColor="text1"/>
          <w:szCs w:val="24"/>
        </w:rPr>
        <w:t>ir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C3BFC">
        <w:rPr>
          <w:rFonts w:cs="Times New Roman"/>
          <w:color w:val="000000" w:themeColor="text1"/>
          <w:szCs w:val="24"/>
        </w:rPr>
        <w:t>regulation</w:t>
      </w:r>
      <w:r w:rsidRPr="00C317BB" w:rsidR="00492E35">
        <w:rPr>
          <w:rFonts w:cs="Times New Roman"/>
          <w:color w:val="000000" w:themeColor="text1"/>
          <w:szCs w:val="24"/>
        </w:rPr>
        <w:t>s</w:t>
      </w:r>
      <w:r w:rsidRPr="00C317BB" w:rsidR="00177A15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4A746D" w:rsidP="00F27167" w:rsidRDefault="00CE4A7A" w14:paraId="188F5D2D" w14:textId="1BECE055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42707">
        <w:rPr>
          <w:rFonts w:cs="Times New Roman"/>
          <w:color w:val="000000" w:themeColor="text1"/>
          <w:szCs w:val="24"/>
        </w:rPr>
        <w:t>list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42707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7168A">
        <w:rPr>
          <w:rFonts w:cs="Times New Roman"/>
          <w:color w:val="000000" w:themeColor="text1"/>
          <w:szCs w:val="24"/>
        </w:rPr>
        <w:t>state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7168A">
        <w:rPr>
          <w:rFonts w:cs="Times New Roman"/>
          <w:color w:val="000000" w:themeColor="text1"/>
          <w:szCs w:val="24"/>
        </w:rPr>
        <w:t>regulations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7168A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7168A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7168A">
        <w:rPr>
          <w:rFonts w:cs="Times New Roman"/>
          <w:color w:val="000000" w:themeColor="text1"/>
          <w:szCs w:val="24"/>
        </w:rPr>
        <w:t>independent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7168A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7168A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7168A">
        <w:rPr>
          <w:rFonts w:cs="Times New Roman"/>
          <w:color w:val="000000" w:themeColor="text1"/>
          <w:szCs w:val="24"/>
        </w:rPr>
        <w:t>federal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7168A">
        <w:rPr>
          <w:rFonts w:cs="Times New Roman"/>
          <w:color w:val="000000" w:themeColor="text1"/>
          <w:szCs w:val="24"/>
        </w:rPr>
        <w:t>AHERA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7168A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7168A">
        <w:rPr>
          <w:rFonts w:cs="Times New Roman"/>
          <w:color w:val="000000" w:themeColor="text1"/>
          <w:szCs w:val="24"/>
        </w:rPr>
        <w:t>NESHAP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7168A">
        <w:rPr>
          <w:rFonts w:cs="Times New Roman"/>
          <w:color w:val="000000" w:themeColor="text1"/>
          <w:szCs w:val="24"/>
        </w:rPr>
        <w:t>requirements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7168A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7168A">
        <w:rPr>
          <w:rFonts w:cs="Times New Roman"/>
          <w:color w:val="000000" w:themeColor="text1"/>
          <w:szCs w:val="24"/>
        </w:rPr>
        <w:t>states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7168A">
        <w:rPr>
          <w:rFonts w:cs="Times New Roman"/>
          <w:color w:val="000000" w:themeColor="text1"/>
          <w:szCs w:val="24"/>
        </w:rPr>
        <w:t>implement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Appendix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Evaluation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(Ref.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4092D">
        <w:rPr>
          <w:rFonts w:cs="Times New Roman"/>
          <w:color w:val="000000" w:themeColor="text1"/>
          <w:szCs w:val="24"/>
        </w:rPr>
        <w:t>1</w:t>
      </w:r>
      <w:r w:rsidRPr="00C317BB">
        <w:rPr>
          <w:rFonts w:cs="Times New Roman"/>
          <w:color w:val="000000" w:themeColor="text1"/>
          <w:szCs w:val="24"/>
        </w:rPr>
        <w:t>).</w:t>
      </w:r>
    </w:p>
    <w:p w:rsidRPr="00C317BB" w:rsidR="00DC6330" w:rsidP="00F27167" w:rsidRDefault="00530AB5" w14:paraId="7E36FC8D" w14:textId="1310A3C3">
      <w:pPr>
        <w:pStyle w:val="Heading3"/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4.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2F71">
        <w:rPr>
          <w:rFonts w:cs="Times New Roman"/>
          <w:color w:val="000000" w:themeColor="text1"/>
          <w:szCs w:val="24"/>
        </w:rPr>
        <w:t>International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392F">
        <w:rPr>
          <w:rFonts w:cs="Times New Roman"/>
          <w:color w:val="000000" w:themeColor="text1"/>
          <w:szCs w:val="24"/>
        </w:rPr>
        <w:t>a</w:t>
      </w:r>
      <w:r w:rsidRPr="00C317BB" w:rsidR="00570356">
        <w:rPr>
          <w:rFonts w:cs="Times New Roman"/>
          <w:color w:val="000000" w:themeColor="text1"/>
          <w:szCs w:val="24"/>
        </w:rPr>
        <w:t>ctions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392F">
        <w:rPr>
          <w:rFonts w:cs="Times New Roman"/>
          <w:color w:val="000000" w:themeColor="text1"/>
          <w:szCs w:val="24"/>
        </w:rPr>
        <w:t>p</w:t>
      </w:r>
      <w:r w:rsidRPr="00C317BB" w:rsidR="00613397">
        <w:rPr>
          <w:rFonts w:cs="Times New Roman"/>
          <w:color w:val="000000" w:themeColor="text1"/>
          <w:szCs w:val="24"/>
        </w:rPr>
        <w:t>ertaining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13397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392F">
        <w:rPr>
          <w:rFonts w:cs="Times New Roman"/>
          <w:color w:val="000000" w:themeColor="text1"/>
          <w:szCs w:val="24"/>
        </w:rPr>
        <w:t>c</w:t>
      </w:r>
      <w:r w:rsidRPr="00C317BB" w:rsidR="005D2A0E">
        <w:rPr>
          <w:rFonts w:cs="Times New Roman"/>
          <w:color w:val="000000" w:themeColor="text1"/>
          <w:szCs w:val="24"/>
        </w:rPr>
        <w:t>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392F">
        <w:rPr>
          <w:rFonts w:cs="Times New Roman"/>
          <w:color w:val="000000" w:themeColor="text1"/>
          <w:szCs w:val="24"/>
        </w:rPr>
        <w:t>a</w:t>
      </w:r>
      <w:r w:rsidRPr="00C317BB" w:rsidR="005D2A0E">
        <w:rPr>
          <w:rFonts w:cs="Times New Roman"/>
          <w:color w:val="000000" w:themeColor="text1"/>
          <w:szCs w:val="24"/>
        </w:rPr>
        <w:t>sbestos</w:t>
      </w:r>
      <w:r w:rsidRPr="00C317BB" w:rsidR="00EE651A">
        <w:rPr>
          <w:rFonts w:cs="Times New Roman"/>
          <w:color w:val="000000" w:themeColor="text1"/>
          <w:szCs w:val="24"/>
        </w:rPr>
        <w:t>.</w:t>
      </w:r>
    </w:p>
    <w:p w:rsidRPr="00C317BB" w:rsidR="001B09F6" w:rsidP="00F27167" w:rsidRDefault="00246A01" w14:paraId="5F0E9256" w14:textId="4B6673FD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regulated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internationally</w:t>
      </w:r>
      <w:r w:rsidRPr="00C317BB" w:rsidR="008052FE">
        <w:rPr>
          <w:rFonts w:cs="Times New Roman"/>
          <w:color w:val="000000" w:themeColor="text1"/>
          <w:szCs w:val="24"/>
        </w:rPr>
        <w:t>;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052FE">
        <w:rPr>
          <w:rFonts w:cs="Times New Roman"/>
          <w:color w:val="000000" w:themeColor="text1"/>
          <w:szCs w:val="24"/>
        </w:rPr>
        <w:t>n</w:t>
      </w:r>
      <w:r w:rsidRPr="00C317BB">
        <w:rPr>
          <w:rFonts w:cs="Times New Roman"/>
          <w:color w:val="000000" w:themeColor="text1"/>
          <w:szCs w:val="24"/>
        </w:rPr>
        <w:t>early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60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nations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have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9323D">
        <w:rPr>
          <w:rFonts w:cs="Times New Roman"/>
          <w:color w:val="000000" w:themeColor="text1"/>
          <w:szCs w:val="24"/>
        </w:rPr>
        <w:t>banned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9323D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012DF">
        <w:rPr>
          <w:rFonts w:cs="Times New Roman"/>
          <w:color w:val="000000" w:themeColor="text1"/>
          <w:szCs w:val="24"/>
        </w:rPr>
        <w:t>significantly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9323D">
        <w:rPr>
          <w:rFonts w:cs="Times New Roman"/>
          <w:color w:val="000000" w:themeColor="text1"/>
          <w:szCs w:val="24"/>
        </w:rPr>
        <w:t>limite</w:t>
      </w:r>
      <w:r w:rsidRPr="00C317BB" w:rsidR="00D77051">
        <w:rPr>
          <w:rFonts w:cs="Times New Roman"/>
          <w:color w:val="000000" w:themeColor="text1"/>
          <w:szCs w:val="24"/>
        </w:rPr>
        <w:t>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77051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14228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77051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02507">
        <w:rPr>
          <w:rFonts w:cs="Times New Roman"/>
          <w:color w:val="000000" w:themeColor="text1"/>
          <w:szCs w:val="24"/>
        </w:rPr>
        <w:t>asbesto</w:t>
      </w:r>
      <w:r w:rsidRPr="00C317BB" w:rsidR="00D77051">
        <w:rPr>
          <w:rFonts w:cs="Times New Roman"/>
          <w:color w:val="000000" w:themeColor="text1"/>
          <w:szCs w:val="24"/>
        </w:rPr>
        <w:t>s</w:t>
      </w:r>
      <w:r w:rsidRPr="00C317BB" w:rsidR="00402507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1B09F6" w:rsidP="00F27167" w:rsidRDefault="00B050F3" w14:paraId="60450D0A" w14:textId="72CCDFAC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T</w:t>
      </w:r>
      <w:r w:rsidRPr="00C317BB" w:rsidR="001B09F6">
        <w:rPr>
          <w:rFonts w:cs="Times New Roman"/>
          <w:color w:val="000000" w:themeColor="text1"/>
          <w:szCs w:val="24"/>
        </w:rPr>
        <w:t>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46B40">
        <w:rPr>
          <w:rFonts w:cs="Times New Roman"/>
          <w:color w:val="000000" w:themeColor="text1"/>
          <w:szCs w:val="24"/>
        </w:rPr>
        <w:t>European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46B40">
        <w:rPr>
          <w:rFonts w:cs="Times New Roman"/>
          <w:color w:val="000000" w:themeColor="text1"/>
          <w:szCs w:val="24"/>
        </w:rPr>
        <w:t>Union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46B40">
        <w:rPr>
          <w:rFonts w:cs="Times New Roman"/>
          <w:color w:val="000000" w:themeColor="text1"/>
          <w:szCs w:val="24"/>
        </w:rPr>
        <w:t>(EU)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B09F6">
        <w:rPr>
          <w:rFonts w:cs="Times New Roman"/>
          <w:color w:val="000000" w:themeColor="text1"/>
          <w:szCs w:val="24"/>
        </w:rPr>
        <w:t>first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B09F6">
        <w:rPr>
          <w:rFonts w:cs="Times New Roman"/>
          <w:color w:val="000000" w:themeColor="text1"/>
          <w:szCs w:val="24"/>
        </w:rPr>
        <w:t>prohibited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B09F6">
        <w:rPr>
          <w:rFonts w:cs="Times New Roman"/>
          <w:color w:val="000000" w:themeColor="text1"/>
          <w:szCs w:val="24"/>
        </w:rPr>
        <w:t>five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B09F6">
        <w:rPr>
          <w:rFonts w:cs="Times New Roman"/>
          <w:color w:val="000000" w:themeColor="text1"/>
          <w:szCs w:val="24"/>
        </w:rPr>
        <w:t>uses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B09F6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F15A3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F15A3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F15A3">
        <w:rPr>
          <w:rFonts w:cs="Times New Roman"/>
          <w:color w:val="000000" w:themeColor="text1"/>
          <w:szCs w:val="24"/>
        </w:rPr>
        <w:t>1991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F15A3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F15A3">
        <w:rPr>
          <w:rFonts w:cs="Times New Roman"/>
          <w:color w:val="000000" w:themeColor="text1"/>
          <w:szCs w:val="24"/>
        </w:rPr>
        <w:t>added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F15A3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F15A3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77D44">
        <w:rPr>
          <w:rFonts w:cs="Times New Roman"/>
          <w:color w:val="000000" w:themeColor="text1"/>
          <w:szCs w:val="24"/>
        </w:rPr>
        <w:t>prohibitions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77D44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F15A3">
        <w:rPr>
          <w:rFonts w:cs="Times New Roman"/>
          <w:color w:val="000000" w:themeColor="text1"/>
          <w:szCs w:val="24"/>
        </w:rPr>
        <w:t>numerous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F15A3">
        <w:rPr>
          <w:rFonts w:cs="Times New Roman"/>
          <w:color w:val="000000" w:themeColor="text1"/>
          <w:szCs w:val="24"/>
        </w:rPr>
        <w:t>uses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F15A3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F15A3">
        <w:rPr>
          <w:rFonts w:cs="Times New Roman"/>
          <w:color w:val="000000" w:themeColor="text1"/>
          <w:szCs w:val="24"/>
        </w:rPr>
        <w:t>1999</w:t>
      </w:r>
      <w:r w:rsidRPr="00C317BB" w:rsidR="005E0121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F15A3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F15A3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F15A3">
        <w:rPr>
          <w:rFonts w:cs="Times New Roman"/>
          <w:color w:val="000000" w:themeColor="text1"/>
          <w:szCs w:val="24"/>
        </w:rPr>
        <w:t>full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F15A3">
        <w:rPr>
          <w:rFonts w:cs="Times New Roman"/>
          <w:color w:val="000000" w:themeColor="text1"/>
          <w:szCs w:val="24"/>
        </w:rPr>
        <w:t>ban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F15A3">
        <w:rPr>
          <w:rFonts w:cs="Times New Roman"/>
          <w:color w:val="000000" w:themeColor="text1"/>
          <w:szCs w:val="24"/>
        </w:rPr>
        <w:t>implemented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0392C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F15A3">
        <w:rPr>
          <w:rFonts w:cs="Times New Roman"/>
          <w:color w:val="000000" w:themeColor="text1"/>
          <w:szCs w:val="24"/>
        </w:rPr>
        <w:t>January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F15A3">
        <w:rPr>
          <w:rFonts w:cs="Times New Roman"/>
          <w:color w:val="000000" w:themeColor="text1"/>
          <w:szCs w:val="24"/>
        </w:rPr>
        <w:t>1,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F15A3">
        <w:rPr>
          <w:rFonts w:cs="Times New Roman"/>
          <w:color w:val="000000" w:themeColor="text1"/>
          <w:szCs w:val="24"/>
        </w:rPr>
        <w:t>2005.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F15A3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F15A3">
        <w:rPr>
          <w:rFonts w:cs="Times New Roman"/>
          <w:color w:val="000000" w:themeColor="text1"/>
          <w:szCs w:val="24"/>
        </w:rPr>
        <w:t>2006,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F15A3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F15A3">
        <w:rPr>
          <w:rFonts w:cs="Times New Roman"/>
          <w:color w:val="000000" w:themeColor="text1"/>
          <w:szCs w:val="24"/>
        </w:rPr>
        <w:t>EU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A480C">
        <w:rPr>
          <w:rFonts w:cs="Times New Roman"/>
          <w:color w:val="000000" w:themeColor="text1"/>
          <w:szCs w:val="24"/>
        </w:rPr>
        <w:t>established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4105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4105">
        <w:rPr>
          <w:rFonts w:cs="Times New Roman"/>
          <w:color w:val="000000" w:themeColor="text1"/>
          <w:szCs w:val="24"/>
        </w:rPr>
        <w:t>Registration,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4105">
        <w:rPr>
          <w:rFonts w:cs="Times New Roman"/>
          <w:color w:val="000000" w:themeColor="text1"/>
          <w:szCs w:val="24"/>
        </w:rPr>
        <w:t>Evaluation,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4105">
        <w:rPr>
          <w:rFonts w:cs="Times New Roman"/>
          <w:color w:val="000000" w:themeColor="text1"/>
          <w:szCs w:val="24"/>
        </w:rPr>
        <w:t>Authori</w:t>
      </w:r>
      <w:r w:rsidRPr="00C317BB" w:rsidR="000B299D">
        <w:rPr>
          <w:rFonts w:cs="Times New Roman"/>
          <w:color w:val="000000" w:themeColor="text1"/>
          <w:szCs w:val="24"/>
        </w:rPr>
        <w:t>z</w:t>
      </w:r>
      <w:r w:rsidRPr="00C317BB" w:rsidR="001D4105">
        <w:rPr>
          <w:rFonts w:cs="Times New Roman"/>
          <w:color w:val="000000" w:themeColor="text1"/>
          <w:szCs w:val="24"/>
        </w:rPr>
        <w:t>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4105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4105">
        <w:rPr>
          <w:rFonts w:cs="Times New Roman"/>
          <w:color w:val="000000" w:themeColor="text1"/>
          <w:szCs w:val="24"/>
        </w:rPr>
        <w:t>Restriction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4105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4105">
        <w:rPr>
          <w:rFonts w:cs="Times New Roman"/>
          <w:color w:val="000000" w:themeColor="text1"/>
          <w:szCs w:val="24"/>
        </w:rPr>
        <w:t>Chemicals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32AA4DE8">
        <w:rPr>
          <w:rFonts w:cs="Times New Roman"/>
          <w:color w:val="000000" w:themeColor="text1"/>
          <w:szCs w:val="24"/>
        </w:rPr>
        <w:t>(</w:t>
      </w:r>
      <w:r w:rsidRPr="00C317BB" w:rsidR="481DB4C6">
        <w:rPr>
          <w:rFonts w:cs="Times New Roman"/>
          <w:color w:val="000000" w:themeColor="text1"/>
          <w:szCs w:val="24"/>
        </w:rPr>
        <w:t>REACH</w:t>
      </w:r>
      <w:r w:rsidRPr="00C317BB" w:rsidR="32AA4DE8">
        <w:rPr>
          <w:rFonts w:cs="Times New Roman"/>
          <w:color w:val="000000" w:themeColor="text1"/>
          <w:szCs w:val="24"/>
        </w:rPr>
        <w:t>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5F1957C5">
        <w:rPr>
          <w:rFonts w:cs="Times New Roman"/>
          <w:color w:val="000000" w:themeColor="text1"/>
          <w:szCs w:val="24"/>
        </w:rPr>
        <w:t>regulation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A480C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A480C">
        <w:rPr>
          <w:rFonts w:cs="Times New Roman"/>
          <w:color w:val="000000" w:themeColor="text1"/>
          <w:szCs w:val="24"/>
        </w:rPr>
        <w:t>renewed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A480C">
        <w:rPr>
          <w:rFonts w:cs="Times New Roman"/>
          <w:color w:val="000000" w:themeColor="text1"/>
          <w:szCs w:val="24"/>
        </w:rPr>
        <w:t>it</w:t>
      </w:r>
      <w:r w:rsidRPr="00C317BB" w:rsidR="002C45EF">
        <w:rPr>
          <w:rFonts w:cs="Times New Roman"/>
          <w:color w:val="000000" w:themeColor="text1"/>
          <w:szCs w:val="24"/>
        </w:rPr>
        <w:t>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C45EF">
        <w:rPr>
          <w:rFonts w:cs="Times New Roman"/>
          <w:color w:val="000000" w:themeColor="text1"/>
          <w:szCs w:val="24"/>
        </w:rPr>
        <w:t>position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C45EF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C45EF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57468">
        <w:rPr>
          <w:rFonts w:cs="Times New Roman"/>
          <w:color w:val="000000" w:themeColor="text1"/>
          <w:szCs w:val="24"/>
        </w:rPr>
        <w:t>(</w:t>
      </w:r>
      <w:r w:rsidRPr="00C317BB" w:rsidR="00057468">
        <w:rPr>
          <w:rFonts w:cs="Times New Roman"/>
          <w:i/>
          <w:color w:val="000000" w:themeColor="text1"/>
          <w:szCs w:val="24"/>
        </w:rPr>
        <w:t>Regulation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057468">
        <w:rPr>
          <w:rFonts w:cs="Times New Roman"/>
          <w:i/>
          <w:color w:val="000000" w:themeColor="text1"/>
          <w:szCs w:val="24"/>
        </w:rPr>
        <w:t>(EC)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057468">
        <w:rPr>
          <w:rFonts w:cs="Times New Roman"/>
          <w:i/>
          <w:color w:val="000000" w:themeColor="text1"/>
          <w:szCs w:val="24"/>
        </w:rPr>
        <w:t>No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057468">
        <w:rPr>
          <w:rFonts w:cs="Times New Roman"/>
          <w:i/>
          <w:color w:val="000000" w:themeColor="text1"/>
          <w:szCs w:val="24"/>
        </w:rPr>
        <w:t>1907/2006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057468">
        <w:rPr>
          <w:rFonts w:cs="Times New Roman"/>
          <w:i/>
          <w:color w:val="000000" w:themeColor="text1"/>
          <w:szCs w:val="24"/>
        </w:rPr>
        <w:t>of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057468">
        <w:rPr>
          <w:rFonts w:cs="Times New Roman"/>
          <w:i/>
          <w:color w:val="000000" w:themeColor="text1"/>
          <w:szCs w:val="24"/>
        </w:rPr>
        <w:t>the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057468">
        <w:rPr>
          <w:rFonts w:cs="Times New Roman"/>
          <w:i/>
          <w:color w:val="000000" w:themeColor="text1"/>
          <w:szCs w:val="24"/>
        </w:rPr>
        <w:t>European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057468">
        <w:rPr>
          <w:rFonts w:cs="Times New Roman"/>
          <w:i/>
          <w:color w:val="000000" w:themeColor="text1"/>
          <w:szCs w:val="24"/>
        </w:rPr>
        <w:t>Parliament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9B2F3D">
        <w:rPr>
          <w:rFonts w:cs="Times New Roman"/>
          <w:i/>
          <w:color w:val="000000" w:themeColor="text1"/>
          <w:szCs w:val="24"/>
        </w:rPr>
        <w:t>and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9B2F3D">
        <w:rPr>
          <w:rFonts w:cs="Times New Roman"/>
          <w:i/>
          <w:color w:val="000000" w:themeColor="text1"/>
          <w:szCs w:val="24"/>
        </w:rPr>
        <w:t>of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9B2F3D">
        <w:rPr>
          <w:rFonts w:cs="Times New Roman"/>
          <w:i/>
          <w:color w:val="000000" w:themeColor="text1"/>
          <w:szCs w:val="24"/>
        </w:rPr>
        <w:t>the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9B2F3D">
        <w:rPr>
          <w:rFonts w:cs="Times New Roman"/>
          <w:i/>
          <w:color w:val="000000" w:themeColor="text1"/>
          <w:szCs w:val="24"/>
        </w:rPr>
        <w:t>Council,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9B2F3D">
        <w:rPr>
          <w:rFonts w:cs="Times New Roman"/>
          <w:i/>
          <w:color w:val="000000" w:themeColor="text1"/>
          <w:szCs w:val="24"/>
        </w:rPr>
        <w:t>18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9B2F3D">
        <w:rPr>
          <w:rFonts w:cs="Times New Roman"/>
          <w:i/>
          <w:color w:val="000000" w:themeColor="text1"/>
          <w:szCs w:val="24"/>
        </w:rPr>
        <w:t>December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9B2F3D">
        <w:rPr>
          <w:rFonts w:cs="Times New Roman"/>
          <w:i/>
          <w:color w:val="000000" w:themeColor="text1"/>
          <w:szCs w:val="24"/>
        </w:rPr>
        <w:t>2006</w:t>
      </w:r>
      <w:r w:rsidRPr="00C317BB" w:rsidR="009B2F3D">
        <w:rPr>
          <w:rFonts w:cs="Times New Roman"/>
          <w:color w:val="000000" w:themeColor="text1"/>
          <w:szCs w:val="24"/>
        </w:rPr>
        <w:t>).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C45EF">
        <w:rPr>
          <w:rFonts w:cs="Times New Roman"/>
          <w:color w:val="000000" w:themeColor="text1"/>
          <w:szCs w:val="24"/>
        </w:rPr>
        <w:t>Regulation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C45EF">
        <w:rPr>
          <w:rFonts w:cs="Times New Roman"/>
          <w:color w:val="000000" w:themeColor="text1"/>
          <w:szCs w:val="24"/>
        </w:rPr>
        <w:t>(EC)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C45EF">
        <w:rPr>
          <w:rFonts w:cs="Times New Roman"/>
          <w:color w:val="000000" w:themeColor="text1"/>
          <w:szCs w:val="24"/>
        </w:rPr>
        <w:t>No</w:t>
      </w:r>
      <w:r w:rsidRPr="00C317BB" w:rsidR="000B6DA3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C45EF">
        <w:rPr>
          <w:rFonts w:cs="Times New Roman"/>
          <w:color w:val="000000" w:themeColor="text1"/>
          <w:szCs w:val="24"/>
        </w:rPr>
        <w:t>2016/1005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C45EF">
        <w:rPr>
          <w:rFonts w:cs="Times New Roman"/>
          <w:color w:val="000000" w:themeColor="text1"/>
          <w:szCs w:val="24"/>
        </w:rPr>
        <w:t>amended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E37B7">
        <w:rPr>
          <w:rFonts w:cs="Times New Roman"/>
          <w:color w:val="000000" w:themeColor="text1"/>
          <w:szCs w:val="24"/>
        </w:rPr>
        <w:t>REACH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C45EF">
        <w:rPr>
          <w:rFonts w:cs="Times New Roman"/>
          <w:color w:val="000000" w:themeColor="text1"/>
          <w:szCs w:val="24"/>
        </w:rPr>
        <w:t>Article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C45EF">
        <w:rPr>
          <w:rFonts w:cs="Times New Roman"/>
          <w:color w:val="000000" w:themeColor="text1"/>
          <w:szCs w:val="24"/>
        </w:rPr>
        <w:t>XVII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C45EF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C45EF">
        <w:rPr>
          <w:rFonts w:cs="Times New Roman"/>
          <w:color w:val="000000" w:themeColor="text1"/>
          <w:szCs w:val="24"/>
        </w:rPr>
        <w:t>formally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C45EF">
        <w:rPr>
          <w:rFonts w:cs="Times New Roman"/>
          <w:color w:val="000000" w:themeColor="text1"/>
          <w:szCs w:val="24"/>
        </w:rPr>
        <w:t>phase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C45EF">
        <w:rPr>
          <w:rFonts w:cs="Times New Roman"/>
          <w:color w:val="000000" w:themeColor="text1"/>
          <w:szCs w:val="24"/>
        </w:rPr>
        <w:t>out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5393D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5393D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5393D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5393D">
        <w:rPr>
          <w:rFonts w:cs="Times New Roman"/>
          <w:color w:val="000000" w:themeColor="text1"/>
          <w:szCs w:val="24"/>
        </w:rPr>
        <w:t>diaphragms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5393D">
        <w:rPr>
          <w:rFonts w:cs="Times New Roman"/>
          <w:color w:val="000000" w:themeColor="text1"/>
          <w:szCs w:val="24"/>
        </w:rPr>
        <w:t>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5393D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E37B7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5393D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5393D">
        <w:rPr>
          <w:rFonts w:cs="Times New Roman"/>
          <w:color w:val="000000" w:themeColor="text1"/>
          <w:szCs w:val="24"/>
        </w:rPr>
        <w:t>electrolysis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5393D">
        <w:rPr>
          <w:rFonts w:cs="Times New Roman"/>
          <w:color w:val="000000" w:themeColor="text1"/>
          <w:szCs w:val="24"/>
        </w:rPr>
        <w:t>installations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043B0">
        <w:rPr>
          <w:rFonts w:cs="Times New Roman"/>
          <w:color w:val="000000" w:themeColor="text1"/>
          <w:szCs w:val="24"/>
        </w:rPr>
        <w:t>(</w:t>
      </w:r>
      <w:r w:rsidRPr="00C317BB" w:rsidR="00523DA2">
        <w:rPr>
          <w:rFonts w:cs="Times New Roman"/>
          <w:color w:val="000000" w:themeColor="text1"/>
          <w:szCs w:val="24"/>
        </w:rPr>
        <w:t>i.e.,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23DA2">
        <w:rPr>
          <w:rFonts w:cs="Times New Roman"/>
          <w:color w:val="000000" w:themeColor="text1"/>
          <w:szCs w:val="24"/>
        </w:rPr>
        <w:t>chlor-alka</w:t>
      </w:r>
      <w:r w:rsidRPr="00C317BB" w:rsidR="00773319">
        <w:rPr>
          <w:rFonts w:cs="Times New Roman"/>
          <w:color w:val="000000" w:themeColor="text1"/>
          <w:szCs w:val="24"/>
        </w:rPr>
        <w:t>li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90249">
        <w:rPr>
          <w:rFonts w:cs="Times New Roman"/>
          <w:color w:val="000000" w:themeColor="text1"/>
          <w:szCs w:val="24"/>
        </w:rPr>
        <w:t>facilities)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C45EF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C45EF">
        <w:rPr>
          <w:rFonts w:cs="Times New Roman"/>
          <w:color w:val="000000" w:themeColor="text1"/>
          <w:szCs w:val="24"/>
        </w:rPr>
        <w:t>July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C45EF">
        <w:rPr>
          <w:rFonts w:cs="Times New Roman"/>
          <w:color w:val="000000" w:themeColor="text1"/>
          <w:szCs w:val="24"/>
        </w:rPr>
        <w:t>1,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C45EF">
        <w:rPr>
          <w:rFonts w:cs="Times New Roman"/>
          <w:color w:val="000000" w:themeColor="text1"/>
          <w:szCs w:val="24"/>
        </w:rPr>
        <w:t>2025.</w:t>
      </w:r>
    </w:p>
    <w:p w:rsidRPr="00C317BB" w:rsidR="002C45EF" w:rsidP="00F27167" w:rsidRDefault="00D04E04" w14:paraId="661156F3" w14:textId="6A507C74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Can</w:t>
      </w:r>
      <w:r w:rsidRPr="00C317BB" w:rsidR="00230913">
        <w:rPr>
          <w:rFonts w:cs="Times New Roman"/>
          <w:color w:val="000000" w:themeColor="text1"/>
          <w:szCs w:val="24"/>
        </w:rPr>
        <w:t>ada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B5463">
        <w:rPr>
          <w:rFonts w:cs="Times New Roman"/>
          <w:color w:val="000000" w:themeColor="text1"/>
          <w:szCs w:val="24"/>
        </w:rPr>
        <w:t>promulgated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B5463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526D">
        <w:rPr>
          <w:rFonts w:cs="Times New Roman"/>
          <w:color w:val="000000" w:themeColor="text1"/>
          <w:szCs w:val="24"/>
        </w:rPr>
        <w:t>regulation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526D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526D">
        <w:rPr>
          <w:rFonts w:cs="Times New Roman"/>
          <w:color w:val="000000" w:themeColor="text1"/>
          <w:szCs w:val="24"/>
        </w:rPr>
        <w:t>ban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526D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526D">
        <w:rPr>
          <w:rFonts w:cs="Times New Roman"/>
          <w:color w:val="000000" w:themeColor="text1"/>
          <w:szCs w:val="24"/>
        </w:rPr>
        <w:t>effective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526D">
        <w:rPr>
          <w:rFonts w:cs="Times New Roman"/>
          <w:color w:val="000000" w:themeColor="text1"/>
          <w:szCs w:val="24"/>
        </w:rPr>
        <w:t>December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526D">
        <w:rPr>
          <w:rFonts w:cs="Times New Roman"/>
          <w:color w:val="000000" w:themeColor="text1"/>
          <w:szCs w:val="24"/>
        </w:rPr>
        <w:t>30,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526D">
        <w:rPr>
          <w:rFonts w:cs="Times New Roman"/>
          <w:color w:val="000000" w:themeColor="text1"/>
          <w:szCs w:val="24"/>
        </w:rPr>
        <w:t>2018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037DB">
        <w:rPr>
          <w:rFonts w:cs="Times New Roman"/>
          <w:color w:val="000000" w:themeColor="text1"/>
          <w:szCs w:val="24"/>
        </w:rPr>
        <w:t>(</w:t>
      </w:r>
      <w:r w:rsidRPr="00C317BB" w:rsidR="002B55D4">
        <w:rPr>
          <w:rFonts w:cs="Times New Roman"/>
          <w:color w:val="000000" w:themeColor="text1"/>
          <w:szCs w:val="24"/>
        </w:rPr>
        <w:t>Ref.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D15A1">
        <w:rPr>
          <w:rFonts w:cs="Times New Roman"/>
          <w:color w:val="000000" w:themeColor="text1"/>
          <w:szCs w:val="24"/>
        </w:rPr>
        <w:t>4</w:t>
      </w:r>
      <w:r w:rsidRPr="00C317BB" w:rsidR="00834596">
        <w:rPr>
          <w:rFonts w:cs="Times New Roman"/>
          <w:color w:val="000000" w:themeColor="text1"/>
          <w:szCs w:val="24"/>
        </w:rPr>
        <w:t>)</w:t>
      </w:r>
      <w:r w:rsidRPr="00C317BB" w:rsidR="002064A3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2F40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E0121">
        <w:rPr>
          <w:rFonts w:cs="Times New Roman"/>
          <w:color w:val="000000" w:themeColor="text1"/>
          <w:szCs w:val="24"/>
        </w:rPr>
        <w:t>regulation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383A">
        <w:rPr>
          <w:rFonts w:cs="Times New Roman"/>
          <w:color w:val="000000" w:themeColor="text1"/>
          <w:szCs w:val="24"/>
        </w:rPr>
        <w:t>prohibited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2F40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2F40">
        <w:rPr>
          <w:rFonts w:cs="Times New Roman"/>
          <w:color w:val="000000" w:themeColor="text1"/>
          <w:szCs w:val="24"/>
        </w:rPr>
        <w:t>import,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2F40">
        <w:rPr>
          <w:rFonts w:cs="Times New Roman"/>
          <w:color w:val="000000" w:themeColor="text1"/>
          <w:szCs w:val="24"/>
        </w:rPr>
        <w:t>sale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2F40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2F40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2F40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2F40">
        <w:rPr>
          <w:rFonts w:cs="Times New Roman"/>
          <w:color w:val="000000" w:themeColor="text1"/>
          <w:szCs w:val="24"/>
        </w:rPr>
        <w:t>asbestos,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2F40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2F40">
        <w:rPr>
          <w:rFonts w:cs="Times New Roman"/>
          <w:color w:val="000000" w:themeColor="text1"/>
          <w:szCs w:val="24"/>
        </w:rPr>
        <w:t>well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2F40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2F40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2F40">
        <w:rPr>
          <w:rFonts w:cs="Times New Roman"/>
          <w:color w:val="000000" w:themeColor="text1"/>
          <w:szCs w:val="24"/>
        </w:rPr>
        <w:t>manufacture,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2F40">
        <w:rPr>
          <w:rFonts w:cs="Times New Roman"/>
          <w:color w:val="000000" w:themeColor="text1"/>
          <w:szCs w:val="24"/>
        </w:rPr>
        <w:t>import,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2F40">
        <w:rPr>
          <w:rFonts w:cs="Times New Roman"/>
          <w:color w:val="000000" w:themeColor="text1"/>
          <w:szCs w:val="24"/>
        </w:rPr>
        <w:t>sale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2F40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2F40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2F40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2F40">
        <w:rPr>
          <w:rFonts w:cs="Times New Roman"/>
          <w:color w:val="000000" w:themeColor="text1"/>
          <w:szCs w:val="24"/>
        </w:rPr>
        <w:t>products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2F40">
        <w:rPr>
          <w:rFonts w:cs="Times New Roman"/>
          <w:color w:val="000000" w:themeColor="text1"/>
          <w:szCs w:val="24"/>
        </w:rPr>
        <w:t>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2F40">
        <w:rPr>
          <w:rFonts w:cs="Times New Roman"/>
          <w:color w:val="000000" w:themeColor="text1"/>
          <w:szCs w:val="24"/>
        </w:rPr>
        <w:t>asbestos</w:t>
      </w:r>
      <w:r w:rsidRPr="00C317BB" w:rsidR="00A8383A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383A">
        <w:rPr>
          <w:rFonts w:cs="Times New Roman"/>
          <w:color w:val="000000" w:themeColor="text1"/>
          <w:szCs w:val="24"/>
        </w:rPr>
        <w:t>Canada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383A">
        <w:rPr>
          <w:rFonts w:cs="Times New Roman"/>
          <w:color w:val="000000" w:themeColor="text1"/>
          <w:szCs w:val="24"/>
        </w:rPr>
        <w:t>added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383A">
        <w:rPr>
          <w:rFonts w:cs="Times New Roman"/>
          <w:color w:val="000000" w:themeColor="text1"/>
          <w:szCs w:val="24"/>
        </w:rPr>
        <w:t>several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383A">
        <w:rPr>
          <w:rFonts w:cs="Times New Roman"/>
          <w:color w:val="000000" w:themeColor="text1"/>
          <w:szCs w:val="24"/>
        </w:rPr>
        <w:t>limited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2F40">
        <w:rPr>
          <w:rFonts w:cs="Times New Roman"/>
          <w:color w:val="000000" w:themeColor="text1"/>
          <w:szCs w:val="24"/>
        </w:rPr>
        <w:t>exclusions,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2F40">
        <w:rPr>
          <w:rFonts w:cs="Times New Roman"/>
          <w:color w:val="000000" w:themeColor="text1"/>
          <w:szCs w:val="24"/>
        </w:rPr>
        <w:t>including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383A">
        <w:rPr>
          <w:rFonts w:cs="Times New Roman"/>
          <w:color w:val="000000" w:themeColor="text1"/>
          <w:szCs w:val="24"/>
        </w:rPr>
        <w:t>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383A">
        <w:rPr>
          <w:rFonts w:cs="Times New Roman"/>
          <w:color w:val="000000" w:themeColor="text1"/>
          <w:szCs w:val="24"/>
        </w:rPr>
        <w:t>allowance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383A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383A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2F40">
        <w:rPr>
          <w:rFonts w:cs="Times New Roman"/>
          <w:color w:val="000000" w:themeColor="text1"/>
          <w:szCs w:val="24"/>
        </w:rPr>
        <w:t>import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2F40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2F40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2F40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2F40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2F40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2F40">
        <w:rPr>
          <w:rFonts w:cs="Times New Roman"/>
          <w:color w:val="000000" w:themeColor="text1"/>
          <w:szCs w:val="24"/>
        </w:rPr>
        <w:t>chlor-alkali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2F40">
        <w:rPr>
          <w:rFonts w:cs="Times New Roman"/>
          <w:color w:val="000000" w:themeColor="text1"/>
          <w:szCs w:val="24"/>
        </w:rPr>
        <w:t>facilities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2F40">
        <w:rPr>
          <w:rFonts w:cs="Times New Roman"/>
          <w:color w:val="000000" w:themeColor="text1"/>
          <w:szCs w:val="24"/>
        </w:rPr>
        <w:t>using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2F40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2F40">
        <w:rPr>
          <w:rFonts w:cs="Times New Roman"/>
          <w:color w:val="000000" w:themeColor="text1"/>
          <w:szCs w:val="24"/>
        </w:rPr>
        <w:t>diaphragm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2F40">
        <w:rPr>
          <w:rFonts w:cs="Times New Roman"/>
          <w:color w:val="000000" w:themeColor="text1"/>
          <w:szCs w:val="24"/>
        </w:rPr>
        <w:t>technology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383A">
        <w:rPr>
          <w:rFonts w:cs="Times New Roman"/>
          <w:color w:val="000000" w:themeColor="text1"/>
          <w:szCs w:val="24"/>
        </w:rPr>
        <w:t>until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383A">
        <w:rPr>
          <w:rFonts w:cs="Times New Roman"/>
          <w:color w:val="000000" w:themeColor="text1"/>
          <w:szCs w:val="24"/>
        </w:rPr>
        <w:t>December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383A">
        <w:rPr>
          <w:rFonts w:cs="Times New Roman"/>
          <w:color w:val="000000" w:themeColor="text1"/>
          <w:szCs w:val="24"/>
        </w:rPr>
        <w:t>31,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383A">
        <w:rPr>
          <w:rFonts w:cs="Times New Roman"/>
          <w:color w:val="000000" w:themeColor="text1"/>
          <w:szCs w:val="24"/>
        </w:rPr>
        <w:t>2029</w:t>
      </w:r>
      <w:r w:rsidRPr="00C317BB" w:rsidR="00782F40">
        <w:rPr>
          <w:rFonts w:cs="Times New Roman"/>
          <w:color w:val="000000" w:themeColor="text1"/>
          <w:szCs w:val="24"/>
        </w:rPr>
        <w:t>.</w:t>
      </w:r>
    </w:p>
    <w:bookmarkEnd w:id="15"/>
    <w:p w:rsidRPr="00C317BB" w:rsidR="009615DD" w:rsidP="00F27167" w:rsidRDefault="009615DD" w14:paraId="430EEC72" w14:textId="6860B24B">
      <w:pPr>
        <w:pStyle w:val="Heading2"/>
        <w:rPr>
          <w:rStyle w:val="Strong"/>
          <w:rFonts w:cs="Times New Roman"/>
          <w:b w:val="0"/>
          <w:color w:val="000000" w:themeColor="text1"/>
          <w:szCs w:val="24"/>
        </w:rPr>
      </w:pPr>
      <w:r w:rsidRPr="00C317BB">
        <w:rPr>
          <w:rStyle w:val="Strong"/>
          <w:rFonts w:cs="Times New Roman"/>
          <w:b w:val="0"/>
          <w:color w:val="000000" w:themeColor="text1"/>
          <w:szCs w:val="24"/>
        </w:rPr>
        <w:t>C.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4965CA">
        <w:rPr>
          <w:rStyle w:val="Strong"/>
          <w:rFonts w:cs="Times New Roman"/>
          <w:b w:val="0"/>
          <w:color w:val="000000" w:themeColor="text1"/>
          <w:szCs w:val="24"/>
        </w:rPr>
        <w:t>Consideration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4965CA">
        <w:rPr>
          <w:rStyle w:val="Strong"/>
          <w:rFonts w:cs="Times New Roman"/>
          <w:b w:val="0"/>
          <w:color w:val="000000" w:themeColor="text1"/>
          <w:szCs w:val="24"/>
        </w:rPr>
        <w:t>of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4965CA">
        <w:rPr>
          <w:rStyle w:val="Strong"/>
          <w:rFonts w:cs="Times New Roman"/>
          <w:b w:val="0"/>
          <w:color w:val="000000" w:themeColor="text1"/>
          <w:szCs w:val="24"/>
        </w:rPr>
        <w:t>OSHA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197279">
        <w:rPr>
          <w:rStyle w:val="Strong"/>
          <w:rFonts w:cs="Times New Roman"/>
          <w:b w:val="0"/>
          <w:color w:val="000000" w:themeColor="text1"/>
          <w:szCs w:val="24"/>
        </w:rPr>
        <w:t>occupational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197279">
        <w:rPr>
          <w:rStyle w:val="Strong"/>
          <w:rFonts w:cs="Times New Roman"/>
          <w:b w:val="0"/>
          <w:color w:val="000000" w:themeColor="text1"/>
          <w:szCs w:val="24"/>
        </w:rPr>
        <w:t>health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4965CA">
        <w:rPr>
          <w:rStyle w:val="Strong"/>
          <w:rFonts w:cs="Times New Roman"/>
          <w:b w:val="0"/>
          <w:color w:val="000000" w:themeColor="text1"/>
          <w:szCs w:val="24"/>
        </w:rPr>
        <w:t>standards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4965CA">
        <w:rPr>
          <w:rStyle w:val="Strong"/>
          <w:rFonts w:cs="Times New Roman"/>
          <w:b w:val="0"/>
          <w:color w:val="000000" w:themeColor="text1"/>
          <w:szCs w:val="24"/>
        </w:rPr>
        <w:t>in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4965CA">
        <w:rPr>
          <w:rStyle w:val="Strong"/>
          <w:rFonts w:cs="Times New Roman"/>
          <w:b w:val="0"/>
          <w:color w:val="000000" w:themeColor="text1"/>
          <w:szCs w:val="24"/>
        </w:rPr>
        <w:t>TSCA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4965CA">
        <w:rPr>
          <w:rStyle w:val="Strong"/>
          <w:rFonts w:cs="Times New Roman"/>
          <w:b w:val="0"/>
          <w:color w:val="000000" w:themeColor="text1"/>
          <w:szCs w:val="24"/>
        </w:rPr>
        <w:t>risk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4965CA">
        <w:rPr>
          <w:rStyle w:val="Strong"/>
          <w:rFonts w:cs="Times New Roman"/>
          <w:b w:val="0"/>
          <w:color w:val="000000" w:themeColor="text1"/>
          <w:szCs w:val="24"/>
        </w:rPr>
        <w:t>evaluations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4965CA">
        <w:rPr>
          <w:rStyle w:val="Strong"/>
          <w:rFonts w:cs="Times New Roman"/>
          <w:b w:val="0"/>
          <w:color w:val="000000" w:themeColor="text1"/>
          <w:szCs w:val="24"/>
        </w:rPr>
        <w:t>and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4965CA">
        <w:rPr>
          <w:rStyle w:val="Strong"/>
          <w:rFonts w:cs="Times New Roman"/>
          <w:b w:val="0"/>
          <w:color w:val="000000" w:themeColor="text1"/>
          <w:szCs w:val="24"/>
        </w:rPr>
        <w:t>TSCA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4965CA">
        <w:rPr>
          <w:rStyle w:val="Strong"/>
          <w:rFonts w:cs="Times New Roman"/>
          <w:b w:val="0"/>
          <w:color w:val="000000" w:themeColor="text1"/>
          <w:szCs w:val="24"/>
        </w:rPr>
        <w:t>risk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4965CA">
        <w:rPr>
          <w:rStyle w:val="Strong"/>
          <w:rFonts w:cs="Times New Roman"/>
          <w:b w:val="0"/>
          <w:color w:val="000000" w:themeColor="text1"/>
          <w:szCs w:val="24"/>
        </w:rPr>
        <w:t>management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4965CA">
        <w:rPr>
          <w:rStyle w:val="Strong"/>
          <w:rFonts w:cs="Times New Roman"/>
          <w:b w:val="0"/>
          <w:color w:val="000000" w:themeColor="text1"/>
          <w:szCs w:val="24"/>
        </w:rPr>
        <w:t>actions</w:t>
      </w:r>
    </w:p>
    <w:p w:rsidRPr="00C317BB" w:rsidR="009615DD" w:rsidP="00F27167" w:rsidRDefault="009615DD" w14:paraId="25D3C93E" w14:textId="5CAFB7F9">
      <w:pPr>
        <w:pStyle w:val="ListParagraph"/>
        <w:ind w:left="0"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requires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evaluate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whether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chemical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substance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presents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unreasonable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injury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health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environment,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without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consideration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costs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non</w:t>
      </w:r>
      <w:r w:rsidRPr="00C317BB" w:rsidR="00A84A55">
        <w:rPr>
          <w:rFonts w:cs="Times New Roman"/>
          <w:color w:val="000000" w:themeColor="text1"/>
          <w:szCs w:val="24"/>
        </w:rPr>
        <w:t>-</w:t>
      </w:r>
      <w:r w:rsidRPr="00C317BB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factors,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including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unreasonable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potentially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susceptible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subpopulation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identified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relevant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Administrator,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conditions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(COUs).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COUs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circumstances,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determined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Administrator,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which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chemical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intended,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known,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reasonably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foreseen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manufactured,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processed,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distributed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commerce,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used,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disposed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577DF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577DF">
        <w:rPr>
          <w:rFonts w:cs="Times New Roman"/>
          <w:color w:val="000000" w:themeColor="text1"/>
          <w:szCs w:val="24"/>
        </w:rPr>
        <w:t>determines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577DF">
        <w:rPr>
          <w:rFonts w:cs="Times New Roman"/>
          <w:color w:val="000000" w:themeColor="text1"/>
          <w:szCs w:val="24"/>
        </w:rPr>
        <w:t>through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evaluation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chemical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2134">
        <w:rPr>
          <w:rFonts w:cs="Times New Roman"/>
          <w:color w:val="000000" w:themeColor="text1"/>
          <w:szCs w:val="24"/>
        </w:rPr>
        <w:t>substance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presents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unreasonable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risk,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6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requires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issue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regulations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applying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more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control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requirements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extent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necessary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chemical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substance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longer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presents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such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risk.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B7DDE">
        <w:rPr>
          <w:rFonts w:cs="Times New Roman"/>
          <w:color w:val="000000" w:themeColor="text1"/>
          <w:szCs w:val="24"/>
        </w:rPr>
        <w:t>Although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B7DDE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B7DDE">
        <w:rPr>
          <w:rFonts w:cs="Times New Roman"/>
          <w:color w:val="000000" w:themeColor="text1"/>
          <w:szCs w:val="24"/>
        </w:rPr>
        <w:t>must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B7DDE">
        <w:rPr>
          <w:rFonts w:cs="Times New Roman"/>
          <w:color w:val="000000" w:themeColor="text1"/>
          <w:szCs w:val="24"/>
        </w:rPr>
        <w:t>consider,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B7DDE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B7DDE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B7DDE">
        <w:rPr>
          <w:rFonts w:cs="Times New Roman"/>
          <w:color w:val="000000" w:themeColor="text1"/>
          <w:szCs w:val="24"/>
        </w:rPr>
        <w:t>some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B7DDE">
        <w:rPr>
          <w:rFonts w:cs="Times New Roman"/>
          <w:color w:val="000000" w:themeColor="text1"/>
          <w:szCs w:val="24"/>
        </w:rPr>
        <w:t>cases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B7DDE">
        <w:rPr>
          <w:rFonts w:cs="Times New Roman"/>
          <w:color w:val="000000" w:themeColor="text1"/>
          <w:szCs w:val="24"/>
        </w:rPr>
        <w:t>factor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B7DDE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B7DDE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B7DDE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B7DDE">
        <w:rPr>
          <w:rFonts w:cs="Times New Roman"/>
          <w:color w:val="000000" w:themeColor="text1"/>
          <w:szCs w:val="24"/>
        </w:rPr>
        <w:t>extent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B7DDE">
        <w:rPr>
          <w:rFonts w:cs="Times New Roman"/>
          <w:color w:val="000000" w:themeColor="text1"/>
          <w:szCs w:val="24"/>
        </w:rPr>
        <w:t>practicable,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B7DDE">
        <w:rPr>
          <w:rFonts w:cs="Times New Roman"/>
          <w:color w:val="000000" w:themeColor="text1"/>
          <w:szCs w:val="24"/>
        </w:rPr>
        <w:t>non-risk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B7DDE">
        <w:rPr>
          <w:rFonts w:cs="Times New Roman"/>
          <w:color w:val="000000" w:themeColor="text1"/>
          <w:szCs w:val="24"/>
        </w:rPr>
        <w:t>factors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B7DDE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B7DDE">
        <w:rPr>
          <w:rFonts w:cs="Times New Roman"/>
          <w:color w:val="000000" w:themeColor="text1"/>
          <w:szCs w:val="24"/>
        </w:rPr>
        <w:t>part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B7DDE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B7DDE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B7DDE">
        <w:rPr>
          <w:rFonts w:cs="Times New Roman"/>
          <w:color w:val="000000" w:themeColor="text1"/>
          <w:szCs w:val="24"/>
        </w:rPr>
        <w:t>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B7DDE">
        <w:rPr>
          <w:rFonts w:cs="Times New Roman"/>
          <w:color w:val="000000" w:themeColor="text1"/>
          <w:szCs w:val="24"/>
        </w:rPr>
        <w:t>6(a)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B7DDE">
        <w:rPr>
          <w:rFonts w:cs="Times New Roman"/>
          <w:color w:val="000000" w:themeColor="text1"/>
          <w:szCs w:val="24"/>
        </w:rPr>
        <w:t>rulemaking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B7DDE">
        <w:rPr>
          <w:rFonts w:cs="Times New Roman"/>
          <w:color w:val="000000" w:themeColor="text1"/>
          <w:szCs w:val="24"/>
        </w:rPr>
        <w:t>(see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B7DDE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B7DDE">
        <w:rPr>
          <w:rFonts w:cs="Times New Roman"/>
          <w:color w:val="000000" w:themeColor="text1"/>
          <w:szCs w:val="24"/>
        </w:rPr>
        <w:t>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B7DDE">
        <w:rPr>
          <w:rFonts w:cs="Times New Roman"/>
          <w:color w:val="000000" w:themeColor="text1"/>
          <w:szCs w:val="24"/>
        </w:rPr>
        <w:t>6(c)(2)),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B7DDE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B7DDE">
        <w:rPr>
          <w:rFonts w:cs="Times New Roman"/>
          <w:color w:val="000000" w:themeColor="text1"/>
          <w:szCs w:val="24"/>
        </w:rPr>
        <w:t>must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B7DDE">
        <w:rPr>
          <w:rFonts w:cs="Times New Roman"/>
          <w:color w:val="000000" w:themeColor="text1"/>
          <w:szCs w:val="24"/>
        </w:rPr>
        <w:t>nonetheless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B7DDE">
        <w:rPr>
          <w:rFonts w:cs="Times New Roman"/>
          <w:color w:val="000000" w:themeColor="text1"/>
          <w:szCs w:val="24"/>
        </w:rPr>
        <w:t>still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B7DDE">
        <w:rPr>
          <w:rFonts w:cs="Times New Roman"/>
          <w:color w:val="000000" w:themeColor="text1"/>
          <w:szCs w:val="24"/>
        </w:rPr>
        <w:t>ensure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B7DDE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B7DDE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B7DDE">
        <w:rPr>
          <w:rFonts w:cs="Times New Roman"/>
          <w:color w:val="000000" w:themeColor="text1"/>
          <w:szCs w:val="24"/>
        </w:rPr>
        <w:t>selected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B7DDE">
        <w:rPr>
          <w:rFonts w:cs="Times New Roman"/>
          <w:color w:val="000000" w:themeColor="text1"/>
          <w:szCs w:val="24"/>
        </w:rPr>
        <w:t>regulatory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B7DDE">
        <w:rPr>
          <w:rFonts w:cs="Times New Roman"/>
          <w:color w:val="000000" w:themeColor="text1"/>
          <w:szCs w:val="24"/>
        </w:rPr>
        <w:t>requirements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B7DDE">
        <w:rPr>
          <w:rFonts w:cs="Times New Roman"/>
          <w:color w:val="000000" w:themeColor="text1"/>
          <w:szCs w:val="24"/>
        </w:rPr>
        <w:t>apply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B7DDE">
        <w:rPr>
          <w:rFonts w:cs="Times New Roman"/>
          <w:color w:val="000000" w:themeColor="text1"/>
          <w:szCs w:val="24"/>
        </w:rPr>
        <w:t>“to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B7DDE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B7DDE">
        <w:rPr>
          <w:rFonts w:cs="Times New Roman"/>
          <w:color w:val="000000" w:themeColor="text1"/>
          <w:szCs w:val="24"/>
        </w:rPr>
        <w:t>extent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B7DDE">
        <w:rPr>
          <w:rFonts w:cs="Times New Roman"/>
          <w:color w:val="000000" w:themeColor="text1"/>
          <w:szCs w:val="24"/>
        </w:rPr>
        <w:t>necessary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B7DDE">
        <w:rPr>
          <w:rFonts w:cs="Times New Roman"/>
          <w:color w:val="000000" w:themeColor="text1"/>
          <w:szCs w:val="24"/>
        </w:rPr>
        <w:t>so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B7DDE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B7DDE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B7DDE">
        <w:rPr>
          <w:rFonts w:cs="Times New Roman"/>
          <w:color w:val="000000" w:themeColor="text1"/>
          <w:szCs w:val="24"/>
        </w:rPr>
        <w:t>chemical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B7DDE">
        <w:rPr>
          <w:rFonts w:cs="Times New Roman"/>
          <w:color w:val="000000" w:themeColor="text1"/>
          <w:szCs w:val="24"/>
        </w:rPr>
        <w:t>substance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B7DDE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B7DDE">
        <w:rPr>
          <w:rFonts w:cs="Times New Roman"/>
          <w:color w:val="000000" w:themeColor="text1"/>
          <w:szCs w:val="24"/>
        </w:rPr>
        <w:t>mixture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B7DDE">
        <w:rPr>
          <w:rFonts w:cs="Times New Roman"/>
          <w:color w:val="000000" w:themeColor="text1"/>
          <w:szCs w:val="24"/>
        </w:rPr>
        <w:t>no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B7DDE">
        <w:rPr>
          <w:rFonts w:cs="Times New Roman"/>
          <w:color w:val="000000" w:themeColor="text1"/>
          <w:szCs w:val="24"/>
        </w:rPr>
        <w:t>longer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B7DDE">
        <w:rPr>
          <w:rFonts w:cs="Times New Roman"/>
          <w:color w:val="000000" w:themeColor="text1"/>
          <w:szCs w:val="24"/>
        </w:rPr>
        <w:t>presents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B7DDE">
        <w:rPr>
          <w:rFonts w:cs="Times New Roman"/>
          <w:color w:val="000000" w:themeColor="text1"/>
          <w:szCs w:val="24"/>
        </w:rPr>
        <w:t>[unreasonable]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B7DDE">
        <w:rPr>
          <w:rFonts w:cs="Times New Roman"/>
          <w:color w:val="000000" w:themeColor="text1"/>
          <w:szCs w:val="24"/>
        </w:rPr>
        <w:t>risk.”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risk-based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requirement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distinguishable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approaches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mandated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laws,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including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Occupational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Safety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Health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(OSH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Act),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which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includes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both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significant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feasibility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(technical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economic)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assessments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rulemaking.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9615DD" w:rsidP="00F27167" w:rsidRDefault="009615DD" w14:paraId="400393C7" w14:textId="6168FE7F">
      <w:pPr>
        <w:pStyle w:val="ListParagraph"/>
        <w:ind w:left="0"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Congress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intended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consider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occupational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risks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chemicals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evaluates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TSCA,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among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potential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exposures</w:t>
      </w:r>
      <w:r w:rsidRPr="00C317BB" w:rsidR="00D26416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54D8D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54D8D">
        <w:rPr>
          <w:rFonts w:cs="Times New Roman"/>
          <w:color w:val="000000" w:themeColor="text1"/>
          <w:szCs w:val="24"/>
        </w:rPr>
        <w:t>relevant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54D8D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54D8D">
        <w:rPr>
          <w:rFonts w:cs="Times New Roman"/>
          <w:color w:val="000000" w:themeColor="text1"/>
          <w:szCs w:val="24"/>
        </w:rPr>
        <w:t>appropriate</w:t>
      </w:r>
      <w:r w:rsidRPr="00C317BB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noted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previously,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6(b)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requires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evaluate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risks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potentially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susceptible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subpopulations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identified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relevant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Administrator.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3(12)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defines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term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"potentially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susceptible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subpopulation"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2134">
        <w:rPr>
          <w:rFonts w:cs="Times New Roman"/>
          <w:color w:val="000000" w:themeColor="text1"/>
          <w:szCs w:val="24"/>
        </w:rPr>
        <w:t>“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group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individuals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within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general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population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identified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Administrator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who,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due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either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greater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susceptibility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greater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exposure,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greater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general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population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adverse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health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effects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chemical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substance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mixture,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such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infants,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children,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pregnant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women,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workers,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elderly.”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9615DD" w:rsidP="00F27167" w:rsidRDefault="009615DD" w14:paraId="62BD6D88" w14:textId="3C010F56">
      <w:pPr>
        <w:pStyle w:val="ListParagraph"/>
        <w:ind w:left="0"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OSH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similarly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requires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OSHA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evaluate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workers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prior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promulgating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new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revised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standards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requires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OSHA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standards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substantially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reduce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significant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extent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feasible,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even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workers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over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full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working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lifetime.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i/>
          <w:color w:val="000000" w:themeColor="text1"/>
          <w:szCs w:val="24"/>
        </w:rPr>
        <w:t>See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29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U.S.C.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655(b)(5);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i/>
          <w:color w:val="000000" w:themeColor="text1"/>
          <w:szCs w:val="24"/>
        </w:rPr>
        <w:t>Indus.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>
        <w:rPr>
          <w:rFonts w:cs="Times New Roman"/>
          <w:i/>
          <w:color w:val="000000" w:themeColor="text1"/>
          <w:szCs w:val="24"/>
        </w:rPr>
        <w:t>Union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proofErr w:type="spellStart"/>
      <w:r w:rsidRPr="00C317BB">
        <w:rPr>
          <w:rFonts w:cs="Times New Roman"/>
          <w:i/>
          <w:color w:val="000000" w:themeColor="text1"/>
          <w:szCs w:val="24"/>
        </w:rPr>
        <w:t>Dep’t</w:t>
      </w:r>
      <w:proofErr w:type="spellEnd"/>
      <w:r w:rsidRPr="00C317BB">
        <w:rPr>
          <w:rFonts w:cs="Times New Roman"/>
          <w:i/>
          <w:color w:val="000000" w:themeColor="text1"/>
          <w:szCs w:val="24"/>
        </w:rPr>
        <w:t>,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>
        <w:rPr>
          <w:rFonts w:cs="Times New Roman"/>
          <w:i/>
          <w:color w:val="000000" w:themeColor="text1"/>
          <w:szCs w:val="24"/>
        </w:rPr>
        <w:t>AFL-CIO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>
        <w:rPr>
          <w:rFonts w:cs="Times New Roman"/>
          <w:i/>
          <w:color w:val="000000" w:themeColor="text1"/>
          <w:szCs w:val="24"/>
        </w:rPr>
        <w:t>v.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>
        <w:rPr>
          <w:rFonts w:cs="Times New Roman"/>
          <w:i/>
          <w:color w:val="000000" w:themeColor="text1"/>
          <w:szCs w:val="24"/>
        </w:rPr>
        <w:t>Am.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>
        <w:rPr>
          <w:rFonts w:cs="Times New Roman"/>
          <w:i/>
          <w:color w:val="000000" w:themeColor="text1"/>
          <w:szCs w:val="24"/>
        </w:rPr>
        <w:t>Petroleum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>
        <w:rPr>
          <w:rFonts w:cs="Times New Roman"/>
          <w:i/>
          <w:color w:val="000000" w:themeColor="text1"/>
          <w:szCs w:val="24"/>
        </w:rPr>
        <w:t>Inst.</w:t>
      </w:r>
      <w:r w:rsidRPr="00C317BB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448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U.S.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607,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642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(1980)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97279">
        <w:rPr>
          <w:rFonts w:cs="Times New Roman"/>
          <w:color w:val="000000" w:themeColor="text1"/>
          <w:szCs w:val="24"/>
        </w:rPr>
        <w:t>(plurality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97279">
        <w:rPr>
          <w:rFonts w:cs="Times New Roman"/>
          <w:color w:val="000000" w:themeColor="text1"/>
          <w:szCs w:val="24"/>
        </w:rPr>
        <w:t>opinion)</w:t>
      </w:r>
      <w:r w:rsidRPr="00C317BB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9615DD" w:rsidP="00F27167" w:rsidRDefault="009615DD" w14:paraId="189FA0BE" w14:textId="302DA583">
      <w:pPr>
        <w:pStyle w:val="ListParagraph"/>
        <w:ind w:left="0"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Thus,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standards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chemical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hazards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OSHA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promulgates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OSH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share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broadly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similar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purpose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standards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promulgates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6(</w:t>
      </w:r>
      <w:r w:rsidRPr="00C317BB" w:rsidR="007913DF">
        <w:rPr>
          <w:rFonts w:cs="Times New Roman"/>
          <w:color w:val="000000" w:themeColor="text1"/>
          <w:szCs w:val="24"/>
        </w:rPr>
        <w:t>a</w:t>
      </w:r>
      <w:r w:rsidRPr="00C317BB">
        <w:rPr>
          <w:rFonts w:cs="Times New Roman"/>
          <w:color w:val="000000" w:themeColor="text1"/>
          <w:szCs w:val="24"/>
        </w:rPr>
        <w:t>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TSCA.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control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measures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OSHA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require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satisfy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objectives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their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respective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statutes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also,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many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circumstances,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overlap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coincide.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However,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6E10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6E10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6E10">
        <w:rPr>
          <w:rFonts w:cs="Times New Roman"/>
          <w:color w:val="000000" w:themeColor="text1"/>
          <w:szCs w:val="24"/>
        </w:rPr>
        <w:t>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D41FD">
        <w:rPr>
          <w:rFonts w:cs="Times New Roman"/>
          <w:color w:val="000000" w:themeColor="text1"/>
          <w:szCs w:val="24"/>
        </w:rPr>
        <w:t>outlines</w:t>
      </w:r>
      <w:r w:rsidRPr="00C317BB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important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differences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between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EPA’s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OSHA’s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regulatory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approaches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jurisdiction,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97279">
        <w:rPr>
          <w:rFonts w:cs="Times New Roman"/>
          <w:color w:val="000000" w:themeColor="text1"/>
          <w:szCs w:val="24"/>
        </w:rPr>
        <w:t>considers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differences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when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deciding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97279">
        <w:rPr>
          <w:rFonts w:cs="Times New Roman"/>
          <w:color w:val="000000" w:themeColor="text1"/>
          <w:szCs w:val="24"/>
        </w:rPr>
        <w:t>whether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97279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how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account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OSHA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requirements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when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evaluating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addressing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potential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unreasonable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workers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D2BDA">
        <w:rPr>
          <w:rFonts w:cs="Times New Roman"/>
          <w:color w:val="000000" w:themeColor="text1"/>
          <w:szCs w:val="24"/>
        </w:rPr>
        <w:t>so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D2BDA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A125B">
        <w:rPr>
          <w:rFonts w:cs="Times New Roman"/>
          <w:color w:val="000000" w:themeColor="text1"/>
          <w:szCs w:val="24"/>
        </w:rPr>
        <w:t>compliance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A125B">
        <w:rPr>
          <w:rFonts w:cs="Times New Roman"/>
          <w:color w:val="000000" w:themeColor="text1"/>
          <w:szCs w:val="24"/>
        </w:rPr>
        <w:t>requirements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A125B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A125B">
        <w:rPr>
          <w:rFonts w:cs="Times New Roman"/>
          <w:color w:val="000000" w:themeColor="text1"/>
          <w:szCs w:val="24"/>
        </w:rPr>
        <w:t>clearly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A125B">
        <w:rPr>
          <w:rFonts w:cs="Times New Roman"/>
          <w:color w:val="000000" w:themeColor="text1"/>
          <w:szCs w:val="24"/>
        </w:rPr>
        <w:t>explained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A125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A125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A125B">
        <w:rPr>
          <w:rFonts w:cs="Times New Roman"/>
          <w:color w:val="000000" w:themeColor="text1"/>
          <w:szCs w:val="24"/>
        </w:rPr>
        <w:t>regulated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A125B">
        <w:rPr>
          <w:rFonts w:cs="Times New Roman"/>
          <w:color w:val="000000" w:themeColor="text1"/>
          <w:szCs w:val="24"/>
        </w:rPr>
        <w:t>community</w:t>
      </w:r>
      <w:r w:rsidRPr="00C317BB" w:rsidR="00E9677D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9677D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9677D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9677D">
        <w:rPr>
          <w:rFonts w:cs="Times New Roman"/>
          <w:color w:val="000000" w:themeColor="text1"/>
          <w:szCs w:val="24"/>
        </w:rPr>
        <w:t>end,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9677D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9677D">
        <w:rPr>
          <w:rFonts w:cs="Times New Roman"/>
          <w:color w:val="000000" w:themeColor="text1"/>
          <w:szCs w:val="24"/>
        </w:rPr>
        <w:t>has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9677D">
        <w:rPr>
          <w:rFonts w:cs="Times New Roman"/>
          <w:color w:val="000000" w:themeColor="text1"/>
          <w:szCs w:val="24"/>
        </w:rPr>
        <w:t>also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9677D">
        <w:rPr>
          <w:rFonts w:cs="Times New Roman"/>
          <w:color w:val="000000" w:themeColor="text1"/>
          <w:szCs w:val="24"/>
        </w:rPr>
        <w:t>aligned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9677D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418DF">
        <w:rPr>
          <w:rFonts w:cs="Times New Roman"/>
          <w:color w:val="000000" w:themeColor="text1"/>
          <w:szCs w:val="24"/>
        </w:rPr>
        <w:t>ancillary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9677D">
        <w:rPr>
          <w:rFonts w:cs="Times New Roman"/>
          <w:color w:val="000000" w:themeColor="text1"/>
          <w:szCs w:val="24"/>
        </w:rPr>
        <w:t>requirements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9677D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418DF">
        <w:rPr>
          <w:rFonts w:cs="Times New Roman"/>
          <w:color w:val="000000" w:themeColor="text1"/>
          <w:szCs w:val="24"/>
        </w:rPr>
        <w:t>OSHA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418DF">
        <w:rPr>
          <w:rFonts w:cs="Times New Roman"/>
          <w:color w:val="000000" w:themeColor="text1"/>
          <w:szCs w:val="24"/>
        </w:rPr>
        <w:t>standards,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9677D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9677D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9677D">
        <w:rPr>
          <w:rFonts w:cs="Times New Roman"/>
          <w:color w:val="000000" w:themeColor="text1"/>
          <w:szCs w:val="24"/>
        </w:rPr>
        <w:t>extent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9677D">
        <w:rPr>
          <w:rFonts w:cs="Times New Roman"/>
          <w:color w:val="000000" w:themeColor="text1"/>
          <w:szCs w:val="24"/>
        </w:rPr>
        <w:t>possible,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418DF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9677D">
        <w:rPr>
          <w:rFonts w:cs="Times New Roman"/>
          <w:color w:val="000000" w:themeColor="text1"/>
          <w:szCs w:val="24"/>
        </w:rPr>
        <w:t>cross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9677D">
        <w:rPr>
          <w:rFonts w:cs="Times New Roman"/>
          <w:color w:val="000000" w:themeColor="text1"/>
          <w:szCs w:val="24"/>
        </w:rPr>
        <w:t>referencing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418DF">
        <w:rPr>
          <w:rFonts w:cs="Times New Roman"/>
          <w:color w:val="000000" w:themeColor="text1"/>
          <w:szCs w:val="24"/>
        </w:rPr>
        <w:t>them</w:t>
      </w:r>
      <w:r w:rsidRPr="00C317BB" w:rsidR="00E9677D">
        <w:rPr>
          <w:rFonts w:cs="Times New Roman"/>
          <w:color w:val="000000" w:themeColor="text1"/>
          <w:szCs w:val="24"/>
        </w:rPr>
        <w:t>.</w:t>
      </w:r>
    </w:p>
    <w:p w:rsidRPr="00C317BB" w:rsidR="00280EE8" w:rsidP="00F27167" w:rsidRDefault="00280EE8" w14:paraId="6D2481F2" w14:textId="77777777">
      <w:pPr>
        <w:pStyle w:val="Heading3"/>
        <w:ind w:firstLine="720"/>
        <w:rPr>
          <w:rFonts w:cs="Times New Roman"/>
          <w:i w:val="0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1.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OSHA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requirements.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9615DD" w:rsidP="00F27167" w:rsidRDefault="009615DD" w14:paraId="0E7D7A1F" w14:textId="77777777">
      <w:pPr>
        <w:pStyle w:val="ListParagraph"/>
        <w:ind w:left="0"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OSHA's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mission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ensure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employees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work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safe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healthful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conditions.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OSH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establishes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requirements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each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employer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comply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General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Duty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Clause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(29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U.S.C.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654(a)),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well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occupational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safety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health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standards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issued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Act.</w:t>
      </w:r>
    </w:p>
    <w:p w:rsidRPr="00C317BB" w:rsidR="00280EE8" w:rsidP="00F27167" w:rsidRDefault="00280EE8" w14:paraId="119E5C6B" w14:textId="77777777">
      <w:pPr>
        <w:pStyle w:val="Heading4"/>
        <w:keepNext w:val="0"/>
        <w:keepLines w:val="0"/>
        <w:spacing w:before="0"/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a.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General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Duty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Clause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OSH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Act:</w:t>
      </w:r>
    </w:p>
    <w:p w:rsidRPr="00C317BB" w:rsidR="009615DD" w:rsidP="00F27167" w:rsidRDefault="009615DD" w14:paraId="285FCD06" w14:textId="16959B4E">
      <w:pPr>
        <w:pStyle w:val="ListParagraph"/>
        <w:ind w:left="0"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General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Duty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Clause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OSH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requires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employers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keep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their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workplace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free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recognized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hazards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causing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likely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cause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death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serious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physical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harm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employees.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General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Duty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Clause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cast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general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terms,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does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establish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specific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requirements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like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limits,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personal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protective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equipment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requirements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97279">
        <w:rPr>
          <w:rFonts w:cs="Times New Roman"/>
          <w:color w:val="000000" w:themeColor="text1"/>
          <w:szCs w:val="24"/>
        </w:rPr>
        <w:t>(PPE)</w:t>
      </w:r>
      <w:r w:rsidRPr="00C317BB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specific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protective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measures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potentially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consider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when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developing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evaluations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management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requirements.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5757">
        <w:rPr>
          <w:rFonts w:cs="Times New Roman"/>
          <w:color w:val="000000" w:themeColor="text1"/>
          <w:szCs w:val="24"/>
        </w:rPr>
        <w:t>OSHA,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5757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5757">
        <w:rPr>
          <w:rFonts w:cs="Times New Roman"/>
          <w:color w:val="000000" w:themeColor="text1"/>
          <w:szCs w:val="24"/>
        </w:rPr>
        <w:t>limited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5757">
        <w:rPr>
          <w:rFonts w:cs="Times New Roman"/>
          <w:color w:val="000000" w:themeColor="text1"/>
          <w:szCs w:val="24"/>
        </w:rPr>
        <w:t>circumstances,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5757">
        <w:rPr>
          <w:rFonts w:cs="Times New Roman"/>
          <w:color w:val="000000" w:themeColor="text1"/>
          <w:szCs w:val="24"/>
        </w:rPr>
        <w:t>has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5757">
        <w:rPr>
          <w:rFonts w:cs="Times New Roman"/>
          <w:color w:val="000000" w:themeColor="text1"/>
          <w:szCs w:val="24"/>
        </w:rPr>
        <w:t>cited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5757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5757">
        <w:rPr>
          <w:rFonts w:cs="Times New Roman"/>
          <w:color w:val="000000" w:themeColor="text1"/>
          <w:szCs w:val="24"/>
        </w:rPr>
        <w:t>General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5757">
        <w:rPr>
          <w:rFonts w:cs="Times New Roman"/>
          <w:color w:val="000000" w:themeColor="text1"/>
          <w:szCs w:val="24"/>
        </w:rPr>
        <w:t>Duty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5757">
        <w:rPr>
          <w:rFonts w:cs="Times New Roman"/>
          <w:color w:val="000000" w:themeColor="text1"/>
          <w:szCs w:val="24"/>
        </w:rPr>
        <w:t>Clause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5757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5757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5757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5757">
        <w:rPr>
          <w:rFonts w:cs="Times New Roman"/>
          <w:color w:val="000000" w:themeColor="text1"/>
          <w:szCs w:val="24"/>
        </w:rPr>
        <w:t>chemicals.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5757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5757">
        <w:rPr>
          <w:rFonts w:cs="Times New Roman"/>
          <w:color w:val="000000" w:themeColor="text1"/>
          <w:szCs w:val="24"/>
        </w:rPr>
        <w:t>prove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5757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5757">
        <w:rPr>
          <w:rFonts w:cs="Times New Roman"/>
          <w:color w:val="000000" w:themeColor="text1"/>
          <w:szCs w:val="24"/>
        </w:rPr>
        <w:t>violation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5757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5757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5757">
        <w:rPr>
          <w:rFonts w:cs="Times New Roman"/>
          <w:color w:val="000000" w:themeColor="text1"/>
          <w:szCs w:val="24"/>
        </w:rPr>
        <w:t>General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5757">
        <w:rPr>
          <w:rFonts w:cs="Times New Roman"/>
          <w:color w:val="000000" w:themeColor="text1"/>
          <w:szCs w:val="24"/>
        </w:rPr>
        <w:t>Duty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5757">
        <w:rPr>
          <w:rFonts w:cs="Times New Roman"/>
          <w:color w:val="000000" w:themeColor="text1"/>
          <w:szCs w:val="24"/>
        </w:rPr>
        <w:t>Clause,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5757">
        <w:rPr>
          <w:rFonts w:cs="Times New Roman"/>
          <w:color w:val="000000" w:themeColor="text1"/>
          <w:szCs w:val="24"/>
        </w:rPr>
        <w:t>OSHA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5757">
        <w:rPr>
          <w:rFonts w:cs="Times New Roman"/>
          <w:color w:val="000000" w:themeColor="text1"/>
          <w:szCs w:val="24"/>
        </w:rPr>
        <w:t>must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5757">
        <w:rPr>
          <w:rFonts w:cs="Times New Roman"/>
          <w:color w:val="000000" w:themeColor="text1"/>
          <w:szCs w:val="24"/>
        </w:rPr>
        <w:t>prove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5757">
        <w:rPr>
          <w:rFonts w:cs="Times New Roman"/>
          <w:color w:val="000000" w:themeColor="text1"/>
          <w:szCs w:val="24"/>
        </w:rPr>
        <w:t>employer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5757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5757">
        <w:rPr>
          <w:rFonts w:cs="Times New Roman"/>
          <w:color w:val="000000" w:themeColor="text1"/>
          <w:szCs w:val="24"/>
        </w:rPr>
        <w:t>industry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5757">
        <w:rPr>
          <w:rFonts w:cs="Times New Roman"/>
          <w:color w:val="000000" w:themeColor="text1"/>
          <w:szCs w:val="24"/>
        </w:rPr>
        <w:t>recognition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5757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5757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5757">
        <w:rPr>
          <w:rFonts w:cs="Times New Roman"/>
          <w:color w:val="000000" w:themeColor="text1"/>
          <w:szCs w:val="24"/>
        </w:rPr>
        <w:t>hazard,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5757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5757">
        <w:rPr>
          <w:rFonts w:cs="Times New Roman"/>
          <w:color w:val="000000" w:themeColor="text1"/>
          <w:szCs w:val="24"/>
        </w:rPr>
        <w:t>hazard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5757">
        <w:rPr>
          <w:rFonts w:cs="Times New Roman"/>
          <w:color w:val="000000" w:themeColor="text1"/>
          <w:szCs w:val="24"/>
        </w:rPr>
        <w:t>was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5757">
        <w:rPr>
          <w:rFonts w:cs="Times New Roman"/>
          <w:color w:val="000000" w:themeColor="text1"/>
          <w:szCs w:val="24"/>
        </w:rPr>
        <w:t>causing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5757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5757">
        <w:rPr>
          <w:rFonts w:cs="Times New Roman"/>
          <w:color w:val="000000" w:themeColor="text1"/>
          <w:szCs w:val="24"/>
        </w:rPr>
        <w:t>likely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5757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5757">
        <w:rPr>
          <w:rFonts w:cs="Times New Roman"/>
          <w:color w:val="000000" w:themeColor="text1"/>
          <w:szCs w:val="24"/>
        </w:rPr>
        <w:t>cause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5757">
        <w:rPr>
          <w:rFonts w:cs="Times New Roman"/>
          <w:color w:val="000000" w:themeColor="text1"/>
          <w:szCs w:val="24"/>
        </w:rPr>
        <w:t>death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5757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5757">
        <w:rPr>
          <w:rFonts w:cs="Times New Roman"/>
          <w:color w:val="000000" w:themeColor="text1"/>
          <w:szCs w:val="24"/>
        </w:rPr>
        <w:t>serious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5757">
        <w:rPr>
          <w:rFonts w:cs="Times New Roman"/>
          <w:color w:val="000000" w:themeColor="text1"/>
          <w:szCs w:val="24"/>
        </w:rPr>
        <w:t>physical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5757">
        <w:rPr>
          <w:rFonts w:cs="Times New Roman"/>
          <w:color w:val="000000" w:themeColor="text1"/>
          <w:szCs w:val="24"/>
        </w:rPr>
        <w:t>harm,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5757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5757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5757">
        <w:rPr>
          <w:rFonts w:cs="Times New Roman"/>
          <w:color w:val="000000" w:themeColor="text1"/>
          <w:szCs w:val="24"/>
        </w:rPr>
        <w:t>feasible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5757">
        <w:rPr>
          <w:rFonts w:cs="Times New Roman"/>
          <w:color w:val="000000" w:themeColor="text1"/>
          <w:szCs w:val="24"/>
        </w:rPr>
        <w:t>method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5757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5757">
        <w:rPr>
          <w:rFonts w:cs="Times New Roman"/>
          <w:color w:val="000000" w:themeColor="text1"/>
          <w:szCs w:val="24"/>
        </w:rPr>
        <w:t>eliminate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5757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5757">
        <w:rPr>
          <w:rFonts w:cs="Times New Roman"/>
          <w:color w:val="000000" w:themeColor="text1"/>
          <w:szCs w:val="24"/>
        </w:rPr>
        <w:t>materially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5757">
        <w:rPr>
          <w:rFonts w:cs="Times New Roman"/>
          <w:color w:val="000000" w:themeColor="text1"/>
          <w:szCs w:val="24"/>
        </w:rPr>
        <w:t>reduce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5757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5757">
        <w:rPr>
          <w:rFonts w:cs="Times New Roman"/>
          <w:color w:val="000000" w:themeColor="text1"/>
          <w:szCs w:val="24"/>
        </w:rPr>
        <w:t>hazard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5757">
        <w:rPr>
          <w:rFonts w:cs="Times New Roman"/>
          <w:color w:val="000000" w:themeColor="text1"/>
          <w:szCs w:val="24"/>
        </w:rPr>
        <w:t>was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5757">
        <w:rPr>
          <w:rFonts w:cs="Times New Roman"/>
          <w:color w:val="000000" w:themeColor="text1"/>
          <w:szCs w:val="24"/>
        </w:rPr>
        <w:t>available.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5757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5757">
        <w:rPr>
          <w:rFonts w:cs="Times New Roman"/>
          <w:color w:val="000000" w:themeColor="text1"/>
          <w:szCs w:val="24"/>
        </w:rPr>
        <w:t>rare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5757">
        <w:rPr>
          <w:rFonts w:cs="Times New Roman"/>
          <w:color w:val="000000" w:themeColor="text1"/>
          <w:szCs w:val="24"/>
        </w:rPr>
        <w:t>situations,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5757">
        <w:rPr>
          <w:rFonts w:cs="Times New Roman"/>
          <w:color w:val="000000" w:themeColor="text1"/>
          <w:szCs w:val="24"/>
        </w:rPr>
        <w:t>OSHA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5757">
        <w:rPr>
          <w:rFonts w:cs="Times New Roman"/>
          <w:color w:val="000000" w:themeColor="text1"/>
          <w:szCs w:val="24"/>
        </w:rPr>
        <w:t>has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5757">
        <w:rPr>
          <w:rFonts w:cs="Times New Roman"/>
          <w:color w:val="000000" w:themeColor="text1"/>
          <w:szCs w:val="24"/>
        </w:rPr>
        <w:t>cited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5757">
        <w:rPr>
          <w:rFonts w:cs="Times New Roman"/>
          <w:color w:val="000000" w:themeColor="text1"/>
          <w:szCs w:val="24"/>
        </w:rPr>
        <w:t>employers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5757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5757">
        <w:rPr>
          <w:rFonts w:cs="Times New Roman"/>
          <w:color w:val="000000" w:themeColor="text1"/>
          <w:szCs w:val="24"/>
        </w:rPr>
        <w:t>violation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5757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5757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5757">
        <w:rPr>
          <w:rFonts w:cs="Times New Roman"/>
          <w:color w:val="000000" w:themeColor="text1"/>
          <w:szCs w:val="24"/>
        </w:rPr>
        <w:t>General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5757">
        <w:rPr>
          <w:rFonts w:cs="Times New Roman"/>
          <w:color w:val="000000" w:themeColor="text1"/>
          <w:szCs w:val="24"/>
        </w:rPr>
        <w:t>Duty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5757">
        <w:rPr>
          <w:rFonts w:cs="Times New Roman"/>
          <w:color w:val="000000" w:themeColor="text1"/>
          <w:szCs w:val="24"/>
        </w:rPr>
        <w:t>Clause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5757">
        <w:rPr>
          <w:rFonts w:cs="Times New Roman"/>
          <w:color w:val="000000" w:themeColor="text1"/>
          <w:szCs w:val="24"/>
        </w:rPr>
        <w:t>where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5757">
        <w:rPr>
          <w:rFonts w:cs="Times New Roman"/>
          <w:color w:val="000000" w:themeColor="text1"/>
          <w:szCs w:val="24"/>
        </w:rPr>
        <w:t>exposures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5757">
        <w:rPr>
          <w:rFonts w:cs="Times New Roman"/>
          <w:color w:val="000000" w:themeColor="text1"/>
          <w:szCs w:val="24"/>
        </w:rPr>
        <w:t>were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5757">
        <w:rPr>
          <w:rFonts w:cs="Times New Roman"/>
          <w:color w:val="000000" w:themeColor="text1"/>
          <w:szCs w:val="24"/>
        </w:rPr>
        <w:t>below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5757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5757">
        <w:rPr>
          <w:rFonts w:cs="Times New Roman"/>
          <w:color w:val="000000" w:themeColor="text1"/>
          <w:szCs w:val="24"/>
        </w:rPr>
        <w:t>chemical-specific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5757">
        <w:rPr>
          <w:rFonts w:cs="Times New Roman"/>
          <w:color w:val="000000" w:themeColor="text1"/>
          <w:szCs w:val="24"/>
        </w:rPr>
        <w:t>PEL.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5757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5757">
        <w:rPr>
          <w:rFonts w:cs="Times New Roman"/>
          <w:color w:val="000000" w:themeColor="text1"/>
          <w:szCs w:val="24"/>
        </w:rPr>
        <w:t>such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5757">
        <w:rPr>
          <w:rFonts w:cs="Times New Roman"/>
          <w:color w:val="000000" w:themeColor="text1"/>
          <w:szCs w:val="24"/>
        </w:rPr>
        <w:t>situations,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5757">
        <w:rPr>
          <w:rFonts w:cs="Times New Roman"/>
          <w:color w:val="000000" w:themeColor="text1"/>
          <w:szCs w:val="24"/>
        </w:rPr>
        <w:t>OSHA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5757">
        <w:rPr>
          <w:rFonts w:cs="Times New Roman"/>
          <w:color w:val="000000" w:themeColor="text1"/>
          <w:szCs w:val="24"/>
        </w:rPr>
        <w:t>must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5757">
        <w:rPr>
          <w:rFonts w:cs="Times New Roman"/>
          <w:color w:val="000000" w:themeColor="text1"/>
          <w:szCs w:val="24"/>
        </w:rPr>
        <w:t>demonstrate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5757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5757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5757">
        <w:rPr>
          <w:rFonts w:cs="Times New Roman"/>
          <w:color w:val="000000" w:themeColor="text1"/>
          <w:szCs w:val="24"/>
        </w:rPr>
        <w:t>employer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5757">
        <w:rPr>
          <w:rFonts w:cs="Times New Roman"/>
          <w:color w:val="000000" w:themeColor="text1"/>
          <w:szCs w:val="24"/>
        </w:rPr>
        <w:t>had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5757">
        <w:rPr>
          <w:rFonts w:cs="Times New Roman"/>
          <w:color w:val="000000" w:themeColor="text1"/>
          <w:szCs w:val="24"/>
        </w:rPr>
        <w:t>actual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5757">
        <w:rPr>
          <w:rFonts w:cs="Times New Roman"/>
          <w:color w:val="000000" w:themeColor="text1"/>
          <w:szCs w:val="24"/>
        </w:rPr>
        <w:t>knowledge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5757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5757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5757">
        <w:rPr>
          <w:rFonts w:cs="Times New Roman"/>
          <w:color w:val="000000" w:themeColor="text1"/>
          <w:szCs w:val="24"/>
        </w:rPr>
        <w:t>PEL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5757">
        <w:rPr>
          <w:rFonts w:cs="Times New Roman"/>
          <w:color w:val="000000" w:themeColor="text1"/>
          <w:szCs w:val="24"/>
        </w:rPr>
        <w:t>was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5757">
        <w:rPr>
          <w:rFonts w:cs="Times New Roman"/>
          <w:color w:val="000000" w:themeColor="text1"/>
          <w:szCs w:val="24"/>
        </w:rPr>
        <w:t>inadequate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5757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5757">
        <w:rPr>
          <w:rFonts w:cs="Times New Roman"/>
          <w:color w:val="000000" w:themeColor="text1"/>
          <w:szCs w:val="24"/>
        </w:rPr>
        <w:t>protect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5757">
        <w:rPr>
          <w:rFonts w:cs="Times New Roman"/>
          <w:color w:val="000000" w:themeColor="text1"/>
          <w:szCs w:val="24"/>
        </w:rPr>
        <w:t>its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5757">
        <w:rPr>
          <w:rFonts w:cs="Times New Roman"/>
          <w:color w:val="000000" w:themeColor="text1"/>
          <w:szCs w:val="24"/>
        </w:rPr>
        <w:t>employees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5757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5757">
        <w:rPr>
          <w:rFonts w:cs="Times New Roman"/>
          <w:color w:val="000000" w:themeColor="text1"/>
          <w:szCs w:val="24"/>
        </w:rPr>
        <w:t>death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5757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5757">
        <w:rPr>
          <w:rFonts w:cs="Times New Roman"/>
          <w:color w:val="000000" w:themeColor="text1"/>
          <w:szCs w:val="24"/>
        </w:rPr>
        <w:t>serious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5757">
        <w:rPr>
          <w:rFonts w:cs="Times New Roman"/>
          <w:color w:val="000000" w:themeColor="text1"/>
          <w:szCs w:val="24"/>
        </w:rPr>
        <w:t>physical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5757">
        <w:rPr>
          <w:rFonts w:cs="Times New Roman"/>
          <w:color w:val="000000" w:themeColor="text1"/>
          <w:szCs w:val="24"/>
        </w:rPr>
        <w:t>harm.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850DA">
        <w:rPr>
          <w:rFonts w:cs="Times New Roman"/>
          <w:color w:val="000000" w:themeColor="text1"/>
          <w:szCs w:val="24"/>
        </w:rPr>
        <w:t>Because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850DA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850DA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850DA">
        <w:rPr>
          <w:rFonts w:cs="Times New Roman"/>
          <w:color w:val="000000" w:themeColor="text1"/>
          <w:szCs w:val="24"/>
        </w:rPr>
        <w:t>heavy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850DA">
        <w:rPr>
          <w:rFonts w:cs="Times New Roman"/>
          <w:color w:val="000000" w:themeColor="text1"/>
          <w:szCs w:val="24"/>
        </w:rPr>
        <w:t>evidentiary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850DA">
        <w:rPr>
          <w:rFonts w:cs="Times New Roman"/>
          <w:color w:val="000000" w:themeColor="text1"/>
          <w:szCs w:val="24"/>
        </w:rPr>
        <w:t>burden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850DA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850DA">
        <w:rPr>
          <w:rFonts w:cs="Times New Roman"/>
          <w:color w:val="000000" w:themeColor="text1"/>
          <w:szCs w:val="24"/>
        </w:rPr>
        <w:t>OSHA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850DA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850DA">
        <w:rPr>
          <w:rFonts w:cs="Times New Roman"/>
          <w:color w:val="000000" w:themeColor="text1"/>
          <w:szCs w:val="24"/>
        </w:rPr>
        <w:t>establish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850DA">
        <w:rPr>
          <w:rFonts w:cs="Times New Roman"/>
          <w:color w:val="000000" w:themeColor="text1"/>
          <w:szCs w:val="24"/>
        </w:rPr>
        <w:t>violations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850DA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850DA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850DA">
        <w:rPr>
          <w:rFonts w:cs="Times New Roman"/>
          <w:color w:val="000000" w:themeColor="text1"/>
          <w:szCs w:val="24"/>
        </w:rPr>
        <w:t>General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850DA">
        <w:rPr>
          <w:rFonts w:cs="Times New Roman"/>
          <w:color w:val="000000" w:themeColor="text1"/>
          <w:szCs w:val="24"/>
        </w:rPr>
        <w:t>Duty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850DA">
        <w:rPr>
          <w:rFonts w:cs="Times New Roman"/>
          <w:color w:val="000000" w:themeColor="text1"/>
          <w:szCs w:val="24"/>
        </w:rPr>
        <w:t>Clause,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850DA">
        <w:rPr>
          <w:rFonts w:cs="Times New Roman"/>
          <w:color w:val="000000" w:themeColor="text1"/>
          <w:szCs w:val="24"/>
        </w:rPr>
        <w:t>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850DA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850DA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850DA">
        <w:rPr>
          <w:rFonts w:cs="Times New Roman"/>
          <w:color w:val="000000" w:themeColor="text1"/>
          <w:szCs w:val="24"/>
        </w:rPr>
        <w:t>frequently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850DA">
        <w:rPr>
          <w:rFonts w:cs="Times New Roman"/>
          <w:color w:val="000000" w:themeColor="text1"/>
          <w:szCs w:val="24"/>
        </w:rPr>
        <w:t>used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850DA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850DA">
        <w:rPr>
          <w:rFonts w:cs="Times New Roman"/>
          <w:color w:val="000000" w:themeColor="text1"/>
          <w:szCs w:val="24"/>
        </w:rPr>
        <w:t>cite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850DA">
        <w:rPr>
          <w:rFonts w:cs="Times New Roman"/>
          <w:color w:val="000000" w:themeColor="text1"/>
          <w:szCs w:val="24"/>
        </w:rPr>
        <w:t>employers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850DA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850DA">
        <w:rPr>
          <w:rFonts w:cs="Times New Roman"/>
          <w:color w:val="000000" w:themeColor="text1"/>
          <w:szCs w:val="24"/>
        </w:rPr>
        <w:t>employee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850DA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850DA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850DA">
        <w:rPr>
          <w:rFonts w:cs="Times New Roman"/>
          <w:color w:val="000000" w:themeColor="text1"/>
          <w:szCs w:val="24"/>
        </w:rPr>
        <w:t>chemical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850DA">
        <w:rPr>
          <w:rFonts w:cs="Times New Roman"/>
          <w:color w:val="000000" w:themeColor="text1"/>
          <w:szCs w:val="24"/>
        </w:rPr>
        <w:t>hazards.</w:t>
      </w:r>
    </w:p>
    <w:p w:rsidRPr="00C317BB" w:rsidR="00280EE8" w:rsidP="00F27167" w:rsidRDefault="00280EE8" w14:paraId="60D89D58" w14:textId="77777777">
      <w:pPr>
        <w:pStyle w:val="Heading4"/>
        <w:keepNext w:val="0"/>
        <w:keepLines w:val="0"/>
        <w:spacing w:before="0"/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b.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OSHA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Standards:</w:t>
      </w:r>
    </w:p>
    <w:p w:rsidRPr="00C317BB" w:rsidR="009615DD" w:rsidP="00F27167" w:rsidRDefault="009615DD" w14:paraId="5F9E1902" w14:textId="68E4F45D">
      <w:pPr>
        <w:pStyle w:val="ListParagraph"/>
        <w:ind w:left="0"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OSHA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standards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issued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pursuant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OSH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found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title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29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Code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Federal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Regulations.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separate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standards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general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industry,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construction,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maritime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agriculture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97279">
        <w:rPr>
          <w:rFonts w:cs="Times New Roman"/>
          <w:color w:val="000000" w:themeColor="text1"/>
          <w:szCs w:val="24"/>
        </w:rPr>
        <w:t>sectors</w:t>
      </w:r>
      <w:r w:rsidRPr="00C317BB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well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general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standards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applicable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number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sectors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(e.g.,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OSHA’s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Respiratory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Protection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standard).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OSHA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numerous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standards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apply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chemical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manufacturers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processors,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well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downstream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employers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whose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employees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occupationally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hazardous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chemicals.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9615DD" w:rsidP="00F27167" w:rsidRDefault="009615DD" w14:paraId="59B5E6B6" w14:textId="327F9051">
      <w:pPr>
        <w:pStyle w:val="ListParagraph"/>
        <w:ind w:left="0"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OSHA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sets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legally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enforceable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limits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97279">
        <w:rPr>
          <w:rFonts w:cs="Times New Roman"/>
          <w:color w:val="000000" w:themeColor="text1"/>
          <w:szCs w:val="24"/>
        </w:rPr>
        <w:t>airborne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concentrations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hazardous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chemicals,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referred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permissible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limits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(PELs),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protect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workers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against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health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effects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hazardous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substances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(29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CFR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1910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Subpart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Z,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1915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Subpart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Z,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1926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Subparts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Z).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6(a)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OSH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Act,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OSHA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permitted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initial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two-year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window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after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passage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adopt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"any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national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consensus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standard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established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Federal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standard."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29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U.S.C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655(a).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OSHA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authority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1971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establish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PELs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were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adopted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federal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health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standards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originally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Department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Labor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through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Walsh-Healy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Act,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which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approximately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400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occupational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limits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were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selected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based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American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Conference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Governmental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Industrial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Hygienists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(ACGIH)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1968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list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Threshold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Limit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Values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(TLVs).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addition,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about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25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limits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recommended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American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Standards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Association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(now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called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American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National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Standards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Institute)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(ANSI)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were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adopted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PELs.</w:t>
      </w:r>
    </w:p>
    <w:p w:rsidRPr="00C317BB" w:rsidR="009615DD" w:rsidP="00F27167" w:rsidRDefault="009615DD" w14:paraId="43882FF5" w14:textId="4767628E">
      <w:pPr>
        <w:pStyle w:val="ListParagraph"/>
        <w:ind w:left="0"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Following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two-year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window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provided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6(a)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OSH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adoption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national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consensus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existing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Federal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standards,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OSHA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issued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health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standards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following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requirements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6(b)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Act.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OSHA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established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approximately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30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PELs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6(b)(5)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part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comprehensive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substance-specific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standards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include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additional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requirements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protective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measures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such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97279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97279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97279">
        <w:rPr>
          <w:rFonts w:cs="Times New Roman"/>
          <w:color w:val="000000" w:themeColor="text1"/>
          <w:szCs w:val="24"/>
        </w:rPr>
        <w:t>PPE,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establishment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regulated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areas,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assessment,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97279">
        <w:rPr>
          <w:rFonts w:cs="Times New Roman"/>
          <w:color w:val="000000" w:themeColor="text1"/>
          <w:szCs w:val="24"/>
        </w:rPr>
        <w:t>hygiene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97279">
        <w:rPr>
          <w:rFonts w:cs="Times New Roman"/>
          <w:color w:val="000000" w:themeColor="text1"/>
          <w:szCs w:val="24"/>
        </w:rPr>
        <w:t>facilities,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medical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surveillance,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training.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97279">
        <w:rPr>
          <w:rFonts w:cs="Times New Roman"/>
          <w:color w:val="000000" w:themeColor="text1"/>
          <w:szCs w:val="24"/>
        </w:rPr>
        <w:t>These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97279">
        <w:rPr>
          <w:rFonts w:cs="Times New Roman"/>
          <w:color w:val="000000" w:themeColor="text1"/>
          <w:szCs w:val="24"/>
        </w:rPr>
        <w:t>ancillary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97279">
        <w:rPr>
          <w:rFonts w:cs="Times New Roman"/>
          <w:color w:val="000000" w:themeColor="text1"/>
          <w:szCs w:val="24"/>
        </w:rPr>
        <w:t>provisions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97279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97279">
        <w:rPr>
          <w:rFonts w:cs="Times New Roman"/>
          <w:color w:val="000000" w:themeColor="text1"/>
          <w:szCs w:val="24"/>
        </w:rPr>
        <w:t>substance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97279">
        <w:rPr>
          <w:rFonts w:cs="Times New Roman"/>
          <w:color w:val="000000" w:themeColor="text1"/>
          <w:szCs w:val="24"/>
        </w:rPr>
        <w:t>specific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97279">
        <w:rPr>
          <w:rFonts w:cs="Times New Roman"/>
          <w:color w:val="000000" w:themeColor="text1"/>
          <w:szCs w:val="24"/>
        </w:rPr>
        <w:t>OSHA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97279">
        <w:rPr>
          <w:rFonts w:cs="Times New Roman"/>
          <w:color w:val="000000" w:themeColor="text1"/>
          <w:szCs w:val="24"/>
        </w:rPr>
        <w:t>standards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97279">
        <w:rPr>
          <w:rFonts w:cs="Times New Roman"/>
          <w:color w:val="000000" w:themeColor="text1"/>
          <w:szCs w:val="24"/>
        </w:rPr>
        <w:t>further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97279">
        <w:rPr>
          <w:rFonts w:cs="Times New Roman"/>
          <w:color w:val="000000" w:themeColor="text1"/>
          <w:szCs w:val="24"/>
        </w:rPr>
        <w:t>mitigate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97279">
        <w:rPr>
          <w:rFonts w:cs="Times New Roman"/>
          <w:color w:val="000000" w:themeColor="text1"/>
          <w:szCs w:val="24"/>
        </w:rPr>
        <w:t>residual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97279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97279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97279">
        <w:rPr>
          <w:rFonts w:cs="Times New Roman"/>
          <w:color w:val="000000" w:themeColor="text1"/>
          <w:szCs w:val="24"/>
        </w:rPr>
        <w:t>could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97279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97279">
        <w:rPr>
          <w:rFonts w:cs="Times New Roman"/>
          <w:color w:val="000000" w:themeColor="text1"/>
          <w:szCs w:val="24"/>
        </w:rPr>
        <w:t>present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97279">
        <w:rPr>
          <w:rFonts w:cs="Times New Roman"/>
          <w:color w:val="000000" w:themeColor="text1"/>
          <w:szCs w:val="24"/>
        </w:rPr>
        <w:t>due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97279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97279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97279">
        <w:rPr>
          <w:rFonts w:cs="Times New Roman"/>
          <w:color w:val="000000" w:themeColor="text1"/>
          <w:szCs w:val="24"/>
        </w:rPr>
        <w:t>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97279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97279">
        <w:rPr>
          <w:rFonts w:cs="Times New Roman"/>
          <w:color w:val="000000" w:themeColor="text1"/>
          <w:szCs w:val="24"/>
        </w:rPr>
        <w:t>PEL.</w:t>
      </w:r>
    </w:p>
    <w:p w:rsidRPr="00C317BB" w:rsidR="009615DD" w:rsidP="00F27167" w:rsidRDefault="008B7C28" w14:paraId="7ABDF529" w14:textId="6966D3E0">
      <w:pPr>
        <w:pStyle w:val="ListParagraph"/>
        <w:ind w:left="0"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Many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OSHA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PELs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have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been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updated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since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they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were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established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1971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2144D">
        <w:rPr>
          <w:rFonts w:cs="Times New Roman"/>
          <w:color w:val="000000" w:themeColor="text1"/>
          <w:szCs w:val="24"/>
        </w:rPr>
        <w:t>(</w:t>
      </w:r>
      <w:r w:rsidRPr="00C317BB" w:rsidR="00256253">
        <w:rPr>
          <w:rFonts w:cs="Times New Roman"/>
          <w:color w:val="000000" w:themeColor="text1"/>
          <w:szCs w:val="24"/>
        </w:rPr>
        <w:t>T</w:t>
      </w:r>
      <w:r w:rsidRPr="00C317BB">
        <w:rPr>
          <w:rFonts w:cs="Times New Roman"/>
          <w:color w:val="000000" w:themeColor="text1"/>
          <w:szCs w:val="24"/>
        </w:rPr>
        <w:t>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56253">
        <w:rPr>
          <w:rFonts w:cs="Times New Roman"/>
          <w:color w:val="000000" w:themeColor="text1"/>
          <w:szCs w:val="24"/>
        </w:rPr>
        <w:t>PEL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71646">
        <w:rPr>
          <w:rFonts w:cs="Times New Roman"/>
          <w:color w:val="000000" w:themeColor="text1"/>
          <w:szCs w:val="24"/>
        </w:rPr>
        <w:t>last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updated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19</w:t>
      </w:r>
      <w:r w:rsidRPr="00C317BB" w:rsidR="00293180">
        <w:rPr>
          <w:rFonts w:cs="Times New Roman"/>
          <w:color w:val="000000" w:themeColor="text1"/>
          <w:szCs w:val="24"/>
        </w:rPr>
        <w:t>9</w:t>
      </w:r>
      <w:r w:rsidRPr="00C317BB" w:rsidR="00C326F3">
        <w:rPr>
          <w:rFonts w:cs="Times New Roman"/>
          <w:color w:val="000000" w:themeColor="text1"/>
          <w:szCs w:val="24"/>
        </w:rPr>
        <w:t>4</w:t>
      </w:r>
      <w:r w:rsidRPr="00C317BB" w:rsidR="0002144D">
        <w:rPr>
          <w:rFonts w:cs="Times New Roman"/>
          <w:color w:val="000000" w:themeColor="text1"/>
          <w:szCs w:val="24"/>
        </w:rPr>
        <w:t>)</w:t>
      </w:r>
      <w:r w:rsidRPr="00C317BB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Yet,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many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instances,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scientific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evidence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has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accumulated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suggesting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current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limits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sufficiently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protective.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stated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OSHA’s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annotated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PELs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webpage,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OSHA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has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recognized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many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its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PELs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outdated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inadequate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ensuring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protection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worker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health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15C2">
        <w:rPr>
          <w:rFonts w:cs="Times New Roman"/>
          <w:color w:val="000000" w:themeColor="text1"/>
          <w:szCs w:val="24"/>
        </w:rPr>
        <w:t>(Ref.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D15A1">
        <w:rPr>
          <w:rFonts w:cs="Times New Roman"/>
          <w:color w:val="000000" w:themeColor="text1"/>
          <w:szCs w:val="24"/>
        </w:rPr>
        <w:t>5</w:t>
      </w:r>
      <w:r w:rsidRPr="00C317BB" w:rsidR="000F15C2">
        <w:rPr>
          <w:rFonts w:cs="Times New Roman"/>
          <w:color w:val="000000" w:themeColor="text1"/>
          <w:szCs w:val="24"/>
        </w:rPr>
        <w:t>)</w:t>
      </w:r>
      <w:r w:rsidRPr="00C317BB" w:rsidR="009615DD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addition,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health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standards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issued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6(b)(5)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OSH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Act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must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reduce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significant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only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extent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technologically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economically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feasible.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OSHA’s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legal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requirement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demonstrate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its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27821">
        <w:rPr>
          <w:rFonts w:cs="Times New Roman"/>
          <w:color w:val="000000" w:themeColor="text1"/>
          <w:szCs w:val="24"/>
        </w:rPr>
        <w:t>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6(b)(5)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standards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technologically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economically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feasible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often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precludes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OSHA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imposing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control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requirements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sufficient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ensure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chemical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substance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no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longer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presents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significant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workers.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sum,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great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majority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OSHA’s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chemical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standards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outdated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do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eliminate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significant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97279">
        <w:rPr>
          <w:rFonts w:cs="Times New Roman"/>
          <w:color w:val="000000" w:themeColor="text1"/>
          <w:szCs w:val="24"/>
        </w:rPr>
        <w:t>contemplated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Supreme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Court’s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interpretation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OSH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Act.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97279">
        <w:rPr>
          <w:rFonts w:cs="Times New Roman"/>
          <w:i/>
          <w:color w:val="000000" w:themeColor="text1"/>
          <w:szCs w:val="24"/>
        </w:rPr>
        <w:t>See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197279">
        <w:rPr>
          <w:rFonts w:cs="Times New Roman"/>
          <w:i/>
          <w:color w:val="000000" w:themeColor="text1"/>
          <w:szCs w:val="24"/>
        </w:rPr>
        <w:t>Am.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197279">
        <w:rPr>
          <w:rFonts w:cs="Times New Roman"/>
          <w:i/>
          <w:color w:val="000000" w:themeColor="text1"/>
          <w:szCs w:val="24"/>
        </w:rPr>
        <w:t>Petroleum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197279">
        <w:rPr>
          <w:rFonts w:cs="Times New Roman"/>
          <w:i/>
          <w:color w:val="000000" w:themeColor="text1"/>
          <w:szCs w:val="24"/>
        </w:rPr>
        <w:t>Inst.</w:t>
      </w:r>
      <w:r w:rsidRPr="00C317BB" w:rsidR="00197279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97279">
        <w:rPr>
          <w:rFonts w:cs="Times New Roman"/>
          <w:color w:val="000000" w:themeColor="text1"/>
          <w:szCs w:val="24"/>
        </w:rPr>
        <w:t>448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97279">
        <w:rPr>
          <w:rFonts w:cs="Times New Roman"/>
          <w:color w:val="000000" w:themeColor="text1"/>
          <w:szCs w:val="24"/>
        </w:rPr>
        <w:t>U.S.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97279">
        <w:rPr>
          <w:rFonts w:cs="Times New Roman"/>
          <w:color w:val="000000" w:themeColor="text1"/>
          <w:szCs w:val="24"/>
        </w:rPr>
        <w:t>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97279">
        <w:rPr>
          <w:rFonts w:cs="Times New Roman"/>
          <w:color w:val="000000" w:themeColor="text1"/>
          <w:szCs w:val="24"/>
        </w:rPr>
        <w:t>655.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They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would,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either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case,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unlikely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address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unreasonable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workers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within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meaning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TSCA,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since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6(b)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unreasonable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determinations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may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account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unreasonable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more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sensitive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endpoints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working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populations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than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OSHA’s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evaluations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typically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contemplate,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obligated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apply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6(a)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management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requirements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extent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necessary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so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unreasonable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no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longer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presented.</w:t>
      </w:r>
    </w:p>
    <w:p w:rsidRPr="00C317BB" w:rsidR="009615DD" w:rsidP="00F27167" w:rsidRDefault="00197279" w14:paraId="347097F8" w14:textId="4F434CCB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Because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requirements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application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OSHA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regulatory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analyses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differ</w:t>
      </w:r>
      <w:r w:rsidRPr="00C317BB" w:rsidR="009615DD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appropriate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conduct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evaluations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and,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where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finds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unreasonable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workers,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develop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management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requirements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chemical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D654C">
        <w:rPr>
          <w:rFonts w:cs="Times New Roman"/>
          <w:color w:val="000000" w:themeColor="text1"/>
          <w:szCs w:val="24"/>
        </w:rPr>
        <w:t>substance</w:t>
      </w:r>
      <w:r w:rsidRPr="00C317BB" w:rsidR="009615DD">
        <w:rPr>
          <w:rFonts w:cs="Times New Roman"/>
          <w:color w:val="000000" w:themeColor="text1"/>
          <w:szCs w:val="24"/>
        </w:rPr>
        <w:t>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OSHA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also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regulates,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expected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EPA’s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findings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requirements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may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sometimes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diverge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OSHA’s.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However,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also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appropriate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consider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chemical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standards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OSHA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has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already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developed,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so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limit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85C94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compliance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burden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employers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aligning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management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approaches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required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agencies,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where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alignment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will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adequately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address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unreasonable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workers.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following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discusses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EPA’s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consideration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OSHA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standards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its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evaluation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management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strategies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TSCA.</w:t>
      </w:r>
    </w:p>
    <w:p w:rsidRPr="00C317BB" w:rsidR="00280EE8" w:rsidP="00F27167" w:rsidRDefault="00280EE8" w14:paraId="0E61F3CF" w14:textId="77777777">
      <w:pPr>
        <w:pStyle w:val="Heading3"/>
        <w:ind w:firstLine="720"/>
        <w:rPr>
          <w:rFonts w:cs="Times New Roman"/>
          <w:i w:val="0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2.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Consideration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OSHA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standards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evaluations.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9615DD" w:rsidP="00F27167" w:rsidRDefault="009615DD" w14:paraId="2E6A9B3A" w14:textId="5D5EF902">
      <w:pPr>
        <w:pStyle w:val="ListParagraph"/>
        <w:ind w:left="0"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When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characterizing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during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evaluation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TSCA,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believes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appropriate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evaluate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levels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F3E8E">
        <w:rPr>
          <w:rFonts w:cs="Times New Roman"/>
          <w:color w:val="000000" w:themeColor="text1"/>
          <w:szCs w:val="24"/>
        </w:rPr>
        <w:t>present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baseline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scenarios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where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mitigation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measures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assumed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place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97279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97279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97279">
        <w:rPr>
          <w:rFonts w:cs="Times New Roman"/>
          <w:color w:val="000000" w:themeColor="text1"/>
          <w:szCs w:val="24"/>
        </w:rPr>
        <w:t>purpose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97279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97279">
        <w:rPr>
          <w:rFonts w:cs="Times New Roman"/>
          <w:color w:val="000000" w:themeColor="text1"/>
          <w:szCs w:val="24"/>
        </w:rPr>
        <w:t>determining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97279">
        <w:rPr>
          <w:rFonts w:cs="Times New Roman"/>
          <w:color w:val="000000" w:themeColor="text1"/>
          <w:szCs w:val="24"/>
        </w:rPr>
        <w:t>unreasonable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97279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97279">
        <w:rPr>
          <w:rFonts w:cs="Times New Roman"/>
          <w:color w:val="000000" w:themeColor="text1"/>
          <w:szCs w:val="24"/>
        </w:rPr>
        <w:t>(see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97279">
        <w:rPr>
          <w:rFonts w:cs="Times New Roman"/>
          <w:color w:val="000000" w:themeColor="text1"/>
          <w:szCs w:val="24"/>
        </w:rPr>
        <w:t>Unit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97279">
        <w:rPr>
          <w:rFonts w:cs="Times New Roman"/>
          <w:color w:val="000000" w:themeColor="text1"/>
          <w:szCs w:val="24"/>
        </w:rPr>
        <w:t>II.C.2.a)</w:t>
      </w:r>
      <w:r w:rsidRPr="00C317BB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6384C">
        <w:rPr>
          <w:rFonts w:cs="Times New Roman"/>
          <w:color w:val="000000" w:themeColor="text1"/>
          <w:szCs w:val="24"/>
        </w:rPr>
        <w:t>(</w:t>
      </w:r>
      <w:r w:rsidRPr="00C317BB" w:rsidR="008F3E8E">
        <w:rPr>
          <w:rFonts w:cs="Times New Roman"/>
          <w:color w:val="000000" w:themeColor="text1"/>
          <w:szCs w:val="24"/>
        </w:rPr>
        <w:t>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F3E8E">
        <w:rPr>
          <w:rFonts w:cs="Times New Roman"/>
          <w:color w:val="000000" w:themeColor="text1"/>
          <w:szCs w:val="24"/>
        </w:rPr>
        <w:t>should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F3E8E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F3E8E">
        <w:rPr>
          <w:rFonts w:cs="Times New Roman"/>
          <w:color w:val="000000" w:themeColor="text1"/>
          <w:szCs w:val="24"/>
        </w:rPr>
        <w:t>noted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F3E8E">
        <w:rPr>
          <w:rFonts w:cs="Times New Roman"/>
          <w:color w:val="000000" w:themeColor="text1"/>
          <w:szCs w:val="24"/>
        </w:rPr>
        <w:t>that</w:t>
      </w:r>
      <w:r w:rsidRPr="00C317BB" w:rsidR="00D2661F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661F">
        <w:rPr>
          <w:rFonts w:cs="Times New Roman"/>
          <w:color w:val="000000" w:themeColor="text1"/>
          <w:szCs w:val="24"/>
        </w:rPr>
        <w:t>there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661F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6384C">
        <w:rPr>
          <w:rFonts w:cs="Times New Roman"/>
          <w:color w:val="000000" w:themeColor="text1"/>
          <w:szCs w:val="24"/>
        </w:rPr>
        <w:t>some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6384C">
        <w:rPr>
          <w:rFonts w:cs="Times New Roman"/>
          <w:color w:val="000000" w:themeColor="text1"/>
          <w:szCs w:val="24"/>
        </w:rPr>
        <w:t>cases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77AB9">
        <w:rPr>
          <w:rFonts w:cs="Times New Roman"/>
          <w:color w:val="000000" w:themeColor="text1"/>
          <w:szCs w:val="24"/>
        </w:rPr>
        <w:t>where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6384C">
        <w:rPr>
          <w:rFonts w:cs="Times New Roman"/>
          <w:color w:val="000000" w:themeColor="text1"/>
          <w:szCs w:val="24"/>
        </w:rPr>
        <w:t>baseline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76123">
        <w:rPr>
          <w:rFonts w:cs="Times New Roman"/>
          <w:color w:val="000000" w:themeColor="text1"/>
          <w:szCs w:val="24"/>
        </w:rPr>
        <w:t>scenarios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6384C">
        <w:rPr>
          <w:rFonts w:cs="Times New Roman"/>
          <w:color w:val="000000" w:themeColor="text1"/>
          <w:szCs w:val="24"/>
        </w:rPr>
        <w:t>may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6384C">
        <w:rPr>
          <w:rFonts w:cs="Times New Roman"/>
          <w:color w:val="000000" w:themeColor="text1"/>
          <w:szCs w:val="24"/>
        </w:rPr>
        <w:t>reflect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6384C">
        <w:rPr>
          <w:rFonts w:cs="Times New Roman"/>
          <w:color w:val="000000" w:themeColor="text1"/>
          <w:szCs w:val="24"/>
        </w:rPr>
        <w:t>certain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6384C">
        <w:rPr>
          <w:rFonts w:cs="Times New Roman"/>
          <w:color w:val="000000" w:themeColor="text1"/>
          <w:szCs w:val="24"/>
        </w:rPr>
        <w:t>mitigation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6384C">
        <w:rPr>
          <w:rFonts w:cs="Times New Roman"/>
          <w:color w:val="000000" w:themeColor="text1"/>
          <w:szCs w:val="24"/>
        </w:rPr>
        <w:t>measures,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6384C">
        <w:rPr>
          <w:rFonts w:cs="Times New Roman"/>
          <w:color w:val="000000" w:themeColor="text1"/>
          <w:szCs w:val="24"/>
        </w:rPr>
        <w:t>such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6384C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6384C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6384C">
        <w:rPr>
          <w:rFonts w:cs="Times New Roman"/>
          <w:color w:val="000000" w:themeColor="text1"/>
          <w:szCs w:val="24"/>
        </w:rPr>
        <w:t>instances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6384C">
        <w:rPr>
          <w:rFonts w:cs="Times New Roman"/>
          <w:color w:val="000000" w:themeColor="text1"/>
          <w:szCs w:val="24"/>
        </w:rPr>
        <w:t>where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6384C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6384C">
        <w:rPr>
          <w:rFonts w:cs="Times New Roman"/>
          <w:color w:val="000000" w:themeColor="text1"/>
          <w:szCs w:val="24"/>
        </w:rPr>
        <w:t>estimates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6384C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6384C">
        <w:rPr>
          <w:rFonts w:cs="Times New Roman"/>
          <w:color w:val="000000" w:themeColor="text1"/>
          <w:szCs w:val="24"/>
        </w:rPr>
        <w:t>based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6384C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6384C">
        <w:rPr>
          <w:rFonts w:cs="Times New Roman"/>
          <w:color w:val="000000" w:themeColor="text1"/>
          <w:szCs w:val="24"/>
        </w:rPr>
        <w:t>monitoring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6384C">
        <w:rPr>
          <w:rFonts w:cs="Times New Roman"/>
          <w:color w:val="000000" w:themeColor="text1"/>
          <w:szCs w:val="24"/>
        </w:rPr>
        <w:t>data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6384C">
        <w:rPr>
          <w:rFonts w:cs="Times New Roman"/>
          <w:color w:val="000000" w:themeColor="text1"/>
          <w:szCs w:val="24"/>
        </w:rPr>
        <w:t>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6384C">
        <w:rPr>
          <w:rFonts w:cs="Times New Roman"/>
          <w:color w:val="000000" w:themeColor="text1"/>
          <w:szCs w:val="24"/>
        </w:rPr>
        <w:t>facilities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6384C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6384C">
        <w:rPr>
          <w:rFonts w:cs="Times New Roman"/>
          <w:color w:val="000000" w:themeColor="text1"/>
          <w:szCs w:val="24"/>
        </w:rPr>
        <w:t>have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0BE2">
        <w:rPr>
          <w:rFonts w:cs="Times New Roman"/>
          <w:color w:val="000000" w:themeColor="text1"/>
          <w:szCs w:val="24"/>
        </w:rPr>
        <w:t>existing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6384C">
        <w:rPr>
          <w:rFonts w:cs="Times New Roman"/>
          <w:color w:val="000000" w:themeColor="text1"/>
          <w:szCs w:val="24"/>
        </w:rPr>
        <w:t>engineering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6384C">
        <w:rPr>
          <w:rFonts w:cs="Times New Roman"/>
          <w:color w:val="000000" w:themeColor="text1"/>
          <w:szCs w:val="24"/>
        </w:rPr>
        <w:t>controls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6384C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6384C">
        <w:rPr>
          <w:rFonts w:cs="Times New Roman"/>
          <w:color w:val="000000" w:themeColor="text1"/>
          <w:szCs w:val="24"/>
        </w:rPr>
        <w:t>place.)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addition,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believes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appropriate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2732">
        <w:rPr>
          <w:rFonts w:cs="Times New Roman"/>
          <w:color w:val="000000" w:themeColor="text1"/>
          <w:szCs w:val="24"/>
        </w:rPr>
        <w:t>also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evaluate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levels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896">
        <w:rPr>
          <w:rFonts w:cs="Times New Roman"/>
          <w:color w:val="000000" w:themeColor="text1"/>
          <w:szCs w:val="24"/>
        </w:rPr>
        <w:t>present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scenarios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considering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applicable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OSHA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requirements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97279">
        <w:rPr>
          <w:rFonts w:cs="Times New Roman"/>
          <w:color w:val="000000" w:themeColor="text1"/>
          <w:szCs w:val="24"/>
        </w:rPr>
        <w:t>(e.g.,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97279">
        <w:rPr>
          <w:rFonts w:cs="Times New Roman"/>
          <w:color w:val="000000" w:themeColor="text1"/>
          <w:szCs w:val="24"/>
        </w:rPr>
        <w:t>chemical-specific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97279">
        <w:rPr>
          <w:rFonts w:cs="Times New Roman"/>
          <w:color w:val="000000" w:themeColor="text1"/>
          <w:szCs w:val="24"/>
        </w:rPr>
        <w:t>PELs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97279">
        <w:rPr>
          <w:rFonts w:cs="Times New Roman"/>
          <w:color w:val="000000" w:themeColor="text1"/>
          <w:szCs w:val="24"/>
        </w:rPr>
        <w:t>and/or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97279">
        <w:rPr>
          <w:rFonts w:cs="Times New Roman"/>
          <w:color w:val="000000" w:themeColor="text1"/>
          <w:szCs w:val="24"/>
        </w:rPr>
        <w:t>chemical-specific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97279">
        <w:rPr>
          <w:rFonts w:cs="Times New Roman"/>
          <w:color w:val="000000" w:themeColor="text1"/>
          <w:szCs w:val="24"/>
        </w:rPr>
        <w:t>health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97279">
        <w:rPr>
          <w:rFonts w:cs="Times New Roman"/>
          <w:color w:val="000000" w:themeColor="text1"/>
          <w:szCs w:val="24"/>
        </w:rPr>
        <w:t>standards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97279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97279">
        <w:rPr>
          <w:rFonts w:cs="Times New Roman"/>
          <w:color w:val="000000" w:themeColor="text1"/>
          <w:szCs w:val="24"/>
        </w:rPr>
        <w:t>PELs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97279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97279">
        <w:rPr>
          <w:rFonts w:cs="Times New Roman"/>
          <w:color w:val="000000" w:themeColor="text1"/>
          <w:szCs w:val="24"/>
        </w:rPr>
        <w:t>additional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97279">
        <w:rPr>
          <w:rFonts w:cs="Times New Roman"/>
          <w:color w:val="000000" w:themeColor="text1"/>
          <w:szCs w:val="24"/>
        </w:rPr>
        <w:t>ancillary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97279">
        <w:rPr>
          <w:rFonts w:cs="Times New Roman"/>
          <w:color w:val="000000" w:themeColor="text1"/>
          <w:szCs w:val="24"/>
        </w:rPr>
        <w:t>provisions)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well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scenarios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considering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industry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sector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practices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industrial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hygiene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clearly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articulated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Agency.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characterizing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risks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E696D">
        <w:rPr>
          <w:rFonts w:cs="Times New Roman"/>
          <w:color w:val="000000" w:themeColor="text1"/>
          <w:szCs w:val="24"/>
        </w:rPr>
        <w:t>using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scenarios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reflect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different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levels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mitigation,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evaluations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help</w:t>
      </w:r>
      <w:r w:rsidR="005613B2">
        <w:rPr>
          <w:rFonts w:cs="Times New Roman"/>
          <w:b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inform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potential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management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actions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providing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information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during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management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tailor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mitigation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appropriately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address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unreasonable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identified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97279">
        <w:rPr>
          <w:rFonts w:cs="Times New Roman"/>
          <w:color w:val="000000" w:themeColor="text1"/>
          <w:szCs w:val="24"/>
        </w:rPr>
        <w:t>(see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97279">
        <w:rPr>
          <w:rFonts w:cs="Times New Roman"/>
          <w:color w:val="000000" w:themeColor="text1"/>
          <w:szCs w:val="24"/>
        </w:rPr>
        <w:t>Unit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97279">
        <w:rPr>
          <w:rFonts w:cs="Times New Roman"/>
          <w:color w:val="000000" w:themeColor="text1"/>
          <w:szCs w:val="24"/>
        </w:rPr>
        <w:t>II.C.2.b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97279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97279">
        <w:rPr>
          <w:rFonts w:cs="Times New Roman"/>
          <w:color w:val="000000" w:themeColor="text1"/>
          <w:szCs w:val="24"/>
        </w:rPr>
        <w:t>Unit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97279">
        <w:rPr>
          <w:rFonts w:cs="Times New Roman"/>
          <w:color w:val="000000" w:themeColor="text1"/>
          <w:szCs w:val="24"/>
        </w:rPr>
        <w:t>II.C.3)</w:t>
      </w:r>
      <w:r w:rsidRPr="00C317BB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280EE8" w:rsidP="00F27167" w:rsidRDefault="00280EE8" w14:paraId="0866210B" w14:textId="1F83B040">
      <w:pPr>
        <w:pStyle w:val="Heading4"/>
        <w:keepNext w:val="0"/>
        <w:keepLines w:val="0"/>
        <w:spacing w:before="0"/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a.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characterization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unreasonable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determination</w:t>
      </w:r>
      <w:r w:rsidRPr="00C317BB" w:rsidR="00FF2D57">
        <w:rPr>
          <w:rFonts w:cs="Times New Roman"/>
          <w:color w:val="000000" w:themeColor="text1"/>
          <w:szCs w:val="24"/>
        </w:rPr>
        <w:t>: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9615DD" w:rsidP="00F27167" w:rsidRDefault="009615DD" w14:paraId="4BB0BB45" w14:textId="58120565">
      <w:pPr>
        <w:pStyle w:val="ListParagraph"/>
        <w:ind w:left="0"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When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undertaking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unreasonable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determinations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part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evaluations,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cannot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assume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general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matter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applicable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OSHA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requirement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industry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practice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consistently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always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properly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applied.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bookmarkStart w:name="_Hlk76118422" w:id="17"/>
      <w:r w:rsidRPr="00C317BB">
        <w:rPr>
          <w:rFonts w:cs="Times New Roman"/>
          <w:color w:val="000000" w:themeColor="text1"/>
          <w:szCs w:val="24"/>
        </w:rPr>
        <w:t>Mitigation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scenarios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included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evaluation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(e.g.,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scenarios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considering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PPE)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likely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represent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happening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already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some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facilities.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However,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Agency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cannot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assume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facilities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will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have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adopted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practices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purposes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making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determination.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9615DD" w:rsidP="00F27167" w:rsidRDefault="009615DD" w14:paraId="4B6C012D" w14:textId="4665D8EB">
      <w:pPr>
        <w:pStyle w:val="ListParagraph"/>
        <w:ind w:left="0"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Therefore,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B5F25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B5F25">
        <w:rPr>
          <w:rFonts w:cs="Times New Roman"/>
          <w:color w:val="000000" w:themeColor="text1"/>
          <w:szCs w:val="24"/>
        </w:rPr>
        <w:t>conducts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baseline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assessments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makes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determination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unreasonable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baseline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scenario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4FCD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4FCD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4FCD">
        <w:rPr>
          <w:rFonts w:cs="Times New Roman"/>
          <w:color w:val="000000" w:themeColor="text1"/>
          <w:szCs w:val="24"/>
        </w:rPr>
        <w:t>based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4FCD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86A73">
        <w:rPr>
          <w:rFonts w:cs="Times New Roman"/>
          <w:color w:val="000000" w:themeColor="text1"/>
          <w:szCs w:val="24"/>
        </w:rPr>
        <w:t>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86A73">
        <w:rPr>
          <w:rFonts w:cs="Times New Roman"/>
          <w:color w:val="000000" w:themeColor="text1"/>
          <w:szCs w:val="24"/>
        </w:rPr>
        <w:t>assumption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86A73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compliance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OSHA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standards,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including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applicable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limits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requirements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respiratory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protection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PPE.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Making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unreasonable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determinations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based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baseline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scenario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should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viewed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indication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believes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occupational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safety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protections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place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location,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widespread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noncompliance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applicable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OSHA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standards.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Rather,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reflects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EPA’s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F074F">
        <w:rPr>
          <w:rFonts w:cs="Times New Roman"/>
          <w:color w:val="000000" w:themeColor="text1"/>
          <w:szCs w:val="24"/>
        </w:rPr>
        <w:t>recognition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F074F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F074F">
        <w:rPr>
          <w:rFonts w:cs="Times New Roman"/>
          <w:color w:val="000000" w:themeColor="text1"/>
          <w:szCs w:val="24"/>
        </w:rPr>
        <w:t>unreasonable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F074F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F074F">
        <w:rPr>
          <w:rFonts w:cs="Times New Roman"/>
          <w:color w:val="000000" w:themeColor="text1"/>
          <w:szCs w:val="24"/>
        </w:rPr>
        <w:t>may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F074F">
        <w:rPr>
          <w:rFonts w:cs="Times New Roman"/>
          <w:color w:val="000000" w:themeColor="text1"/>
          <w:szCs w:val="24"/>
        </w:rPr>
        <w:t>exist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F074F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subpopulations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workers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F074F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F074F">
        <w:rPr>
          <w:rFonts w:cs="Times New Roman"/>
          <w:color w:val="000000" w:themeColor="text1"/>
          <w:szCs w:val="24"/>
        </w:rPr>
        <w:t>may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F074F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F074F">
        <w:rPr>
          <w:rFonts w:cs="Times New Roman"/>
          <w:color w:val="000000" w:themeColor="text1"/>
          <w:szCs w:val="24"/>
        </w:rPr>
        <w:t>highly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F074F">
        <w:rPr>
          <w:rFonts w:cs="Times New Roman"/>
          <w:color w:val="000000" w:themeColor="text1"/>
          <w:szCs w:val="24"/>
        </w:rPr>
        <w:t>exposed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because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covered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OSHA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standards,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such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self-employed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individuals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public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sector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workers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who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covered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State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Plan,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because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their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employer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out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compliance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OSHA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standards,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because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finds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unreasonable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purposes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notwithstanding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existing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OSHA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requirements.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280EE8" w:rsidP="00F27167" w:rsidRDefault="00280EE8" w14:paraId="5D1972F3" w14:textId="0AAF3CDF">
      <w:pPr>
        <w:pStyle w:val="Heading4"/>
        <w:keepNext w:val="0"/>
        <w:keepLines w:val="0"/>
        <w:spacing w:before="0"/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b.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evaluation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inform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management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requirements</w:t>
      </w:r>
      <w:r w:rsidRPr="00C317BB" w:rsidR="00FF2D57">
        <w:rPr>
          <w:rFonts w:cs="Times New Roman"/>
          <w:color w:val="000000" w:themeColor="text1"/>
          <w:szCs w:val="24"/>
        </w:rPr>
        <w:t>:</w:t>
      </w:r>
    </w:p>
    <w:p w:rsidRPr="00C317BB" w:rsidR="007D20BA" w:rsidP="00B418DF" w:rsidRDefault="009615DD" w14:paraId="1E6C346F" w14:textId="2ED631BB">
      <w:pPr>
        <w:pStyle w:val="ListParagraph"/>
        <w:ind w:left="0" w:firstLine="720"/>
        <w:rPr>
          <w:rFonts w:cs="Times New Roman"/>
          <w:szCs w:val="24"/>
        </w:rPr>
      </w:pP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addition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baseline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scenario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described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previously,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evaluations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characterize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levels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present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scenarios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considering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applicable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OSHA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requirements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(e.g.,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chemical-specific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PELs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and/or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chemical-specific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97279">
        <w:rPr>
          <w:rFonts w:cs="Times New Roman"/>
          <w:color w:val="000000" w:themeColor="text1"/>
          <w:szCs w:val="24"/>
        </w:rPr>
        <w:t>health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97279">
        <w:rPr>
          <w:rFonts w:cs="Times New Roman"/>
          <w:color w:val="000000" w:themeColor="text1"/>
          <w:szCs w:val="24"/>
        </w:rPr>
        <w:t>standards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97279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97279">
        <w:rPr>
          <w:rFonts w:cs="Times New Roman"/>
          <w:color w:val="000000" w:themeColor="text1"/>
          <w:szCs w:val="24"/>
        </w:rPr>
        <w:t>PELs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97279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97279">
        <w:rPr>
          <w:rFonts w:cs="Times New Roman"/>
          <w:color w:val="000000" w:themeColor="text1"/>
          <w:szCs w:val="24"/>
        </w:rPr>
        <w:t>additional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97279">
        <w:rPr>
          <w:rFonts w:cs="Times New Roman"/>
          <w:color w:val="000000" w:themeColor="text1"/>
          <w:szCs w:val="24"/>
        </w:rPr>
        <w:t>ancillary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97279">
        <w:rPr>
          <w:rFonts w:cs="Times New Roman"/>
          <w:color w:val="000000" w:themeColor="text1"/>
          <w:szCs w:val="24"/>
        </w:rPr>
        <w:t>provisions</w:t>
      </w:r>
      <w:r w:rsidRPr="00C317BB">
        <w:rPr>
          <w:rFonts w:cs="Times New Roman"/>
          <w:color w:val="000000" w:themeColor="text1"/>
          <w:szCs w:val="24"/>
        </w:rPr>
        <w:t>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well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scenarios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considering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industry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sector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practices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industrial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hygiene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clearly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articulated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Agency.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EPA’s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evaluation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scenarios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example,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incorporate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engineering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administrative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controls,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personal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protective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equipment,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serves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inform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management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efforts.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characterizing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risks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scenarios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reflect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different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levels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mitigation,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evaluations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help</w:t>
      </w:r>
      <w:r w:rsidR="005613B2">
        <w:rPr>
          <w:rFonts w:cs="Times New Roman"/>
          <w:b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inform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potential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management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actions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providing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information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during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management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tailor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mitigation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appropriately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address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worker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exposures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where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Agency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found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unreasonable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risk.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particular,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discussed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below,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information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developed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during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evaluation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determine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whether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alignment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EPA’s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management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requirements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existing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OSHA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requirements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industry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practices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will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adequately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address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unreasonable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required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TSCA.</w:t>
      </w:r>
      <w:bookmarkEnd w:id="17"/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B418DF" w:rsidP="00B418DF" w:rsidRDefault="00BE4C69" w14:paraId="3F278FEC" w14:textId="33A2B2D1">
      <w:pPr>
        <w:pStyle w:val="ListParagraph"/>
        <w:ind w:left="0"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I</w:t>
      </w:r>
      <w:r w:rsidRPr="00C317BB" w:rsidR="00C11203">
        <w:rPr>
          <w:rFonts w:cs="Times New Roman"/>
          <w:color w:val="000000" w:themeColor="text1"/>
          <w:szCs w:val="24"/>
        </w:rPr>
        <w:t>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11203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11203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11203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11203">
        <w:rPr>
          <w:rFonts w:cs="Times New Roman"/>
          <w:color w:val="000000" w:themeColor="text1"/>
          <w:szCs w:val="24"/>
        </w:rPr>
        <w:t>Evaluation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11203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11203">
        <w:rPr>
          <w:rFonts w:cs="Times New Roman"/>
          <w:color w:val="000000" w:themeColor="text1"/>
          <w:szCs w:val="24"/>
        </w:rPr>
        <w:t>Asbestos,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11203">
        <w:rPr>
          <w:rFonts w:cs="Times New Roman"/>
          <w:color w:val="000000" w:themeColor="text1"/>
          <w:szCs w:val="24"/>
        </w:rPr>
        <w:t>Part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11203">
        <w:rPr>
          <w:rFonts w:cs="Times New Roman"/>
          <w:color w:val="000000" w:themeColor="text1"/>
          <w:szCs w:val="24"/>
        </w:rPr>
        <w:t>1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11203">
        <w:rPr>
          <w:rFonts w:cs="Times New Roman"/>
          <w:color w:val="000000" w:themeColor="text1"/>
          <w:szCs w:val="24"/>
        </w:rPr>
        <w:t>f</w:t>
      </w:r>
      <w:r w:rsidRPr="00C317BB" w:rsidR="00B95959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11203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11203">
        <w:rPr>
          <w:rFonts w:cs="Times New Roman"/>
          <w:color w:val="000000" w:themeColor="text1"/>
          <w:szCs w:val="24"/>
        </w:rPr>
        <w:t>asbestos,</w:t>
      </w:r>
      <w:r w:rsidR="005613B2">
        <w:rPr>
          <w:rFonts w:cs="Times New Roman"/>
          <w:szCs w:val="24"/>
        </w:rPr>
        <w:t xml:space="preserve"> </w:t>
      </w:r>
      <w:r w:rsidRPr="00C317BB">
        <w:rPr>
          <w:rFonts w:cs="Times New Roman"/>
          <w:szCs w:val="24"/>
        </w:rPr>
        <w:t>EPA</w:t>
      </w:r>
      <w:r w:rsidR="005613B2">
        <w:rPr>
          <w:rFonts w:cs="Times New Roman"/>
          <w:szCs w:val="24"/>
        </w:rPr>
        <w:t xml:space="preserve"> </w:t>
      </w:r>
      <w:r w:rsidRPr="00C317BB">
        <w:rPr>
          <w:rFonts w:cs="Times New Roman"/>
          <w:szCs w:val="24"/>
        </w:rPr>
        <w:t>presented</w:t>
      </w:r>
      <w:r w:rsidR="005613B2">
        <w:rPr>
          <w:rFonts w:cs="Times New Roman"/>
          <w:szCs w:val="24"/>
        </w:rPr>
        <w:t xml:space="preserve"> </w:t>
      </w:r>
      <w:r w:rsidRPr="00C317BB">
        <w:rPr>
          <w:rFonts w:cs="Times New Roman"/>
          <w:szCs w:val="24"/>
        </w:rPr>
        <w:t>risk</w:t>
      </w:r>
      <w:r w:rsidR="005613B2">
        <w:rPr>
          <w:rFonts w:cs="Times New Roman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estimates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based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04266">
        <w:rPr>
          <w:rFonts w:cs="Times New Roman"/>
          <w:color w:val="000000" w:themeColor="text1"/>
          <w:szCs w:val="24"/>
        </w:rPr>
        <w:t>workers</w:t>
      </w:r>
      <w:r w:rsidRPr="00C317BB" w:rsidR="00DE59FB">
        <w:rPr>
          <w:rFonts w:cs="Times New Roman"/>
          <w:color w:val="000000" w:themeColor="text1"/>
          <w:szCs w:val="24"/>
        </w:rPr>
        <w:t>’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exposures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without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E2A98">
        <w:rPr>
          <w:rFonts w:cs="Times New Roman"/>
          <w:color w:val="000000" w:themeColor="text1"/>
          <w:szCs w:val="24"/>
        </w:rPr>
        <w:t>respiratory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E2A98">
        <w:rPr>
          <w:rFonts w:cs="Times New Roman"/>
          <w:color w:val="000000" w:themeColor="text1"/>
          <w:szCs w:val="24"/>
        </w:rPr>
        <w:t>protection</w:t>
      </w:r>
      <w:r w:rsidRPr="00C317BB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418DF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418DF">
        <w:rPr>
          <w:rFonts w:cs="Times New Roman"/>
          <w:color w:val="000000" w:themeColor="text1"/>
          <w:szCs w:val="24"/>
        </w:rPr>
        <w:t>determined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17120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17120">
        <w:rPr>
          <w:rFonts w:cs="Times New Roman"/>
          <w:color w:val="000000" w:themeColor="text1"/>
          <w:szCs w:val="24"/>
        </w:rPr>
        <w:t>even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17120">
        <w:rPr>
          <w:rFonts w:cs="Times New Roman"/>
          <w:color w:val="000000" w:themeColor="text1"/>
          <w:szCs w:val="24"/>
        </w:rPr>
        <w:t>when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17120">
        <w:rPr>
          <w:rFonts w:cs="Times New Roman"/>
          <w:color w:val="000000" w:themeColor="text1"/>
          <w:szCs w:val="24"/>
        </w:rPr>
        <w:t>respirators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17120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17120">
        <w:rPr>
          <w:rFonts w:cs="Times New Roman"/>
          <w:color w:val="000000" w:themeColor="text1"/>
          <w:szCs w:val="24"/>
        </w:rPr>
        <w:t>used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17120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17120">
        <w:rPr>
          <w:rFonts w:cs="Times New Roman"/>
          <w:color w:val="000000" w:themeColor="text1"/>
          <w:szCs w:val="24"/>
        </w:rPr>
        <w:t>workers,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17120">
        <w:rPr>
          <w:rFonts w:cs="Times New Roman"/>
          <w:color w:val="000000" w:themeColor="text1"/>
          <w:szCs w:val="24"/>
        </w:rPr>
        <w:t>unreasonable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17120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17120">
        <w:rPr>
          <w:rFonts w:cs="Times New Roman"/>
          <w:color w:val="000000" w:themeColor="text1"/>
          <w:szCs w:val="24"/>
        </w:rPr>
        <w:t>would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17120">
        <w:rPr>
          <w:rFonts w:cs="Times New Roman"/>
          <w:color w:val="000000" w:themeColor="text1"/>
          <w:szCs w:val="24"/>
        </w:rPr>
        <w:t>remain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17120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17120">
        <w:rPr>
          <w:rFonts w:cs="Times New Roman"/>
          <w:color w:val="000000" w:themeColor="text1"/>
          <w:szCs w:val="24"/>
        </w:rPr>
        <w:t>some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17120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17120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17120">
        <w:rPr>
          <w:rFonts w:cs="Times New Roman"/>
          <w:color w:val="000000" w:themeColor="text1"/>
          <w:szCs w:val="24"/>
        </w:rPr>
        <w:t>conditions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17120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17120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17120">
        <w:rPr>
          <w:rFonts w:cs="Times New Roman"/>
          <w:color w:val="000000" w:themeColor="text1"/>
          <w:szCs w:val="24"/>
        </w:rPr>
        <w:t>evaluated</w:t>
      </w:r>
      <w:r w:rsidRPr="00C317BB" w:rsidR="00B418DF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418DF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418DF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418DF">
        <w:rPr>
          <w:rFonts w:cs="Times New Roman"/>
          <w:color w:val="000000" w:themeColor="text1"/>
          <w:szCs w:val="24"/>
        </w:rPr>
        <w:t>management</w:t>
      </w:r>
      <w:r w:rsidRPr="00C317BB" w:rsidR="00F06A23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418DF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06A23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06A23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06A23">
        <w:rPr>
          <w:rFonts w:cs="Times New Roman"/>
          <w:color w:val="000000" w:themeColor="text1"/>
          <w:szCs w:val="24"/>
        </w:rPr>
        <w:t>relying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06A23">
        <w:rPr>
          <w:rFonts w:cs="Times New Roman"/>
          <w:color w:val="000000" w:themeColor="text1"/>
          <w:szCs w:val="24"/>
        </w:rPr>
        <w:t>on</w:t>
      </w:r>
      <w:r w:rsidRPr="00C317BB" w:rsidR="00A9558B">
        <w:rPr>
          <w:rFonts w:cs="Times New Roman"/>
          <w:color w:val="000000" w:themeColor="text1"/>
          <w:szCs w:val="24"/>
        </w:rPr>
        <w:t>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A7E16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A7E16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06A23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06A23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06A23">
        <w:rPr>
          <w:rFonts w:cs="Times New Roman"/>
          <w:color w:val="000000" w:themeColor="text1"/>
          <w:szCs w:val="24"/>
        </w:rPr>
        <w:t>respirat</w:t>
      </w:r>
      <w:r w:rsidRPr="00C317BB" w:rsidR="00B418DF">
        <w:rPr>
          <w:rFonts w:cs="Times New Roman"/>
          <w:color w:val="000000" w:themeColor="text1"/>
          <w:szCs w:val="24"/>
        </w:rPr>
        <w:t>o</w:t>
      </w:r>
      <w:r w:rsidRPr="00C317BB" w:rsidR="00F06A23">
        <w:rPr>
          <w:rFonts w:cs="Times New Roman"/>
          <w:color w:val="000000" w:themeColor="text1"/>
          <w:szCs w:val="24"/>
        </w:rPr>
        <w:t>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06A23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418DF">
        <w:rPr>
          <w:rFonts w:cs="Times New Roman"/>
          <w:color w:val="000000" w:themeColor="text1"/>
          <w:szCs w:val="24"/>
        </w:rPr>
        <w:t>reduce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418DF">
        <w:rPr>
          <w:rFonts w:cs="Times New Roman"/>
          <w:color w:val="000000" w:themeColor="text1"/>
          <w:szCs w:val="24"/>
        </w:rPr>
        <w:t>exposures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418DF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418DF">
        <w:rPr>
          <w:rFonts w:cs="Times New Roman"/>
          <w:color w:val="000000" w:themeColor="text1"/>
          <w:szCs w:val="24"/>
        </w:rPr>
        <w:t>worker</w:t>
      </w:r>
      <w:r w:rsidRPr="00C317BB" w:rsidR="00A07020">
        <w:rPr>
          <w:rFonts w:cs="Times New Roman"/>
          <w:color w:val="000000" w:themeColor="text1"/>
          <w:szCs w:val="24"/>
        </w:rPr>
        <w:t>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418DF">
        <w:rPr>
          <w:rFonts w:cs="Times New Roman"/>
          <w:color w:val="000000" w:themeColor="text1"/>
          <w:szCs w:val="24"/>
        </w:rPr>
        <w:t>so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418DF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418DF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418DF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418DF">
        <w:rPr>
          <w:rFonts w:cs="Times New Roman"/>
          <w:color w:val="000000" w:themeColor="text1"/>
          <w:szCs w:val="24"/>
        </w:rPr>
        <w:t>does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418DF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418DF">
        <w:rPr>
          <w:rFonts w:cs="Times New Roman"/>
          <w:color w:val="000000" w:themeColor="text1"/>
          <w:szCs w:val="24"/>
        </w:rPr>
        <w:t>present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418DF">
        <w:rPr>
          <w:rFonts w:cs="Times New Roman"/>
          <w:color w:val="000000" w:themeColor="text1"/>
          <w:szCs w:val="24"/>
        </w:rPr>
        <w:t>unreasonable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418DF">
        <w:rPr>
          <w:rFonts w:cs="Times New Roman"/>
          <w:color w:val="000000" w:themeColor="text1"/>
          <w:szCs w:val="24"/>
        </w:rPr>
        <w:t>risk</w:t>
      </w:r>
      <w:r w:rsidRPr="00C317BB" w:rsidR="00F06A23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06A23">
        <w:rPr>
          <w:rFonts w:cs="Times New Roman"/>
          <w:color w:val="000000" w:themeColor="text1"/>
          <w:szCs w:val="24"/>
        </w:rPr>
        <w:t>since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06A23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06A23">
        <w:rPr>
          <w:rFonts w:cs="Times New Roman"/>
          <w:color w:val="000000" w:themeColor="text1"/>
          <w:szCs w:val="24"/>
        </w:rPr>
        <w:t>some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06A23">
        <w:rPr>
          <w:rFonts w:cs="Times New Roman"/>
          <w:color w:val="000000" w:themeColor="text1"/>
          <w:szCs w:val="24"/>
        </w:rPr>
        <w:t>conditions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06A23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06A23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06A23">
        <w:rPr>
          <w:rFonts w:cs="Times New Roman"/>
          <w:color w:val="000000" w:themeColor="text1"/>
          <w:szCs w:val="24"/>
        </w:rPr>
        <w:t>respirators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06A23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06A23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06A23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06A23">
        <w:rPr>
          <w:rFonts w:cs="Times New Roman"/>
          <w:color w:val="000000" w:themeColor="text1"/>
          <w:szCs w:val="24"/>
        </w:rPr>
        <w:t>viable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06A23">
        <w:rPr>
          <w:rFonts w:cs="Times New Roman"/>
          <w:color w:val="000000" w:themeColor="text1"/>
          <w:szCs w:val="24"/>
        </w:rPr>
        <w:t>regulatory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06A23">
        <w:rPr>
          <w:rFonts w:cs="Times New Roman"/>
          <w:color w:val="000000" w:themeColor="text1"/>
          <w:szCs w:val="24"/>
        </w:rPr>
        <w:t>option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06A23">
        <w:rPr>
          <w:rFonts w:cs="Times New Roman"/>
          <w:color w:val="000000" w:themeColor="text1"/>
          <w:szCs w:val="24"/>
        </w:rPr>
        <w:t>(e.g.,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3895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3895">
        <w:rPr>
          <w:rFonts w:cs="Times New Roman"/>
          <w:color w:val="000000" w:themeColor="text1"/>
          <w:szCs w:val="24"/>
        </w:rPr>
        <w:t>respirator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3895">
        <w:rPr>
          <w:rFonts w:cs="Times New Roman"/>
          <w:color w:val="000000" w:themeColor="text1"/>
          <w:szCs w:val="24"/>
        </w:rPr>
        <w:t>alone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3895">
        <w:rPr>
          <w:rFonts w:cs="Times New Roman"/>
          <w:color w:val="000000" w:themeColor="text1"/>
          <w:szCs w:val="24"/>
        </w:rPr>
        <w:t>does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3895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3895">
        <w:rPr>
          <w:rFonts w:cs="Times New Roman"/>
          <w:color w:val="000000" w:themeColor="text1"/>
          <w:szCs w:val="24"/>
        </w:rPr>
        <w:t>reduce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3895">
        <w:rPr>
          <w:rFonts w:cs="Times New Roman"/>
          <w:color w:val="000000" w:themeColor="text1"/>
          <w:szCs w:val="24"/>
        </w:rPr>
        <w:t>exposures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3895">
        <w:rPr>
          <w:rFonts w:cs="Times New Roman"/>
          <w:color w:val="000000" w:themeColor="text1"/>
          <w:szCs w:val="24"/>
        </w:rPr>
        <w:t>enough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3895">
        <w:rPr>
          <w:rFonts w:cs="Times New Roman"/>
          <w:color w:val="000000" w:themeColor="text1"/>
          <w:szCs w:val="24"/>
        </w:rPr>
        <w:t>so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3895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3895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3895">
        <w:rPr>
          <w:rFonts w:cs="Times New Roman"/>
          <w:color w:val="000000" w:themeColor="text1"/>
          <w:szCs w:val="24"/>
        </w:rPr>
        <w:t>does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3895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3895">
        <w:rPr>
          <w:rFonts w:cs="Times New Roman"/>
          <w:color w:val="000000" w:themeColor="text1"/>
          <w:szCs w:val="24"/>
        </w:rPr>
        <w:t>present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3895">
        <w:rPr>
          <w:rFonts w:cs="Times New Roman"/>
          <w:color w:val="000000" w:themeColor="text1"/>
          <w:szCs w:val="24"/>
        </w:rPr>
        <w:t>unreasonable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3895">
        <w:rPr>
          <w:rFonts w:cs="Times New Roman"/>
          <w:color w:val="000000" w:themeColor="text1"/>
          <w:szCs w:val="24"/>
        </w:rPr>
        <w:t>risk</w:t>
      </w:r>
      <w:r w:rsidRPr="00C317BB" w:rsidR="00F06A23">
        <w:rPr>
          <w:rFonts w:cs="Times New Roman"/>
          <w:color w:val="000000" w:themeColor="text1"/>
          <w:szCs w:val="24"/>
        </w:rPr>
        <w:t>)</w:t>
      </w:r>
      <w:r w:rsidRPr="00C317BB" w:rsidR="00B418DF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06A23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06A23">
        <w:rPr>
          <w:rFonts w:cs="Times New Roman"/>
          <w:color w:val="000000" w:themeColor="text1"/>
          <w:szCs w:val="24"/>
        </w:rPr>
        <w:t>addition,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06A23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06A23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06A23">
        <w:rPr>
          <w:rFonts w:cs="Times New Roman"/>
          <w:color w:val="000000" w:themeColor="text1"/>
          <w:szCs w:val="24"/>
        </w:rPr>
        <w:t>considering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06A23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06A23">
        <w:rPr>
          <w:rFonts w:cs="Times New Roman"/>
          <w:color w:val="000000" w:themeColor="text1"/>
          <w:szCs w:val="24"/>
        </w:rPr>
        <w:t>NIOSH/OSHA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06A23">
        <w:rPr>
          <w:rFonts w:cs="Times New Roman"/>
          <w:color w:val="000000" w:themeColor="text1"/>
          <w:szCs w:val="24"/>
        </w:rPr>
        <w:t>hierarchy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06A23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06A23">
        <w:rPr>
          <w:rFonts w:cs="Times New Roman"/>
          <w:color w:val="000000" w:themeColor="text1"/>
          <w:szCs w:val="24"/>
        </w:rPr>
        <w:t>controls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06A23">
        <w:rPr>
          <w:rFonts w:cs="Times New Roman"/>
          <w:color w:val="000000" w:themeColor="text1"/>
          <w:szCs w:val="24"/>
        </w:rPr>
        <w:t>when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06A23">
        <w:rPr>
          <w:rFonts w:cs="Times New Roman"/>
          <w:color w:val="000000" w:themeColor="text1"/>
          <w:szCs w:val="24"/>
        </w:rPr>
        <w:t>developing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06A23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06A23">
        <w:rPr>
          <w:rFonts w:cs="Times New Roman"/>
          <w:color w:val="000000" w:themeColor="text1"/>
          <w:szCs w:val="24"/>
        </w:rPr>
        <w:t>management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06A23">
        <w:rPr>
          <w:rFonts w:cs="Times New Roman"/>
          <w:color w:val="000000" w:themeColor="text1"/>
          <w:szCs w:val="24"/>
        </w:rPr>
        <w:t>actions,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06A23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06A23">
        <w:rPr>
          <w:rFonts w:cs="Times New Roman"/>
          <w:color w:val="000000" w:themeColor="text1"/>
          <w:szCs w:val="24"/>
        </w:rPr>
        <w:t>therefore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06A23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06A23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06A23">
        <w:rPr>
          <w:rFonts w:cs="Times New Roman"/>
          <w:color w:val="000000" w:themeColor="text1"/>
          <w:szCs w:val="24"/>
        </w:rPr>
        <w:t>respirators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06A23">
        <w:rPr>
          <w:rFonts w:cs="Times New Roman"/>
          <w:color w:val="000000" w:themeColor="text1"/>
          <w:szCs w:val="24"/>
        </w:rPr>
        <w:t>might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06A23">
        <w:rPr>
          <w:rFonts w:cs="Times New Roman"/>
          <w:color w:val="000000" w:themeColor="text1"/>
          <w:szCs w:val="24"/>
        </w:rPr>
        <w:t>only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06A23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06A23">
        <w:rPr>
          <w:rFonts w:cs="Times New Roman"/>
          <w:color w:val="000000" w:themeColor="text1"/>
          <w:szCs w:val="24"/>
        </w:rPr>
        <w:t>suitable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06A23">
        <w:rPr>
          <w:rFonts w:cs="Times New Roman"/>
          <w:color w:val="000000" w:themeColor="text1"/>
          <w:szCs w:val="24"/>
        </w:rPr>
        <w:t>after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06A23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06A23">
        <w:rPr>
          <w:rFonts w:cs="Times New Roman"/>
          <w:color w:val="000000" w:themeColor="text1"/>
          <w:szCs w:val="24"/>
        </w:rPr>
        <w:t>steps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06A23">
        <w:rPr>
          <w:rFonts w:cs="Times New Roman"/>
          <w:color w:val="000000" w:themeColor="text1"/>
          <w:szCs w:val="24"/>
        </w:rPr>
        <w:t>have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06A23">
        <w:rPr>
          <w:rFonts w:cs="Times New Roman"/>
          <w:color w:val="000000" w:themeColor="text1"/>
          <w:szCs w:val="24"/>
        </w:rPr>
        <w:t>been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06A23">
        <w:rPr>
          <w:rFonts w:cs="Times New Roman"/>
          <w:color w:val="000000" w:themeColor="text1"/>
          <w:szCs w:val="24"/>
        </w:rPr>
        <w:t>taken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06A23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06A23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06A23">
        <w:rPr>
          <w:rFonts w:cs="Times New Roman"/>
          <w:color w:val="000000" w:themeColor="text1"/>
          <w:szCs w:val="24"/>
        </w:rPr>
        <w:t>facilities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06A23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06A23">
        <w:rPr>
          <w:rFonts w:cs="Times New Roman"/>
          <w:color w:val="000000" w:themeColor="text1"/>
          <w:szCs w:val="24"/>
        </w:rPr>
        <w:t>reduce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06A23">
        <w:rPr>
          <w:rFonts w:cs="Times New Roman"/>
          <w:color w:val="000000" w:themeColor="text1"/>
          <w:szCs w:val="24"/>
        </w:rPr>
        <w:t>exposures.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280EE8" w:rsidP="00F27167" w:rsidRDefault="00280EE8" w14:paraId="2BB1C5DD" w14:textId="3BAE70C7">
      <w:pPr>
        <w:pStyle w:val="Heading3"/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3.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bookmarkStart w:name="_Hlk93659337" w:id="18"/>
      <w:r w:rsidRPr="00C317BB">
        <w:rPr>
          <w:rFonts w:cs="Times New Roman"/>
          <w:color w:val="000000" w:themeColor="text1"/>
          <w:szCs w:val="24"/>
        </w:rPr>
        <w:t>Consideration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OSHA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standards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management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actions.</w:t>
      </w:r>
    </w:p>
    <w:bookmarkEnd w:id="18"/>
    <w:p w:rsidRPr="00C317BB" w:rsidR="009615DD" w:rsidP="00F27167" w:rsidRDefault="00F26183" w14:paraId="048A6C1C" w14:textId="7FCF1EC5">
      <w:pPr>
        <w:pStyle w:val="ListParagraph"/>
        <w:ind w:left="0"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When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undertaking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management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actions,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EPA: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1.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Develops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occupational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mitigation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measures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address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unreasonable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risks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identified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striving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consistency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applicable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OSHA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requirements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industry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practices,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including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appropriate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application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hierarchy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controls,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when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those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measures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address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unreasonable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risk;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2.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Ensures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requirements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apply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potentially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workers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accordance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requirements.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Consistent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9(d),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consult</w:t>
      </w:r>
      <w:r w:rsidRPr="00C317BB" w:rsidR="00224FDD">
        <w:rPr>
          <w:rFonts w:cs="Times New Roman"/>
          <w:color w:val="000000" w:themeColor="text1"/>
          <w:szCs w:val="24"/>
        </w:rPr>
        <w:t>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coordinate</w:t>
      </w:r>
      <w:r w:rsidRPr="00C317BB" w:rsidR="00224FDD">
        <w:rPr>
          <w:rFonts w:cs="Times New Roman"/>
          <w:color w:val="000000" w:themeColor="text1"/>
          <w:szCs w:val="24"/>
        </w:rPr>
        <w:t>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activities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OSHA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relevant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Federal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agencies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purpose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achieving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maximum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applicability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while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avoiding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imposition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duplicative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15DD">
        <w:rPr>
          <w:rFonts w:cs="Times New Roman"/>
          <w:color w:val="000000" w:themeColor="text1"/>
          <w:szCs w:val="24"/>
        </w:rPr>
        <w:t>requirements.</w:t>
      </w:r>
    </w:p>
    <w:p w:rsidRPr="00C317BB" w:rsidR="009615DD" w:rsidP="00F27167" w:rsidRDefault="009615DD" w14:paraId="47477F45" w14:textId="2A41032C">
      <w:pPr>
        <w:pStyle w:val="ListParagraph"/>
        <w:ind w:left="0"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Informed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mitigation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scenarios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information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gathered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during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evaluation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management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process,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Agency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might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propose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rules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require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management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practices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already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common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practice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many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most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facilities.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Adopting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clear,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comprehensive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regulatory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standards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will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foster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compliance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across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facilities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(ensuring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level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playing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field)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protections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affected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workers,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especially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cases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where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current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OSHA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standards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apply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575F1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sufficient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address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unreasonable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risk.</w:t>
      </w:r>
    </w:p>
    <w:p w:rsidRPr="00C317BB" w:rsidR="009615DD" w:rsidP="00F27167" w:rsidRDefault="009615DD" w14:paraId="67A41A4B" w14:textId="23FA40CE">
      <w:pPr>
        <w:pStyle w:val="ListParagraph"/>
        <w:ind w:left="0"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evaluation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scenarios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which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involve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OSHA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chemical-specific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PELs,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EPA’s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evaluation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97279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97279">
        <w:rPr>
          <w:rFonts w:cs="Times New Roman"/>
          <w:color w:val="000000" w:themeColor="text1"/>
          <w:szCs w:val="24"/>
        </w:rPr>
        <w:t>some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97279">
        <w:rPr>
          <w:rFonts w:cs="Times New Roman"/>
          <w:color w:val="000000" w:themeColor="text1"/>
          <w:szCs w:val="24"/>
        </w:rPr>
        <w:t>cases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illustrate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limiting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OSHA’s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PEL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result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levels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below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benchmark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standard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certain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conditions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use.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cases,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management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requirements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incorporate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reinforce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91AAF">
        <w:rPr>
          <w:rFonts w:cs="Times New Roman"/>
          <w:color w:val="000000" w:themeColor="text1"/>
          <w:szCs w:val="24"/>
        </w:rPr>
        <w:t>requirements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OSHA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standards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ensure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risks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addressed</w:t>
      </w:r>
      <w:r w:rsidRPr="00C317BB" w:rsidR="00993426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93426">
        <w:rPr>
          <w:rFonts w:cs="Times New Roman"/>
          <w:color w:val="000000" w:themeColor="text1"/>
          <w:szCs w:val="24"/>
        </w:rPr>
        <w:t>including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circumstances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where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OSHA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requirements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applicable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(e.g.,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public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sector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workers)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asserting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compliance/enforcement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well.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EPA’s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evaluation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also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find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unreasonable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associated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some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occupational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conditions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even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when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applicable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OSHA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requirements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met.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cases,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need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develop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management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requirements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beyond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those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included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OSHA’s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standards.</w:t>
      </w:r>
    </w:p>
    <w:p w:rsidRPr="00C317BB" w:rsidR="00CD53F0" w:rsidP="00F27167" w:rsidRDefault="000F1549" w14:paraId="29E62B13" w14:textId="516CF7D8">
      <w:pPr>
        <w:pStyle w:val="Heading2"/>
        <w:rPr>
          <w:rFonts w:cs="Times New Roman"/>
          <w:bCs w:val="0"/>
          <w:color w:val="000000" w:themeColor="text1"/>
          <w:szCs w:val="24"/>
        </w:rPr>
      </w:pPr>
      <w:r w:rsidRPr="00C317BB">
        <w:rPr>
          <w:rStyle w:val="Strong"/>
          <w:rFonts w:cs="Times New Roman"/>
          <w:b w:val="0"/>
          <w:color w:val="000000" w:themeColor="text1"/>
          <w:szCs w:val="24"/>
        </w:rPr>
        <w:t>D</w:t>
      </w:r>
      <w:r w:rsidRPr="00C317BB" w:rsidR="00F47BE7">
        <w:rPr>
          <w:rStyle w:val="Strong"/>
          <w:rFonts w:cs="Times New Roman"/>
          <w:b w:val="0"/>
          <w:color w:val="000000" w:themeColor="text1"/>
          <w:szCs w:val="24"/>
        </w:rPr>
        <w:t>.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B97074">
        <w:rPr>
          <w:rStyle w:val="Strong"/>
          <w:rFonts w:cs="Times New Roman"/>
          <w:b w:val="0"/>
          <w:color w:val="000000" w:themeColor="text1"/>
          <w:szCs w:val="24"/>
        </w:rPr>
        <w:t>Summary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B97074">
        <w:rPr>
          <w:rStyle w:val="Strong"/>
          <w:rFonts w:cs="Times New Roman"/>
          <w:b w:val="0"/>
          <w:color w:val="000000" w:themeColor="text1"/>
          <w:szCs w:val="24"/>
        </w:rPr>
        <w:t>of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B97074">
        <w:rPr>
          <w:rStyle w:val="Strong"/>
          <w:rFonts w:cs="Times New Roman"/>
          <w:b w:val="0"/>
          <w:color w:val="000000" w:themeColor="text1"/>
          <w:szCs w:val="24"/>
        </w:rPr>
        <w:t>EPA’s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8A2606">
        <w:rPr>
          <w:rStyle w:val="Strong"/>
          <w:rFonts w:cs="Times New Roman"/>
          <w:b w:val="0"/>
          <w:color w:val="000000" w:themeColor="text1"/>
          <w:szCs w:val="24"/>
        </w:rPr>
        <w:t>r</w:t>
      </w:r>
      <w:r w:rsidRPr="00C317BB" w:rsidR="0017418E">
        <w:rPr>
          <w:rStyle w:val="Strong"/>
          <w:rFonts w:cs="Times New Roman"/>
          <w:b w:val="0"/>
          <w:color w:val="000000" w:themeColor="text1"/>
          <w:szCs w:val="24"/>
        </w:rPr>
        <w:t>isk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8A2606">
        <w:rPr>
          <w:rStyle w:val="Strong"/>
          <w:rFonts w:cs="Times New Roman"/>
          <w:b w:val="0"/>
          <w:color w:val="000000" w:themeColor="text1"/>
          <w:szCs w:val="24"/>
        </w:rPr>
        <w:t>e</w:t>
      </w:r>
      <w:r w:rsidRPr="00C317BB" w:rsidR="0017418E">
        <w:rPr>
          <w:rStyle w:val="Strong"/>
          <w:rFonts w:cs="Times New Roman"/>
          <w:b w:val="0"/>
          <w:color w:val="000000" w:themeColor="text1"/>
          <w:szCs w:val="24"/>
        </w:rPr>
        <w:t>valuation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8A2606">
        <w:rPr>
          <w:rStyle w:val="Strong"/>
          <w:rFonts w:cs="Times New Roman"/>
          <w:b w:val="0"/>
          <w:color w:val="000000" w:themeColor="text1"/>
          <w:szCs w:val="24"/>
        </w:rPr>
        <w:t>a</w:t>
      </w:r>
      <w:r w:rsidRPr="00C317BB" w:rsidR="0017418E">
        <w:rPr>
          <w:rStyle w:val="Strong"/>
          <w:rFonts w:cs="Times New Roman"/>
          <w:b w:val="0"/>
          <w:color w:val="000000" w:themeColor="text1"/>
          <w:szCs w:val="24"/>
        </w:rPr>
        <w:t>ctivities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17418E">
        <w:rPr>
          <w:rStyle w:val="Strong"/>
          <w:rFonts w:cs="Times New Roman"/>
          <w:b w:val="0"/>
          <w:color w:val="000000" w:themeColor="text1"/>
          <w:szCs w:val="24"/>
        </w:rPr>
        <w:t>on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5D2A0E">
        <w:rPr>
          <w:rStyle w:val="Strong"/>
          <w:rFonts w:cs="Times New Roman"/>
          <w:b w:val="0"/>
          <w:color w:val="000000" w:themeColor="text1"/>
          <w:szCs w:val="24"/>
        </w:rPr>
        <w:t>chrysotile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5D2A0E">
        <w:rPr>
          <w:rStyle w:val="Strong"/>
          <w:rFonts w:cs="Times New Roman"/>
          <w:b w:val="0"/>
          <w:color w:val="000000" w:themeColor="text1"/>
          <w:szCs w:val="24"/>
        </w:rPr>
        <w:t>asbestos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</w:p>
    <w:p w:rsidRPr="00C317BB" w:rsidR="0014199A" w:rsidP="00F27167" w:rsidRDefault="00DB13AD" w14:paraId="65BC6F92" w14:textId="28DB1EA7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A08CC">
        <w:rPr>
          <w:rFonts w:cs="Times New Roman"/>
          <w:color w:val="000000" w:themeColor="text1"/>
          <w:szCs w:val="24"/>
        </w:rPr>
        <w:t>July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2017,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published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scope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D643F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D643F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evaluation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(</w:t>
      </w:r>
      <w:r w:rsidRPr="00C317BB" w:rsidR="00656F83">
        <w:rPr>
          <w:rFonts w:cs="Times New Roman"/>
          <w:color w:val="000000" w:themeColor="text1"/>
          <w:szCs w:val="24"/>
        </w:rPr>
        <w:t>82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772BC">
        <w:rPr>
          <w:rFonts w:cs="Times New Roman"/>
          <w:color w:val="000000" w:themeColor="text1"/>
          <w:szCs w:val="24"/>
        </w:rPr>
        <w:t>FR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56F83">
        <w:rPr>
          <w:rFonts w:cs="Times New Roman"/>
          <w:color w:val="000000" w:themeColor="text1"/>
          <w:szCs w:val="24"/>
        </w:rPr>
        <w:t>31592,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56F83">
        <w:rPr>
          <w:rFonts w:cs="Times New Roman"/>
          <w:color w:val="000000" w:themeColor="text1"/>
          <w:szCs w:val="24"/>
        </w:rPr>
        <w:t>July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56F83">
        <w:rPr>
          <w:rFonts w:cs="Times New Roman"/>
          <w:color w:val="000000" w:themeColor="text1"/>
          <w:szCs w:val="24"/>
        </w:rPr>
        <w:t>7,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56F83">
        <w:rPr>
          <w:rFonts w:cs="Times New Roman"/>
          <w:color w:val="000000" w:themeColor="text1"/>
          <w:szCs w:val="24"/>
        </w:rPr>
        <w:t>2017</w:t>
      </w:r>
      <w:r w:rsidRPr="00C317BB">
        <w:rPr>
          <w:rFonts w:cs="Times New Roman"/>
          <w:color w:val="000000" w:themeColor="text1"/>
          <w:szCs w:val="24"/>
        </w:rPr>
        <w:t>),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after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receiving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public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comment,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published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problem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formulation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A08CC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A08CC">
        <w:rPr>
          <w:rFonts w:cs="Times New Roman"/>
          <w:color w:val="000000" w:themeColor="text1"/>
          <w:szCs w:val="24"/>
        </w:rPr>
        <w:t>June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A08CC">
        <w:rPr>
          <w:rFonts w:cs="Times New Roman"/>
          <w:color w:val="000000" w:themeColor="text1"/>
          <w:szCs w:val="24"/>
        </w:rPr>
        <w:t>2018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(</w:t>
      </w:r>
      <w:r w:rsidRPr="00C317BB" w:rsidR="00D8180A">
        <w:rPr>
          <w:rFonts w:cs="Times New Roman"/>
          <w:color w:val="000000" w:themeColor="text1"/>
          <w:szCs w:val="24"/>
        </w:rPr>
        <w:t>83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772BC">
        <w:rPr>
          <w:rFonts w:cs="Times New Roman"/>
          <w:color w:val="000000" w:themeColor="text1"/>
          <w:szCs w:val="24"/>
        </w:rPr>
        <w:t>FR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8180A">
        <w:rPr>
          <w:rFonts w:cs="Times New Roman"/>
          <w:color w:val="000000" w:themeColor="text1"/>
          <w:szCs w:val="24"/>
        </w:rPr>
        <w:t>26998,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8180A">
        <w:rPr>
          <w:rFonts w:cs="Times New Roman"/>
          <w:color w:val="000000" w:themeColor="text1"/>
          <w:szCs w:val="24"/>
        </w:rPr>
        <w:t>June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8180A">
        <w:rPr>
          <w:rFonts w:cs="Times New Roman"/>
          <w:color w:val="000000" w:themeColor="text1"/>
          <w:szCs w:val="24"/>
        </w:rPr>
        <w:t>11,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8180A">
        <w:rPr>
          <w:rFonts w:cs="Times New Roman"/>
          <w:color w:val="000000" w:themeColor="text1"/>
          <w:szCs w:val="24"/>
        </w:rPr>
        <w:t>2018)</w:t>
      </w:r>
      <w:r w:rsidRPr="00C317BB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835F9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477EC">
        <w:rPr>
          <w:rFonts w:cs="Times New Roman"/>
          <w:color w:val="000000" w:themeColor="text1"/>
          <w:szCs w:val="24"/>
        </w:rPr>
        <w:t>March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477EC">
        <w:rPr>
          <w:rFonts w:cs="Times New Roman"/>
          <w:color w:val="000000" w:themeColor="text1"/>
          <w:szCs w:val="24"/>
        </w:rPr>
        <w:t>2020</w:t>
      </w:r>
      <w:r w:rsidRPr="00C317BB" w:rsidR="00F549D5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549D5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549D5">
        <w:rPr>
          <w:rFonts w:cs="Times New Roman"/>
          <w:color w:val="000000" w:themeColor="text1"/>
          <w:szCs w:val="24"/>
        </w:rPr>
        <w:t>releas</w:t>
      </w:r>
      <w:r w:rsidRPr="00C317BB" w:rsidR="003601D4">
        <w:rPr>
          <w:rFonts w:cs="Times New Roman"/>
          <w:color w:val="000000" w:themeColor="text1"/>
          <w:szCs w:val="24"/>
        </w:rPr>
        <w:t>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92936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92936">
        <w:rPr>
          <w:rFonts w:cs="Times New Roman"/>
          <w:color w:val="000000" w:themeColor="text1"/>
          <w:szCs w:val="24"/>
        </w:rPr>
        <w:t>draft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223E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223E">
        <w:rPr>
          <w:rFonts w:cs="Times New Roman"/>
          <w:color w:val="000000" w:themeColor="text1"/>
          <w:szCs w:val="24"/>
        </w:rPr>
        <w:t>evaluation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223E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223E">
        <w:rPr>
          <w:rFonts w:cs="Times New Roman"/>
          <w:color w:val="000000" w:themeColor="text1"/>
          <w:szCs w:val="24"/>
        </w:rPr>
        <w:t>asbestos</w:t>
      </w:r>
      <w:r w:rsidRPr="00C317BB" w:rsidR="00696805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96805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96805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96805">
        <w:rPr>
          <w:rFonts w:cs="Times New Roman"/>
          <w:color w:val="000000" w:themeColor="text1"/>
          <w:szCs w:val="24"/>
        </w:rPr>
        <w:t>Dec</w:t>
      </w:r>
      <w:r w:rsidRPr="00C317BB" w:rsidR="00272218">
        <w:rPr>
          <w:rFonts w:cs="Times New Roman"/>
          <w:color w:val="000000" w:themeColor="text1"/>
          <w:szCs w:val="24"/>
        </w:rPr>
        <w:t>ember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72218">
        <w:rPr>
          <w:rFonts w:cs="Times New Roman"/>
          <w:color w:val="000000" w:themeColor="text1"/>
          <w:szCs w:val="24"/>
        </w:rPr>
        <w:t>2020,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751D0">
        <w:rPr>
          <w:rFonts w:cs="Times New Roman"/>
          <w:color w:val="000000" w:themeColor="text1"/>
          <w:szCs w:val="24"/>
        </w:rPr>
        <w:t>following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751D0">
        <w:rPr>
          <w:rFonts w:cs="Times New Roman"/>
          <w:color w:val="000000" w:themeColor="text1"/>
          <w:szCs w:val="24"/>
        </w:rPr>
        <w:t>public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751D0">
        <w:rPr>
          <w:rFonts w:cs="Times New Roman"/>
          <w:color w:val="000000" w:themeColor="text1"/>
          <w:szCs w:val="24"/>
        </w:rPr>
        <w:t>comment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751D0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751D0">
        <w:rPr>
          <w:rFonts w:cs="Times New Roman"/>
          <w:color w:val="000000" w:themeColor="text1"/>
          <w:szCs w:val="24"/>
        </w:rPr>
        <w:t>peer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751D0">
        <w:rPr>
          <w:rFonts w:cs="Times New Roman"/>
          <w:color w:val="000000" w:themeColor="text1"/>
          <w:szCs w:val="24"/>
        </w:rPr>
        <w:t>review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751D0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751D0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751D0">
        <w:rPr>
          <w:rFonts w:cs="Times New Roman"/>
          <w:color w:val="000000" w:themeColor="text1"/>
          <w:szCs w:val="24"/>
        </w:rPr>
        <w:t>Science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751D0">
        <w:rPr>
          <w:rFonts w:cs="Times New Roman"/>
          <w:color w:val="000000" w:themeColor="text1"/>
          <w:szCs w:val="24"/>
        </w:rPr>
        <w:t>Advisory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751D0">
        <w:rPr>
          <w:rFonts w:cs="Times New Roman"/>
          <w:color w:val="000000" w:themeColor="text1"/>
          <w:szCs w:val="24"/>
        </w:rPr>
        <w:t>Committee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751D0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751D0">
        <w:rPr>
          <w:rFonts w:cs="Times New Roman"/>
          <w:color w:val="000000" w:themeColor="text1"/>
          <w:szCs w:val="24"/>
        </w:rPr>
        <w:t>Chemicals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751D0">
        <w:rPr>
          <w:rFonts w:cs="Times New Roman"/>
          <w:color w:val="000000" w:themeColor="text1"/>
          <w:szCs w:val="24"/>
        </w:rPr>
        <w:t>(SACC),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72218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75E7B">
        <w:rPr>
          <w:rFonts w:cs="Times New Roman"/>
          <w:color w:val="000000" w:themeColor="text1"/>
          <w:szCs w:val="24"/>
        </w:rPr>
        <w:t>finalized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75E7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01AF2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01AF2">
        <w:rPr>
          <w:rFonts w:cs="Times New Roman"/>
          <w:color w:val="000000" w:themeColor="text1"/>
          <w:szCs w:val="24"/>
        </w:rPr>
        <w:t>Evaluation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01AF2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01AF2">
        <w:rPr>
          <w:rFonts w:cs="Times New Roman"/>
          <w:color w:val="000000" w:themeColor="text1"/>
          <w:szCs w:val="24"/>
        </w:rPr>
        <w:t>A</w:t>
      </w:r>
      <w:r w:rsidRPr="00C317BB" w:rsidR="00505C4A">
        <w:rPr>
          <w:rFonts w:cs="Times New Roman"/>
          <w:color w:val="000000" w:themeColor="text1"/>
          <w:szCs w:val="24"/>
        </w:rPr>
        <w:t>s</w:t>
      </w:r>
      <w:r w:rsidRPr="00C317BB" w:rsidR="00201AF2">
        <w:rPr>
          <w:rFonts w:cs="Times New Roman"/>
          <w:color w:val="000000" w:themeColor="text1"/>
          <w:szCs w:val="24"/>
        </w:rPr>
        <w:t>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01AF2">
        <w:rPr>
          <w:rFonts w:cs="Times New Roman"/>
          <w:color w:val="000000" w:themeColor="text1"/>
          <w:szCs w:val="24"/>
        </w:rPr>
        <w:t>Part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A351E">
        <w:rPr>
          <w:rFonts w:cs="Times New Roman"/>
          <w:color w:val="000000" w:themeColor="text1"/>
          <w:szCs w:val="24"/>
        </w:rPr>
        <w:t>1</w:t>
      </w:r>
      <w:r w:rsidRPr="00C317BB" w:rsidR="00201AF2">
        <w:rPr>
          <w:rFonts w:cs="Times New Roman"/>
          <w:color w:val="000000" w:themeColor="text1"/>
          <w:szCs w:val="24"/>
        </w:rPr>
        <w:t>: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01AF2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01AF2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31F99">
        <w:rPr>
          <w:rFonts w:cs="Times New Roman"/>
          <w:color w:val="000000" w:themeColor="text1"/>
          <w:szCs w:val="24"/>
        </w:rPr>
        <w:t>(Ref.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9571A">
        <w:rPr>
          <w:rFonts w:cs="Times New Roman"/>
          <w:color w:val="000000" w:themeColor="text1"/>
          <w:szCs w:val="24"/>
        </w:rPr>
        <w:t>1</w:t>
      </w:r>
      <w:r w:rsidRPr="00C317BB" w:rsidR="00231F99">
        <w:rPr>
          <w:rFonts w:cs="Times New Roman"/>
          <w:color w:val="000000" w:themeColor="text1"/>
          <w:szCs w:val="24"/>
        </w:rPr>
        <w:t>)</w:t>
      </w:r>
      <w:r w:rsidRPr="00C317BB" w:rsidR="001617C0">
        <w:rPr>
          <w:rFonts w:cs="Times New Roman"/>
          <w:color w:val="000000" w:themeColor="text1"/>
          <w:szCs w:val="24"/>
        </w:rPr>
        <w:t>.</w:t>
      </w:r>
    </w:p>
    <w:p w:rsidRPr="00C317BB" w:rsidR="005F6D3E" w:rsidP="00F27167" w:rsidRDefault="00675E7B" w14:paraId="67099C74" w14:textId="7933C42E">
      <w:pPr>
        <w:ind w:firstLine="720"/>
        <w:rPr>
          <w:rFonts w:cs="Times New Roman"/>
          <w:color w:val="000000" w:themeColor="text1"/>
          <w:szCs w:val="24"/>
        </w:rPr>
      </w:pPr>
      <w:bookmarkStart w:name="_Hlk85034451" w:id="19"/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Evaluation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Part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1: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</w:t>
      </w:r>
      <w:r w:rsidRPr="00C317BB" w:rsidR="00EA404D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82601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21428">
        <w:rPr>
          <w:rFonts w:cs="Times New Roman"/>
          <w:color w:val="000000" w:themeColor="text1"/>
          <w:szCs w:val="24"/>
        </w:rPr>
        <w:t>evaluat</w:t>
      </w:r>
      <w:r w:rsidRPr="00C317BB" w:rsidR="00EA404D">
        <w:rPr>
          <w:rFonts w:cs="Times New Roman"/>
          <w:color w:val="000000" w:themeColor="text1"/>
          <w:szCs w:val="24"/>
        </w:rPr>
        <w:t>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902E3">
        <w:rPr>
          <w:rFonts w:cs="Times New Roman"/>
          <w:color w:val="000000" w:themeColor="text1"/>
          <w:szCs w:val="24"/>
        </w:rPr>
        <w:t>risks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902E3">
        <w:rPr>
          <w:rFonts w:cs="Times New Roman"/>
          <w:color w:val="000000" w:themeColor="text1"/>
          <w:szCs w:val="24"/>
        </w:rPr>
        <w:t>associated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902E3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63C11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63C11">
        <w:rPr>
          <w:rFonts w:cs="Times New Roman"/>
          <w:color w:val="000000" w:themeColor="text1"/>
          <w:szCs w:val="24"/>
        </w:rPr>
        <w:t>conditions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63C11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63C11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63C11">
        <w:rPr>
          <w:rFonts w:cs="Times New Roman"/>
          <w:color w:val="000000" w:themeColor="text1"/>
          <w:szCs w:val="24"/>
        </w:rPr>
        <w:t>involving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21428">
        <w:rPr>
          <w:rFonts w:cs="Times New Roman"/>
          <w:color w:val="000000" w:themeColor="text1"/>
          <w:szCs w:val="24"/>
        </w:rPr>
        <w:t>six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54C8">
        <w:rPr>
          <w:rFonts w:cs="Times New Roman"/>
          <w:color w:val="000000" w:themeColor="text1"/>
          <w:szCs w:val="24"/>
        </w:rPr>
        <w:t>non-legacy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21428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21428">
        <w:rPr>
          <w:rFonts w:cs="Times New Roman"/>
          <w:color w:val="000000" w:themeColor="text1"/>
          <w:szCs w:val="24"/>
        </w:rPr>
        <w:t>categories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21428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21428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07DF8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C20F5">
        <w:rPr>
          <w:rFonts w:cs="Times New Roman"/>
          <w:color w:val="000000" w:themeColor="text1"/>
          <w:szCs w:val="24"/>
        </w:rPr>
        <w:t>including</w:t>
      </w:r>
      <w:r w:rsidRPr="00C317BB" w:rsidR="00407DF8">
        <w:rPr>
          <w:rFonts w:cs="Times New Roman"/>
          <w:color w:val="000000" w:themeColor="text1"/>
          <w:szCs w:val="24"/>
        </w:rPr>
        <w:t>: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21428">
        <w:rPr>
          <w:rFonts w:cs="Times New Roman"/>
          <w:color w:val="000000" w:themeColor="text1"/>
          <w:szCs w:val="24"/>
        </w:rPr>
        <w:t>chlor-al</w:t>
      </w:r>
      <w:r w:rsidRPr="00C317BB" w:rsidR="00017CC6">
        <w:rPr>
          <w:rFonts w:cs="Times New Roman"/>
          <w:color w:val="000000" w:themeColor="text1"/>
          <w:szCs w:val="24"/>
        </w:rPr>
        <w:t>kali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17CC6">
        <w:rPr>
          <w:rFonts w:cs="Times New Roman"/>
          <w:color w:val="000000" w:themeColor="text1"/>
          <w:szCs w:val="24"/>
        </w:rPr>
        <w:t>dia</w:t>
      </w:r>
      <w:r w:rsidRPr="00C317BB" w:rsidR="008E5DE6">
        <w:rPr>
          <w:rFonts w:cs="Times New Roman"/>
          <w:color w:val="000000" w:themeColor="text1"/>
          <w:szCs w:val="24"/>
        </w:rPr>
        <w:t>phragms,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E5DE6">
        <w:rPr>
          <w:rFonts w:cs="Times New Roman"/>
          <w:color w:val="000000" w:themeColor="text1"/>
          <w:szCs w:val="24"/>
        </w:rPr>
        <w:t>sheet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E5DE6">
        <w:rPr>
          <w:rFonts w:cs="Times New Roman"/>
          <w:color w:val="000000" w:themeColor="text1"/>
          <w:szCs w:val="24"/>
        </w:rPr>
        <w:t>gaskets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A7D68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A7D68">
        <w:rPr>
          <w:rFonts w:cs="Times New Roman"/>
          <w:color w:val="000000" w:themeColor="text1"/>
          <w:szCs w:val="24"/>
        </w:rPr>
        <w:t>chemical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A7D68">
        <w:rPr>
          <w:rFonts w:cs="Times New Roman"/>
          <w:color w:val="000000" w:themeColor="text1"/>
          <w:szCs w:val="24"/>
        </w:rPr>
        <w:t>production</w:t>
      </w:r>
      <w:r w:rsidRPr="00C317BB" w:rsidR="008E5DE6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E5DE6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E5DE6">
        <w:rPr>
          <w:rFonts w:cs="Times New Roman"/>
          <w:color w:val="000000" w:themeColor="text1"/>
          <w:szCs w:val="24"/>
        </w:rPr>
        <w:t>gaskets,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E5DE6">
        <w:rPr>
          <w:rFonts w:cs="Times New Roman"/>
          <w:color w:val="000000" w:themeColor="text1"/>
          <w:szCs w:val="24"/>
        </w:rPr>
        <w:t>oilfield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E5DE6">
        <w:rPr>
          <w:rFonts w:cs="Times New Roman"/>
          <w:color w:val="000000" w:themeColor="text1"/>
          <w:szCs w:val="24"/>
        </w:rPr>
        <w:t>brake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E5DE6">
        <w:rPr>
          <w:rFonts w:cs="Times New Roman"/>
          <w:color w:val="000000" w:themeColor="text1"/>
          <w:szCs w:val="24"/>
        </w:rPr>
        <w:t>blocks,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E5DE6">
        <w:rPr>
          <w:rFonts w:cs="Times New Roman"/>
          <w:color w:val="000000" w:themeColor="text1"/>
          <w:szCs w:val="24"/>
        </w:rPr>
        <w:t>aftermarket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E5DE6">
        <w:rPr>
          <w:rFonts w:cs="Times New Roman"/>
          <w:color w:val="000000" w:themeColor="text1"/>
          <w:szCs w:val="24"/>
        </w:rPr>
        <w:t>automotive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E5DE6">
        <w:rPr>
          <w:rFonts w:cs="Times New Roman"/>
          <w:color w:val="000000" w:themeColor="text1"/>
          <w:szCs w:val="24"/>
        </w:rPr>
        <w:t>brake/linings,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E5DE6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E5DE6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E5DE6">
        <w:rPr>
          <w:rFonts w:cs="Times New Roman"/>
          <w:color w:val="000000" w:themeColor="text1"/>
          <w:szCs w:val="24"/>
        </w:rPr>
        <w:t>vehicle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E5DE6">
        <w:rPr>
          <w:rFonts w:cs="Times New Roman"/>
          <w:color w:val="000000" w:themeColor="text1"/>
          <w:szCs w:val="24"/>
        </w:rPr>
        <w:t>friction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E5DE6">
        <w:rPr>
          <w:rFonts w:cs="Times New Roman"/>
          <w:color w:val="000000" w:themeColor="text1"/>
          <w:szCs w:val="24"/>
        </w:rPr>
        <w:t>products</w:t>
      </w:r>
      <w:r w:rsidRPr="00C317BB" w:rsidR="00AB78D2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78D2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78D2">
        <w:rPr>
          <w:rFonts w:cs="Times New Roman"/>
          <w:color w:val="000000" w:themeColor="text1"/>
          <w:szCs w:val="24"/>
        </w:rPr>
        <w:t>evaluated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A64BD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F23A7">
        <w:rPr>
          <w:rFonts w:cs="Times New Roman"/>
          <w:color w:val="000000" w:themeColor="text1"/>
          <w:szCs w:val="24"/>
        </w:rPr>
        <w:t>conditions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F23A7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F23A7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F23A7">
        <w:rPr>
          <w:rFonts w:cs="Times New Roman"/>
          <w:color w:val="000000" w:themeColor="text1"/>
          <w:szCs w:val="24"/>
        </w:rPr>
        <w:t>within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F23A7">
        <w:rPr>
          <w:rFonts w:cs="Times New Roman"/>
          <w:color w:val="000000" w:themeColor="text1"/>
          <w:szCs w:val="24"/>
        </w:rPr>
        <w:t>th</w:t>
      </w:r>
      <w:r w:rsidRPr="00C317BB" w:rsidR="00C80BCE">
        <w:rPr>
          <w:rFonts w:cs="Times New Roman"/>
          <w:color w:val="000000" w:themeColor="text1"/>
          <w:szCs w:val="24"/>
        </w:rPr>
        <w:t>ese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565F0">
        <w:rPr>
          <w:rFonts w:cs="Times New Roman"/>
          <w:color w:val="000000" w:themeColor="text1"/>
          <w:szCs w:val="24"/>
        </w:rPr>
        <w:t>categories,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565F0">
        <w:rPr>
          <w:rFonts w:cs="Times New Roman"/>
          <w:color w:val="000000" w:themeColor="text1"/>
          <w:szCs w:val="24"/>
        </w:rPr>
        <w:t>including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565F0">
        <w:rPr>
          <w:rFonts w:cs="Times New Roman"/>
          <w:color w:val="000000" w:themeColor="text1"/>
          <w:szCs w:val="24"/>
        </w:rPr>
        <w:t>manufacture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C11C7">
        <w:rPr>
          <w:rFonts w:cs="Times New Roman"/>
          <w:color w:val="000000" w:themeColor="text1"/>
          <w:szCs w:val="24"/>
        </w:rPr>
        <w:t>(includ</w:t>
      </w:r>
      <w:r w:rsidRPr="00C317BB" w:rsidR="00C56050">
        <w:rPr>
          <w:rFonts w:cs="Times New Roman"/>
          <w:color w:val="000000" w:themeColor="text1"/>
          <w:szCs w:val="24"/>
        </w:rPr>
        <w:t>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C11C7">
        <w:rPr>
          <w:rFonts w:cs="Times New Roman"/>
          <w:color w:val="000000" w:themeColor="text1"/>
          <w:szCs w:val="24"/>
        </w:rPr>
        <w:t>import),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C11C7">
        <w:rPr>
          <w:rFonts w:cs="Times New Roman"/>
          <w:color w:val="000000" w:themeColor="text1"/>
          <w:szCs w:val="24"/>
        </w:rPr>
        <w:t>processing,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C11C7">
        <w:rPr>
          <w:rFonts w:cs="Times New Roman"/>
          <w:color w:val="000000" w:themeColor="text1"/>
          <w:szCs w:val="24"/>
        </w:rPr>
        <w:t>distribution</w:t>
      </w:r>
      <w:r w:rsidRPr="00C317BB" w:rsidR="004C4B97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commercial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C4B97">
        <w:rPr>
          <w:rFonts w:cs="Times New Roman"/>
          <w:color w:val="000000" w:themeColor="text1"/>
          <w:szCs w:val="24"/>
        </w:rPr>
        <w:t>us</w:t>
      </w:r>
      <w:r w:rsidRPr="00C317BB" w:rsidR="006951A7">
        <w:rPr>
          <w:rFonts w:cs="Times New Roman"/>
          <w:color w:val="000000" w:themeColor="text1"/>
          <w:szCs w:val="24"/>
        </w:rPr>
        <w:t>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consumer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C4B97">
        <w:rPr>
          <w:rFonts w:cs="Times New Roman"/>
          <w:color w:val="000000" w:themeColor="text1"/>
          <w:szCs w:val="24"/>
        </w:rPr>
        <w:t>us</w:t>
      </w:r>
      <w:r w:rsidRPr="00C317BB" w:rsidR="006951A7">
        <w:rPr>
          <w:rFonts w:cs="Times New Roman"/>
          <w:color w:val="000000" w:themeColor="text1"/>
          <w:szCs w:val="24"/>
        </w:rPr>
        <w:t>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951A7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951A7">
        <w:rPr>
          <w:rFonts w:cs="Times New Roman"/>
          <w:color w:val="000000" w:themeColor="text1"/>
          <w:szCs w:val="24"/>
        </w:rPr>
        <w:t>disposal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F6D3E">
        <w:rPr>
          <w:rFonts w:cs="Times New Roman"/>
          <w:color w:val="000000" w:themeColor="text1"/>
          <w:szCs w:val="24"/>
        </w:rPr>
        <w:t>(</w:t>
      </w:r>
      <w:r w:rsidRPr="00C317BB" w:rsidR="0020037A">
        <w:rPr>
          <w:rFonts w:cs="Times New Roman"/>
          <w:color w:val="000000" w:themeColor="text1"/>
          <w:szCs w:val="24"/>
        </w:rPr>
        <w:t>Ref.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0037A">
        <w:rPr>
          <w:rFonts w:cs="Times New Roman"/>
          <w:color w:val="000000" w:themeColor="text1"/>
          <w:szCs w:val="24"/>
        </w:rPr>
        <w:t>1</w:t>
      </w:r>
      <w:r w:rsidRPr="00C317BB" w:rsidR="005F6D3E">
        <w:rPr>
          <w:rFonts w:cs="Times New Roman"/>
          <w:color w:val="000000" w:themeColor="text1"/>
          <w:szCs w:val="24"/>
        </w:rPr>
        <w:t>).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F6D3E">
        <w:rPr>
          <w:rFonts w:cs="Times New Roman"/>
          <w:color w:val="000000" w:themeColor="text1"/>
          <w:szCs w:val="24"/>
        </w:rPr>
        <w:t>Descriptions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F6D3E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F6D3E">
        <w:rPr>
          <w:rFonts w:cs="Times New Roman"/>
          <w:color w:val="000000" w:themeColor="text1"/>
          <w:szCs w:val="24"/>
        </w:rPr>
        <w:t>these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F6D3E">
        <w:rPr>
          <w:rFonts w:cs="Times New Roman"/>
          <w:color w:val="000000" w:themeColor="text1"/>
          <w:szCs w:val="24"/>
        </w:rPr>
        <w:t>conditions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F6D3E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F6D3E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F6D3E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F6D3E">
        <w:rPr>
          <w:rFonts w:cs="Times New Roman"/>
          <w:color w:val="000000" w:themeColor="text1"/>
          <w:szCs w:val="24"/>
        </w:rPr>
        <w:t>included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F6D3E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F6D3E">
        <w:rPr>
          <w:rFonts w:cs="Times New Roman"/>
          <w:color w:val="000000" w:themeColor="text1"/>
          <w:szCs w:val="24"/>
        </w:rPr>
        <w:t>Unit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F6D3E">
        <w:rPr>
          <w:rFonts w:cs="Times New Roman"/>
          <w:color w:val="000000" w:themeColor="text1"/>
          <w:szCs w:val="24"/>
        </w:rPr>
        <w:t>III.B.2.</w:t>
      </w:r>
    </w:p>
    <w:p w:rsidRPr="00C317BB" w:rsidR="00BA79AC" w:rsidP="00F27167" w:rsidRDefault="00C63E40" w14:paraId="1B109F26" w14:textId="0D08F793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evaluation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identified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potential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adverse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health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effects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associated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including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mesothelioma,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lung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cancer,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cancers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chronic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inhalation</w:t>
      </w:r>
      <w:r w:rsidRPr="00C317BB" w:rsidR="00333BF9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0699F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0699F">
        <w:rPr>
          <w:rFonts w:cs="Times New Roman"/>
          <w:color w:val="000000" w:themeColor="text1"/>
          <w:szCs w:val="24"/>
        </w:rPr>
        <w:t>further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82F23">
        <w:rPr>
          <w:rFonts w:cs="Times New Roman"/>
          <w:color w:val="000000" w:themeColor="text1"/>
          <w:szCs w:val="24"/>
        </w:rPr>
        <w:t>discussion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82F23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33951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33951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33951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33951">
        <w:rPr>
          <w:rFonts w:cs="Times New Roman"/>
          <w:color w:val="000000" w:themeColor="text1"/>
          <w:szCs w:val="24"/>
        </w:rPr>
        <w:t>hazards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0DD5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33951">
        <w:rPr>
          <w:rFonts w:cs="Times New Roman"/>
          <w:color w:val="000000" w:themeColor="text1"/>
          <w:szCs w:val="24"/>
        </w:rPr>
        <w:t>included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33951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33951">
        <w:rPr>
          <w:rFonts w:cs="Times New Roman"/>
          <w:color w:val="000000" w:themeColor="text1"/>
          <w:szCs w:val="24"/>
        </w:rPr>
        <w:t>Unit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33951">
        <w:rPr>
          <w:rFonts w:cs="Times New Roman"/>
          <w:color w:val="000000" w:themeColor="text1"/>
          <w:szCs w:val="24"/>
        </w:rPr>
        <w:t>III.B.1.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328D6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328D6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328D6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95F26">
        <w:rPr>
          <w:rFonts w:cs="Times New Roman"/>
          <w:color w:val="000000" w:themeColor="text1"/>
          <w:szCs w:val="24"/>
        </w:rPr>
        <w:t>conditions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95F26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95F26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328D6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328D6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328D6">
        <w:rPr>
          <w:rFonts w:cs="Times New Roman"/>
          <w:color w:val="000000" w:themeColor="text1"/>
          <w:szCs w:val="24"/>
        </w:rPr>
        <w:t>determined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37933">
        <w:rPr>
          <w:rFonts w:cs="Times New Roman"/>
          <w:color w:val="000000" w:themeColor="text1"/>
          <w:szCs w:val="24"/>
        </w:rPr>
        <w:t>drive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37933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37933">
        <w:rPr>
          <w:rFonts w:cs="Times New Roman"/>
          <w:color w:val="000000" w:themeColor="text1"/>
          <w:szCs w:val="24"/>
        </w:rPr>
        <w:t>chemical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82E92">
        <w:rPr>
          <w:rFonts w:cs="Times New Roman"/>
          <w:color w:val="000000" w:themeColor="text1"/>
          <w:szCs w:val="24"/>
        </w:rPr>
        <w:t>substance</w:t>
      </w:r>
      <w:r w:rsidRPr="00C317BB" w:rsidR="00237933">
        <w:rPr>
          <w:rFonts w:cs="Times New Roman"/>
          <w:color w:val="000000" w:themeColor="text1"/>
          <w:szCs w:val="24"/>
        </w:rPr>
        <w:t>’s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328D6">
        <w:rPr>
          <w:rFonts w:cs="Times New Roman"/>
          <w:color w:val="000000" w:themeColor="text1"/>
          <w:szCs w:val="24"/>
        </w:rPr>
        <w:t>unreasonable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328D6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91CBF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91CBF">
        <w:rPr>
          <w:rFonts w:cs="Times New Roman"/>
          <w:color w:val="000000" w:themeColor="text1"/>
          <w:szCs w:val="24"/>
        </w:rPr>
        <w:t>health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328D6">
        <w:rPr>
          <w:rFonts w:cs="Times New Roman"/>
          <w:color w:val="000000" w:themeColor="text1"/>
          <w:szCs w:val="24"/>
        </w:rPr>
        <w:t>include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328D6">
        <w:rPr>
          <w:rFonts w:cs="Times New Roman"/>
          <w:color w:val="000000" w:themeColor="text1"/>
          <w:szCs w:val="24"/>
        </w:rPr>
        <w:t>processing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328D6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328D6">
        <w:rPr>
          <w:rFonts w:cs="Times New Roman"/>
          <w:color w:val="000000" w:themeColor="text1"/>
          <w:szCs w:val="24"/>
        </w:rPr>
        <w:t>industrial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328D6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328D6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328D6">
        <w:rPr>
          <w:rFonts w:cs="Times New Roman"/>
          <w:color w:val="000000" w:themeColor="text1"/>
          <w:szCs w:val="24"/>
        </w:rPr>
        <w:t>d</w:t>
      </w:r>
      <w:r w:rsidRPr="00C317BB" w:rsidR="00E44B27">
        <w:rPr>
          <w:rFonts w:cs="Times New Roman"/>
          <w:color w:val="000000" w:themeColor="text1"/>
          <w:szCs w:val="24"/>
        </w:rPr>
        <w:t>i</w:t>
      </w:r>
      <w:r w:rsidRPr="00C317BB" w:rsidR="00E328D6">
        <w:rPr>
          <w:rFonts w:cs="Times New Roman"/>
          <w:color w:val="000000" w:themeColor="text1"/>
          <w:szCs w:val="24"/>
        </w:rPr>
        <w:t>aphragms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328D6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14C47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14C47">
        <w:rPr>
          <w:rFonts w:cs="Times New Roman"/>
          <w:color w:val="000000" w:themeColor="text1"/>
          <w:szCs w:val="24"/>
        </w:rPr>
        <w:t>chlor-alkali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14C47">
        <w:rPr>
          <w:rFonts w:cs="Times New Roman"/>
          <w:color w:val="000000" w:themeColor="text1"/>
          <w:szCs w:val="24"/>
        </w:rPr>
        <w:t>industry</w:t>
      </w:r>
      <w:r w:rsidRPr="00C317BB" w:rsidR="00237933">
        <w:rPr>
          <w:rFonts w:cs="Times New Roman"/>
          <w:color w:val="000000" w:themeColor="text1"/>
          <w:szCs w:val="24"/>
        </w:rPr>
        <w:t>;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E19CF">
        <w:rPr>
          <w:rFonts w:cs="Times New Roman"/>
          <w:color w:val="000000" w:themeColor="text1"/>
          <w:szCs w:val="24"/>
        </w:rPr>
        <w:t>processing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E19CF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E19CF">
        <w:rPr>
          <w:rFonts w:cs="Times New Roman"/>
          <w:color w:val="000000" w:themeColor="text1"/>
          <w:szCs w:val="24"/>
        </w:rPr>
        <w:t>industrial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E19CF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E19CF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14C47">
        <w:rPr>
          <w:rFonts w:cs="Times New Roman"/>
          <w:color w:val="000000" w:themeColor="text1"/>
          <w:szCs w:val="24"/>
        </w:rPr>
        <w:t>sheet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14C47">
        <w:rPr>
          <w:rFonts w:cs="Times New Roman"/>
          <w:color w:val="000000" w:themeColor="text1"/>
          <w:szCs w:val="24"/>
        </w:rPr>
        <w:t>gaskets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14C47">
        <w:rPr>
          <w:rFonts w:cs="Times New Roman"/>
          <w:color w:val="000000" w:themeColor="text1"/>
          <w:szCs w:val="24"/>
        </w:rPr>
        <w:t>used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14C47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14C47">
        <w:rPr>
          <w:rFonts w:cs="Times New Roman"/>
          <w:color w:val="000000" w:themeColor="text1"/>
          <w:szCs w:val="24"/>
        </w:rPr>
        <w:t>chemical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14C47">
        <w:rPr>
          <w:rFonts w:cs="Times New Roman"/>
          <w:color w:val="000000" w:themeColor="text1"/>
          <w:szCs w:val="24"/>
        </w:rPr>
        <w:t>pr</w:t>
      </w:r>
      <w:r w:rsidRPr="00C317BB" w:rsidR="00E44B27">
        <w:rPr>
          <w:rFonts w:cs="Times New Roman"/>
          <w:color w:val="000000" w:themeColor="text1"/>
          <w:szCs w:val="24"/>
        </w:rPr>
        <w:t>o</w:t>
      </w:r>
      <w:r w:rsidRPr="00C317BB" w:rsidR="00D14C47">
        <w:rPr>
          <w:rFonts w:cs="Times New Roman"/>
          <w:color w:val="000000" w:themeColor="text1"/>
          <w:szCs w:val="24"/>
        </w:rPr>
        <w:t>duction</w:t>
      </w:r>
      <w:r w:rsidRPr="00C317BB" w:rsidR="00237933">
        <w:rPr>
          <w:rFonts w:cs="Times New Roman"/>
          <w:color w:val="000000" w:themeColor="text1"/>
          <w:szCs w:val="24"/>
        </w:rPr>
        <w:t>;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14C47">
        <w:rPr>
          <w:rFonts w:cs="Times New Roman"/>
          <w:color w:val="000000" w:themeColor="text1"/>
          <w:szCs w:val="24"/>
        </w:rPr>
        <w:t>industrial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14C47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14C47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14C47">
        <w:rPr>
          <w:rFonts w:cs="Times New Roman"/>
          <w:color w:val="000000" w:themeColor="text1"/>
          <w:szCs w:val="24"/>
        </w:rPr>
        <w:t>disposal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14C47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14C47">
        <w:rPr>
          <w:rFonts w:cs="Times New Roman"/>
          <w:color w:val="000000" w:themeColor="text1"/>
          <w:szCs w:val="24"/>
        </w:rPr>
        <w:t>brake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14C47">
        <w:rPr>
          <w:rFonts w:cs="Times New Roman"/>
          <w:color w:val="000000" w:themeColor="text1"/>
          <w:szCs w:val="24"/>
        </w:rPr>
        <w:t>blocks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14C47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2EE66285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14C47">
        <w:rPr>
          <w:rFonts w:cs="Times New Roman"/>
          <w:color w:val="000000" w:themeColor="text1"/>
          <w:szCs w:val="24"/>
        </w:rPr>
        <w:t>oil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14C47">
        <w:rPr>
          <w:rFonts w:cs="Times New Roman"/>
          <w:color w:val="000000" w:themeColor="text1"/>
          <w:szCs w:val="24"/>
        </w:rPr>
        <w:t>industr</w:t>
      </w:r>
      <w:r w:rsidRPr="00C317BB" w:rsidR="00E44B27">
        <w:rPr>
          <w:rFonts w:cs="Times New Roman"/>
          <w:color w:val="000000" w:themeColor="text1"/>
          <w:szCs w:val="24"/>
        </w:rPr>
        <w:t>y</w:t>
      </w:r>
      <w:r w:rsidRPr="00C317BB" w:rsidR="00DC791A">
        <w:rPr>
          <w:rFonts w:cs="Times New Roman"/>
          <w:color w:val="000000" w:themeColor="text1"/>
          <w:szCs w:val="24"/>
        </w:rPr>
        <w:t>;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14C47">
        <w:rPr>
          <w:rFonts w:cs="Times New Roman"/>
          <w:color w:val="000000" w:themeColor="text1"/>
          <w:szCs w:val="24"/>
        </w:rPr>
        <w:t>commercial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14C47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14C47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14C47">
        <w:rPr>
          <w:rFonts w:cs="Times New Roman"/>
          <w:color w:val="000000" w:themeColor="text1"/>
          <w:szCs w:val="24"/>
        </w:rPr>
        <w:t>disposal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14C47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14C47">
        <w:rPr>
          <w:rFonts w:cs="Times New Roman"/>
          <w:color w:val="000000" w:themeColor="text1"/>
          <w:szCs w:val="24"/>
        </w:rPr>
        <w:t>afterma</w:t>
      </w:r>
      <w:r w:rsidRPr="00C317BB" w:rsidR="00E44B27">
        <w:rPr>
          <w:rFonts w:cs="Times New Roman"/>
          <w:color w:val="000000" w:themeColor="text1"/>
          <w:szCs w:val="24"/>
        </w:rPr>
        <w:t>r</w:t>
      </w:r>
      <w:r w:rsidRPr="00C317BB" w:rsidR="00D14C47">
        <w:rPr>
          <w:rFonts w:cs="Times New Roman"/>
          <w:color w:val="000000" w:themeColor="text1"/>
          <w:szCs w:val="24"/>
        </w:rPr>
        <w:t>ket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14C47">
        <w:rPr>
          <w:rFonts w:cs="Times New Roman"/>
          <w:color w:val="000000" w:themeColor="text1"/>
          <w:szCs w:val="24"/>
        </w:rPr>
        <w:t>automotive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14C47">
        <w:rPr>
          <w:rFonts w:cs="Times New Roman"/>
          <w:color w:val="000000" w:themeColor="text1"/>
          <w:szCs w:val="24"/>
        </w:rPr>
        <w:t>brakes/linings</w:t>
      </w:r>
      <w:r w:rsidRPr="00C317BB" w:rsidR="00237933">
        <w:rPr>
          <w:rFonts w:cs="Times New Roman"/>
          <w:color w:val="000000" w:themeColor="text1"/>
          <w:szCs w:val="24"/>
        </w:rPr>
        <w:t>;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14C47">
        <w:rPr>
          <w:rFonts w:cs="Times New Roman"/>
          <w:color w:val="000000" w:themeColor="text1"/>
          <w:szCs w:val="24"/>
        </w:rPr>
        <w:t>commercial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14C47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14C47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14C47">
        <w:rPr>
          <w:rFonts w:cs="Times New Roman"/>
          <w:color w:val="000000" w:themeColor="text1"/>
          <w:szCs w:val="24"/>
        </w:rPr>
        <w:t>disposal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14C47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14C47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14C47">
        <w:rPr>
          <w:rFonts w:cs="Times New Roman"/>
          <w:color w:val="000000" w:themeColor="text1"/>
          <w:szCs w:val="24"/>
        </w:rPr>
        <w:t>veh</w:t>
      </w:r>
      <w:r w:rsidRPr="00C317BB" w:rsidR="00E44B27">
        <w:rPr>
          <w:rFonts w:cs="Times New Roman"/>
          <w:color w:val="000000" w:themeColor="text1"/>
          <w:szCs w:val="24"/>
        </w:rPr>
        <w:t>i</w:t>
      </w:r>
      <w:r w:rsidRPr="00C317BB" w:rsidR="00616BFC">
        <w:rPr>
          <w:rFonts w:cs="Times New Roman"/>
          <w:color w:val="000000" w:themeColor="text1"/>
          <w:szCs w:val="24"/>
        </w:rPr>
        <w:t>cle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16BFC">
        <w:rPr>
          <w:rFonts w:cs="Times New Roman"/>
          <w:color w:val="000000" w:themeColor="text1"/>
          <w:szCs w:val="24"/>
        </w:rPr>
        <w:t>friction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16BFC">
        <w:rPr>
          <w:rFonts w:cs="Times New Roman"/>
          <w:color w:val="000000" w:themeColor="text1"/>
          <w:szCs w:val="24"/>
        </w:rPr>
        <w:t>products</w:t>
      </w:r>
      <w:r w:rsidRPr="00C317BB" w:rsidR="00DC791A">
        <w:rPr>
          <w:rFonts w:cs="Times New Roman"/>
          <w:color w:val="000000" w:themeColor="text1"/>
          <w:szCs w:val="24"/>
        </w:rPr>
        <w:t>;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E00DD">
        <w:rPr>
          <w:rFonts w:cs="Times New Roman"/>
          <w:color w:val="000000" w:themeColor="text1"/>
          <w:szCs w:val="24"/>
        </w:rPr>
        <w:t>commercial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E00DD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E00DD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E00DD">
        <w:rPr>
          <w:rFonts w:cs="Times New Roman"/>
          <w:color w:val="000000" w:themeColor="text1"/>
          <w:szCs w:val="24"/>
        </w:rPr>
        <w:t>disposal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E00DD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7677C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7677C">
        <w:rPr>
          <w:rFonts w:cs="Times New Roman"/>
          <w:color w:val="000000" w:themeColor="text1"/>
          <w:szCs w:val="24"/>
        </w:rPr>
        <w:t>gaskets</w:t>
      </w:r>
      <w:r w:rsidRPr="00C317BB" w:rsidR="00237933">
        <w:rPr>
          <w:rFonts w:cs="Times New Roman"/>
          <w:color w:val="000000" w:themeColor="text1"/>
          <w:szCs w:val="24"/>
        </w:rPr>
        <w:t>;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12503">
        <w:rPr>
          <w:rFonts w:cs="Times New Roman"/>
          <w:color w:val="000000" w:themeColor="text1"/>
          <w:szCs w:val="24"/>
        </w:rPr>
        <w:t>consumer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12503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12503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12503">
        <w:rPr>
          <w:rFonts w:cs="Times New Roman"/>
          <w:color w:val="000000" w:themeColor="text1"/>
          <w:szCs w:val="24"/>
        </w:rPr>
        <w:t>disposal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12503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12503">
        <w:rPr>
          <w:rFonts w:cs="Times New Roman"/>
          <w:color w:val="000000" w:themeColor="text1"/>
          <w:szCs w:val="24"/>
        </w:rPr>
        <w:t>aftermarket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12503">
        <w:rPr>
          <w:rFonts w:cs="Times New Roman"/>
          <w:color w:val="000000" w:themeColor="text1"/>
          <w:szCs w:val="24"/>
        </w:rPr>
        <w:t>automotive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12503">
        <w:rPr>
          <w:rFonts w:cs="Times New Roman"/>
          <w:color w:val="000000" w:themeColor="text1"/>
          <w:szCs w:val="24"/>
        </w:rPr>
        <w:t>brakes/linings</w:t>
      </w:r>
      <w:r w:rsidRPr="00C317BB" w:rsidR="00DC791A">
        <w:rPr>
          <w:rFonts w:cs="Times New Roman"/>
          <w:color w:val="000000" w:themeColor="text1"/>
          <w:szCs w:val="24"/>
        </w:rPr>
        <w:t>;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12503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12503">
        <w:rPr>
          <w:rFonts w:cs="Times New Roman"/>
          <w:color w:val="000000" w:themeColor="text1"/>
          <w:szCs w:val="24"/>
        </w:rPr>
        <w:t>consumer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12503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12503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12503">
        <w:rPr>
          <w:rFonts w:cs="Times New Roman"/>
          <w:color w:val="000000" w:themeColor="text1"/>
          <w:szCs w:val="24"/>
        </w:rPr>
        <w:t>disposal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12503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12503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12503">
        <w:rPr>
          <w:rFonts w:cs="Times New Roman"/>
          <w:color w:val="000000" w:themeColor="text1"/>
          <w:szCs w:val="24"/>
        </w:rPr>
        <w:t>gaskets</w:t>
      </w:r>
      <w:r w:rsidRPr="00C317BB" w:rsidR="00B7677C">
        <w:rPr>
          <w:rFonts w:cs="Times New Roman"/>
          <w:color w:val="000000" w:themeColor="text1"/>
          <w:szCs w:val="24"/>
        </w:rPr>
        <w:t>.</w:t>
      </w:r>
      <w:bookmarkEnd w:id="19"/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91CBF">
        <w:rPr>
          <w:rFonts w:cs="Times New Roman"/>
          <w:color w:val="000000" w:themeColor="text1"/>
          <w:szCs w:val="24"/>
        </w:rPr>
        <w:t>T</w:t>
      </w:r>
      <w:r w:rsidRPr="00C317BB" w:rsidR="00851787">
        <w:rPr>
          <w:rFonts w:cs="Times New Roman"/>
          <w:color w:val="000000" w:themeColor="text1"/>
          <w:szCs w:val="24"/>
        </w:rPr>
        <w:t>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91CBF">
        <w:rPr>
          <w:rFonts w:cs="Times New Roman"/>
          <w:color w:val="000000" w:themeColor="text1"/>
          <w:szCs w:val="24"/>
        </w:rPr>
        <w:t>determination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91CBF">
        <w:rPr>
          <w:rFonts w:cs="Times New Roman"/>
          <w:color w:val="000000" w:themeColor="text1"/>
          <w:szCs w:val="24"/>
        </w:rPr>
        <w:t>includes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91CBF">
        <w:rPr>
          <w:rFonts w:cs="Times New Roman"/>
          <w:color w:val="000000" w:themeColor="text1"/>
          <w:szCs w:val="24"/>
        </w:rPr>
        <w:t>unreasonable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91CBF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91CBF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91CBF">
        <w:rPr>
          <w:rFonts w:cs="Times New Roman"/>
          <w:color w:val="000000" w:themeColor="text1"/>
          <w:szCs w:val="24"/>
        </w:rPr>
        <w:t>injury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91CBF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91CBF">
        <w:rPr>
          <w:rFonts w:cs="Times New Roman"/>
          <w:color w:val="000000" w:themeColor="text1"/>
          <w:szCs w:val="24"/>
        </w:rPr>
        <w:t>health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91CBF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91CBF">
        <w:rPr>
          <w:rFonts w:cs="Times New Roman"/>
          <w:color w:val="000000" w:themeColor="text1"/>
          <w:szCs w:val="24"/>
        </w:rPr>
        <w:t>both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91CBF">
        <w:rPr>
          <w:rFonts w:cs="Times New Roman"/>
          <w:color w:val="000000" w:themeColor="text1"/>
          <w:szCs w:val="24"/>
        </w:rPr>
        <w:t>workers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91CBF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91CBF">
        <w:rPr>
          <w:rFonts w:cs="Times New Roman"/>
          <w:color w:val="000000" w:themeColor="text1"/>
          <w:szCs w:val="24"/>
        </w:rPr>
        <w:t>occupational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91CBF">
        <w:rPr>
          <w:rFonts w:cs="Times New Roman"/>
          <w:color w:val="000000" w:themeColor="text1"/>
          <w:szCs w:val="24"/>
        </w:rPr>
        <w:t>non-users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91CBF">
        <w:rPr>
          <w:rFonts w:cs="Times New Roman"/>
          <w:color w:val="000000" w:themeColor="text1"/>
          <w:szCs w:val="24"/>
        </w:rPr>
        <w:t>(ONUs)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91CBF">
        <w:rPr>
          <w:rFonts w:cs="Times New Roman"/>
          <w:color w:val="000000" w:themeColor="text1"/>
          <w:szCs w:val="24"/>
        </w:rPr>
        <w:t>during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91CBF">
        <w:rPr>
          <w:rFonts w:cs="Times New Roman"/>
          <w:color w:val="000000" w:themeColor="text1"/>
          <w:szCs w:val="24"/>
        </w:rPr>
        <w:t>occupational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91CBF">
        <w:rPr>
          <w:rFonts w:cs="Times New Roman"/>
          <w:color w:val="000000" w:themeColor="text1"/>
          <w:szCs w:val="24"/>
        </w:rPr>
        <w:t>exposures,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91CBF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91CBF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91CBF">
        <w:rPr>
          <w:rFonts w:cs="Times New Roman"/>
          <w:color w:val="000000" w:themeColor="text1"/>
          <w:szCs w:val="24"/>
        </w:rPr>
        <w:t>consumers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91CBF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91CBF">
        <w:rPr>
          <w:rFonts w:cs="Times New Roman"/>
          <w:color w:val="000000" w:themeColor="text1"/>
          <w:szCs w:val="24"/>
        </w:rPr>
        <w:t>bystanders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91CBF">
        <w:rPr>
          <w:rFonts w:cs="Times New Roman"/>
          <w:color w:val="000000" w:themeColor="text1"/>
          <w:szCs w:val="24"/>
        </w:rPr>
        <w:t>during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91CBF">
        <w:rPr>
          <w:rFonts w:cs="Times New Roman"/>
          <w:color w:val="000000" w:themeColor="text1"/>
          <w:szCs w:val="24"/>
        </w:rPr>
        <w:t>exposures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91CBF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91CBF">
        <w:rPr>
          <w:rFonts w:cs="Times New Roman"/>
          <w:color w:val="000000" w:themeColor="text1"/>
          <w:szCs w:val="24"/>
        </w:rPr>
        <w:t>consumer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91CBF">
        <w:rPr>
          <w:rFonts w:cs="Times New Roman"/>
          <w:color w:val="000000" w:themeColor="text1"/>
          <w:szCs w:val="24"/>
        </w:rPr>
        <w:t>uses.</w:t>
      </w:r>
    </w:p>
    <w:p w:rsidRPr="00C317BB" w:rsidR="00EF38D3" w:rsidP="00F27167" w:rsidRDefault="00EF38D3" w14:paraId="11DC871E" w14:textId="391BA8FE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determined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conditions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04D1E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04D1E">
        <w:rPr>
          <w:rFonts w:cs="Times New Roman"/>
          <w:color w:val="000000" w:themeColor="text1"/>
          <w:szCs w:val="24"/>
        </w:rPr>
        <w:t>drive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unreasonable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70DE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environment.</w:t>
      </w:r>
    </w:p>
    <w:p w:rsidRPr="00C317BB" w:rsidR="00585F22" w:rsidP="00F27167" w:rsidRDefault="002713A2" w14:paraId="0D3BB33A" w14:textId="7F681D49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previously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discussed,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025D0">
        <w:rPr>
          <w:rFonts w:cs="Times New Roman"/>
          <w:color w:val="000000" w:themeColor="text1"/>
          <w:szCs w:val="24"/>
        </w:rPr>
        <w:t>following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22D9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22D9">
        <w:rPr>
          <w:rFonts w:cs="Times New Roman"/>
          <w:color w:val="000000" w:themeColor="text1"/>
          <w:szCs w:val="24"/>
        </w:rPr>
        <w:t>November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22D9">
        <w:rPr>
          <w:rFonts w:cs="Times New Roman"/>
          <w:color w:val="000000" w:themeColor="text1"/>
          <w:szCs w:val="24"/>
        </w:rPr>
        <w:t>2019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22D9">
        <w:rPr>
          <w:rFonts w:cs="Times New Roman"/>
          <w:color w:val="000000" w:themeColor="text1"/>
          <w:szCs w:val="24"/>
        </w:rPr>
        <w:t>decision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22D9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22D9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22D9">
        <w:rPr>
          <w:rFonts w:cs="Times New Roman"/>
          <w:color w:val="000000" w:themeColor="text1"/>
          <w:szCs w:val="24"/>
        </w:rPr>
        <w:t>Ninth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22D9">
        <w:rPr>
          <w:rFonts w:cs="Times New Roman"/>
          <w:color w:val="000000" w:themeColor="text1"/>
          <w:szCs w:val="24"/>
        </w:rPr>
        <w:t>C</w:t>
      </w:r>
      <w:r w:rsidRPr="00C317BB" w:rsidR="005F6D3E">
        <w:rPr>
          <w:rFonts w:cs="Times New Roman"/>
          <w:color w:val="000000" w:themeColor="text1"/>
          <w:szCs w:val="24"/>
        </w:rPr>
        <w:t>i</w:t>
      </w:r>
      <w:r w:rsidRPr="00C317BB" w:rsidR="00A222D9">
        <w:rPr>
          <w:rFonts w:cs="Times New Roman"/>
          <w:color w:val="000000" w:themeColor="text1"/>
          <w:szCs w:val="24"/>
        </w:rPr>
        <w:t>rcuit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22D9">
        <w:rPr>
          <w:rFonts w:cs="Times New Roman"/>
          <w:color w:val="000000" w:themeColor="text1"/>
          <w:szCs w:val="24"/>
        </w:rPr>
        <w:t>Court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22D9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22D9">
        <w:rPr>
          <w:rFonts w:cs="Times New Roman"/>
          <w:color w:val="000000" w:themeColor="text1"/>
          <w:szCs w:val="24"/>
        </w:rPr>
        <w:t>Appea</w:t>
      </w:r>
      <w:r w:rsidRPr="00C317BB" w:rsidR="007351C8">
        <w:rPr>
          <w:rFonts w:cs="Times New Roman"/>
          <w:color w:val="000000" w:themeColor="text1"/>
          <w:szCs w:val="24"/>
        </w:rPr>
        <w:t>l</w:t>
      </w:r>
      <w:r w:rsidRPr="00C317BB" w:rsidR="00A222D9">
        <w:rPr>
          <w:rFonts w:cs="Times New Roman"/>
          <w:color w:val="000000" w:themeColor="text1"/>
          <w:szCs w:val="24"/>
        </w:rPr>
        <w:t>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22D9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22D9">
        <w:rPr>
          <w:rFonts w:cs="Times New Roman"/>
          <w:i/>
          <w:color w:val="000000" w:themeColor="text1"/>
          <w:szCs w:val="24"/>
        </w:rPr>
        <w:t>Sa</w:t>
      </w:r>
      <w:r w:rsidRPr="00C317BB" w:rsidR="00AF39F4">
        <w:rPr>
          <w:rFonts w:cs="Times New Roman"/>
          <w:i/>
          <w:color w:val="000000" w:themeColor="text1"/>
          <w:szCs w:val="24"/>
        </w:rPr>
        <w:t>f</w:t>
      </w:r>
      <w:r w:rsidRPr="00C317BB" w:rsidR="00A222D9">
        <w:rPr>
          <w:rFonts w:cs="Times New Roman"/>
          <w:i/>
          <w:color w:val="000000" w:themeColor="text1"/>
          <w:szCs w:val="24"/>
        </w:rPr>
        <w:t>e</w:t>
      </w:r>
      <w:r w:rsidRPr="00C317BB" w:rsidR="00AF39F4">
        <w:rPr>
          <w:rFonts w:cs="Times New Roman"/>
          <w:i/>
          <w:color w:val="000000" w:themeColor="text1"/>
          <w:szCs w:val="24"/>
        </w:rPr>
        <w:t>r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A222D9">
        <w:rPr>
          <w:rFonts w:cs="Times New Roman"/>
          <w:i/>
          <w:color w:val="000000" w:themeColor="text1"/>
          <w:szCs w:val="24"/>
        </w:rPr>
        <w:t>Chemicals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A222D9">
        <w:rPr>
          <w:rFonts w:cs="Times New Roman"/>
          <w:i/>
          <w:color w:val="000000" w:themeColor="text1"/>
          <w:szCs w:val="24"/>
        </w:rPr>
        <w:t>Healthy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A222D9">
        <w:rPr>
          <w:rFonts w:cs="Times New Roman"/>
          <w:i/>
          <w:color w:val="000000" w:themeColor="text1"/>
          <w:szCs w:val="24"/>
        </w:rPr>
        <w:t>Families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A222D9">
        <w:rPr>
          <w:rFonts w:cs="Times New Roman"/>
          <w:i/>
          <w:color w:val="000000" w:themeColor="text1"/>
          <w:szCs w:val="24"/>
        </w:rPr>
        <w:t>v.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A222D9">
        <w:rPr>
          <w:rFonts w:cs="Times New Roman"/>
          <w:i/>
          <w:color w:val="000000" w:themeColor="text1"/>
          <w:szCs w:val="24"/>
        </w:rPr>
        <w:t>EPA</w:t>
      </w:r>
      <w:r w:rsidRPr="00C317BB" w:rsidR="00A222D9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F39F4">
        <w:rPr>
          <w:rFonts w:cs="Times New Roman"/>
          <w:color w:val="000000" w:themeColor="text1"/>
          <w:szCs w:val="24"/>
        </w:rPr>
        <w:t>943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F39F4">
        <w:rPr>
          <w:rFonts w:cs="Times New Roman"/>
          <w:color w:val="000000" w:themeColor="text1"/>
          <w:szCs w:val="24"/>
        </w:rPr>
        <w:t>F.3d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F39F4">
        <w:rPr>
          <w:rFonts w:cs="Times New Roman"/>
          <w:color w:val="000000" w:themeColor="text1"/>
          <w:szCs w:val="24"/>
        </w:rPr>
        <w:t>397</w:t>
      </w:r>
      <w:r w:rsidRPr="00C317BB" w:rsidR="00A222D9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22D9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22D9">
        <w:rPr>
          <w:rFonts w:cs="Times New Roman"/>
          <w:color w:val="000000" w:themeColor="text1"/>
          <w:szCs w:val="24"/>
        </w:rPr>
        <w:t>agency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22D9">
        <w:rPr>
          <w:rFonts w:cs="Times New Roman"/>
          <w:color w:val="000000" w:themeColor="text1"/>
          <w:szCs w:val="24"/>
        </w:rPr>
        <w:t>will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22D9">
        <w:rPr>
          <w:rFonts w:cs="Times New Roman"/>
          <w:color w:val="000000" w:themeColor="text1"/>
          <w:szCs w:val="24"/>
        </w:rPr>
        <w:t>also,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22D9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22D9">
        <w:rPr>
          <w:rFonts w:cs="Times New Roman"/>
          <w:color w:val="000000" w:themeColor="text1"/>
          <w:szCs w:val="24"/>
        </w:rPr>
        <w:t>parallel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22D9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22D9">
        <w:rPr>
          <w:rFonts w:cs="Times New Roman"/>
          <w:color w:val="000000" w:themeColor="text1"/>
          <w:szCs w:val="24"/>
        </w:rPr>
        <w:t>pursuing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22D9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22D9">
        <w:rPr>
          <w:rFonts w:cs="Times New Roman"/>
          <w:color w:val="000000" w:themeColor="text1"/>
          <w:szCs w:val="24"/>
        </w:rPr>
        <w:t>management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025D0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025D0">
        <w:rPr>
          <w:rFonts w:cs="Times New Roman"/>
          <w:color w:val="000000" w:themeColor="text1"/>
          <w:szCs w:val="24"/>
        </w:rPr>
        <w:t>address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025D0">
        <w:rPr>
          <w:rFonts w:cs="Times New Roman"/>
          <w:color w:val="000000" w:themeColor="text1"/>
          <w:szCs w:val="24"/>
        </w:rPr>
        <w:t>unreasonable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025D0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025D0">
        <w:rPr>
          <w:rFonts w:cs="Times New Roman"/>
          <w:color w:val="000000" w:themeColor="text1"/>
          <w:szCs w:val="24"/>
        </w:rPr>
        <w:t>identified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025D0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75816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75816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75816">
        <w:rPr>
          <w:rFonts w:cs="Times New Roman"/>
          <w:color w:val="000000" w:themeColor="text1"/>
          <w:szCs w:val="24"/>
        </w:rPr>
        <w:t>Evaluation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75816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75816">
        <w:rPr>
          <w:rFonts w:cs="Times New Roman"/>
          <w:color w:val="000000" w:themeColor="text1"/>
          <w:szCs w:val="24"/>
        </w:rPr>
        <w:t>Asbestos,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22D9">
        <w:rPr>
          <w:rFonts w:cs="Times New Roman"/>
          <w:color w:val="000000" w:themeColor="text1"/>
          <w:szCs w:val="24"/>
        </w:rPr>
        <w:t>Part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22D9">
        <w:rPr>
          <w:rFonts w:cs="Times New Roman"/>
          <w:color w:val="000000" w:themeColor="text1"/>
          <w:szCs w:val="24"/>
        </w:rPr>
        <w:t>1,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A4ACD">
        <w:rPr>
          <w:rFonts w:cs="Times New Roman"/>
          <w:color w:val="000000" w:themeColor="text1"/>
          <w:szCs w:val="24"/>
        </w:rPr>
        <w:t>conduct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828B8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828B8">
        <w:rPr>
          <w:rFonts w:cs="Times New Roman"/>
          <w:color w:val="000000" w:themeColor="text1"/>
          <w:szCs w:val="24"/>
        </w:rPr>
        <w:t>Part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828B8">
        <w:rPr>
          <w:rFonts w:cs="Times New Roman"/>
          <w:color w:val="000000" w:themeColor="text1"/>
          <w:szCs w:val="24"/>
        </w:rPr>
        <w:t>2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828B8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828B8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828B8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828B8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90DF1">
        <w:rPr>
          <w:rFonts w:cs="Times New Roman"/>
          <w:color w:val="000000" w:themeColor="text1"/>
          <w:szCs w:val="24"/>
        </w:rPr>
        <w:t>Evaluation: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90DF1">
        <w:rPr>
          <w:rFonts w:cs="Times New Roman"/>
          <w:color w:val="000000" w:themeColor="text1"/>
          <w:szCs w:val="24"/>
        </w:rPr>
        <w:t>Supplemental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90DF1">
        <w:rPr>
          <w:rFonts w:cs="Times New Roman"/>
          <w:color w:val="000000" w:themeColor="text1"/>
          <w:szCs w:val="24"/>
        </w:rPr>
        <w:t>Evaluation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90DF1">
        <w:rPr>
          <w:rFonts w:cs="Times New Roman"/>
          <w:color w:val="000000" w:themeColor="text1"/>
          <w:szCs w:val="24"/>
        </w:rPr>
        <w:t>Including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90DF1">
        <w:rPr>
          <w:rFonts w:cs="Times New Roman"/>
          <w:color w:val="000000" w:themeColor="text1"/>
          <w:szCs w:val="24"/>
        </w:rPr>
        <w:t>Legacy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90DF1">
        <w:rPr>
          <w:rFonts w:cs="Times New Roman"/>
          <w:color w:val="000000" w:themeColor="text1"/>
          <w:szCs w:val="24"/>
        </w:rPr>
        <w:t>Uses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90DF1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90DF1">
        <w:rPr>
          <w:rFonts w:cs="Times New Roman"/>
          <w:color w:val="000000" w:themeColor="text1"/>
          <w:szCs w:val="24"/>
        </w:rPr>
        <w:t>Associated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90DF1">
        <w:rPr>
          <w:rFonts w:cs="Times New Roman"/>
          <w:color w:val="000000" w:themeColor="text1"/>
          <w:szCs w:val="24"/>
        </w:rPr>
        <w:t>Disposals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90DF1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90DF1">
        <w:rPr>
          <w:rFonts w:cs="Times New Roman"/>
          <w:color w:val="000000" w:themeColor="text1"/>
          <w:szCs w:val="24"/>
        </w:rPr>
        <w:t>Asbestos.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22D9">
        <w:rPr>
          <w:rFonts w:cs="Times New Roman"/>
          <w:color w:val="000000" w:themeColor="text1"/>
          <w:szCs w:val="24"/>
        </w:rPr>
        <w:t>Legacy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22D9">
        <w:rPr>
          <w:rFonts w:cs="Times New Roman"/>
          <w:color w:val="000000" w:themeColor="text1"/>
          <w:szCs w:val="24"/>
        </w:rPr>
        <w:t>uses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22D9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22D9">
        <w:rPr>
          <w:rFonts w:cs="Times New Roman"/>
          <w:color w:val="000000" w:themeColor="text1"/>
          <w:szCs w:val="24"/>
        </w:rPr>
        <w:t>associated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22D9">
        <w:rPr>
          <w:rFonts w:cs="Times New Roman"/>
          <w:color w:val="000000" w:themeColor="text1"/>
          <w:szCs w:val="24"/>
        </w:rPr>
        <w:t>disposals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22D9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22D9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1078C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1078C">
        <w:rPr>
          <w:rFonts w:cs="Times New Roman"/>
          <w:color w:val="000000" w:themeColor="text1"/>
          <w:szCs w:val="24"/>
        </w:rPr>
        <w:t>cond</w:t>
      </w:r>
      <w:r w:rsidRPr="00C317BB" w:rsidR="002C70E3">
        <w:rPr>
          <w:rFonts w:cs="Times New Roman"/>
          <w:color w:val="000000" w:themeColor="text1"/>
          <w:szCs w:val="24"/>
        </w:rPr>
        <w:t>i</w:t>
      </w:r>
      <w:r w:rsidRPr="00C317BB" w:rsidR="00E1078C">
        <w:rPr>
          <w:rFonts w:cs="Times New Roman"/>
          <w:color w:val="000000" w:themeColor="text1"/>
          <w:szCs w:val="24"/>
        </w:rPr>
        <w:t>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1078C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1078C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1078C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1078C">
        <w:rPr>
          <w:rFonts w:cs="Times New Roman"/>
          <w:color w:val="000000" w:themeColor="text1"/>
          <w:szCs w:val="24"/>
        </w:rPr>
        <w:t>which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1078C">
        <w:rPr>
          <w:rFonts w:cs="Times New Roman"/>
          <w:color w:val="000000" w:themeColor="text1"/>
          <w:szCs w:val="24"/>
        </w:rPr>
        <w:t>manufacture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1078C">
        <w:rPr>
          <w:rFonts w:cs="Times New Roman"/>
          <w:color w:val="000000" w:themeColor="text1"/>
          <w:szCs w:val="24"/>
        </w:rPr>
        <w:t>(including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1078C">
        <w:rPr>
          <w:rFonts w:cs="Times New Roman"/>
          <w:color w:val="000000" w:themeColor="text1"/>
          <w:szCs w:val="24"/>
        </w:rPr>
        <w:t>import)</w:t>
      </w:r>
      <w:r w:rsidRPr="00C317BB" w:rsidR="00530619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30619">
        <w:rPr>
          <w:rFonts w:cs="Times New Roman"/>
          <w:color w:val="000000" w:themeColor="text1"/>
          <w:szCs w:val="24"/>
        </w:rPr>
        <w:t>processing,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30619">
        <w:rPr>
          <w:rFonts w:cs="Times New Roman"/>
          <w:color w:val="000000" w:themeColor="text1"/>
          <w:szCs w:val="24"/>
        </w:rPr>
        <w:t>a</w:t>
      </w:r>
      <w:r w:rsidRPr="00C317BB" w:rsidR="00B70499">
        <w:rPr>
          <w:rFonts w:cs="Times New Roman"/>
          <w:color w:val="000000" w:themeColor="text1"/>
          <w:szCs w:val="24"/>
        </w:rPr>
        <w:t>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70499">
        <w:rPr>
          <w:rFonts w:cs="Times New Roman"/>
          <w:color w:val="000000" w:themeColor="text1"/>
          <w:szCs w:val="24"/>
        </w:rPr>
        <w:t>distribution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70499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70499">
        <w:rPr>
          <w:rFonts w:cs="Times New Roman"/>
          <w:color w:val="000000" w:themeColor="text1"/>
          <w:szCs w:val="24"/>
        </w:rPr>
        <w:t>commerce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7F05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7F05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7F05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70499">
        <w:rPr>
          <w:rFonts w:cs="Times New Roman"/>
          <w:color w:val="000000" w:themeColor="text1"/>
          <w:szCs w:val="24"/>
        </w:rPr>
        <w:t>no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70499">
        <w:rPr>
          <w:rFonts w:cs="Times New Roman"/>
          <w:color w:val="000000" w:themeColor="text1"/>
          <w:szCs w:val="24"/>
        </w:rPr>
        <w:t>longer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70499">
        <w:rPr>
          <w:rFonts w:cs="Times New Roman"/>
          <w:color w:val="000000" w:themeColor="text1"/>
          <w:szCs w:val="24"/>
        </w:rPr>
        <w:t>occur,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B312B">
        <w:rPr>
          <w:rFonts w:cs="Times New Roman"/>
          <w:color w:val="000000" w:themeColor="text1"/>
          <w:szCs w:val="24"/>
        </w:rPr>
        <w:t>but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B312B">
        <w:rPr>
          <w:rFonts w:cs="Times New Roman"/>
          <w:color w:val="000000" w:themeColor="text1"/>
          <w:szCs w:val="24"/>
        </w:rPr>
        <w:t>where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B312B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B279A">
        <w:rPr>
          <w:rFonts w:cs="Times New Roman"/>
          <w:color w:val="000000" w:themeColor="text1"/>
          <w:szCs w:val="24"/>
        </w:rPr>
        <w:t>(e.g.,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B279A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B279A">
        <w:rPr>
          <w:rFonts w:cs="Times New Roman"/>
          <w:color w:val="000000" w:themeColor="text1"/>
          <w:szCs w:val="24"/>
        </w:rPr>
        <w:t>situ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B279A">
        <w:rPr>
          <w:rFonts w:cs="Times New Roman"/>
          <w:color w:val="000000" w:themeColor="text1"/>
          <w:szCs w:val="24"/>
        </w:rPr>
        <w:t>building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B279A">
        <w:rPr>
          <w:rFonts w:cs="Times New Roman"/>
          <w:color w:val="000000" w:themeColor="text1"/>
          <w:szCs w:val="24"/>
        </w:rPr>
        <w:t>materia</w:t>
      </w:r>
      <w:r w:rsidRPr="00C317BB" w:rsidR="00E66E29">
        <w:rPr>
          <w:rFonts w:cs="Times New Roman"/>
          <w:color w:val="000000" w:themeColor="text1"/>
          <w:szCs w:val="24"/>
        </w:rPr>
        <w:t>l</w:t>
      </w:r>
      <w:r w:rsidRPr="00C317BB" w:rsidR="008B279A">
        <w:rPr>
          <w:rFonts w:cs="Times New Roman"/>
          <w:color w:val="000000" w:themeColor="text1"/>
          <w:szCs w:val="24"/>
        </w:rPr>
        <w:t>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B312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B312B">
        <w:rPr>
          <w:rFonts w:cs="Times New Roman"/>
          <w:color w:val="000000" w:themeColor="text1"/>
          <w:szCs w:val="24"/>
        </w:rPr>
        <w:t>disposal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B312B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B312B">
        <w:rPr>
          <w:rFonts w:cs="Times New Roman"/>
          <w:color w:val="000000" w:themeColor="text1"/>
          <w:szCs w:val="24"/>
        </w:rPr>
        <w:t>still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B312B">
        <w:rPr>
          <w:rFonts w:cs="Times New Roman"/>
          <w:color w:val="000000" w:themeColor="text1"/>
          <w:szCs w:val="24"/>
        </w:rPr>
        <w:t>known,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B312B">
        <w:rPr>
          <w:rFonts w:cs="Times New Roman"/>
          <w:color w:val="000000" w:themeColor="text1"/>
          <w:szCs w:val="24"/>
        </w:rPr>
        <w:t>intended,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B312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B312B">
        <w:rPr>
          <w:rFonts w:cs="Times New Roman"/>
          <w:color w:val="000000" w:themeColor="text1"/>
          <w:szCs w:val="24"/>
        </w:rPr>
        <w:t>reasonably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B312B">
        <w:rPr>
          <w:rFonts w:cs="Times New Roman"/>
          <w:color w:val="000000" w:themeColor="text1"/>
          <w:szCs w:val="24"/>
        </w:rPr>
        <w:t>f</w:t>
      </w:r>
      <w:r w:rsidRPr="00C317BB" w:rsidR="002C70E3">
        <w:rPr>
          <w:rFonts w:cs="Times New Roman"/>
          <w:color w:val="000000" w:themeColor="text1"/>
          <w:szCs w:val="24"/>
        </w:rPr>
        <w:t>o</w:t>
      </w:r>
      <w:r w:rsidRPr="00C317BB" w:rsidR="008B312B">
        <w:rPr>
          <w:rFonts w:cs="Times New Roman"/>
          <w:color w:val="000000" w:themeColor="text1"/>
          <w:szCs w:val="24"/>
        </w:rPr>
        <w:t>reseen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B312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B312B">
        <w:rPr>
          <w:rFonts w:cs="Times New Roman"/>
          <w:color w:val="000000" w:themeColor="text1"/>
          <w:szCs w:val="24"/>
        </w:rPr>
        <w:t>occur.</w:t>
      </w:r>
    </w:p>
    <w:p w:rsidRPr="00C317BB" w:rsidR="0028775C" w:rsidP="00F27167" w:rsidRDefault="008B312B" w14:paraId="63D30298" w14:textId="13D98F96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Part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2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Evaluation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36089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36089">
        <w:rPr>
          <w:rFonts w:cs="Times New Roman"/>
          <w:color w:val="000000" w:themeColor="text1"/>
          <w:szCs w:val="24"/>
        </w:rPr>
        <w:t>currently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74C7">
        <w:rPr>
          <w:rFonts w:cs="Times New Roman"/>
          <w:color w:val="000000" w:themeColor="text1"/>
          <w:szCs w:val="24"/>
        </w:rPr>
        <w:t>underway</w:t>
      </w:r>
      <w:r w:rsidRPr="00C317BB" w:rsidR="00E6220E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6220E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8775C">
        <w:rPr>
          <w:rFonts w:cs="Times New Roman"/>
          <w:color w:val="000000" w:themeColor="text1"/>
          <w:szCs w:val="24"/>
        </w:rPr>
        <w:t>October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8775C">
        <w:rPr>
          <w:rFonts w:cs="Times New Roman"/>
          <w:color w:val="000000" w:themeColor="text1"/>
          <w:szCs w:val="24"/>
        </w:rPr>
        <w:t>13,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8775C">
        <w:rPr>
          <w:rFonts w:cs="Times New Roman"/>
          <w:color w:val="000000" w:themeColor="text1"/>
          <w:szCs w:val="24"/>
        </w:rPr>
        <w:t>2021,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8775C">
        <w:rPr>
          <w:rFonts w:cs="Times New Roman"/>
          <w:color w:val="000000" w:themeColor="text1"/>
          <w:szCs w:val="24"/>
        </w:rPr>
        <w:t>consent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8775C">
        <w:rPr>
          <w:rFonts w:cs="Times New Roman"/>
          <w:color w:val="000000" w:themeColor="text1"/>
          <w:szCs w:val="24"/>
        </w:rPr>
        <w:t>decree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8775C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8775C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8775C">
        <w:rPr>
          <w:rFonts w:cs="Times New Roman"/>
          <w:color w:val="000000" w:themeColor="text1"/>
          <w:szCs w:val="24"/>
        </w:rPr>
        <w:t>case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8775C">
        <w:rPr>
          <w:rFonts w:cs="Times New Roman"/>
          <w:i/>
          <w:color w:val="000000" w:themeColor="text1"/>
          <w:szCs w:val="24"/>
        </w:rPr>
        <w:t>Asbestos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28775C">
        <w:rPr>
          <w:rFonts w:cs="Times New Roman"/>
          <w:i/>
          <w:color w:val="000000" w:themeColor="text1"/>
          <w:szCs w:val="24"/>
        </w:rPr>
        <w:t>Disease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28775C">
        <w:rPr>
          <w:rFonts w:cs="Times New Roman"/>
          <w:i/>
          <w:color w:val="000000" w:themeColor="text1"/>
          <w:szCs w:val="24"/>
        </w:rPr>
        <w:t>Awareness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28775C">
        <w:rPr>
          <w:rFonts w:cs="Times New Roman"/>
          <w:i/>
          <w:color w:val="000000" w:themeColor="text1"/>
          <w:szCs w:val="24"/>
        </w:rPr>
        <w:t>Organization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28775C">
        <w:rPr>
          <w:rFonts w:cs="Times New Roman"/>
          <w:i/>
          <w:color w:val="000000" w:themeColor="text1"/>
          <w:szCs w:val="24"/>
        </w:rPr>
        <w:t>et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28775C">
        <w:rPr>
          <w:rFonts w:cs="Times New Roman"/>
          <w:i/>
          <w:color w:val="000000" w:themeColor="text1"/>
          <w:szCs w:val="24"/>
        </w:rPr>
        <w:t>al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28775C">
        <w:rPr>
          <w:rFonts w:cs="Times New Roman"/>
          <w:i/>
          <w:color w:val="000000" w:themeColor="text1"/>
          <w:szCs w:val="24"/>
        </w:rPr>
        <w:t>v.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28775C">
        <w:rPr>
          <w:rFonts w:cs="Times New Roman"/>
          <w:i/>
          <w:color w:val="000000" w:themeColor="text1"/>
          <w:szCs w:val="24"/>
        </w:rPr>
        <w:t>Regan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28775C">
        <w:rPr>
          <w:rFonts w:cs="Times New Roman"/>
          <w:i/>
          <w:color w:val="000000" w:themeColor="text1"/>
          <w:szCs w:val="24"/>
        </w:rPr>
        <w:t>et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28775C">
        <w:rPr>
          <w:rFonts w:cs="Times New Roman"/>
          <w:i/>
          <w:color w:val="000000" w:themeColor="text1"/>
          <w:szCs w:val="24"/>
        </w:rPr>
        <w:t>al</w:t>
      </w:r>
      <w:r w:rsidRPr="00C317BB" w:rsidR="0028775C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8775C">
        <w:rPr>
          <w:rFonts w:cs="Times New Roman"/>
          <w:color w:val="000000" w:themeColor="text1"/>
          <w:szCs w:val="24"/>
        </w:rPr>
        <w:t>4:21-cv-03716-PJH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8775C">
        <w:rPr>
          <w:rFonts w:cs="Times New Roman"/>
          <w:color w:val="000000" w:themeColor="text1"/>
          <w:szCs w:val="24"/>
        </w:rPr>
        <w:t>(N.D.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8775C">
        <w:rPr>
          <w:rFonts w:cs="Times New Roman"/>
          <w:color w:val="000000" w:themeColor="text1"/>
          <w:szCs w:val="24"/>
        </w:rPr>
        <w:t>Cal.)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8775C">
        <w:rPr>
          <w:rFonts w:cs="Times New Roman"/>
          <w:color w:val="000000" w:themeColor="text1"/>
          <w:szCs w:val="24"/>
        </w:rPr>
        <w:t>requires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8775C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8775C">
        <w:rPr>
          <w:rFonts w:cs="Times New Roman"/>
          <w:color w:val="000000" w:themeColor="text1"/>
          <w:szCs w:val="24"/>
        </w:rPr>
        <w:t>agency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8775C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8775C">
        <w:rPr>
          <w:rFonts w:cs="Times New Roman"/>
          <w:color w:val="000000" w:themeColor="text1"/>
          <w:szCs w:val="24"/>
        </w:rPr>
        <w:t>publish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8775C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8775C">
        <w:rPr>
          <w:rFonts w:cs="Times New Roman"/>
          <w:color w:val="000000" w:themeColor="text1"/>
          <w:szCs w:val="24"/>
        </w:rPr>
        <w:t>final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8775C">
        <w:rPr>
          <w:rFonts w:cs="Times New Roman"/>
          <w:color w:val="000000" w:themeColor="text1"/>
          <w:szCs w:val="24"/>
        </w:rPr>
        <w:t>Part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8775C">
        <w:rPr>
          <w:rFonts w:cs="Times New Roman"/>
          <w:color w:val="000000" w:themeColor="text1"/>
          <w:szCs w:val="24"/>
        </w:rPr>
        <w:t>2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8775C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8775C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8775C">
        <w:rPr>
          <w:rFonts w:cs="Times New Roman"/>
          <w:color w:val="000000" w:themeColor="text1"/>
          <w:szCs w:val="24"/>
        </w:rPr>
        <w:t>evaluation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8775C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8775C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8775C">
        <w:rPr>
          <w:rFonts w:cs="Times New Roman"/>
          <w:color w:val="000000" w:themeColor="text1"/>
          <w:szCs w:val="24"/>
        </w:rPr>
        <w:t>before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8775C">
        <w:rPr>
          <w:rFonts w:cs="Times New Roman"/>
          <w:color w:val="000000" w:themeColor="text1"/>
          <w:szCs w:val="24"/>
        </w:rPr>
        <w:t>December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8775C">
        <w:rPr>
          <w:rFonts w:cs="Times New Roman"/>
          <w:color w:val="000000" w:themeColor="text1"/>
          <w:szCs w:val="24"/>
        </w:rPr>
        <w:t>1,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8775C">
        <w:rPr>
          <w:rFonts w:cs="Times New Roman"/>
          <w:color w:val="000000" w:themeColor="text1"/>
          <w:szCs w:val="24"/>
        </w:rPr>
        <w:t>2024.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8775C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8775C">
        <w:rPr>
          <w:rFonts w:cs="Times New Roman"/>
          <w:color w:val="000000" w:themeColor="text1"/>
          <w:szCs w:val="24"/>
        </w:rPr>
        <w:t>publish</w:t>
      </w:r>
      <w:r w:rsidRPr="00C317BB" w:rsidR="0030419F">
        <w:rPr>
          <w:rFonts w:cs="Times New Roman"/>
          <w:color w:val="000000" w:themeColor="text1"/>
          <w:szCs w:val="24"/>
        </w:rPr>
        <w:t>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8775C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8775C">
        <w:rPr>
          <w:rFonts w:cs="Times New Roman"/>
          <w:color w:val="000000" w:themeColor="text1"/>
          <w:szCs w:val="24"/>
        </w:rPr>
        <w:t>draft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8775C">
        <w:rPr>
          <w:rFonts w:cs="Times New Roman"/>
          <w:color w:val="000000" w:themeColor="text1"/>
          <w:szCs w:val="24"/>
        </w:rPr>
        <w:t>scope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8775C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8775C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8775C">
        <w:rPr>
          <w:rFonts w:cs="Times New Roman"/>
          <w:color w:val="000000" w:themeColor="text1"/>
          <w:szCs w:val="24"/>
        </w:rPr>
        <w:t>Part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8775C">
        <w:rPr>
          <w:rFonts w:cs="Times New Roman"/>
          <w:color w:val="000000" w:themeColor="text1"/>
          <w:szCs w:val="24"/>
        </w:rPr>
        <w:t>2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8775C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8775C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8775C">
        <w:rPr>
          <w:rFonts w:cs="Times New Roman"/>
          <w:color w:val="000000" w:themeColor="text1"/>
          <w:szCs w:val="24"/>
        </w:rPr>
        <w:t>evaluation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0419F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8775C">
        <w:rPr>
          <w:rFonts w:cs="Times New Roman"/>
          <w:color w:val="000000" w:themeColor="text1"/>
          <w:szCs w:val="24"/>
        </w:rPr>
        <w:t>December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0419F">
        <w:rPr>
          <w:rFonts w:cs="Times New Roman"/>
          <w:color w:val="000000" w:themeColor="text1"/>
          <w:szCs w:val="24"/>
        </w:rPr>
        <w:t>29</w:t>
      </w:r>
      <w:r w:rsidRPr="00C317BB" w:rsidR="0028775C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8775C">
        <w:rPr>
          <w:rFonts w:cs="Times New Roman"/>
          <w:color w:val="000000" w:themeColor="text1"/>
          <w:szCs w:val="24"/>
        </w:rPr>
        <w:t>2021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0419F">
        <w:rPr>
          <w:rFonts w:cs="Times New Roman"/>
          <w:color w:val="000000" w:themeColor="text1"/>
          <w:szCs w:val="24"/>
        </w:rPr>
        <w:t>(86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0419F">
        <w:rPr>
          <w:rFonts w:cs="Times New Roman"/>
          <w:color w:val="000000" w:themeColor="text1"/>
          <w:szCs w:val="24"/>
        </w:rPr>
        <w:t>FR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0419F">
        <w:rPr>
          <w:rFonts w:cs="Times New Roman"/>
          <w:color w:val="000000" w:themeColor="text1"/>
          <w:szCs w:val="24"/>
        </w:rPr>
        <w:t>74088)</w:t>
      </w:r>
      <w:r w:rsidRPr="00C317BB" w:rsidR="0028775C">
        <w:rPr>
          <w:rFonts w:cs="Times New Roman"/>
          <w:color w:val="000000" w:themeColor="text1"/>
          <w:szCs w:val="24"/>
        </w:rPr>
        <w:t>.</w:t>
      </w:r>
    </w:p>
    <w:p w:rsidRPr="00C317BB" w:rsidR="00DB13AD" w:rsidP="00F27167" w:rsidRDefault="00F63597" w14:paraId="54B8530C" w14:textId="7BDFCF73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Evaluation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9304A">
        <w:rPr>
          <w:rFonts w:cs="Times New Roman"/>
          <w:color w:val="000000" w:themeColor="text1"/>
          <w:szCs w:val="24"/>
        </w:rPr>
        <w:t>Part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9304A">
        <w:rPr>
          <w:rFonts w:cs="Times New Roman"/>
          <w:color w:val="000000" w:themeColor="text1"/>
          <w:szCs w:val="24"/>
        </w:rPr>
        <w:t>2</w:t>
      </w:r>
      <w:r w:rsidRPr="00C317BB" w:rsidR="001538CF">
        <w:rPr>
          <w:rFonts w:cs="Times New Roman"/>
          <w:color w:val="000000" w:themeColor="text1"/>
          <w:szCs w:val="24"/>
        </w:rPr>
        <w:t>: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38CF">
        <w:rPr>
          <w:rFonts w:cs="Times New Roman"/>
          <w:color w:val="000000" w:themeColor="text1"/>
          <w:szCs w:val="24"/>
        </w:rPr>
        <w:t>Supplemental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38CF">
        <w:rPr>
          <w:rFonts w:cs="Times New Roman"/>
          <w:color w:val="000000" w:themeColor="text1"/>
          <w:szCs w:val="24"/>
        </w:rPr>
        <w:t>Evaluation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38CF">
        <w:rPr>
          <w:rFonts w:cs="Times New Roman"/>
          <w:color w:val="000000" w:themeColor="text1"/>
          <w:szCs w:val="24"/>
        </w:rPr>
        <w:t>Including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38CF">
        <w:rPr>
          <w:rFonts w:cs="Times New Roman"/>
          <w:color w:val="000000" w:themeColor="text1"/>
          <w:szCs w:val="24"/>
        </w:rPr>
        <w:t>Legacy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38CF">
        <w:rPr>
          <w:rFonts w:cs="Times New Roman"/>
          <w:color w:val="000000" w:themeColor="text1"/>
          <w:szCs w:val="24"/>
        </w:rPr>
        <w:t>Uses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38CF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38CF">
        <w:rPr>
          <w:rFonts w:cs="Times New Roman"/>
          <w:color w:val="000000" w:themeColor="text1"/>
          <w:szCs w:val="24"/>
        </w:rPr>
        <w:t>Associated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38CF">
        <w:rPr>
          <w:rFonts w:cs="Times New Roman"/>
          <w:color w:val="000000" w:themeColor="text1"/>
          <w:szCs w:val="24"/>
        </w:rPr>
        <w:t>Disposals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38CF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38CF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38CF">
        <w:rPr>
          <w:rFonts w:cs="Times New Roman"/>
          <w:color w:val="000000" w:themeColor="text1"/>
          <w:szCs w:val="24"/>
        </w:rPr>
        <w:t>will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38CF">
        <w:rPr>
          <w:rFonts w:cs="Times New Roman"/>
          <w:color w:val="000000" w:themeColor="text1"/>
          <w:szCs w:val="24"/>
        </w:rPr>
        <w:t>include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38CF">
        <w:rPr>
          <w:rFonts w:cs="Times New Roman"/>
          <w:color w:val="000000" w:themeColor="text1"/>
          <w:szCs w:val="24"/>
        </w:rPr>
        <w:t>evaluation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38CF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229D1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229D1">
        <w:rPr>
          <w:rFonts w:cs="Times New Roman"/>
          <w:color w:val="000000" w:themeColor="text1"/>
          <w:szCs w:val="24"/>
        </w:rPr>
        <w:t>legacy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229D1">
        <w:rPr>
          <w:rFonts w:cs="Times New Roman"/>
          <w:color w:val="000000" w:themeColor="text1"/>
          <w:szCs w:val="24"/>
        </w:rPr>
        <w:t>uses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229D1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229D1">
        <w:rPr>
          <w:rFonts w:cs="Times New Roman"/>
          <w:color w:val="000000" w:themeColor="text1"/>
          <w:szCs w:val="24"/>
        </w:rPr>
        <w:t>associated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229D1">
        <w:rPr>
          <w:rFonts w:cs="Times New Roman"/>
          <w:color w:val="000000" w:themeColor="text1"/>
          <w:szCs w:val="24"/>
        </w:rPr>
        <w:t>disposals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229D1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38CF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038">
        <w:rPr>
          <w:rFonts w:cs="Times New Roman"/>
          <w:color w:val="000000" w:themeColor="text1"/>
          <w:szCs w:val="24"/>
        </w:rPr>
        <w:t>asbes</w:t>
      </w:r>
      <w:r w:rsidRPr="00C317BB" w:rsidR="00C07626">
        <w:rPr>
          <w:rFonts w:cs="Times New Roman"/>
          <w:color w:val="000000" w:themeColor="text1"/>
          <w:szCs w:val="24"/>
        </w:rPr>
        <w:t>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771BD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38CF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38CF">
        <w:rPr>
          <w:rFonts w:cs="Times New Roman"/>
          <w:color w:val="000000" w:themeColor="text1"/>
          <w:szCs w:val="24"/>
        </w:rPr>
        <w:t>five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38CF">
        <w:rPr>
          <w:rFonts w:cs="Times New Roman"/>
          <w:color w:val="000000" w:themeColor="text1"/>
          <w:szCs w:val="24"/>
        </w:rPr>
        <w:t>amphibole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38CF">
        <w:rPr>
          <w:rFonts w:cs="Times New Roman"/>
          <w:color w:val="000000" w:themeColor="text1"/>
          <w:szCs w:val="24"/>
        </w:rPr>
        <w:t>fiber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38CF">
        <w:rPr>
          <w:rFonts w:cs="Times New Roman"/>
          <w:color w:val="000000" w:themeColor="text1"/>
          <w:szCs w:val="24"/>
        </w:rPr>
        <w:t>types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9304A">
        <w:rPr>
          <w:rFonts w:cs="Times New Roman"/>
          <w:color w:val="000000" w:themeColor="text1"/>
          <w:szCs w:val="24"/>
        </w:rPr>
        <w:t>describe</w:t>
      </w:r>
      <w:r w:rsidRPr="00C317BB" w:rsidR="00FA5C00">
        <w:rPr>
          <w:rFonts w:cs="Times New Roman"/>
          <w:color w:val="000000" w:themeColor="text1"/>
          <w:szCs w:val="24"/>
        </w:rPr>
        <w:t>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9304A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9304A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9304A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9304A">
        <w:rPr>
          <w:rFonts w:cs="Times New Roman"/>
          <w:color w:val="000000" w:themeColor="text1"/>
          <w:szCs w:val="24"/>
        </w:rPr>
        <w:t>Title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9304A">
        <w:rPr>
          <w:rFonts w:cs="Times New Roman"/>
          <w:color w:val="000000" w:themeColor="text1"/>
          <w:szCs w:val="24"/>
        </w:rPr>
        <w:t>II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9304A">
        <w:rPr>
          <w:rFonts w:cs="Times New Roman"/>
          <w:color w:val="000000" w:themeColor="text1"/>
          <w:szCs w:val="24"/>
        </w:rPr>
        <w:t>definition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A5C00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A5C00">
        <w:rPr>
          <w:rFonts w:cs="Times New Roman"/>
          <w:color w:val="000000" w:themeColor="text1"/>
          <w:szCs w:val="24"/>
        </w:rPr>
        <w:t>addition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A5C00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A5C00">
        <w:rPr>
          <w:rFonts w:cs="Times New Roman"/>
          <w:color w:val="000000" w:themeColor="text1"/>
          <w:szCs w:val="24"/>
        </w:rPr>
        <w:t>Libby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A5C00">
        <w:rPr>
          <w:rFonts w:cs="Times New Roman"/>
          <w:color w:val="000000" w:themeColor="text1"/>
          <w:szCs w:val="24"/>
        </w:rPr>
        <w:t>Amphibole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A5C00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A5C00">
        <w:rPr>
          <w:rFonts w:cs="Times New Roman"/>
          <w:color w:val="000000" w:themeColor="text1"/>
          <w:szCs w:val="24"/>
        </w:rPr>
        <w:t>(</w:t>
      </w:r>
      <w:r w:rsidRPr="00C317BB" w:rsidR="00AC7EFC">
        <w:rPr>
          <w:rFonts w:cs="Times New Roman"/>
          <w:color w:val="000000" w:themeColor="text1"/>
          <w:szCs w:val="24"/>
        </w:rPr>
        <w:t>mainly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7EFC">
        <w:rPr>
          <w:rFonts w:cs="Times New Roman"/>
          <w:color w:val="000000" w:themeColor="text1"/>
          <w:szCs w:val="24"/>
        </w:rPr>
        <w:t>consisting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7EFC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A5C00">
        <w:rPr>
          <w:rFonts w:cs="Times New Roman"/>
          <w:color w:val="000000" w:themeColor="text1"/>
          <w:szCs w:val="24"/>
        </w:rPr>
        <w:t>tremolite,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C317BB" w:rsidR="00FA5C00">
        <w:rPr>
          <w:rFonts w:cs="Times New Roman"/>
          <w:color w:val="000000" w:themeColor="text1"/>
          <w:szCs w:val="24"/>
        </w:rPr>
        <w:t>winchite</w:t>
      </w:r>
      <w:proofErr w:type="spellEnd"/>
      <w:r w:rsidRPr="00C317BB" w:rsidR="00FA5C00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A5C00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A5C00">
        <w:rPr>
          <w:rFonts w:cs="Times New Roman"/>
          <w:color w:val="000000" w:themeColor="text1"/>
          <w:szCs w:val="24"/>
        </w:rPr>
        <w:t>richterite)</w:t>
      </w:r>
      <w:r w:rsidRPr="00C317BB" w:rsidR="00BF6CCE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F6CCE">
        <w:rPr>
          <w:rFonts w:cs="Times New Roman"/>
          <w:color w:val="000000" w:themeColor="text1"/>
          <w:szCs w:val="24"/>
        </w:rPr>
        <w:t>Additionally,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F6CCE">
        <w:rPr>
          <w:rFonts w:cs="Times New Roman"/>
          <w:color w:val="000000" w:themeColor="text1"/>
          <w:szCs w:val="24"/>
        </w:rPr>
        <w:t>where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F6CCE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F6CCE">
        <w:rPr>
          <w:rFonts w:cs="Times New Roman"/>
          <w:color w:val="000000" w:themeColor="text1"/>
          <w:szCs w:val="24"/>
        </w:rPr>
        <w:t>identifies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F6CCE">
        <w:rPr>
          <w:rFonts w:cs="Times New Roman"/>
          <w:color w:val="000000" w:themeColor="text1"/>
          <w:szCs w:val="24"/>
        </w:rPr>
        <w:t>reasonably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F6CCE">
        <w:rPr>
          <w:rFonts w:cs="Times New Roman"/>
          <w:color w:val="000000" w:themeColor="text1"/>
          <w:szCs w:val="24"/>
        </w:rPr>
        <w:t>available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F6CCE">
        <w:rPr>
          <w:rFonts w:cs="Times New Roman"/>
          <w:color w:val="000000" w:themeColor="text1"/>
          <w:szCs w:val="24"/>
        </w:rPr>
        <w:t>information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F6CCE">
        <w:rPr>
          <w:rFonts w:cs="Times New Roman"/>
          <w:color w:val="000000" w:themeColor="text1"/>
          <w:szCs w:val="24"/>
        </w:rPr>
        <w:t>demonstrating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F6CCE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F6CCE">
        <w:rPr>
          <w:rFonts w:cs="Times New Roman"/>
          <w:color w:val="000000" w:themeColor="text1"/>
          <w:szCs w:val="24"/>
        </w:rPr>
        <w:t>presence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F6CCE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F6CCE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F6CCE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F6CCE">
        <w:rPr>
          <w:rFonts w:cs="Times New Roman"/>
          <w:color w:val="000000" w:themeColor="text1"/>
          <w:szCs w:val="24"/>
        </w:rPr>
        <w:t>talc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F6CCE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F6CCE">
        <w:rPr>
          <w:rFonts w:cs="Times New Roman"/>
          <w:color w:val="000000" w:themeColor="text1"/>
          <w:szCs w:val="24"/>
        </w:rPr>
        <w:t>fall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F6CCE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F6CCE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F6CCE">
        <w:rPr>
          <w:rFonts w:cs="Times New Roman"/>
          <w:color w:val="000000" w:themeColor="text1"/>
          <w:szCs w:val="24"/>
        </w:rPr>
        <w:t>authority,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77A99">
        <w:rPr>
          <w:rFonts w:cs="Times New Roman"/>
          <w:color w:val="000000" w:themeColor="text1"/>
          <w:szCs w:val="24"/>
        </w:rPr>
        <w:t>talc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77A99">
        <w:rPr>
          <w:rFonts w:cs="Times New Roman"/>
          <w:color w:val="000000" w:themeColor="text1"/>
          <w:szCs w:val="24"/>
        </w:rPr>
        <w:t>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77A99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77A99">
        <w:rPr>
          <w:rFonts w:cs="Times New Roman"/>
          <w:color w:val="000000" w:themeColor="text1"/>
          <w:szCs w:val="24"/>
        </w:rPr>
        <w:t>impurities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F6CCE">
        <w:rPr>
          <w:rFonts w:cs="Times New Roman"/>
          <w:color w:val="000000" w:themeColor="text1"/>
          <w:szCs w:val="24"/>
        </w:rPr>
        <w:t>will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F6CCE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F6CCE">
        <w:rPr>
          <w:rFonts w:cs="Times New Roman"/>
          <w:color w:val="000000" w:themeColor="text1"/>
          <w:szCs w:val="24"/>
        </w:rPr>
        <w:t>evaluated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F6CCE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F6CCE">
        <w:rPr>
          <w:rFonts w:cs="Times New Roman"/>
          <w:color w:val="000000" w:themeColor="text1"/>
          <w:szCs w:val="24"/>
        </w:rPr>
        <w:t>Part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F6CCE">
        <w:rPr>
          <w:rFonts w:cs="Times New Roman"/>
          <w:color w:val="000000" w:themeColor="text1"/>
          <w:szCs w:val="24"/>
        </w:rPr>
        <w:t>2</w:t>
      </w:r>
      <w:r w:rsidRPr="00C317BB" w:rsidR="00A8448D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C0559E" w:rsidP="00F27167" w:rsidRDefault="001156E2" w14:paraId="7B5D8655" w14:textId="51FA1EE8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part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problem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formulation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found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exp</w:t>
      </w:r>
      <w:r w:rsidRPr="00C317BB" w:rsidR="00BF1F09">
        <w:rPr>
          <w:rFonts w:cs="Times New Roman"/>
          <w:color w:val="000000" w:themeColor="text1"/>
          <w:szCs w:val="24"/>
        </w:rPr>
        <w:t>osures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F1F09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F1F09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F1F09">
        <w:rPr>
          <w:rFonts w:cs="Times New Roman"/>
          <w:color w:val="000000" w:themeColor="text1"/>
          <w:szCs w:val="24"/>
        </w:rPr>
        <w:t>general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F1F09">
        <w:rPr>
          <w:rFonts w:cs="Times New Roman"/>
          <w:color w:val="000000" w:themeColor="text1"/>
          <w:szCs w:val="24"/>
        </w:rPr>
        <w:t>population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F1F09">
        <w:rPr>
          <w:rFonts w:cs="Times New Roman"/>
          <w:color w:val="000000" w:themeColor="text1"/>
          <w:szCs w:val="24"/>
        </w:rPr>
        <w:t>may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F1F09">
        <w:rPr>
          <w:rFonts w:cs="Times New Roman"/>
          <w:color w:val="000000" w:themeColor="text1"/>
          <w:szCs w:val="24"/>
        </w:rPr>
        <w:t>occur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F1F09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F1F09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95F26">
        <w:rPr>
          <w:rFonts w:cs="Times New Roman"/>
          <w:color w:val="000000" w:themeColor="text1"/>
          <w:szCs w:val="24"/>
        </w:rPr>
        <w:t>conditions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95F26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95F26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F1F09">
        <w:rPr>
          <w:rFonts w:cs="Times New Roman"/>
          <w:color w:val="000000" w:themeColor="text1"/>
          <w:szCs w:val="24"/>
        </w:rPr>
        <w:t>considered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F1F09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F1F09">
        <w:rPr>
          <w:rFonts w:cs="Times New Roman"/>
          <w:color w:val="000000" w:themeColor="text1"/>
          <w:szCs w:val="24"/>
        </w:rPr>
        <w:t>Part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F1F09">
        <w:rPr>
          <w:rFonts w:cs="Times New Roman"/>
          <w:color w:val="000000" w:themeColor="text1"/>
          <w:szCs w:val="24"/>
        </w:rPr>
        <w:t>1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908C9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908C9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30692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30692">
        <w:rPr>
          <w:rFonts w:cs="Times New Roman"/>
          <w:color w:val="000000" w:themeColor="text1"/>
          <w:szCs w:val="24"/>
        </w:rPr>
        <w:t>r</w:t>
      </w:r>
      <w:r w:rsidRPr="00C317BB" w:rsidR="009908C9">
        <w:rPr>
          <w:rFonts w:cs="Times New Roman"/>
          <w:color w:val="000000" w:themeColor="text1"/>
          <w:szCs w:val="24"/>
        </w:rPr>
        <w:t>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30692">
        <w:rPr>
          <w:rFonts w:cs="Times New Roman"/>
          <w:color w:val="000000" w:themeColor="text1"/>
          <w:szCs w:val="24"/>
        </w:rPr>
        <w:t>e</w:t>
      </w:r>
      <w:r w:rsidRPr="00C317BB" w:rsidR="009908C9">
        <w:rPr>
          <w:rFonts w:cs="Times New Roman"/>
          <w:color w:val="000000" w:themeColor="text1"/>
          <w:szCs w:val="24"/>
        </w:rPr>
        <w:t>valuation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B4DD5">
        <w:rPr>
          <w:rFonts w:cs="Times New Roman"/>
          <w:color w:val="000000" w:themeColor="text1"/>
          <w:szCs w:val="24"/>
        </w:rPr>
        <w:t>(</w:t>
      </w:r>
      <w:r w:rsidRPr="00C317BB" w:rsidR="004E28CB">
        <w:rPr>
          <w:rFonts w:cs="Times New Roman"/>
          <w:color w:val="000000" w:themeColor="text1"/>
          <w:szCs w:val="24"/>
        </w:rPr>
        <w:t>R</w:t>
      </w:r>
      <w:r w:rsidRPr="00C317BB" w:rsidR="001B4DD5">
        <w:rPr>
          <w:rFonts w:cs="Times New Roman"/>
          <w:color w:val="000000" w:themeColor="text1"/>
          <w:szCs w:val="24"/>
        </w:rPr>
        <w:t>ef.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C7246">
        <w:rPr>
          <w:rFonts w:cs="Times New Roman"/>
          <w:color w:val="000000" w:themeColor="text1"/>
          <w:szCs w:val="24"/>
        </w:rPr>
        <w:t>6</w:t>
      </w:r>
      <w:r w:rsidRPr="00C317BB" w:rsidR="001B4DD5">
        <w:rPr>
          <w:rFonts w:cs="Times New Roman"/>
          <w:color w:val="000000" w:themeColor="text1"/>
          <w:szCs w:val="24"/>
        </w:rPr>
        <w:t>)</w:t>
      </w:r>
      <w:r w:rsidRPr="00C317BB" w:rsidR="00BF1F09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84407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84407">
        <w:rPr>
          <w:rFonts w:cs="Times New Roman"/>
          <w:color w:val="000000" w:themeColor="text1"/>
          <w:szCs w:val="24"/>
        </w:rPr>
        <w:t>determined</w:t>
      </w:r>
      <w:r w:rsidRPr="00C317BB" w:rsidR="00D13148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13148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13148">
        <w:rPr>
          <w:rFonts w:cs="Times New Roman"/>
          <w:color w:val="000000" w:themeColor="text1"/>
          <w:szCs w:val="24"/>
        </w:rPr>
        <w:t>Part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13148">
        <w:rPr>
          <w:rFonts w:cs="Times New Roman"/>
          <w:color w:val="000000" w:themeColor="text1"/>
          <w:szCs w:val="24"/>
        </w:rPr>
        <w:t>1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13148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13148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30692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30692">
        <w:rPr>
          <w:rFonts w:cs="Times New Roman"/>
          <w:color w:val="000000" w:themeColor="text1"/>
          <w:szCs w:val="24"/>
        </w:rPr>
        <w:t>r</w:t>
      </w:r>
      <w:r w:rsidRPr="00C317BB" w:rsidR="00D13148">
        <w:rPr>
          <w:rFonts w:cs="Times New Roman"/>
          <w:color w:val="000000" w:themeColor="text1"/>
          <w:szCs w:val="24"/>
        </w:rPr>
        <w:t>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30692">
        <w:rPr>
          <w:rFonts w:cs="Times New Roman"/>
          <w:color w:val="000000" w:themeColor="text1"/>
          <w:szCs w:val="24"/>
        </w:rPr>
        <w:t>e</w:t>
      </w:r>
      <w:r w:rsidRPr="00C317BB" w:rsidR="00D13148">
        <w:rPr>
          <w:rFonts w:cs="Times New Roman"/>
          <w:color w:val="000000" w:themeColor="text1"/>
          <w:szCs w:val="24"/>
        </w:rPr>
        <w:t>valuation,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84407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84407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84407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84407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84407">
        <w:rPr>
          <w:rFonts w:cs="Times New Roman"/>
          <w:color w:val="000000" w:themeColor="text1"/>
          <w:szCs w:val="24"/>
        </w:rPr>
        <w:t>general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84407">
        <w:rPr>
          <w:rFonts w:cs="Times New Roman"/>
          <w:color w:val="000000" w:themeColor="text1"/>
          <w:szCs w:val="24"/>
        </w:rPr>
        <w:t>population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84407">
        <w:rPr>
          <w:rFonts w:cs="Times New Roman"/>
          <w:color w:val="000000" w:themeColor="text1"/>
          <w:szCs w:val="24"/>
        </w:rPr>
        <w:t>via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84407">
        <w:rPr>
          <w:rFonts w:cs="Times New Roman"/>
          <w:color w:val="000000" w:themeColor="text1"/>
          <w:szCs w:val="24"/>
        </w:rPr>
        <w:t>sur</w:t>
      </w:r>
      <w:r w:rsidRPr="00C317BB" w:rsidR="003D01CF">
        <w:rPr>
          <w:rFonts w:cs="Times New Roman"/>
          <w:color w:val="000000" w:themeColor="text1"/>
          <w:szCs w:val="24"/>
        </w:rPr>
        <w:t>face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D01CF">
        <w:rPr>
          <w:rFonts w:cs="Times New Roman"/>
          <w:color w:val="000000" w:themeColor="text1"/>
          <w:szCs w:val="24"/>
        </w:rPr>
        <w:t>water,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D01CF">
        <w:rPr>
          <w:rFonts w:cs="Times New Roman"/>
          <w:color w:val="000000" w:themeColor="text1"/>
          <w:szCs w:val="24"/>
        </w:rPr>
        <w:t>drinking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D01CF">
        <w:rPr>
          <w:rFonts w:cs="Times New Roman"/>
          <w:color w:val="000000" w:themeColor="text1"/>
          <w:szCs w:val="24"/>
        </w:rPr>
        <w:t>water,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D01CF">
        <w:rPr>
          <w:rFonts w:cs="Times New Roman"/>
          <w:color w:val="000000" w:themeColor="text1"/>
          <w:szCs w:val="24"/>
        </w:rPr>
        <w:t>ambient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D01CF">
        <w:rPr>
          <w:rFonts w:cs="Times New Roman"/>
          <w:color w:val="000000" w:themeColor="text1"/>
          <w:szCs w:val="24"/>
        </w:rPr>
        <w:t>air,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D01CF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D01CF">
        <w:rPr>
          <w:rFonts w:cs="Times New Roman"/>
          <w:color w:val="000000" w:themeColor="text1"/>
          <w:szCs w:val="24"/>
        </w:rPr>
        <w:t>disposal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D01CF">
        <w:rPr>
          <w:rFonts w:cs="Times New Roman"/>
          <w:color w:val="000000" w:themeColor="text1"/>
          <w:szCs w:val="24"/>
        </w:rPr>
        <w:t>pathways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D01CF">
        <w:rPr>
          <w:rFonts w:cs="Times New Roman"/>
          <w:color w:val="000000" w:themeColor="text1"/>
          <w:szCs w:val="24"/>
        </w:rPr>
        <w:t>falls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D01CF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D01CF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D01CF">
        <w:rPr>
          <w:rFonts w:cs="Times New Roman"/>
          <w:color w:val="000000" w:themeColor="text1"/>
          <w:szCs w:val="24"/>
        </w:rPr>
        <w:t>jurisdiction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D01CF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D01CF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D01CF">
        <w:rPr>
          <w:rFonts w:cs="Times New Roman"/>
          <w:color w:val="000000" w:themeColor="text1"/>
          <w:szCs w:val="24"/>
        </w:rPr>
        <w:t>environmental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D01CF">
        <w:rPr>
          <w:rFonts w:cs="Times New Roman"/>
          <w:color w:val="000000" w:themeColor="text1"/>
          <w:szCs w:val="24"/>
        </w:rPr>
        <w:t>statutes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D01CF">
        <w:rPr>
          <w:rFonts w:cs="Times New Roman"/>
          <w:color w:val="000000" w:themeColor="text1"/>
          <w:szCs w:val="24"/>
        </w:rPr>
        <w:t>administered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D01CF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D01CF">
        <w:rPr>
          <w:rFonts w:cs="Times New Roman"/>
          <w:color w:val="000000" w:themeColor="text1"/>
          <w:szCs w:val="24"/>
        </w:rPr>
        <w:t>EPA</w:t>
      </w:r>
      <w:r w:rsidRPr="00C317BB" w:rsidR="0002326A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Del="0049584A" w:rsidR="00DD42E6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6B99">
        <w:rPr>
          <w:rFonts w:cs="Times New Roman"/>
          <w:color w:val="000000" w:themeColor="text1"/>
          <w:szCs w:val="24"/>
        </w:rPr>
        <w:t>A</w:t>
      </w:r>
      <w:r w:rsidRPr="00C317BB" w:rsidDel="0049584A" w:rsidR="00DD42E6">
        <w:rPr>
          <w:rFonts w:cs="Times New Roman"/>
          <w:color w:val="000000" w:themeColor="text1"/>
          <w:szCs w:val="24"/>
        </w:rPr>
        <w:t>gency,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Del="0049584A" w:rsidR="00DD42E6">
        <w:rPr>
          <w:rFonts w:cs="Times New Roman"/>
          <w:color w:val="000000" w:themeColor="text1"/>
          <w:szCs w:val="24"/>
        </w:rPr>
        <w:t>therefore,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7606B">
        <w:rPr>
          <w:rFonts w:cs="Times New Roman"/>
          <w:color w:val="000000" w:themeColor="text1"/>
          <w:szCs w:val="24"/>
        </w:rPr>
        <w:t>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7606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7606B">
        <w:rPr>
          <w:rFonts w:cs="Times New Roman"/>
          <w:color w:val="000000" w:themeColor="text1"/>
          <w:szCs w:val="24"/>
        </w:rPr>
        <w:t>time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7606B">
        <w:rPr>
          <w:rFonts w:cs="Times New Roman"/>
          <w:color w:val="000000" w:themeColor="text1"/>
          <w:szCs w:val="24"/>
        </w:rPr>
        <w:t>explained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7606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7606B">
        <w:rPr>
          <w:rFonts w:cs="Times New Roman"/>
          <w:color w:val="000000" w:themeColor="text1"/>
          <w:szCs w:val="24"/>
        </w:rPr>
        <w:t>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7606B">
        <w:rPr>
          <w:rFonts w:cs="Times New Roman"/>
          <w:color w:val="000000" w:themeColor="text1"/>
          <w:szCs w:val="24"/>
        </w:rPr>
        <w:t>was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Del="0049584A" w:rsidR="00DD42E6">
        <w:rPr>
          <w:rFonts w:cs="Times New Roman"/>
          <w:color w:val="000000" w:themeColor="text1"/>
          <w:szCs w:val="24"/>
        </w:rPr>
        <w:t>tailor</w:t>
      </w:r>
      <w:r w:rsidRPr="00C317BB" w:rsidR="0067606B">
        <w:rPr>
          <w:rFonts w:cs="Times New Roman"/>
          <w:color w:val="000000" w:themeColor="text1"/>
          <w:szCs w:val="24"/>
        </w:rPr>
        <w:t>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Del="0049584A" w:rsidR="00386513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Del="0049584A" w:rsidR="00386513">
        <w:rPr>
          <w:rFonts w:cs="Times New Roman"/>
          <w:color w:val="000000" w:themeColor="text1"/>
          <w:szCs w:val="24"/>
        </w:rPr>
        <w:t>scope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Del="0049584A" w:rsidR="00386513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Del="0049584A" w:rsidR="00386513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Del="0049584A" w:rsidR="00386513">
        <w:rPr>
          <w:rFonts w:cs="Times New Roman"/>
          <w:color w:val="000000" w:themeColor="text1"/>
          <w:szCs w:val="24"/>
        </w:rPr>
        <w:t>Part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Del="0049584A" w:rsidR="00386513">
        <w:rPr>
          <w:rFonts w:cs="Times New Roman"/>
          <w:color w:val="000000" w:themeColor="text1"/>
          <w:szCs w:val="24"/>
        </w:rPr>
        <w:t>1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Del="0049584A" w:rsidR="00386513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Del="0049584A" w:rsidR="00386513">
        <w:rPr>
          <w:rFonts w:cs="Times New Roman"/>
          <w:color w:val="000000" w:themeColor="text1"/>
          <w:szCs w:val="24"/>
        </w:rPr>
        <w:t>evaluation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Del="0049584A" w:rsidR="00522FC3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Del="0049584A" w:rsidR="00522FC3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Del="0049584A" w:rsidR="00522FC3">
        <w:rPr>
          <w:rFonts w:cs="Times New Roman"/>
          <w:color w:val="000000" w:themeColor="text1"/>
          <w:szCs w:val="24"/>
        </w:rPr>
        <w:t>using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Del="0049584A" w:rsidR="00522FC3">
        <w:rPr>
          <w:rFonts w:cs="Times New Roman"/>
          <w:color w:val="000000" w:themeColor="text1"/>
          <w:szCs w:val="24"/>
        </w:rPr>
        <w:t>authorities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Del="0049584A" w:rsidR="00522FC3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Del="0049584A" w:rsidR="00522FC3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Del="0049584A" w:rsidR="00522FC3">
        <w:rPr>
          <w:rFonts w:cs="Times New Roman"/>
          <w:color w:val="000000" w:themeColor="text1"/>
          <w:szCs w:val="24"/>
        </w:rPr>
        <w:t>sections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Del="0049584A" w:rsidR="00522FC3">
        <w:rPr>
          <w:rFonts w:cs="Times New Roman"/>
          <w:color w:val="000000" w:themeColor="text1"/>
          <w:szCs w:val="24"/>
        </w:rPr>
        <w:t>6(b)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Del="0049584A" w:rsidR="00522FC3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Del="0049584A" w:rsidR="00522FC3">
        <w:rPr>
          <w:rFonts w:cs="Times New Roman"/>
          <w:color w:val="000000" w:themeColor="text1"/>
          <w:szCs w:val="24"/>
        </w:rPr>
        <w:t>9(b)(1).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30692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30692">
        <w:rPr>
          <w:rFonts w:cs="Times New Roman"/>
          <w:color w:val="000000" w:themeColor="text1"/>
          <w:szCs w:val="24"/>
        </w:rPr>
        <w:t>such,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8069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8069B">
        <w:rPr>
          <w:rFonts w:cs="Times New Roman"/>
          <w:color w:val="000000" w:themeColor="text1"/>
          <w:szCs w:val="24"/>
        </w:rPr>
        <w:t>did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8069B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8069B">
        <w:rPr>
          <w:rFonts w:cs="Times New Roman"/>
          <w:color w:val="000000" w:themeColor="text1"/>
          <w:szCs w:val="24"/>
        </w:rPr>
        <w:t>evaluate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8069B">
        <w:rPr>
          <w:rFonts w:cs="Times New Roman"/>
          <w:color w:val="000000" w:themeColor="text1"/>
          <w:szCs w:val="24"/>
        </w:rPr>
        <w:t>hazards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8069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8069B">
        <w:rPr>
          <w:rFonts w:cs="Times New Roman"/>
          <w:color w:val="000000" w:themeColor="text1"/>
          <w:szCs w:val="24"/>
        </w:rPr>
        <w:t>exposures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8069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8069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8069B">
        <w:rPr>
          <w:rFonts w:cs="Times New Roman"/>
          <w:color w:val="000000" w:themeColor="text1"/>
          <w:szCs w:val="24"/>
        </w:rPr>
        <w:t>general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8069B">
        <w:rPr>
          <w:rFonts w:cs="Times New Roman"/>
          <w:color w:val="000000" w:themeColor="text1"/>
          <w:szCs w:val="24"/>
        </w:rPr>
        <w:t>population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41276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F1B07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92BAF">
        <w:rPr>
          <w:rFonts w:cs="Times New Roman"/>
          <w:color w:val="000000" w:themeColor="text1"/>
          <w:szCs w:val="24"/>
        </w:rPr>
        <w:t>unreasonable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92BAF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92BAF">
        <w:rPr>
          <w:rFonts w:cs="Times New Roman"/>
          <w:color w:val="000000" w:themeColor="text1"/>
          <w:szCs w:val="24"/>
        </w:rPr>
        <w:t>determinations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038B1">
        <w:rPr>
          <w:rFonts w:cs="Times New Roman"/>
          <w:color w:val="000000" w:themeColor="text1"/>
          <w:szCs w:val="24"/>
        </w:rPr>
        <w:t>made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038B1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038B1">
        <w:rPr>
          <w:rFonts w:cs="Times New Roman"/>
          <w:color w:val="000000" w:themeColor="text1"/>
          <w:szCs w:val="24"/>
        </w:rPr>
        <w:t>Part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038B1">
        <w:rPr>
          <w:rFonts w:cs="Times New Roman"/>
          <w:color w:val="000000" w:themeColor="text1"/>
          <w:szCs w:val="24"/>
        </w:rPr>
        <w:t>1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038B1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038B1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038B1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038B1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038B1">
        <w:rPr>
          <w:rFonts w:cs="Times New Roman"/>
          <w:color w:val="000000" w:themeColor="text1"/>
          <w:szCs w:val="24"/>
        </w:rPr>
        <w:t>evaluation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C05F6">
        <w:rPr>
          <w:rFonts w:cs="Times New Roman"/>
          <w:color w:val="000000" w:themeColor="text1"/>
          <w:szCs w:val="24"/>
        </w:rPr>
        <w:t>do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559E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C05F6">
        <w:rPr>
          <w:rFonts w:cs="Times New Roman"/>
          <w:color w:val="000000" w:themeColor="text1"/>
          <w:szCs w:val="24"/>
        </w:rPr>
        <w:t>account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C05F6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C05F6">
        <w:rPr>
          <w:rFonts w:cs="Times New Roman"/>
          <w:color w:val="000000" w:themeColor="text1"/>
          <w:szCs w:val="24"/>
        </w:rPr>
        <w:t>exposures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C05F6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C05F6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559E">
        <w:rPr>
          <w:rFonts w:cs="Times New Roman"/>
          <w:color w:val="000000" w:themeColor="text1"/>
          <w:szCs w:val="24"/>
        </w:rPr>
        <w:t>general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43237">
        <w:rPr>
          <w:rFonts w:cs="Times New Roman"/>
          <w:color w:val="000000" w:themeColor="text1"/>
          <w:szCs w:val="24"/>
        </w:rPr>
        <w:t>population</w:t>
      </w:r>
      <w:r w:rsidRPr="00C317BB" w:rsidR="00BC05F6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77FBA">
        <w:rPr>
          <w:rFonts w:cs="Times New Roman"/>
          <w:color w:val="000000" w:themeColor="text1"/>
          <w:szCs w:val="24"/>
        </w:rPr>
        <w:t>However</w:t>
      </w:r>
      <w:r w:rsidRPr="00C317BB" w:rsidR="00183F16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3716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3716">
        <w:rPr>
          <w:rFonts w:cs="Times New Roman"/>
          <w:color w:val="000000" w:themeColor="text1"/>
          <w:szCs w:val="24"/>
        </w:rPr>
        <w:t>expect</w:t>
      </w:r>
      <w:r w:rsidRPr="00C317BB" w:rsidR="00D46DD4">
        <w:rPr>
          <w:rFonts w:cs="Times New Roman"/>
          <w:color w:val="000000" w:themeColor="text1"/>
          <w:szCs w:val="24"/>
        </w:rPr>
        <w:t>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D7EE6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3716">
        <w:rPr>
          <w:rFonts w:cs="Times New Roman"/>
          <w:color w:val="000000" w:themeColor="text1"/>
          <w:szCs w:val="24"/>
        </w:rPr>
        <w:t>any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3716">
        <w:rPr>
          <w:rFonts w:cs="Times New Roman"/>
          <w:color w:val="000000" w:themeColor="text1"/>
          <w:szCs w:val="24"/>
        </w:rPr>
        <w:t>potential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3716">
        <w:rPr>
          <w:rFonts w:cs="Times New Roman"/>
          <w:color w:val="000000" w:themeColor="text1"/>
          <w:szCs w:val="24"/>
        </w:rPr>
        <w:t>exposure</w:t>
      </w:r>
      <w:r w:rsidRPr="00C317BB" w:rsidR="00CD7EE6">
        <w:rPr>
          <w:rFonts w:cs="Times New Roman"/>
          <w:color w:val="000000" w:themeColor="text1"/>
          <w:szCs w:val="24"/>
        </w:rPr>
        <w:t>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3716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37112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37112">
        <w:rPr>
          <w:rFonts w:cs="Times New Roman"/>
          <w:color w:val="000000" w:themeColor="text1"/>
          <w:szCs w:val="24"/>
        </w:rPr>
        <w:t>general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37112">
        <w:rPr>
          <w:rFonts w:cs="Times New Roman"/>
          <w:color w:val="000000" w:themeColor="text1"/>
          <w:szCs w:val="24"/>
        </w:rPr>
        <w:t>population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50208">
        <w:rPr>
          <w:rFonts w:cs="Times New Roman"/>
          <w:color w:val="000000" w:themeColor="text1"/>
          <w:szCs w:val="24"/>
        </w:rPr>
        <w:t>would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3620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D7EE6">
        <w:rPr>
          <w:rFonts w:cs="Times New Roman"/>
          <w:color w:val="000000" w:themeColor="text1"/>
          <w:szCs w:val="24"/>
        </w:rPr>
        <w:t>adequately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3620">
        <w:rPr>
          <w:rFonts w:cs="Times New Roman"/>
          <w:color w:val="000000" w:themeColor="text1"/>
          <w:szCs w:val="24"/>
        </w:rPr>
        <w:t>addressed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3620">
        <w:rPr>
          <w:rFonts w:cs="Times New Roman"/>
          <w:color w:val="000000" w:themeColor="text1"/>
          <w:szCs w:val="24"/>
        </w:rPr>
        <w:t>through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3620">
        <w:rPr>
          <w:rFonts w:cs="Times New Roman"/>
          <w:color w:val="000000" w:themeColor="text1"/>
          <w:szCs w:val="24"/>
        </w:rPr>
        <w:t>th</w:t>
      </w:r>
      <w:r w:rsidRPr="00C317BB" w:rsidR="00CD7EE6">
        <w:rPr>
          <w:rFonts w:cs="Times New Roman"/>
          <w:color w:val="000000" w:themeColor="text1"/>
          <w:szCs w:val="24"/>
        </w:rPr>
        <w:t>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20EA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20EA">
        <w:rPr>
          <w:rFonts w:cs="Times New Roman"/>
          <w:color w:val="000000" w:themeColor="text1"/>
          <w:szCs w:val="24"/>
        </w:rPr>
        <w:t>prohibition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20EA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3620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4B00">
        <w:rPr>
          <w:rFonts w:cs="Times New Roman"/>
          <w:color w:val="000000" w:themeColor="text1"/>
          <w:szCs w:val="24"/>
        </w:rPr>
        <w:t>manu</w:t>
      </w:r>
      <w:r w:rsidRPr="00C317BB" w:rsidR="007A54D5">
        <w:rPr>
          <w:rFonts w:cs="Times New Roman"/>
          <w:color w:val="000000" w:themeColor="text1"/>
          <w:szCs w:val="24"/>
        </w:rPr>
        <w:t>facture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A54D5">
        <w:rPr>
          <w:rFonts w:cs="Times New Roman"/>
          <w:color w:val="000000" w:themeColor="text1"/>
          <w:szCs w:val="24"/>
        </w:rPr>
        <w:t>(including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A54D5">
        <w:rPr>
          <w:rFonts w:cs="Times New Roman"/>
          <w:color w:val="000000" w:themeColor="text1"/>
          <w:szCs w:val="24"/>
        </w:rPr>
        <w:t>import),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A54D5">
        <w:rPr>
          <w:rFonts w:cs="Times New Roman"/>
          <w:color w:val="000000" w:themeColor="text1"/>
          <w:szCs w:val="24"/>
        </w:rPr>
        <w:t>processing</w:t>
      </w:r>
      <w:r w:rsidRPr="00C317BB" w:rsidR="00C80ADD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80ADD">
        <w:rPr>
          <w:rFonts w:cs="Times New Roman"/>
          <w:color w:val="000000" w:themeColor="text1"/>
          <w:szCs w:val="24"/>
        </w:rPr>
        <w:t>distribution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80ADD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80ADD">
        <w:rPr>
          <w:rFonts w:cs="Times New Roman"/>
          <w:color w:val="000000" w:themeColor="text1"/>
          <w:szCs w:val="24"/>
        </w:rPr>
        <w:t>commerce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80ADD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80ADD">
        <w:rPr>
          <w:rFonts w:cs="Times New Roman"/>
          <w:color w:val="000000" w:themeColor="text1"/>
          <w:szCs w:val="24"/>
        </w:rPr>
        <w:t>commercial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80ADD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80ADD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80ADD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80ADD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5C33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05C3">
        <w:rPr>
          <w:rFonts w:cs="Times New Roman"/>
          <w:color w:val="000000" w:themeColor="text1"/>
          <w:szCs w:val="24"/>
        </w:rPr>
        <w:t>address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05C3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05C3">
        <w:rPr>
          <w:rFonts w:cs="Times New Roman"/>
          <w:color w:val="000000" w:themeColor="text1"/>
          <w:szCs w:val="24"/>
        </w:rPr>
        <w:t>unreasonable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05C3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05C3">
        <w:rPr>
          <w:rFonts w:cs="Times New Roman"/>
          <w:color w:val="000000" w:themeColor="text1"/>
          <w:szCs w:val="24"/>
        </w:rPr>
        <w:t>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05C3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5C33">
        <w:rPr>
          <w:rFonts w:cs="Times New Roman"/>
          <w:color w:val="000000" w:themeColor="text1"/>
          <w:szCs w:val="24"/>
        </w:rPr>
        <w:t>worker</w:t>
      </w:r>
      <w:r w:rsidRPr="00C317BB" w:rsidR="00C205C3">
        <w:rPr>
          <w:rFonts w:cs="Times New Roman"/>
          <w:color w:val="000000" w:themeColor="text1"/>
          <w:szCs w:val="24"/>
        </w:rPr>
        <w:t>s</w:t>
      </w:r>
      <w:r w:rsidRPr="00C317BB" w:rsidR="00D45C33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5C33">
        <w:rPr>
          <w:rFonts w:cs="Times New Roman"/>
          <w:color w:val="000000" w:themeColor="text1"/>
          <w:szCs w:val="24"/>
        </w:rPr>
        <w:t>ONU</w:t>
      </w:r>
      <w:r w:rsidRPr="00C317BB" w:rsidR="00C205C3">
        <w:rPr>
          <w:rFonts w:cs="Times New Roman"/>
          <w:color w:val="000000" w:themeColor="text1"/>
          <w:szCs w:val="24"/>
        </w:rPr>
        <w:t>s</w:t>
      </w:r>
      <w:r w:rsidRPr="00C317BB" w:rsidR="00D45C33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5C33">
        <w:rPr>
          <w:rFonts w:cs="Times New Roman"/>
          <w:color w:val="000000" w:themeColor="text1"/>
          <w:szCs w:val="24"/>
        </w:rPr>
        <w:t>consumer</w:t>
      </w:r>
      <w:r w:rsidRPr="00C317BB" w:rsidR="00C205C3">
        <w:rPr>
          <w:rFonts w:cs="Times New Roman"/>
          <w:color w:val="000000" w:themeColor="text1"/>
          <w:szCs w:val="24"/>
        </w:rPr>
        <w:t>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5C33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5C33">
        <w:rPr>
          <w:rFonts w:cs="Times New Roman"/>
          <w:color w:val="000000" w:themeColor="text1"/>
          <w:szCs w:val="24"/>
        </w:rPr>
        <w:t>bystander</w:t>
      </w:r>
      <w:r w:rsidRPr="00C317BB" w:rsidR="00C205C3">
        <w:rPr>
          <w:rFonts w:cs="Times New Roman"/>
          <w:color w:val="000000" w:themeColor="text1"/>
          <w:szCs w:val="24"/>
        </w:rPr>
        <w:t>s</w:t>
      </w:r>
      <w:r w:rsidRPr="00C317BB" w:rsidR="00547956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E0207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E0207">
        <w:rPr>
          <w:rFonts w:cs="Times New Roman"/>
          <w:color w:val="000000" w:themeColor="text1"/>
          <w:szCs w:val="24"/>
        </w:rPr>
        <w:t>does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E0207">
        <w:rPr>
          <w:rFonts w:cs="Times New Roman"/>
          <w:color w:val="000000" w:themeColor="text1"/>
          <w:szCs w:val="24"/>
        </w:rPr>
        <w:t>plan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E0207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E0207">
        <w:rPr>
          <w:rFonts w:cs="Times New Roman"/>
          <w:color w:val="000000" w:themeColor="text1"/>
          <w:szCs w:val="24"/>
        </w:rPr>
        <w:t>address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E0207">
        <w:rPr>
          <w:rFonts w:cs="Times New Roman"/>
          <w:color w:val="000000" w:themeColor="text1"/>
          <w:szCs w:val="24"/>
        </w:rPr>
        <w:t>exposures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E0207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E0207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E0207">
        <w:rPr>
          <w:rFonts w:cs="Times New Roman"/>
          <w:color w:val="000000" w:themeColor="text1"/>
          <w:szCs w:val="24"/>
        </w:rPr>
        <w:t>general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E0207">
        <w:rPr>
          <w:rFonts w:cs="Times New Roman"/>
          <w:color w:val="000000" w:themeColor="text1"/>
          <w:szCs w:val="24"/>
        </w:rPr>
        <w:t>population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92DA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92DA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92DAB">
        <w:rPr>
          <w:rFonts w:cs="Times New Roman"/>
          <w:color w:val="000000" w:themeColor="text1"/>
          <w:szCs w:val="24"/>
        </w:rPr>
        <w:t>conditions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92DA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92DAB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92DAB">
        <w:rPr>
          <w:rFonts w:cs="Times New Roman"/>
          <w:color w:val="000000" w:themeColor="text1"/>
          <w:szCs w:val="24"/>
        </w:rPr>
        <w:t>evaluated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E0207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E0207">
        <w:rPr>
          <w:rFonts w:cs="Times New Roman"/>
          <w:color w:val="000000" w:themeColor="text1"/>
          <w:szCs w:val="24"/>
        </w:rPr>
        <w:t>Part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E0207">
        <w:rPr>
          <w:rFonts w:cs="Times New Roman"/>
          <w:color w:val="000000" w:themeColor="text1"/>
          <w:szCs w:val="24"/>
        </w:rPr>
        <w:t>2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E0207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E0207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E0207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E0207">
        <w:rPr>
          <w:rFonts w:cs="Times New Roman"/>
          <w:color w:val="000000" w:themeColor="text1"/>
          <w:szCs w:val="24"/>
        </w:rPr>
        <w:t>evaluation.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C0559E" w:rsidP="00F27167" w:rsidRDefault="00C0559E" w14:paraId="494311A9" w14:textId="55D285A5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also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3AEA">
        <w:rPr>
          <w:rFonts w:cs="Times New Roman"/>
          <w:color w:val="000000" w:themeColor="text1"/>
          <w:szCs w:val="24"/>
        </w:rPr>
        <w:t>concluded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Pr="00C317BB" w:rsidR="00A83AEA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3AEA">
        <w:rPr>
          <w:rFonts w:cs="Times New Roman"/>
          <w:color w:val="000000" w:themeColor="text1"/>
          <w:szCs w:val="24"/>
        </w:rPr>
        <w:t>based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3AEA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3AEA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3AEA">
        <w:rPr>
          <w:rFonts w:cs="Times New Roman"/>
          <w:color w:val="000000" w:themeColor="text1"/>
          <w:szCs w:val="24"/>
        </w:rPr>
        <w:t>reasonably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C40FD">
        <w:rPr>
          <w:rFonts w:cs="Times New Roman"/>
          <w:color w:val="000000" w:themeColor="text1"/>
          <w:szCs w:val="24"/>
        </w:rPr>
        <w:t>available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C40FD">
        <w:rPr>
          <w:rFonts w:cs="Times New Roman"/>
          <w:color w:val="000000" w:themeColor="text1"/>
          <w:szCs w:val="24"/>
        </w:rPr>
        <w:t>information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11E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11E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11EB">
        <w:rPr>
          <w:rFonts w:cs="Times New Roman"/>
          <w:color w:val="000000" w:themeColor="text1"/>
          <w:szCs w:val="24"/>
        </w:rPr>
        <w:t>published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11EB">
        <w:rPr>
          <w:rFonts w:cs="Times New Roman"/>
          <w:color w:val="000000" w:themeColor="text1"/>
          <w:szCs w:val="24"/>
        </w:rPr>
        <w:t>literature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11EB">
        <w:rPr>
          <w:rFonts w:cs="Times New Roman"/>
          <w:color w:val="000000" w:themeColor="text1"/>
          <w:szCs w:val="24"/>
        </w:rPr>
        <w:t>provided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11EB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11EB">
        <w:rPr>
          <w:rFonts w:cs="Times New Roman"/>
          <w:color w:val="000000" w:themeColor="text1"/>
          <w:szCs w:val="24"/>
        </w:rPr>
        <w:t>industries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11EB">
        <w:rPr>
          <w:rFonts w:cs="Times New Roman"/>
          <w:color w:val="000000" w:themeColor="text1"/>
          <w:szCs w:val="24"/>
        </w:rPr>
        <w:t>using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11EB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11E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11EB">
        <w:rPr>
          <w:rFonts w:cs="Times New Roman"/>
          <w:color w:val="000000" w:themeColor="text1"/>
          <w:szCs w:val="24"/>
        </w:rPr>
        <w:t>report</w:t>
      </w:r>
      <w:r w:rsidRPr="00C317BB" w:rsidR="00DB266E">
        <w:rPr>
          <w:rFonts w:cs="Times New Roman"/>
          <w:color w:val="000000" w:themeColor="text1"/>
          <w:szCs w:val="24"/>
        </w:rPr>
        <w:t>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B266E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11E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11EB">
        <w:rPr>
          <w:rFonts w:cs="Times New Roman"/>
          <w:color w:val="000000" w:themeColor="text1"/>
          <w:szCs w:val="24"/>
        </w:rPr>
        <w:t>databases,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11EB">
        <w:rPr>
          <w:rFonts w:cs="Times New Roman"/>
          <w:color w:val="000000" w:themeColor="text1"/>
          <w:szCs w:val="24"/>
        </w:rPr>
        <w:t>there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11EB">
        <w:rPr>
          <w:rFonts w:cs="Times New Roman"/>
          <w:color w:val="000000" w:themeColor="text1"/>
          <w:szCs w:val="24"/>
        </w:rPr>
        <w:t>were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11EB">
        <w:rPr>
          <w:rFonts w:cs="Times New Roman"/>
          <w:color w:val="000000" w:themeColor="text1"/>
          <w:szCs w:val="24"/>
        </w:rPr>
        <w:t>minimal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11EB">
        <w:rPr>
          <w:rFonts w:cs="Times New Roman"/>
          <w:color w:val="000000" w:themeColor="text1"/>
          <w:szCs w:val="24"/>
        </w:rPr>
        <w:t>o</w:t>
      </w:r>
      <w:r w:rsidRPr="00C317BB" w:rsidR="00BC543E">
        <w:rPr>
          <w:rFonts w:cs="Times New Roman"/>
          <w:color w:val="000000" w:themeColor="text1"/>
          <w:szCs w:val="24"/>
        </w:rPr>
        <w:t>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11EB">
        <w:rPr>
          <w:rFonts w:cs="Times New Roman"/>
          <w:color w:val="000000" w:themeColor="text1"/>
          <w:szCs w:val="24"/>
        </w:rPr>
        <w:t>no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11EB">
        <w:rPr>
          <w:rFonts w:cs="Times New Roman"/>
          <w:color w:val="000000" w:themeColor="text1"/>
          <w:szCs w:val="24"/>
        </w:rPr>
        <w:t>releases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11E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11EB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11E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11EB">
        <w:rPr>
          <w:rFonts w:cs="Times New Roman"/>
          <w:color w:val="000000" w:themeColor="text1"/>
          <w:szCs w:val="24"/>
        </w:rPr>
        <w:t>surface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11EB">
        <w:rPr>
          <w:rFonts w:cs="Times New Roman"/>
          <w:color w:val="000000" w:themeColor="text1"/>
          <w:szCs w:val="24"/>
        </w:rPr>
        <w:t>water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11EB">
        <w:rPr>
          <w:rFonts w:cs="Times New Roman"/>
          <w:color w:val="000000" w:themeColor="text1"/>
          <w:szCs w:val="24"/>
        </w:rPr>
        <w:t>associated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11EB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11E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95F26">
        <w:rPr>
          <w:rFonts w:cs="Times New Roman"/>
          <w:color w:val="000000" w:themeColor="text1"/>
          <w:szCs w:val="24"/>
        </w:rPr>
        <w:t>conditions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95F26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95F26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11E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11E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11EB">
        <w:rPr>
          <w:rFonts w:cs="Times New Roman"/>
          <w:color w:val="000000" w:themeColor="text1"/>
          <w:szCs w:val="24"/>
        </w:rPr>
        <w:t>evaluated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11E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11EB">
        <w:rPr>
          <w:rFonts w:cs="Times New Roman"/>
          <w:color w:val="000000" w:themeColor="text1"/>
          <w:szCs w:val="24"/>
        </w:rPr>
        <w:t>Part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11EB">
        <w:rPr>
          <w:rFonts w:cs="Times New Roman"/>
          <w:color w:val="000000" w:themeColor="text1"/>
          <w:szCs w:val="24"/>
        </w:rPr>
        <w:t>1.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6C25">
        <w:rPr>
          <w:rFonts w:cs="Times New Roman"/>
          <w:color w:val="000000" w:themeColor="text1"/>
          <w:szCs w:val="24"/>
        </w:rPr>
        <w:t>Ther</w:t>
      </w:r>
      <w:r w:rsidRPr="00C317BB" w:rsidR="00A642FF">
        <w:rPr>
          <w:rFonts w:cs="Times New Roman"/>
          <w:color w:val="000000" w:themeColor="text1"/>
          <w:szCs w:val="24"/>
        </w:rPr>
        <w:t>efore,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42FF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357A4">
        <w:rPr>
          <w:rFonts w:cs="Times New Roman"/>
          <w:color w:val="000000" w:themeColor="text1"/>
          <w:szCs w:val="24"/>
        </w:rPr>
        <w:t>concluded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357A4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5BBF">
        <w:rPr>
          <w:rFonts w:cs="Times New Roman"/>
          <w:color w:val="000000" w:themeColor="text1"/>
          <w:szCs w:val="24"/>
        </w:rPr>
        <w:t>there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5BBF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5BBF">
        <w:rPr>
          <w:rFonts w:cs="Times New Roman"/>
          <w:color w:val="000000" w:themeColor="text1"/>
          <w:szCs w:val="24"/>
        </w:rPr>
        <w:t>low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5BBF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5BBF">
        <w:rPr>
          <w:rFonts w:cs="Times New Roman"/>
          <w:color w:val="000000" w:themeColor="text1"/>
          <w:szCs w:val="24"/>
        </w:rPr>
        <w:t>no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5BBF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5BBF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5BBF">
        <w:rPr>
          <w:rFonts w:cs="Times New Roman"/>
          <w:color w:val="000000" w:themeColor="text1"/>
          <w:szCs w:val="24"/>
        </w:rPr>
        <w:t>aquatic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C543E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5BBF">
        <w:rPr>
          <w:rFonts w:cs="Times New Roman"/>
          <w:color w:val="000000" w:themeColor="text1"/>
          <w:szCs w:val="24"/>
        </w:rPr>
        <w:t>sediment-dwelling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C543E">
        <w:rPr>
          <w:rFonts w:cs="Times New Roman"/>
          <w:color w:val="000000" w:themeColor="text1"/>
          <w:szCs w:val="24"/>
        </w:rPr>
        <w:t>organisms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5BBF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7443A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0234D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17C45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17C45">
        <w:rPr>
          <w:rFonts w:cs="Times New Roman"/>
          <w:color w:val="000000" w:themeColor="text1"/>
          <w:szCs w:val="24"/>
        </w:rPr>
        <w:t>asbestos</w:t>
      </w:r>
      <w:r w:rsidRPr="00C317BB" w:rsidR="00BC543E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F64B5">
        <w:rPr>
          <w:rFonts w:cs="Times New Roman"/>
          <w:color w:val="000000" w:themeColor="text1"/>
          <w:szCs w:val="24"/>
        </w:rPr>
        <w:t>T</w:t>
      </w:r>
      <w:r w:rsidRPr="00C317BB" w:rsidR="00BC543E">
        <w:rPr>
          <w:rFonts w:cs="Times New Roman"/>
          <w:color w:val="000000" w:themeColor="text1"/>
          <w:szCs w:val="24"/>
        </w:rPr>
        <w:t>errestrial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C543E">
        <w:rPr>
          <w:rFonts w:cs="Times New Roman"/>
          <w:color w:val="000000" w:themeColor="text1"/>
          <w:szCs w:val="24"/>
        </w:rPr>
        <w:t>pathways,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C543E">
        <w:rPr>
          <w:rFonts w:cs="Times New Roman"/>
          <w:color w:val="000000" w:themeColor="text1"/>
          <w:szCs w:val="24"/>
        </w:rPr>
        <w:t>including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C543E">
        <w:rPr>
          <w:rFonts w:cs="Times New Roman"/>
          <w:color w:val="000000" w:themeColor="text1"/>
          <w:szCs w:val="24"/>
        </w:rPr>
        <w:t>biosolids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B28EF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B28EF">
        <w:rPr>
          <w:rFonts w:cs="Times New Roman"/>
          <w:color w:val="000000" w:themeColor="text1"/>
          <w:szCs w:val="24"/>
        </w:rPr>
        <w:t>wastewater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B28EF">
        <w:rPr>
          <w:rFonts w:cs="Times New Roman"/>
          <w:color w:val="000000" w:themeColor="text1"/>
          <w:szCs w:val="24"/>
        </w:rPr>
        <w:t>treatment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B28EF">
        <w:rPr>
          <w:rFonts w:cs="Times New Roman"/>
          <w:color w:val="000000" w:themeColor="text1"/>
          <w:szCs w:val="24"/>
        </w:rPr>
        <w:t>plants</w:t>
      </w:r>
      <w:r w:rsidRPr="00C317BB" w:rsidR="00BC543E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C543E">
        <w:rPr>
          <w:rFonts w:cs="Times New Roman"/>
          <w:color w:val="000000" w:themeColor="text1"/>
          <w:szCs w:val="24"/>
        </w:rPr>
        <w:t>were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C543E">
        <w:rPr>
          <w:rFonts w:cs="Times New Roman"/>
          <w:color w:val="000000" w:themeColor="text1"/>
          <w:szCs w:val="24"/>
        </w:rPr>
        <w:t>excluded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C543E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C543E">
        <w:rPr>
          <w:rFonts w:cs="Times New Roman"/>
          <w:color w:val="000000" w:themeColor="text1"/>
          <w:szCs w:val="24"/>
        </w:rPr>
        <w:t>analysis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C543E">
        <w:rPr>
          <w:rFonts w:cs="Times New Roman"/>
          <w:color w:val="000000" w:themeColor="text1"/>
          <w:szCs w:val="24"/>
        </w:rPr>
        <w:t>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C543E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C543E">
        <w:rPr>
          <w:rFonts w:cs="Times New Roman"/>
          <w:color w:val="000000" w:themeColor="text1"/>
          <w:szCs w:val="24"/>
        </w:rPr>
        <w:t>problem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47E2">
        <w:rPr>
          <w:rFonts w:cs="Times New Roman"/>
          <w:color w:val="000000" w:themeColor="text1"/>
          <w:szCs w:val="24"/>
        </w:rPr>
        <w:t>formulation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C543E">
        <w:rPr>
          <w:rFonts w:cs="Times New Roman"/>
          <w:color w:val="000000" w:themeColor="text1"/>
          <w:szCs w:val="24"/>
        </w:rPr>
        <w:t>stage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06C19">
        <w:rPr>
          <w:rFonts w:cs="Times New Roman"/>
          <w:color w:val="000000" w:themeColor="text1"/>
          <w:szCs w:val="24"/>
        </w:rPr>
        <w:t>(Ref</w:t>
      </w:r>
      <w:r w:rsidRPr="00C317BB" w:rsidR="001617C0">
        <w:rPr>
          <w:rFonts w:cs="Times New Roman"/>
          <w:color w:val="000000" w:themeColor="text1"/>
          <w:szCs w:val="24"/>
        </w:rPr>
        <w:t>s</w:t>
      </w:r>
      <w:r w:rsidRPr="00C317BB" w:rsidR="00906C19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617C0">
        <w:rPr>
          <w:rFonts w:cs="Times New Roman"/>
          <w:color w:val="000000" w:themeColor="text1"/>
          <w:szCs w:val="24"/>
        </w:rPr>
        <w:t>1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12BE9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617C0">
        <w:rPr>
          <w:rFonts w:cs="Times New Roman"/>
          <w:color w:val="000000" w:themeColor="text1"/>
          <w:szCs w:val="24"/>
        </w:rPr>
        <w:t>6</w:t>
      </w:r>
      <w:r w:rsidRPr="00C317BB" w:rsidR="00906C19">
        <w:rPr>
          <w:rFonts w:cs="Times New Roman"/>
          <w:color w:val="000000" w:themeColor="text1"/>
          <w:szCs w:val="24"/>
        </w:rPr>
        <w:t>)</w:t>
      </w:r>
      <w:r w:rsidRPr="00C317BB" w:rsidR="00387E28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87E28">
        <w:rPr>
          <w:rFonts w:cs="Times New Roman"/>
          <w:color w:val="000000" w:themeColor="text1"/>
          <w:szCs w:val="24"/>
        </w:rPr>
        <w:t>However,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87E28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87E28">
        <w:rPr>
          <w:rFonts w:cs="Times New Roman"/>
          <w:color w:val="000000" w:themeColor="text1"/>
          <w:szCs w:val="24"/>
        </w:rPr>
        <w:t>expects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87E28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87E28">
        <w:rPr>
          <w:rFonts w:cs="Times New Roman"/>
          <w:color w:val="000000" w:themeColor="text1"/>
          <w:szCs w:val="24"/>
        </w:rPr>
        <w:t>any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87E28">
        <w:rPr>
          <w:rFonts w:cs="Times New Roman"/>
          <w:color w:val="000000" w:themeColor="text1"/>
          <w:szCs w:val="24"/>
        </w:rPr>
        <w:t>potential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87E28">
        <w:rPr>
          <w:rFonts w:cs="Times New Roman"/>
          <w:color w:val="000000" w:themeColor="text1"/>
          <w:szCs w:val="24"/>
        </w:rPr>
        <w:t>exposures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47E2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47E2">
        <w:rPr>
          <w:rFonts w:cs="Times New Roman"/>
          <w:color w:val="000000" w:themeColor="text1"/>
          <w:szCs w:val="24"/>
        </w:rPr>
        <w:t>terrestrial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47E2">
        <w:rPr>
          <w:rFonts w:cs="Times New Roman"/>
          <w:color w:val="000000" w:themeColor="text1"/>
          <w:szCs w:val="24"/>
        </w:rPr>
        <w:t>species</w:t>
      </w:r>
      <w:r w:rsidRPr="00C317BB" w:rsidR="00387E28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87E28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87E28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87E28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87E28">
        <w:rPr>
          <w:rFonts w:cs="Times New Roman"/>
          <w:color w:val="000000" w:themeColor="text1"/>
          <w:szCs w:val="24"/>
        </w:rPr>
        <w:t>general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87E28">
        <w:rPr>
          <w:rFonts w:cs="Times New Roman"/>
          <w:color w:val="000000" w:themeColor="text1"/>
          <w:szCs w:val="24"/>
        </w:rPr>
        <w:t>population</w:t>
      </w:r>
      <w:r w:rsidRPr="00C317BB" w:rsidR="004B47E2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87E28">
        <w:rPr>
          <w:rFonts w:cs="Times New Roman"/>
          <w:color w:val="000000" w:themeColor="text1"/>
          <w:szCs w:val="24"/>
        </w:rPr>
        <w:t>would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87E28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87E28">
        <w:rPr>
          <w:rFonts w:cs="Times New Roman"/>
          <w:color w:val="000000" w:themeColor="text1"/>
          <w:szCs w:val="24"/>
        </w:rPr>
        <w:t>adequately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87E28">
        <w:rPr>
          <w:rFonts w:cs="Times New Roman"/>
          <w:color w:val="000000" w:themeColor="text1"/>
          <w:szCs w:val="24"/>
        </w:rPr>
        <w:t>addressed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87E28">
        <w:rPr>
          <w:rFonts w:cs="Times New Roman"/>
          <w:color w:val="000000" w:themeColor="text1"/>
          <w:szCs w:val="24"/>
        </w:rPr>
        <w:t>through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87E28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87E28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87E28">
        <w:rPr>
          <w:rFonts w:cs="Times New Roman"/>
          <w:color w:val="000000" w:themeColor="text1"/>
          <w:szCs w:val="24"/>
        </w:rPr>
        <w:t>prohibition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87E28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87E28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87E28">
        <w:rPr>
          <w:rFonts w:cs="Times New Roman"/>
          <w:color w:val="000000" w:themeColor="text1"/>
          <w:szCs w:val="24"/>
        </w:rPr>
        <w:t>manufacture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87E28">
        <w:rPr>
          <w:rFonts w:cs="Times New Roman"/>
          <w:color w:val="000000" w:themeColor="text1"/>
          <w:szCs w:val="24"/>
        </w:rPr>
        <w:t>(including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87E28">
        <w:rPr>
          <w:rFonts w:cs="Times New Roman"/>
          <w:color w:val="000000" w:themeColor="text1"/>
          <w:szCs w:val="24"/>
        </w:rPr>
        <w:t>import),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87E28">
        <w:rPr>
          <w:rFonts w:cs="Times New Roman"/>
          <w:color w:val="000000" w:themeColor="text1"/>
          <w:szCs w:val="24"/>
        </w:rPr>
        <w:t>processing,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87E28">
        <w:rPr>
          <w:rFonts w:cs="Times New Roman"/>
          <w:color w:val="000000" w:themeColor="text1"/>
          <w:szCs w:val="24"/>
        </w:rPr>
        <w:t>distribution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87E28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87E28">
        <w:rPr>
          <w:rFonts w:cs="Times New Roman"/>
          <w:color w:val="000000" w:themeColor="text1"/>
          <w:szCs w:val="24"/>
        </w:rPr>
        <w:t>commerce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87E28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87E28">
        <w:rPr>
          <w:rFonts w:cs="Times New Roman"/>
          <w:color w:val="000000" w:themeColor="text1"/>
          <w:szCs w:val="24"/>
        </w:rPr>
        <w:t>commercial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87E28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87E28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87E28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87E28">
        <w:rPr>
          <w:rFonts w:cs="Times New Roman"/>
          <w:color w:val="000000" w:themeColor="text1"/>
          <w:szCs w:val="24"/>
        </w:rPr>
        <w:t>asbestos</w:t>
      </w:r>
      <w:r w:rsidRPr="00C317BB" w:rsidR="004B47E2">
        <w:rPr>
          <w:rFonts w:cs="Times New Roman"/>
          <w:color w:val="000000" w:themeColor="text1"/>
          <w:szCs w:val="24"/>
        </w:rPr>
        <w:t>.</w:t>
      </w:r>
    </w:p>
    <w:p w:rsidRPr="00C317BB" w:rsidR="00F94835" w:rsidP="00F27167" w:rsidRDefault="00ED466E" w14:paraId="1E89B336" w14:textId="533C5816">
      <w:pPr>
        <w:pStyle w:val="Heading1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III</w:t>
      </w:r>
      <w:r w:rsidRPr="00C317BB" w:rsidR="00F94835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94835">
        <w:rPr>
          <w:rFonts w:cs="Times New Roman"/>
          <w:color w:val="000000" w:themeColor="text1"/>
          <w:szCs w:val="24"/>
        </w:rPr>
        <w:t>Regulatory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94835">
        <w:rPr>
          <w:rFonts w:cs="Times New Roman"/>
          <w:color w:val="000000" w:themeColor="text1"/>
          <w:szCs w:val="24"/>
        </w:rPr>
        <w:t>Approach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8C1C0B" w:rsidP="00F27167" w:rsidRDefault="00F12A56" w14:paraId="10D384D8" w14:textId="563799C3">
      <w:pPr>
        <w:pStyle w:val="Heading2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A.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533D7">
        <w:rPr>
          <w:rFonts w:cs="Times New Roman"/>
          <w:color w:val="000000" w:themeColor="text1"/>
          <w:szCs w:val="24"/>
        </w:rPr>
        <w:t>Background</w:t>
      </w:r>
    </w:p>
    <w:p w:rsidRPr="00C317BB" w:rsidR="005F18CE" w:rsidP="00F27167" w:rsidRDefault="005F18CE" w14:paraId="502A8952" w14:textId="5FDACB41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6DC9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F432D">
        <w:rPr>
          <w:rFonts w:cs="Times New Roman"/>
          <w:color w:val="000000" w:themeColor="text1"/>
          <w:szCs w:val="24"/>
        </w:rPr>
        <w:t>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6(a),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Administrator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determines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30DB4">
        <w:rPr>
          <w:rFonts w:cs="Times New Roman"/>
          <w:color w:val="000000" w:themeColor="text1"/>
          <w:szCs w:val="24"/>
        </w:rPr>
        <w:t>through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30DB4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30DB4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30DB4">
        <w:rPr>
          <w:rFonts w:cs="Times New Roman"/>
          <w:color w:val="000000" w:themeColor="text1"/>
          <w:szCs w:val="24"/>
        </w:rPr>
        <w:t>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30DB4">
        <w:rPr>
          <w:rFonts w:cs="Times New Roman"/>
          <w:color w:val="000000" w:themeColor="text1"/>
          <w:szCs w:val="24"/>
        </w:rPr>
        <w:t>6(b)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30DB4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30DB4">
        <w:rPr>
          <w:rFonts w:cs="Times New Roman"/>
          <w:color w:val="000000" w:themeColor="text1"/>
          <w:szCs w:val="24"/>
        </w:rPr>
        <w:t>evaluation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chemical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6DC9">
        <w:rPr>
          <w:rFonts w:cs="Times New Roman"/>
          <w:color w:val="000000" w:themeColor="text1"/>
          <w:szCs w:val="24"/>
        </w:rPr>
        <w:t>s</w:t>
      </w:r>
      <w:r w:rsidRPr="00C317BB">
        <w:rPr>
          <w:rFonts w:cs="Times New Roman"/>
          <w:color w:val="000000" w:themeColor="text1"/>
          <w:szCs w:val="24"/>
        </w:rPr>
        <w:t>ubstance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presents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unreasonable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injury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health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environment,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without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consideration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costs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non</w:t>
      </w:r>
      <w:r w:rsidRPr="00C317BB" w:rsidR="7FAF3640">
        <w:rPr>
          <w:rFonts w:cs="Times New Roman"/>
          <w:color w:val="000000" w:themeColor="text1"/>
          <w:szCs w:val="24"/>
        </w:rPr>
        <w:t>-</w:t>
      </w:r>
      <w:r w:rsidRPr="00C317BB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factors,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including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unreasonable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potentially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susceptible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subpopulation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identified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relevant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Agency’s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evaluation,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conditions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must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rule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apply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more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requirements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extent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necessary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chemical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substance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longer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presents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such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risk.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5F18CE" w:rsidP="00F27167" w:rsidRDefault="005F18CE" w14:paraId="11767240" w14:textId="2578FB28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7EB9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F432D">
        <w:rPr>
          <w:rFonts w:cs="Times New Roman"/>
          <w:color w:val="000000" w:themeColor="text1"/>
          <w:szCs w:val="24"/>
        </w:rPr>
        <w:t>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6(a)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requirements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include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more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following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actions: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5F18CE" w:rsidP="00F27167" w:rsidRDefault="005F18CE" w14:paraId="0A8499FC" w14:textId="2D47E9C6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•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Prohibit</w:t>
      </w:r>
      <w:r w:rsidRPr="00C317BB" w:rsidR="00A46E54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46E54">
        <w:rPr>
          <w:rFonts w:cs="Times New Roman"/>
          <w:color w:val="000000" w:themeColor="text1"/>
          <w:szCs w:val="24"/>
        </w:rPr>
        <w:t>limit</w:t>
      </w:r>
      <w:r w:rsidRPr="00C317BB" w:rsidR="00360840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otherwise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restrict</w:t>
      </w:r>
      <w:r w:rsidRPr="00C317BB" w:rsidR="00C14A70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manufacturing,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processing,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distribution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commerce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D2E9A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substance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D2E9A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D2E9A">
        <w:rPr>
          <w:rFonts w:cs="Times New Roman"/>
          <w:color w:val="000000" w:themeColor="text1"/>
          <w:szCs w:val="24"/>
        </w:rPr>
        <w:t>mixture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(</w:t>
      </w:r>
      <w:r w:rsidRPr="00C317BB" w:rsidR="009F432D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F432D">
        <w:rPr>
          <w:rFonts w:cs="Times New Roman"/>
          <w:color w:val="000000" w:themeColor="text1"/>
          <w:szCs w:val="24"/>
        </w:rPr>
        <w:t>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6(a)(1)).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C14A70" w:rsidP="00F27167" w:rsidRDefault="005F18CE" w14:paraId="6761C301" w14:textId="0614BEC1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•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Prohibit</w:t>
      </w:r>
      <w:r w:rsidRPr="00C317BB" w:rsidR="00A46E54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46E54">
        <w:rPr>
          <w:rFonts w:cs="Times New Roman"/>
          <w:color w:val="000000" w:themeColor="text1"/>
          <w:szCs w:val="24"/>
        </w:rPr>
        <w:t>limit</w:t>
      </w:r>
      <w:r w:rsidRPr="00C317BB" w:rsidR="00360840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otherwise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restrict</w:t>
      </w:r>
      <w:r w:rsidRPr="00C317BB" w:rsidR="00C14A70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14A70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manufacturing,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processing,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distribution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commerce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D2E9A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substance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D2E9A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D2E9A">
        <w:rPr>
          <w:rFonts w:cs="Times New Roman"/>
          <w:color w:val="000000" w:themeColor="text1"/>
          <w:szCs w:val="24"/>
        </w:rPr>
        <w:t>mixture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particular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14A70">
        <w:rPr>
          <w:rFonts w:cs="Times New Roman"/>
          <w:color w:val="000000" w:themeColor="text1"/>
          <w:szCs w:val="24"/>
        </w:rPr>
        <w:t>above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14A70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specifi</w:t>
      </w:r>
      <w:r w:rsidRPr="00C317BB" w:rsidR="00C14A70">
        <w:rPr>
          <w:rFonts w:cs="Times New Roman"/>
          <w:color w:val="000000" w:themeColor="text1"/>
          <w:szCs w:val="24"/>
        </w:rPr>
        <w:t>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concentration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14A70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14A70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14A70">
        <w:rPr>
          <w:rFonts w:cs="Times New Roman"/>
          <w:color w:val="000000" w:themeColor="text1"/>
          <w:szCs w:val="24"/>
        </w:rPr>
        <w:t>particular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14A70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(</w:t>
      </w:r>
      <w:r w:rsidRPr="00C317BB" w:rsidR="009F432D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F432D">
        <w:rPr>
          <w:rFonts w:cs="Times New Roman"/>
          <w:color w:val="000000" w:themeColor="text1"/>
          <w:szCs w:val="24"/>
        </w:rPr>
        <w:t>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6(a)(2)).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5F18CE" w:rsidP="00F27167" w:rsidRDefault="005F18CE" w14:paraId="33E60C67" w14:textId="2582FB53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•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Require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D2E9A">
        <w:rPr>
          <w:rFonts w:cs="Times New Roman"/>
          <w:color w:val="000000" w:themeColor="text1"/>
          <w:szCs w:val="24"/>
        </w:rPr>
        <w:t>clear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D2E9A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14A70">
        <w:rPr>
          <w:rFonts w:cs="Times New Roman"/>
          <w:color w:val="000000" w:themeColor="text1"/>
          <w:szCs w:val="24"/>
        </w:rPr>
        <w:t>adequate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minimum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warning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instructions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14A70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14A70">
        <w:rPr>
          <w:rFonts w:cs="Times New Roman"/>
          <w:color w:val="000000" w:themeColor="text1"/>
          <w:szCs w:val="24"/>
        </w:rPr>
        <w:t>respect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14A70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14A70">
        <w:rPr>
          <w:rFonts w:cs="Times New Roman"/>
          <w:color w:val="000000" w:themeColor="text1"/>
          <w:szCs w:val="24"/>
        </w:rPr>
        <w:t>use,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14A70">
        <w:rPr>
          <w:rFonts w:cs="Times New Roman"/>
          <w:color w:val="000000" w:themeColor="text1"/>
          <w:szCs w:val="24"/>
        </w:rPr>
        <w:t>distribution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14A70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14A70">
        <w:rPr>
          <w:rFonts w:cs="Times New Roman"/>
          <w:color w:val="000000" w:themeColor="text1"/>
          <w:szCs w:val="24"/>
        </w:rPr>
        <w:t>commerce,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14A70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14A70">
        <w:rPr>
          <w:rFonts w:cs="Times New Roman"/>
          <w:color w:val="000000" w:themeColor="text1"/>
          <w:szCs w:val="24"/>
        </w:rPr>
        <w:t>disposal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D2E9A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D2E9A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D2E9A">
        <w:rPr>
          <w:rFonts w:cs="Times New Roman"/>
          <w:color w:val="000000" w:themeColor="text1"/>
          <w:szCs w:val="24"/>
        </w:rPr>
        <w:t>substance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D2E9A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D2E9A">
        <w:rPr>
          <w:rFonts w:cs="Times New Roman"/>
          <w:color w:val="000000" w:themeColor="text1"/>
          <w:szCs w:val="24"/>
        </w:rPr>
        <w:t>mixture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(</w:t>
      </w:r>
      <w:r w:rsidRPr="00C317BB" w:rsidR="009F432D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F432D">
        <w:rPr>
          <w:rFonts w:cs="Times New Roman"/>
          <w:color w:val="000000" w:themeColor="text1"/>
          <w:szCs w:val="24"/>
        </w:rPr>
        <w:t>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6(a)(3)).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5F18CE" w:rsidP="00F27167" w:rsidRDefault="005F18CE" w14:paraId="581C6C25" w14:textId="5B280CE3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•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Require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record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keeping</w:t>
      </w:r>
      <w:r w:rsidRPr="00C317BB" w:rsidR="00C14A70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14A70">
        <w:rPr>
          <w:rFonts w:cs="Times New Roman"/>
          <w:color w:val="000000" w:themeColor="text1"/>
          <w:szCs w:val="24"/>
        </w:rPr>
        <w:t>monitoring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testing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14A70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14A70">
        <w:rPr>
          <w:rFonts w:cs="Times New Roman"/>
          <w:color w:val="000000" w:themeColor="text1"/>
          <w:szCs w:val="24"/>
        </w:rPr>
        <w:t>manufacturers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14A70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14A70">
        <w:rPr>
          <w:rFonts w:cs="Times New Roman"/>
          <w:color w:val="000000" w:themeColor="text1"/>
          <w:szCs w:val="24"/>
        </w:rPr>
        <w:t>processors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(</w:t>
      </w:r>
      <w:r w:rsidRPr="00C317BB" w:rsidR="009F432D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6(a)(4)).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5F18CE" w:rsidP="00F27167" w:rsidRDefault="005F18CE" w14:paraId="76411B5A" w14:textId="18671EB1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•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Prohibit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regulate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manner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method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commercial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D2E9A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D2E9A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D2E9A">
        <w:rPr>
          <w:rFonts w:cs="Times New Roman"/>
          <w:color w:val="000000" w:themeColor="text1"/>
          <w:szCs w:val="24"/>
        </w:rPr>
        <w:t>substance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D2E9A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D2E9A">
        <w:rPr>
          <w:rFonts w:cs="Times New Roman"/>
          <w:color w:val="000000" w:themeColor="text1"/>
          <w:szCs w:val="24"/>
        </w:rPr>
        <w:t>mixture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(</w:t>
      </w:r>
      <w:r w:rsidRPr="00C317BB" w:rsidR="009F432D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F432D">
        <w:rPr>
          <w:rFonts w:cs="Times New Roman"/>
          <w:color w:val="000000" w:themeColor="text1"/>
          <w:szCs w:val="24"/>
        </w:rPr>
        <w:t>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6(a)(5)).</w:t>
      </w:r>
    </w:p>
    <w:p w:rsidRPr="00C317BB" w:rsidR="005F18CE" w:rsidP="00F27167" w:rsidRDefault="005F18CE" w14:paraId="71099C3C" w14:textId="5263B53A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•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Prohibit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otherwise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regulate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manner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method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disposal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D2E9A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D2E9A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D2E9A">
        <w:rPr>
          <w:rFonts w:cs="Times New Roman"/>
          <w:color w:val="000000" w:themeColor="text1"/>
          <w:szCs w:val="24"/>
        </w:rPr>
        <w:t>substance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D2E9A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D2E9A">
        <w:rPr>
          <w:rFonts w:cs="Times New Roman"/>
          <w:color w:val="000000" w:themeColor="text1"/>
          <w:szCs w:val="24"/>
        </w:rPr>
        <w:t>mixture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4282EA89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4282EA89">
        <w:rPr>
          <w:rFonts w:cs="Times New Roman"/>
          <w:color w:val="000000" w:themeColor="text1"/>
          <w:szCs w:val="24"/>
        </w:rPr>
        <w:t>certain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4282EA89">
        <w:rPr>
          <w:rFonts w:cs="Times New Roman"/>
          <w:color w:val="000000" w:themeColor="text1"/>
          <w:szCs w:val="24"/>
        </w:rPr>
        <w:t>persons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(</w:t>
      </w:r>
      <w:r w:rsidRPr="00C317BB" w:rsidR="009F432D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F432D">
        <w:rPr>
          <w:rFonts w:cs="Times New Roman"/>
          <w:color w:val="000000" w:themeColor="text1"/>
          <w:szCs w:val="24"/>
        </w:rPr>
        <w:t>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6(a)(6)).</w:t>
      </w:r>
    </w:p>
    <w:p w:rsidRPr="00C317BB" w:rsidR="005F18CE" w:rsidP="00F27167" w:rsidRDefault="005F18CE" w14:paraId="5A11E9B1" w14:textId="2CF0588D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•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Direct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manufacturers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D2E9A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processors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give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notice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determination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14A70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525C1">
        <w:rPr>
          <w:rFonts w:cs="Times New Roman"/>
          <w:color w:val="000000" w:themeColor="text1"/>
          <w:szCs w:val="24"/>
        </w:rPr>
        <w:t>unreasonable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14A70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distributors</w:t>
      </w:r>
      <w:r w:rsidRPr="00C317BB" w:rsidR="00B06BDC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14A70">
        <w:rPr>
          <w:rFonts w:cs="Times New Roman"/>
          <w:color w:val="000000" w:themeColor="text1"/>
          <w:szCs w:val="24"/>
        </w:rPr>
        <w:t>users</w:t>
      </w:r>
      <w:r w:rsidRPr="00C317BB" w:rsidR="00B06BDC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06BDC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06BDC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06BDC">
        <w:rPr>
          <w:rFonts w:cs="Times New Roman"/>
          <w:color w:val="000000" w:themeColor="text1"/>
          <w:szCs w:val="24"/>
        </w:rPr>
        <w:t>public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replace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repurchase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D2E9A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substance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D2E9A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D2E9A">
        <w:rPr>
          <w:rFonts w:cs="Times New Roman"/>
          <w:color w:val="000000" w:themeColor="text1"/>
          <w:szCs w:val="24"/>
        </w:rPr>
        <w:t>mixture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(</w:t>
      </w:r>
      <w:r w:rsidRPr="00C317BB" w:rsidR="009F432D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F432D">
        <w:rPr>
          <w:rFonts w:cs="Times New Roman"/>
          <w:color w:val="000000" w:themeColor="text1"/>
          <w:szCs w:val="24"/>
        </w:rPr>
        <w:t>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6(a)(7)).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415942" w:rsidP="00F27167" w:rsidRDefault="00415942" w14:paraId="5B5355DE" w14:textId="5F575EC4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described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III.</w:t>
      </w:r>
      <w:r w:rsidRPr="00C317BB" w:rsidR="00B85E91">
        <w:rPr>
          <w:rFonts w:cs="Times New Roman"/>
          <w:color w:val="000000" w:themeColor="text1"/>
          <w:szCs w:val="24"/>
        </w:rPr>
        <w:t>B</w:t>
      </w:r>
      <w:r w:rsidRPr="00C317BB" w:rsidR="00927689">
        <w:rPr>
          <w:rFonts w:cs="Times New Roman"/>
          <w:color w:val="000000" w:themeColor="text1"/>
          <w:szCs w:val="24"/>
        </w:rPr>
        <w:t>.</w:t>
      </w:r>
      <w:r w:rsidRPr="00C317BB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F18CE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F18CE">
        <w:rPr>
          <w:rFonts w:cs="Times New Roman"/>
          <w:color w:val="000000" w:themeColor="text1"/>
          <w:szCs w:val="24"/>
        </w:rPr>
        <w:t>analyzed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how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7EB9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F432D">
        <w:rPr>
          <w:rFonts w:cs="Times New Roman"/>
          <w:color w:val="000000" w:themeColor="text1"/>
          <w:szCs w:val="24"/>
        </w:rPr>
        <w:t>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F18CE">
        <w:rPr>
          <w:rFonts w:cs="Times New Roman"/>
          <w:color w:val="000000" w:themeColor="text1"/>
          <w:szCs w:val="24"/>
        </w:rPr>
        <w:t>6(a)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requirements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applied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C1FA5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47FB6">
        <w:rPr>
          <w:rFonts w:cs="Times New Roman"/>
          <w:color w:val="000000" w:themeColor="text1"/>
          <w:szCs w:val="24"/>
        </w:rPr>
        <w:t>unreasonable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47FB6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8281D">
        <w:rPr>
          <w:rFonts w:cs="Times New Roman"/>
          <w:color w:val="000000" w:themeColor="text1"/>
          <w:szCs w:val="24"/>
        </w:rPr>
        <w:t>found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8281D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8281D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8281D">
        <w:rPr>
          <w:rFonts w:cs="Times New Roman"/>
          <w:color w:val="000000" w:themeColor="text1"/>
          <w:szCs w:val="24"/>
        </w:rPr>
        <w:t>presented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8281D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C1FA5">
        <w:rPr>
          <w:rFonts w:cs="Times New Roman"/>
          <w:color w:val="000000" w:themeColor="text1"/>
          <w:szCs w:val="24"/>
        </w:rPr>
        <w:t>Part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C1FA5">
        <w:rPr>
          <w:rFonts w:cs="Times New Roman"/>
          <w:color w:val="000000" w:themeColor="text1"/>
          <w:szCs w:val="24"/>
        </w:rPr>
        <w:t>1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2A66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2A66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2A66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2A66">
        <w:rPr>
          <w:rFonts w:cs="Times New Roman"/>
          <w:color w:val="000000" w:themeColor="text1"/>
          <w:szCs w:val="24"/>
        </w:rPr>
        <w:t>evaluation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C1FA5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16EB6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16EB6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8281D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longer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present</w:t>
      </w:r>
      <w:r w:rsidRPr="00C317BB" w:rsidR="003802DD">
        <w:rPr>
          <w:rFonts w:cs="Times New Roman"/>
          <w:color w:val="000000" w:themeColor="text1"/>
          <w:szCs w:val="24"/>
        </w:rPr>
        <w:t>ed</w:t>
      </w:r>
      <w:r w:rsidRPr="00C317BB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90591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F432D">
        <w:rPr>
          <w:rFonts w:cs="Times New Roman"/>
          <w:color w:val="000000" w:themeColor="text1"/>
          <w:szCs w:val="24"/>
        </w:rPr>
        <w:t>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95CFA">
        <w:rPr>
          <w:rFonts w:cs="Times New Roman"/>
          <w:color w:val="000000" w:themeColor="text1"/>
          <w:szCs w:val="24"/>
        </w:rPr>
        <w:t>6(c)(2)(A</w:t>
      </w:r>
      <w:r w:rsidRPr="00C317BB" w:rsidR="009210DB">
        <w:rPr>
          <w:rFonts w:cs="Times New Roman"/>
          <w:color w:val="000000" w:themeColor="text1"/>
          <w:szCs w:val="24"/>
        </w:rPr>
        <w:t>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210DB">
        <w:rPr>
          <w:rFonts w:cs="Times New Roman"/>
          <w:color w:val="000000" w:themeColor="text1"/>
          <w:szCs w:val="24"/>
        </w:rPr>
        <w:t>requires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210DB">
        <w:rPr>
          <w:rFonts w:cs="Times New Roman"/>
          <w:color w:val="000000" w:themeColor="text1"/>
          <w:szCs w:val="24"/>
        </w:rPr>
        <w:t>EPA,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210D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210DB">
        <w:rPr>
          <w:rFonts w:cs="Times New Roman"/>
          <w:color w:val="000000" w:themeColor="text1"/>
          <w:szCs w:val="24"/>
        </w:rPr>
        <w:t>proposing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210D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210DB">
        <w:rPr>
          <w:rFonts w:cs="Times New Roman"/>
          <w:color w:val="000000" w:themeColor="text1"/>
          <w:szCs w:val="24"/>
        </w:rPr>
        <w:t>promulgating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F432D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F432D">
        <w:rPr>
          <w:rFonts w:cs="Times New Roman"/>
          <w:color w:val="000000" w:themeColor="text1"/>
          <w:szCs w:val="24"/>
        </w:rPr>
        <w:t>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210DB">
        <w:rPr>
          <w:rFonts w:cs="Times New Roman"/>
          <w:color w:val="000000" w:themeColor="text1"/>
          <w:szCs w:val="24"/>
        </w:rPr>
        <w:t>6(a)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210DB">
        <w:rPr>
          <w:rFonts w:cs="Times New Roman"/>
          <w:color w:val="000000" w:themeColor="text1"/>
          <w:szCs w:val="24"/>
        </w:rPr>
        <w:t>rules,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210D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210DB">
        <w:rPr>
          <w:rFonts w:cs="Times New Roman"/>
          <w:color w:val="000000" w:themeColor="text1"/>
          <w:szCs w:val="24"/>
        </w:rPr>
        <w:t>include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210D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3A1F">
        <w:rPr>
          <w:rFonts w:cs="Times New Roman"/>
          <w:color w:val="000000" w:themeColor="text1"/>
          <w:szCs w:val="24"/>
        </w:rPr>
        <w:t>statement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3A1F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3A1F">
        <w:rPr>
          <w:rFonts w:cs="Times New Roman"/>
          <w:color w:val="000000" w:themeColor="text1"/>
          <w:szCs w:val="24"/>
        </w:rPr>
        <w:t>effects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3A1F">
        <w:rPr>
          <w:rFonts w:cs="Times New Roman"/>
          <w:color w:val="000000" w:themeColor="text1"/>
          <w:szCs w:val="24"/>
        </w:rPr>
        <w:t>addressing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3A1F">
        <w:rPr>
          <w:rFonts w:cs="Times New Roman"/>
          <w:color w:val="000000" w:themeColor="text1"/>
          <w:szCs w:val="24"/>
        </w:rPr>
        <w:t>certain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3A1F">
        <w:rPr>
          <w:rFonts w:cs="Times New Roman"/>
          <w:color w:val="000000" w:themeColor="text1"/>
          <w:szCs w:val="24"/>
        </w:rPr>
        <w:t>issues,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3A1F">
        <w:rPr>
          <w:rFonts w:cs="Times New Roman"/>
          <w:color w:val="000000" w:themeColor="text1"/>
          <w:szCs w:val="24"/>
        </w:rPr>
        <w:t>including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3A1F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3A1F">
        <w:rPr>
          <w:rFonts w:cs="Times New Roman"/>
          <w:color w:val="000000" w:themeColor="text1"/>
          <w:szCs w:val="24"/>
        </w:rPr>
        <w:t>effects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3A1F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3A1F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3A1F">
        <w:rPr>
          <w:rFonts w:cs="Times New Roman"/>
          <w:color w:val="000000" w:themeColor="text1"/>
          <w:szCs w:val="24"/>
        </w:rPr>
        <w:t>chemical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3A1F">
        <w:rPr>
          <w:rFonts w:cs="Times New Roman"/>
          <w:color w:val="000000" w:themeColor="text1"/>
          <w:szCs w:val="24"/>
        </w:rPr>
        <w:t>substance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3A1F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3A1F">
        <w:rPr>
          <w:rFonts w:cs="Times New Roman"/>
          <w:color w:val="000000" w:themeColor="text1"/>
          <w:szCs w:val="24"/>
        </w:rPr>
        <w:t>health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3A1F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3A1F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3A1F">
        <w:rPr>
          <w:rFonts w:cs="Times New Roman"/>
          <w:color w:val="000000" w:themeColor="text1"/>
          <w:szCs w:val="24"/>
        </w:rPr>
        <w:t>environment;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3A1F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3A1F">
        <w:rPr>
          <w:rFonts w:cs="Times New Roman"/>
          <w:color w:val="000000" w:themeColor="text1"/>
          <w:szCs w:val="24"/>
        </w:rPr>
        <w:t>magnitude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3A1F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3A1F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3A1F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3A1F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3A1F">
        <w:rPr>
          <w:rFonts w:cs="Times New Roman"/>
          <w:color w:val="000000" w:themeColor="text1"/>
          <w:szCs w:val="24"/>
        </w:rPr>
        <w:t>chemical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5C6C2BBA">
        <w:rPr>
          <w:rFonts w:cs="Times New Roman"/>
          <w:color w:val="000000" w:themeColor="text1"/>
          <w:szCs w:val="24"/>
        </w:rPr>
        <w:t>substance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3A1F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3A1F">
        <w:rPr>
          <w:rFonts w:cs="Times New Roman"/>
          <w:color w:val="000000" w:themeColor="text1"/>
          <w:szCs w:val="24"/>
        </w:rPr>
        <w:t>humans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3A1F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3A1F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3A1F">
        <w:rPr>
          <w:rFonts w:cs="Times New Roman"/>
          <w:color w:val="000000" w:themeColor="text1"/>
          <w:szCs w:val="24"/>
        </w:rPr>
        <w:t>environment;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3A1F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3A1F">
        <w:rPr>
          <w:rFonts w:cs="Times New Roman"/>
          <w:color w:val="000000" w:themeColor="text1"/>
          <w:szCs w:val="24"/>
        </w:rPr>
        <w:t>benefits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3A1F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3A1F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3A1F">
        <w:rPr>
          <w:rFonts w:cs="Times New Roman"/>
          <w:color w:val="000000" w:themeColor="text1"/>
          <w:szCs w:val="24"/>
        </w:rPr>
        <w:t>chemical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3A1F">
        <w:rPr>
          <w:rFonts w:cs="Times New Roman"/>
          <w:color w:val="000000" w:themeColor="text1"/>
          <w:szCs w:val="24"/>
        </w:rPr>
        <w:t>substance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3A1F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3A1F">
        <w:rPr>
          <w:rFonts w:cs="Times New Roman"/>
          <w:color w:val="000000" w:themeColor="text1"/>
          <w:szCs w:val="24"/>
        </w:rPr>
        <w:t>various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3A1F">
        <w:rPr>
          <w:rFonts w:cs="Times New Roman"/>
          <w:color w:val="000000" w:themeColor="text1"/>
          <w:szCs w:val="24"/>
        </w:rPr>
        <w:t>uses;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3A1F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3A1F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3A1F">
        <w:rPr>
          <w:rFonts w:cs="Times New Roman"/>
          <w:color w:val="000000" w:themeColor="text1"/>
          <w:szCs w:val="24"/>
        </w:rPr>
        <w:t>reasonably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3A1F">
        <w:rPr>
          <w:rFonts w:cs="Times New Roman"/>
          <w:color w:val="000000" w:themeColor="text1"/>
          <w:szCs w:val="24"/>
        </w:rPr>
        <w:t>ascertainable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3A1F">
        <w:rPr>
          <w:rFonts w:cs="Times New Roman"/>
          <w:color w:val="000000" w:themeColor="text1"/>
          <w:szCs w:val="24"/>
        </w:rPr>
        <w:t>economic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3A1F">
        <w:rPr>
          <w:rFonts w:cs="Times New Roman"/>
          <w:color w:val="000000" w:themeColor="text1"/>
          <w:szCs w:val="24"/>
        </w:rPr>
        <w:t>consequences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3A1F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3A1F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3A1F">
        <w:rPr>
          <w:rFonts w:cs="Times New Roman"/>
          <w:color w:val="000000" w:themeColor="text1"/>
          <w:szCs w:val="24"/>
        </w:rPr>
        <w:t>rule,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3A1F">
        <w:rPr>
          <w:rFonts w:cs="Times New Roman"/>
          <w:color w:val="000000" w:themeColor="text1"/>
          <w:szCs w:val="24"/>
        </w:rPr>
        <w:t>including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3A1F">
        <w:rPr>
          <w:rFonts w:cs="Times New Roman"/>
          <w:color w:val="000000" w:themeColor="text1"/>
          <w:szCs w:val="24"/>
        </w:rPr>
        <w:t>consideration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3A1F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3A1F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3A1F">
        <w:rPr>
          <w:rFonts w:cs="Times New Roman"/>
          <w:color w:val="000000" w:themeColor="text1"/>
          <w:szCs w:val="24"/>
        </w:rPr>
        <w:t>likely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3A1F">
        <w:rPr>
          <w:rFonts w:cs="Times New Roman"/>
          <w:color w:val="000000" w:themeColor="text1"/>
          <w:szCs w:val="24"/>
        </w:rPr>
        <w:t>effects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3A1F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3A1F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3A1F">
        <w:rPr>
          <w:rFonts w:cs="Times New Roman"/>
          <w:color w:val="000000" w:themeColor="text1"/>
          <w:szCs w:val="24"/>
        </w:rPr>
        <w:t>rule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3A1F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3A1F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3A1F">
        <w:rPr>
          <w:rFonts w:cs="Times New Roman"/>
          <w:color w:val="000000" w:themeColor="text1"/>
          <w:szCs w:val="24"/>
        </w:rPr>
        <w:t>national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3A1F">
        <w:rPr>
          <w:rFonts w:cs="Times New Roman"/>
          <w:color w:val="000000" w:themeColor="text1"/>
          <w:szCs w:val="24"/>
        </w:rPr>
        <w:t>economy,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3A1F">
        <w:rPr>
          <w:rFonts w:cs="Times New Roman"/>
          <w:color w:val="000000" w:themeColor="text1"/>
          <w:szCs w:val="24"/>
        </w:rPr>
        <w:t>small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3A1F">
        <w:rPr>
          <w:rFonts w:cs="Times New Roman"/>
          <w:color w:val="000000" w:themeColor="text1"/>
          <w:szCs w:val="24"/>
        </w:rPr>
        <w:t>business,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3A1F">
        <w:rPr>
          <w:rFonts w:cs="Times New Roman"/>
          <w:color w:val="000000" w:themeColor="text1"/>
          <w:szCs w:val="24"/>
        </w:rPr>
        <w:t>technological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3A1F">
        <w:rPr>
          <w:rFonts w:cs="Times New Roman"/>
          <w:color w:val="000000" w:themeColor="text1"/>
          <w:szCs w:val="24"/>
        </w:rPr>
        <w:t>innovation,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3A1F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3A1F">
        <w:rPr>
          <w:rFonts w:cs="Times New Roman"/>
          <w:color w:val="000000" w:themeColor="text1"/>
          <w:szCs w:val="24"/>
        </w:rPr>
        <w:t>environment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3A1F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185D5040">
        <w:rPr>
          <w:rFonts w:cs="Times New Roman"/>
          <w:color w:val="000000" w:themeColor="text1"/>
          <w:szCs w:val="24"/>
        </w:rPr>
        <w:t>public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3A1F">
        <w:rPr>
          <w:rFonts w:cs="Times New Roman"/>
          <w:color w:val="000000" w:themeColor="text1"/>
          <w:szCs w:val="24"/>
        </w:rPr>
        <w:t>health;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339EC884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3A1F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210DB">
        <w:rPr>
          <w:rFonts w:cs="Times New Roman"/>
          <w:color w:val="000000" w:themeColor="text1"/>
          <w:szCs w:val="24"/>
        </w:rPr>
        <w:t>costs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210D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210DB">
        <w:rPr>
          <w:rFonts w:cs="Times New Roman"/>
          <w:color w:val="000000" w:themeColor="text1"/>
          <w:szCs w:val="24"/>
        </w:rPr>
        <w:t>benefits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210D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210D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210DB">
        <w:rPr>
          <w:rFonts w:cs="Times New Roman"/>
          <w:color w:val="000000" w:themeColor="text1"/>
          <w:szCs w:val="24"/>
        </w:rPr>
        <w:t>cost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210DB">
        <w:rPr>
          <w:rFonts w:cs="Times New Roman"/>
          <w:color w:val="000000" w:themeColor="text1"/>
          <w:szCs w:val="24"/>
        </w:rPr>
        <w:t>effectiveness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210D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210D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210DB">
        <w:rPr>
          <w:rFonts w:cs="Times New Roman"/>
          <w:color w:val="000000" w:themeColor="text1"/>
          <w:szCs w:val="24"/>
        </w:rPr>
        <w:t>regulatory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210DB">
        <w:rPr>
          <w:rFonts w:cs="Times New Roman"/>
          <w:color w:val="000000" w:themeColor="text1"/>
          <w:szCs w:val="24"/>
        </w:rPr>
        <w:t>action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210D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210D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210D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210DB">
        <w:rPr>
          <w:rFonts w:cs="Times New Roman"/>
          <w:color w:val="000000" w:themeColor="text1"/>
          <w:szCs w:val="24"/>
        </w:rPr>
        <w:t>one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210D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210DB">
        <w:rPr>
          <w:rFonts w:cs="Times New Roman"/>
          <w:color w:val="000000" w:themeColor="text1"/>
          <w:szCs w:val="24"/>
        </w:rPr>
        <w:t>more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210DB">
        <w:rPr>
          <w:rFonts w:cs="Times New Roman"/>
          <w:color w:val="000000" w:themeColor="text1"/>
          <w:szCs w:val="24"/>
        </w:rPr>
        <w:t>primary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210DB">
        <w:rPr>
          <w:rFonts w:cs="Times New Roman"/>
          <w:color w:val="000000" w:themeColor="text1"/>
          <w:szCs w:val="24"/>
        </w:rPr>
        <w:t>alternative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210DB">
        <w:rPr>
          <w:rFonts w:cs="Times New Roman"/>
          <w:color w:val="000000" w:themeColor="text1"/>
          <w:szCs w:val="24"/>
        </w:rPr>
        <w:t>regulatory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210DB">
        <w:rPr>
          <w:rFonts w:cs="Times New Roman"/>
          <w:color w:val="000000" w:themeColor="text1"/>
          <w:szCs w:val="24"/>
        </w:rPr>
        <w:t>actions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210DB">
        <w:rPr>
          <w:rFonts w:cs="Times New Roman"/>
          <w:color w:val="000000" w:themeColor="text1"/>
          <w:szCs w:val="24"/>
        </w:rPr>
        <w:t>considered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210DB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210D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210DB">
        <w:rPr>
          <w:rFonts w:cs="Times New Roman"/>
          <w:color w:val="000000" w:themeColor="text1"/>
          <w:szCs w:val="24"/>
        </w:rPr>
        <w:t>Administrator.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result</w:t>
      </w:r>
      <w:r w:rsidRPr="00C317BB" w:rsidR="00AD0E8E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proposing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F18CE">
        <w:rPr>
          <w:rFonts w:cs="Times New Roman"/>
          <w:color w:val="000000" w:themeColor="text1"/>
          <w:szCs w:val="24"/>
        </w:rPr>
        <w:t>regulatory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65515">
        <w:rPr>
          <w:rFonts w:cs="Times New Roman"/>
          <w:color w:val="000000" w:themeColor="text1"/>
          <w:szCs w:val="24"/>
        </w:rPr>
        <w:t>requesting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65515">
        <w:rPr>
          <w:rFonts w:cs="Times New Roman"/>
          <w:color w:val="000000" w:themeColor="text1"/>
          <w:szCs w:val="24"/>
        </w:rPr>
        <w:t>comment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65515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F6280">
        <w:rPr>
          <w:rFonts w:cs="Times New Roman"/>
          <w:color w:val="000000" w:themeColor="text1"/>
          <w:szCs w:val="24"/>
        </w:rPr>
        <w:t>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02D86">
        <w:rPr>
          <w:rFonts w:cs="Times New Roman"/>
          <w:color w:val="000000" w:themeColor="text1"/>
          <w:szCs w:val="24"/>
        </w:rPr>
        <w:t>alternative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02D86">
        <w:rPr>
          <w:rFonts w:cs="Times New Roman"/>
          <w:color w:val="000000" w:themeColor="text1"/>
          <w:szCs w:val="24"/>
        </w:rPr>
        <w:t>regulatory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02D86">
        <w:rPr>
          <w:rFonts w:cs="Times New Roman"/>
          <w:color w:val="000000" w:themeColor="text1"/>
          <w:szCs w:val="24"/>
        </w:rPr>
        <w:t>action</w:t>
      </w:r>
      <w:r w:rsidRPr="00C317BB" w:rsidR="00244DB0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44DB0">
        <w:rPr>
          <w:rFonts w:cs="Times New Roman"/>
          <w:color w:val="000000" w:themeColor="text1"/>
          <w:szCs w:val="24"/>
        </w:rPr>
        <w:t>which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0E8E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44DB0">
        <w:rPr>
          <w:rFonts w:cs="Times New Roman"/>
          <w:color w:val="000000" w:themeColor="text1"/>
          <w:szCs w:val="24"/>
        </w:rPr>
        <w:t>discussed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44DB0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44DB0">
        <w:rPr>
          <w:rFonts w:cs="Times New Roman"/>
          <w:color w:val="000000" w:themeColor="text1"/>
          <w:szCs w:val="24"/>
        </w:rPr>
        <w:t>Unit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44DB0">
        <w:rPr>
          <w:rFonts w:cs="Times New Roman"/>
          <w:color w:val="000000" w:themeColor="text1"/>
          <w:szCs w:val="24"/>
        </w:rPr>
        <w:t>I</w:t>
      </w:r>
      <w:r w:rsidRPr="00C317BB" w:rsidR="00063E76">
        <w:rPr>
          <w:rFonts w:cs="Times New Roman"/>
          <w:color w:val="000000" w:themeColor="text1"/>
          <w:szCs w:val="24"/>
        </w:rPr>
        <w:t>V</w:t>
      </w:r>
      <w:r w:rsidRPr="00C317BB" w:rsidR="00244DB0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848E9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848E9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848E9">
        <w:rPr>
          <w:rFonts w:cs="Times New Roman"/>
          <w:color w:val="000000" w:themeColor="text1"/>
          <w:szCs w:val="24"/>
        </w:rPr>
        <w:t>requesting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848E9">
        <w:rPr>
          <w:rFonts w:cs="Times New Roman"/>
          <w:color w:val="000000" w:themeColor="text1"/>
          <w:szCs w:val="24"/>
        </w:rPr>
        <w:t>public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848E9">
        <w:rPr>
          <w:rFonts w:cs="Times New Roman"/>
          <w:color w:val="000000" w:themeColor="text1"/>
          <w:szCs w:val="24"/>
        </w:rPr>
        <w:t>comment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848E9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3A1F">
        <w:rPr>
          <w:rFonts w:cs="Times New Roman"/>
          <w:color w:val="000000" w:themeColor="text1"/>
          <w:szCs w:val="24"/>
        </w:rPr>
        <w:t>all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3A1F">
        <w:rPr>
          <w:rFonts w:cs="Times New Roman"/>
          <w:color w:val="000000" w:themeColor="text1"/>
          <w:szCs w:val="24"/>
        </w:rPr>
        <w:t>aspects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3A1F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848E9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848E9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848E9">
        <w:rPr>
          <w:rFonts w:cs="Times New Roman"/>
          <w:color w:val="000000" w:themeColor="text1"/>
          <w:szCs w:val="24"/>
        </w:rPr>
        <w:t>regulatory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848E9">
        <w:rPr>
          <w:rFonts w:cs="Times New Roman"/>
          <w:color w:val="000000" w:themeColor="text1"/>
          <w:szCs w:val="24"/>
        </w:rPr>
        <w:t>action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848E9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848E9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24B70">
        <w:rPr>
          <w:rFonts w:cs="Times New Roman"/>
          <w:color w:val="000000" w:themeColor="text1"/>
          <w:szCs w:val="24"/>
        </w:rPr>
        <w:t>primary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848E9">
        <w:rPr>
          <w:rFonts w:cs="Times New Roman"/>
          <w:color w:val="000000" w:themeColor="text1"/>
          <w:szCs w:val="24"/>
        </w:rPr>
        <w:t>alternative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848E9">
        <w:rPr>
          <w:rFonts w:cs="Times New Roman"/>
          <w:color w:val="000000" w:themeColor="text1"/>
          <w:szCs w:val="24"/>
        </w:rPr>
        <w:t>regulatory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848E9">
        <w:rPr>
          <w:rFonts w:cs="Times New Roman"/>
          <w:color w:val="000000" w:themeColor="text1"/>
          <w:szCs w:val="24"/>
        </w:rPr>
        <w:t>action.</w:t>
      </w:r>
    </w:p>
    <w:p w:rsidRPr="00C317BB" w:rsidR="000805B7" w:rsidP="00F27167" w:rsidRDefault="00654C08" w14:paraId="6C0E47AC" w14:textId="0ACEA04C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authority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F432D">
        <w:rPr>
          <w:rFonts w:cs="Times New Roman"/>
          <w:color w:val="000000" w:themeColor="text1"/>
          <w:szCs w:val="24"/>
        </w:rPr>
        <w:t>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6(g),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805B7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805B7">
        <w:rPr>
          <w:rFonts w:cs="Times New Roman"/>
          <w:color w:val="000000" w:themeColor="text1"/>
          <w:szCs w:val="24"/>
        </w:rPr>
        <w:t>consider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805B7">
        <w:rPr>
          <w:rFonts w:cs="Times New Roman"/>
          <w:color w:val="000000" w:themeColor="text1"/>
          <w:szCs w:val="24"/>
        </w:rPr>
        <w:t>granting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805B7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805B7">
        <w:rPr>
          <w:rFonts w:cs="Times New Roman"/>
          <w:color w:val="000000" w:themeColor="text1"/>
          <w:szCs w:val="24"/>
        </w:rPr>
        <w:t>time-limited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805B7">
        <w:rPr>
          <w:rFonts w:cs="Times New Roman"/>
          <w:color w:val="000000" w:themeColor="text1"/>
          <w:szCs w:val="24"/>
        </w:rPr>
        <w:t>exemption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805B7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805B7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805B7">
        <w:rPr>
          <w:rFonts w:cs="Times New Roman"/>
          <w:color w:val="000000" w:themeColor="text1"/>
          <w:szCs w:val="24"/>
        </w:rPr>
        <w:t>specific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805B7">
        <w:rPr>
          <w:rFonts w:cs="Times New Roman"/>
          <w:color w:val="000000" w:themeColor="text1"/>
          <w:szCs w:val="24"/>
        </w:rPr>
        <w:t>condition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805B7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805B7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805B7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805B7">
        <w:rPr>
          <w:rFonts w:cs="Times New Roman"/>
          <w:color w:val="000000" w:themeColor="text1"/>
          <w:szCs w:val="24"/>
        </w:rPr>
        <w:t>which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805B7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7333E">
        <w:rPr>
          <w:rFonts w:cs="Times New Roman"/>
          <w:color w:val="000000" w:themeColor="text1"/>
          <w:szCs w:val="24"/>
        </w:rPr>
        <w:t>finds</w:t>
      </w:r>
      <w:r w:rsidRPr="00C317BB" w:rsidR="000805B7">
        <w:rPr>
          <w:rFonts w:cs="Times New Roman"/>
          <w:color w:val="000000" w:themeColor="text1"/>
          <w:szCs w:val="24"/>
        </w:rPr>
        <w:t>: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805B7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805B7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805B7">
        <w:rPr>
          <w:rFonts w:cs="Times New Roman"/>
          <w:color w:val="000000" w:themeColor="text1"/>
          <w:szCs w:val="24"/>
        </w:rPr>
        <w:t>specific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805B7">
        <w:rPr>
          <w:rFonts w:cs="Times New Roman"/>
          <w:color w:val="000000" w:themeColor="text1"/>
          <w:szCs w:val="24"/>
        </w:rPr>
        <w:t>condition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805B7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805B7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805B7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805B7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805B7">
        <w:rPr>
          <w:rFonts w:cs="Times New Roman"/>
          <w:color w:val="000000" w:themeColor="text1"/>
          <w:szCs w:val="24"/>
        </w:rPr>
        <w:t>critical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805B7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805B7">
        <w:rPr>
          <w:rFonts w:cs="Times New Roman"/>
          <w:color w:val="000000" w:themeColor="text1"/>
          <w:szCs w:val="24"/>
        </w:rPr>
        <w:t>essential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805B7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805B7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805B7">
        <w:rPr>
          <w:rFonts w:cs="Times New Roman"/>
          <w:color w:val="000000" w:themeColor="text1"/>
          <w:szCs w:val="24"/>
        </w:rPr>
        <w:t>which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805B7">
        <w:rPr>
          <w:rFonts w:cs="Times New Roman"/>
          <w:color w:val="000000" w:themeColor="text1"/>
          <w:szCs w:val="24"/>
        </w:rPr>
        <w:t>no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805B7">
        <w:rPr>
          <w:rFonts w:cs="Times New Roman"/>
          <w:color w:val="000000" w:themeColor="text1"/>
          <w:szCs w:val="24"/>
        </w:rPr>
        <w:t>technically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805B7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805B7">
        <w:rPr>
          <w:rFonts w:cs="Times New Roman"/>
          <w:color w:val="000000" w:themeColor="text1"/>
          <w:szCs w:val="24"/>
        </w:rPr>
        <w:t>economically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805B7">
        <w:rPr>
          <w:rFonts w:cs="Times New Roman"/>
          <w:color w:val="000000" w:themeColor="text1"/>
          <w:szCs w:val="24"/>
        </w:rPr>
        <w:t>feasible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805B7">
        <w:rPr>
          <w:rFonts w:cs="Times New Roman"/>
          <w:color w:val="000000" w:themeColor="text1"/>
          <w:szCs w:val="24"/>
        </w:rPr>
        <w:t>safer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805B7">
        <w:rPr>
          <w:rFonts w:cs="Times New Roman"/>
          <w:color w:val="000000" w:themeColor="text1"/>
          <w:szCs w:val="24"/>
        </w:rPr>
        <w:t>alternative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805B7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805B7">
        <w:rPr>
          <w:rFonts w:cs="Times New Roman"/>
          <w:color w:val="000000" w:themeColor="text1"/>
          <w:szCs w:val="24"/>
        </w:rPr>
        <w:t>available,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805B7">
        <w:rPr>
          <w:rFonts w:cs="Times New Roman"/>
          <w:color w:val="000000" w:themeColor="text1"/>
          <w:szCs w:val="24"/>
        </w:rPr>
        <w:t>taking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805B7">
        <w:rPr>
          <w:rFonts w:cs="Times New Roman"/>
          <w:color w:val="000000" w:themeColor="text1"/>
          <w:szCs w:val="24"/>
        </w:rPr>
        <w:t>into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805B7">
        <w:rPr>
          <w:rFonts w:cs="Times New Roman"/>
          <w:color w:val="000000" w:themeColor="text1"/>
          <w:szCs w:val="24"/>
        </w:rPr>
        <w:t>consideration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805B7">
        <w:rPr>
          <w:rFonts w:cs="Times New Roman"/>
          <w:color w:val="000000" w:themeColor="text1"/>
          <w:szCs w:val="24"/>
        </w:rPr>
        <w:t>hazard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805B7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805B7">
        <w:rPr>
          <w:rFonts w:cs="Times New Roman"/>
          <w:color w:val="000000" w:themeColor="text1"/>
          <w:szCs w:val="24"/>
        </w:rPr>
        <w:t>exposure;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805B7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805B7">
        <w:rPr>
          <w:rFonts w:cs="Times New Roman"/>
          <w:color w:val="000000" w:themeColor="text1"/>
          <w:szCs w:val="24"/>
        </w:rPr>
        <w:t>compliance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805B7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805B7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805B7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56935">
        <w:rPr>
          <w:rFonts w:cs="Times New Roman"/>
          <w:color w:val="000000" w:themeColor="text1"/>
          <w:szCs w:val="24"/>
        </w:rPr>
        <w:t>requirement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805B7">
        <w:rPr>
          <w:rFonts w:cs="Times New Roman"/>
          <w:color w:val="000000" w:themeColor="text1"/>
          <w:szCs w:val="24"/>
        </w:rPr>
        <w:t>would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805B7">
        <w:rPr>
          <w:rFonts w:cs="Times New Roman"/>
          <w:color w:val="000000" w:themeColor="text1"/>
          <w:szCs w:val="24"/>
        </w:rPr>
        <w:t>significantly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805B7">
        <w:rPr>
          <w:rFonts w:cs="Times New Roman"/>
          <w:color w:val="000000" w:themeColor="text1"/>
          <w:szCs w:val="24"/>
        </w:rPr>
        <w:t>disrupt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805B7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805B7">
        <w:rPr>
          <w:rFonts w:cs="Times New Roman"/>
          <w:color w:val="000000" w:themeColor="text1"/>
          <w:szCs w:val="24"/>
        </w:rPr>
        <w:t>national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805B7">
        <w:rPr>
          <w:rFonts w:cs="Times New Roman"/>
          <w:color w:val="000000" w:themeColor="text1"/>
          <w:szCs w:val="24"/>
        </w:rPr>
        <w:t>economy,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805B7">
        <w:rPr>
          <w:rFonts w:cs="Times New Roman"/>
          <w:color w:val="000000" w:themeColor="text1"/>
          <w:szCs w:val="24"/>
        </w:rPr>
        <w:t>national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805B7">
        <w:rPr>
          <w:rFonts w:cs="Times New Roman"/>
          <w:color w:val="000000" w:themeColor="text1"/>
          <w:szCs w:val="24"/>
        </w:rPr>
        <w:t>security,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805B7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805B7">
        <w:rPr>
          <w:rFonts w:cs="Times New Roman"/>
          <w:color w:val="000000" w:themeColor="text1"/>
          <w:szCs w:val="24"/>
        </w:rPr>
        <w:t>critical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805B7">
        <w:rPr>
          <w:rFonts w:cs="Times New Roman"/>
          <w:color w:val="000000" w:themeColor="text1"/>
          <w:szCs w:val="24"/>
        </w:rPr>
        <w:t>infrastructure;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805B7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805B7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56935">
        <w:rPr>
          <w:rFonts w:cs="Times New Roman"/>
          <w:color w:val="000000" w:themeColor="text1"/>
          <w:szCs w:val="24"/>
        </w:rPr>
        <w:t>specific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56935">
        <w:rPr>
          <w:rFonts w:cs="Times New Roman"/>
          <w:color w:val="000000" w:themeColor="text1"/>
          <w:szCs w:val="24"/>
        </w:rPr>
        <w:t>condition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56935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BBE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BBE">
        <w:rPr>
          <w:rFonts w:cs="Times New Roman"/>
          <w:color w:val="000000" w:themeColor="text1"/>
          <w:szCs w:val="24"/>
        </w:rPr>
        <w:t>chemical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BBE">
        <w:rPr>
          <w:rFonts w:cs="Times New Roman"/>
          <w:color w:val="000000" w:themeColor="text1"/>
          <w:szCs w:val="24"/>
        </w:rPr>
        <w:t>substance</w:t>
      </w:r>
      <w:r w:rsidRPr="00C317BB" w:rsidR="000805B7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805B7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805B7">
        <w:rPr>
          <w:rFonts w:cs="Times New Roman"/>
          <w:color w:val="000000" w:themeColor="text1"/>
          <w:szCs w:val="24"/>
        </w:rPr>
        <w:t>compared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805B7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805B7">
        <w:rPr>
          <w:rFonts w:cs="Times New Roman"/>
          <w:color w:val="000000" w:themeColor="text1"/>
          <w:szCs w:val="24"/>
        </w:rPr>
        <w:t>reasonably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805B7">
        <w:rPr>
          <w:rFonts w:cs="Times New Roman"/>
          <w:color w:val="000000" w:themeColor="text1"/>
          <w:szCs w:val="24"/>
        </w:rPr>
        <w:t>available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805B7">
        <w:rPr>
          <w:rFonts w:cs="Times New Roman"/>
          <w:color w:val="000000" w:themeColor="text1"/>
          <w:szCs w:val="24"/>
        </w:rPr>
        <w:t>alternatives,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805B7">
        <w:rPr>
          <w:rFonts w:cs="Times New Roman"/>
          <w:color w:val="000000" w:themeColor="text1"/>
          <w:szCs w:val="24"/>
        </w:rPr>
        <w:t>provides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805B7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805B7">
        <w:rPr>
          <w:rFonts w:cs="Times New Roman"/>
          <w:color w:val="000000" w:themeColor="text1"/>
          <w:szCs w:val="24"/>
        </w:rPr>
        <w:t>substantial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805B7">
        <w:rPr>
          <w:rFonts w:cs="Times New Roman"/>
          <w:color w:val="000000" w:themeColor="text1"/>
          <w:szCs w:val="24"/>
        </w:rPr>
        <w:t>benefit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805B7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805B7">
        <w:rPr>
          <w:rFonts w:cs="Times New Roman"/>
          <w:color w:val="000000" w:themeColor="text1"/>
          <w:szCs w:val="24"/>
        </w:rPr>
        <w:t>health,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805B7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805B7">
        <w:rPr>
          <w:rFonts w:cs="Times New Roman"/>
          <w:color w:val="000000" w:themeColor="text1"/>
          <w:szCs w:val="24"/>
        </w:rPr>
        <w:t>environment,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805B7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805B7">
        <w:rPr>
          <w:rFonts w:cs="Times New Roman"/>
          <w:color w:val="000000" w:themeColor="text1"/>
          <w:szCs w:val="24"/>
        </w:rPr>
        <w:t>public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805B7">
        <w:rPr>
          <w:rFonts w:cs="Times New Roman"/>
          <w:color w:val="000000" w:themeColor="text1"/>
          <w:szCs w:val="24"/>
        </w:rPr>
        <w:t>safety.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proposing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grant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exemption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rule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requirements.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1A3A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1A3A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1A3A">
        <w:rPr>
          <w:rFonts w:cs="Times New Roman"/>
          <w:color w:val="000000" w:themeColor="text1"/>
          <w:szCs w:val="24"/>
        </w:rPr>
        <w:t>aware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1A3A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1A3A">
        <w:rPr>
          <w:rFonts w:cs="Times New Roman"/>
          <w:color w:val="000000" w:themeColor="text1"/>
          <w:szCs w:val="24"/>
        </w:rPr>
        <w:t>chlor-alkali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1A3A">
        <w:rPr>
          <w:rFonts w:cs="Times New Roman"/>
          <w:color w:val="000000" w:themeColor="text1"/>
          <w:szCs w:val="24"/>
        </w:rPr>
        <w:t>chemicals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1A3A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1A3A">
        <w:rPr>
          <w:rFonts w:cs="Times New Roman"/>
          <w:color w:val="000000" w:themeColor="text1"/>
          <w:szCs w:val="24"/>
        </w:rPr>
        <w:t>used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1A3A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1A3A">
        <w:rPr>
          <w:rFonts w:cs="Times New Roman"/>
          <w:color w:val="000000" w:themeColor="text1"/>
          <w:szCs w:val="24"/>
        </w:rPr>
        <w:t>sectors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1A3A">
        <w:rPr>
          <w:rFonts w:cs="Times New Roman"/>
          <w:color w:val="000000" w:themeColor="text1"/>
          <w:szCs w:val="24"/>
        </w:rPr>
        <w:t>important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1A3A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1A3A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1A3A">
        <w:rPr>
          <w:rFonts w:cs="Times New Roman"/>
          <w:color w:val="000000" w:themeColor="text1"/>
          <w:szCs w:val="24"/>
        </w:rPr>
        <w:t>national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1A3A">
        <w:rPr>
          <w:rFonts w:cs="Times New Roman"/>
          <w:color w:val="000000" w:themeColor="text1"/>
          <w:szCs w:val="24"/>
        </w:rPr>
        <w:t>economy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1A3A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1A3A">
        <w:rPr>
          <w:rFonts w:cs="Times New Roman"/>
          <w:color w:val="000000" w:themeColor="text1"/>
          <w:szCs w:val="24"/>
        </w:rPr>
        <w:t>operation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1A3A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43D1B">
        <w:rPr>
          <w:rFonts w:cs="Times New Roman"/>
          <w:color w:val="000000" w:themeColor="text1"/>
          <w:szCs w:val="24"/>
        </w:rPr>
        <w:t>critical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1A3A">
        <w:rPr>
          <w:rFonts w:cs="Times New Roman"/>
          <w:color w:val="000000" w:themeColor="text1"/>
          <w:szCs w:val="24"/>
        </w:rPr>
        <w:t>infrastructure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1A3A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1A3A">
        <w:rPr>
          <w:rFonts w:cs="Times New Roman"/>
          <w:color w:val="000000" w:themeColor="text1"/>
          <w:szCs w:val="24"/>
        </w:rPr>
        <w:t>protect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1A3A">
        <w:rPr>
          <w:rFonts w:cs="Times New Roman"/>
          <w:color w:val="000000" w:themeColor="text1"/>
          <w:szCs w:val="24"/>
        </w:rPr>
        <w:t>human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1A3A">
        <w:rPr>
          <w:rFonts w:cs="Times New Roman"/>
          <w:color w:val="000000" w:themeColor="text1"/>
          <w:szCs w:val="24"/>
        </w:rPr>
        <w:t>health,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1A3A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1A3A">
        <w:rPr>
          <w:rFonts w:cs="Times New Roman"/>
          <w:color w:val="000000" w:themeColor="text1"/>
          <w:szCs w:val="24"/>
        </w:rPr>
        <w:t>uses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1A3A">
        <w:rPr>
          <w:rFonts w:cs="Times New Roman"/>
          <w:color w:val="000000" w:themeColor="text1"/>
          <w:szCs w:val="24"/>
        </w:rPr>
        <w:t>such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1A3A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1A3A">
        <w:rPr>
          <w:rFonts w:cs="Times New Roman"/>
          <w:color w:val="000000" w:themeColor="text1"/>
          <w:szCs w:val="24"/>
        </w:rPr>
        <w:t>drinking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1A3A">
        <w:rPr>
          <w:rFonts w:cs="Times New Roman"/>
          <w:color w:val="000000" w:themeColor="text1"/>
          <w:szCs w:val="24"/>
        </w:rPr>
        <w:t>water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1A3A">
        <w:rPr>
          <w:rFonts w:cs="Times New Roman"/>
          <w:color w:val="000000" w:themeColor="text1"/>
          <w:szCs w:val="24"/>
        </w:rPr>
        <w:t>treatment.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1A3A">
        <w:rPr>
          <w:rFonts w:cs="Times New Roman"/>
          <w:color w:val="000000" w:themeColor="text1"/>
          <w:szCs w:val="24"/>
        </w:rPr>
        <w:t>Sectors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1A3A">
        <w:rPr>
          <w:rFonts w:cs="Times New Roman"/>
          <w:color w:val="000000" w:themeColor="text1"/>
          <w:szCs w:val="24"/>
        </w:rPr>
        <w:t>include: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43D1B">
        <w:rPr>
          <w:rFonts w:cs="Times New Roman"/>
          <w:color w:val="000000" w:themeColor="text1"/>
          <w:szCs w:val="24"/>
        </w:rPr>
        <w:t>W</w:t>
      </w:r>
      <w:r w:rsidRPr="00C317BB" w:rsidR="00AB1A3A">
        <w:rPr>
          <w:rFonts w:cs="Times New Roman"/>
          <w:color w:val="000000" w:themeColor="text1"/>
          <w:szCs w:val="24"/>
        </w:rPr>
        <w:t>ater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1A3A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43D1B">
        <w:rPr>
          <w:rFonts w:cs="Times New Roman"/>
          <w:color w:val="000000" w:themeColor="text1"/>
          <w:szCs w:val="24"/>
        </w:rPr>
        <w:t>W</w:t>
      </w:r>
      <w:r w:rsidRPr="00C317BB" w:rsidR="00AB1A3A">
        <w:rPr>
          <w:rFonts w:cs="Times New Roman"/>
          <w:color w:val="000000" w:themeColor="text1"/>
          <w:szCs w:val="24"/>
        </w:rPr>
        <w:t>astewater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43D1B">
        <w:rPr>
          <w:rFonts w:cs="Times New Roman"/>
          <w:color w:val="000000" w:themeColor="text1"/>
          <w:szCs w:val="24"/>
        </w:rPr>
        <w:t>S</w:t>
      </w:r>
      <w:r w:rsidRPr="00C317BB" w:rsidR="00AB1A3A">
        <w:rPr>
          <w:rFonts w:cs="Times New Roman"/>
          <w:color w:val="000000" w:themeColor="text1"/>
          <w:szCs w:val="24"/>
        </w:rPr>
        <w:t>ystems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43D1B">
        <w:rPr>
          <w:rFonts w:cs="Times New Roman"/>
          <w:color w:val="000000" w:themeColor="text1"/>
          <w:szCs w:val="24"/>
        </w:rPr>
        <w:t>S</w:t>
      </w:r>
      <w:r w:rsidRPr="00C317BB" w:rsidR="00AB1A3A">
        <w:rPr>
          <w:rFonts w:cs="Times New Roman"/>
          <w:color w:val="000000" w:themeColor="text1"/>
          <w:szCs w:val="24"/>
        </w:rPr>
        <w:t>ector,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43D1B">
        <w:rPr>
          <w:rFonts w:cs="Times New Roman"/>
          <w:color w:val="000000" w:themeColor="text1"/>
          <w:szCs w:val="24"/>
        </w:rPr>
        <w:t>C</w:t>
      </w:r>
      <w:r w:rsidRPr="00C317BB" w:rsidR="00AB1A3A">
        <w:rPr>
          <w:rFonts w:cs="Times New Roman"/>
          <w:color w:val="000000" w:themeColor="text1"/>
          <w:szCs w:val="24"/>
        </w:rPr>
        <w:t>hemical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43D1B">
        <w:rPr>
          <w:rFonts w:cs="Times New Roman"/>
          <w:color w:val="000000" w:themeColor="text1"/>
          <w:szCs w:val="24"/>
        </w:rPr>
        <w:t>S</w:t>
      </w:r>
      <w:r w:rsidRPr="00C317BB" w:rsidR="00AB1A3A">
        <w:rPr>
          <w:rFonts w:cs="Times New Roman"/>
          <w:color w:val="000000" w:themeColor="text1"/>
          <w:szCs w:val="24"/>
        </w:rPr>
        <w:t>ector,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43D1B">
        <w:rPr>
          <w:rFonts w:cs="Times New Roman"/>
          <w:color w:val="000000" w:themeColor="text1"/>
          <w:szCs w:val="24"/>
        </w:rPr>
        <w:t>C</w:t>
      </w:r>
      <w:r w:rsidRPr="00C317BB" w:rsidR="00AB1A3A">
        <w:rPr>
          <w:rFonts w:cs="Times New Roman"/>
          <w:color w:val="000000" w:themeColor="text1"/>
          <w:szCs w:val="24"/>
        </w:rPr>
        <w:t>ritical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43D1B">
        <w:rPr>
          <w:rFonts w:cs="Times New Roman"/>
          <w:color w:val="000000" w:themeColor="text1"/>
          <w:szCs w:val="24"/>
        </w:rPr>
        <w:t>M</w:t>
      </w:r>
      <w:r w:rsidRPr="00C317BB" w:rsidR="00AB1A3A">
        <w:rPr>
          <w:rFonts w:cs="Times New Roman"/>
          <w:color w:val="000000" w:themeColor="text1"/>
          <w:szCs w:val="24"/>
        </w:rPr>
        <w:t>anufacturing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43D1B">
        <w:rPr>
          <w:rFonts w:cs="Times New Roman"/>
          <w:color w:val="000000" w:themeColor="text1"/>
          <w:szCs w:val="24"/>
        </w:rPr>
        <w:t>S</w:t>
      </w:r>
      <w:r w:rsidRPr="00C317BB" w:rsidR="00AB1A3A">
        <w:rPr>
          <w:rFonts w:cs="Times New Roman"/>
          <w:color w:val="000000" w:themeColor="text1"/>
          <w:szCs w:val="24"/>
        </w:rPr>
        <w:t>ector,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43D1B">
        <w:rPr>
          <w:rFonts w:cs="Times New Roman"/>
          <w:color w:val="000000" w:themeColor="text1"/>
          <w:szCs w:val="24"/>
        </w:rPr>
        <w:t>D</w:t>
      </w:r>
      <w:r w:rsidRPr="00C317BB" w:rsidR="00AB1A3A">
        <w:rPr>
          <w:rFonts w:cs="Times New Roman"/>
          <w:color w:val="000000" w:themeColor="text1"/>
          <w:szCs w:val="24"/>
        </w:rPr>
        <w:t>efense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43D1B">
        <w:rPr>
          <w:rFonts w:cs="Times New Roman"/>
          <w:color w:val="000000" w:themeColor="text1"/>
          <w:szCs w:val="24"/>
        </w:rPr>
        <w:t>I</w:t>
      </w:r>
      <w:r w:rsidRPr="00C317BB" w:rsidR="00AB1A3A">
        <w:rPr>
          <w:rFonts w:cs="Times New Roman"/>
          <w:color w:val="000000" w:themeColor="text1"/>
          <w:szCs w:val="24"/>
        </w:rPr>
        <w:t>ndustrial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43D1B">
        <w:rPr>
          <w:rFonts w:cs="Times New Roman"/>
          <w:color w:val="000000" w:themeColor="text1"/>
          <w:szCs w:val="24"/>
        </w:rPr>
        <w:t>B</w:t>
      </w:r>
      <w:r w:rsidRPr="00C317BB" w:rsidR="00AB1A3A">
        <w:rPr>
          <w:rFonts w:cs="Times New Roman"/>
          <w:color w:val="000000" w:themeColor="text1"/>
          <w:szCs w:val="24"/>
        </w:rPr>
        <w:t>ase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43D1B">
        <w:rPr>
          <w:rFonts w:cs="Times New Roman"/>
          <w:color w:val="000000" w:themeColor="text1"/>
          <w:szCs w:val="24"/>
        </w:rPr>
        <w:t>S</w:t>
      </w:r>
      <w:r w:rsidRPr="00C317BB" w:rsidR="00AB1A3A">
        <w:rPr>
          <w:rFonts w:cs="Times New Roman"/>
          <w:color w:val="000000" w:themeColor="text1"/>
          <w:szCs w:val="24"/>
        </w:rPr>
        <w:t>ector,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43D1B">
        <w:rPr>
          <w:rFonts w:cs="Times New Roman"/>
          <w:color w:val="000000" w:themeColor="text1"/>
          <w:szCs w:val="24"/>
        </w:rPr>
        <w:t>E</w:t>
      </w:r>
      <w:r w:rsidRPr="00C317BB" w:rsidR="00AB1A3A">
        <w:rPr>
          <w:rFonts w:cs="Times New Roman"/>
          <w:color w:val="000000" w:themeColor="text1"/>
          <w:szCs w:val="24"/>
        </w:rPr>
        <w:t>mergency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43D1B">
        <w:rPr>
          <w:rFonts w:cs="Times New Roman"/>
          <w:color w:val="000000" w:themeColor="text1"/>
          <w:szCs w:val="24"/>
        </w:rPr>
        <w:t>S</w:t>
      </w:r>
      <w:r w:rsidRPr="00C317BB" w:rsidR="00AB1A3A">
        <w:rPr>
          <w:rFonts w:cs="Times New Roman"/>
          <w:color w:val="000000" w:themeColor="text1"/>
          <w:szCs w:val="24"/>
        </w:rPr>
        <w:t>ervices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43D1B">
        <w:rPr>
          <w:rFonts w:cs="Times New Roman"/>
          <w:color w:val="000000" w:themeColor="text1"/>
          <w:szCs w:val="24"/>
        </w:rPr>
        <w:t>S</w:t>
      </w:r>
      <w:r w:rsidRPr="00C317BB" w:rsidR="00AB1A3A">
        <w:rPr>
          <w:rFonts w:cs="Times New Roman"/>
          <w:color w:val="000000" w:themeColor="text1"/>
          <w:szCs w:val="24"/>
        </w:rPr>
        <w:t>ector,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43D1B">
        <w:rPr>
          <w:rFonts w:cs="Times New Roman"/>
          <w:color w:val="000000" w:themeColor="text1"/>
          <w:szCs w:val="24"/>
        </w:rPr>
        <w:t>E</w:t>
      </w:r>
      <w:r w:rsidRPr="00C317BB" w:rsidR="00AB1A3A">
        <w:rPr>
          <w:rFonts w:cs="Times New Roman"/>
          <w:color w:val="000000" w:themeColor="text1"/>
          <w:szCs w:val="24"/>
        </w:rPr>
        <w:t>nergy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43D1B">
        <w:rPr>
          <w:rFonts w:cs="Times New Roman"/>
          <w:color w:val="000000" w:themeColor="text1"/>
          <w:szCs w:val="24"/>
        </w:rPr>
        <w:t>S</w:t>
      </w:r>
      <w:r w:rsidRPr="00C317BB" w:rsidR="00AB1A3A">
        <w:rPr>
          <w:rFonts w:cs="Times New Roman"/>
          <w:color w:val="000000" w:themeColor="text1"/>
          <w:szCs w:val="24"/>
        </w:rPr>
        <w:t>ector,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43D1B">
        <w:rPr>
          <w:rFonts w:cs="Times New Roman"/>
          <w:color w:val="000000" w:themeColor="text1"/>
          <w:szCs w:val="24"/>
        </w:rPr>
        <w:t>F</w:t>
      </w:r>
      <w:r w:rsidRPr="00C317BB" w:rsidR="00AB1A3A">
        <w:rPr>
          <w:rFonts w:cs="Times New Roman"/>
          <w:color w:val="000000" w:themeColor="text1"/>
          <w:szCs w:val="24"/>
        </w:rPr>
        <w:t>ood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1A3A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43D1B">
        <w:rPr>
          <w:rFonts w:cs="Times New Roman"/>
          <w:color w:val="000000" w:themeColor="text1"/>
          <w:szCs w:val="24"/>
        </w:rPr>
        <w:t>A</w:t>
      </w:r>
      <w:r w:rsidRPr="00C317BB" w:rsidR="00AB1A3A">
        <w:rPr>
          <w:rFonts w:cs="Times New Roman"/>
          <w:color w:val="000000" w:themeColor="text1"/>
          <w:szCs w:val="24"/>
        </w:rPr>
        <w:t>griculture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43D1B">
        <w:rPr>
          <w:rFonts w:cs="Times New Roman"/>
          <w:color w:val="000000" w:themeColor="text1"/>
          <w:szCs w:val="24"/>
        </w:rPr>
        <w:t>S</w:t>
      </w:r>
      <w:r w:rsidRPr="00C317BB" w:rsidR="00AB1A3A">
        <w:rPr>
          <w:rFonts w:cs="Times New Roman"/>
          <w:color w:val="000000" w:themeColor="text1"/>
          <w:szCs w:val="24"/>
        </w:rPr>
        <w:t>ector,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1A3A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43D1B">
        <w:rPr>
          <w:rFonts w:cs="Times New Roman"/>
          <w:color w:val="000000" w:themeColor="text1"/>
          <w:szCs w:val="24"/>
        </w:rPr>
        <w:t>H</w:t>
      </w:r>
      <w:r w:rsidRPr="00C317BB" w:rsidR="00AB1A3A">
        <w:rPr>
          <w:rFonts w:cs="Times New Roman"/>
          <w:color w:val="000000" w:themeColor="text1"/>
          <w:szCs w:val="24"/>
        </w:rPr>
        <w:t>ealthcare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1A3A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43D1B">
        <w:rPr>
          <w:rFonts w:cs="Times New Roman"/>
          <w:color w:val="000000" w:themeColor="text1"/>
          <w:szCs w:val="24"/>
        </w:rPr>
        <w:t>P</w:t>
      </w:r>
      <w:r w:rsidRPr="00C317BB" w:rsidR="00AB1A3A">
        <w:rPr>
          <w:rFonts w:cs="Times New Roman"/>
          <w:color w:val="000000" w:themeColor="text1"/>
          <w:szCs w:val="24"/>
        </w:rPr>
        <w:t>ublic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43D1B">
        <w:rPr>
          <w:rFonts w:cs="Times New Roman"/>
          <w:color w:val="000000" w:themeColor="text1"/>
          <w:szCs w:val="24"/>
        </w:rPr>
        <w:t>H</w:t>
      </w:r>
      <w:r w:rsidRPr="00C317BB" w:rsidR="00AB1A3A">
        <w:rPr>
          <w:rFonts w:cs="Times New Roman"/>
          <w:color w:val="000000" w:themeColor="text1"/>
          <w:szCs w:val="24"/>
        </w:rPr>
        <w:t>ealth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1A3A">
        <w:rPr>
          <w:rFonts w:cs="Times New Roman"/>
          <w:color w:val="000000" w:themeColor="text1"/>
          <w:szCs w:val="24"/>
        </w:rPr>
        <w:t>sector.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848E9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848E9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848E9">
        <w:rPr>
          <w:rFonts w:cs="Times New Roman"/>
          <w:color w:val="000000" w:themeColor="text1"/>
          <w:szCs w:val="24"/>
        </w:rPr>
        <w:t>requesting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848E9">
        <w:rPr>
          <w:rFonts w:cs="Times New Roman"/>
          <w:color w:val="000000" w:themeColor="text1"/>
          <w:szCs w:val="24"/>
        </w:rPr>
        <w:t>public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848E9">
        <w:rPr>
          <w:rFonts w:cs="Times New Roman"/>
          <w:color w:val="000000" w:themeColor="text1"/>
          <w:szCs w:val="24"/>
        </w:rPr>
        <w:t>comment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848E9">
        <w:rPr>
          <w:rFonts w:cs="Times New Roman"/>
          <w:color w:val="000000" w:themeColor="text1"/>
          <w:szCs w:val="24"/>
        </w:rPr>
        <w:t>regarding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848E9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848E9">
        <w:rPr>
          <w:rFonts w:cs="Times New Roman"/>
          <w:color w:val="000000" w:themeColor="text1"/>
          <w:szCs w:val="24"/>
        </w:rPr>
        <w:t>need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D4514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D4514">
        <w:rPr>
          <w:rFonts w:cs="Times New Roman"/>
          <w:color w:val="000000" w:themeColor="text1"/>
          <w:szCs w:val="24"/>
        </w:rPr>
        <w:t>rationale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848E9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848E9">
        <w:rPr>
          <w:rFonts w:cs="Times New Roman"/>
          <w:color w:val="000000" w:themeColor="text1"/>
          <w:szCs w:val="24"/>
        </w:rPr>
        <w:t>exemptions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848E9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848E9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848E9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848E9">
        <w:rPr>
          <w:rFonts w:cs="Times New Roman"/>
          <w:color w:val="000000" w:themeColor="text1"/>
          <w:szCs w:val="24"/>
        </w:rPr>
        <w:t>rule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24174">
        <w:rPr>
          <w:rFonts w:cs="Times New Roman"/>
          <w:color w:val="000000" w:themeColor="text1"/>
          <w:szCs w:val="24"/>
        </w:rPr>
        <w:t>pursuant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24174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24174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24174">
        <w:rPr>
          <w:rFonts w:cs="Times New Roman"/>
          <w:color w:val="000000" w:themeColor="text1"/>
          <w:szCs w:val="24"/>
        </w:rPr>
        <w:t>provisions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24174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164A9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24174">
        <w:rPr>
          <w:rFonts w:cs="Times New Roman"/>
          <w:color w:val="000000" w:themeColor="text1"/>
          <w:szCs w:val="24"/>
        </w:rPr>
        <w:t>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24174">
        <w:rPr>
          <w:rFonts w:cs="Times New Roman"/>
          <w:color w:val="000000" w:themeColor="text1"/>
          <w:szCs w:val="24"/>
        </w:rPr>
        <w:t>6(g)</w:t>
      </w:r>
      <w:r w:rsidRPr="00C317BB" w:rsidR="004848E9">
        <w:rPr>
          <w:rFonts w:cs="Times New Roman"/>
          <w:color w:val="000000" w:themeColor="text1"/>
          <w:szCs w:val="24"/>
        </w:rPr>
        <w:t>.</w:t>
      </w:r>
    </w:p>
    <w:p w:rsidRPr="00C317BB" w:rsidR="00931C22" w:rsidP="00F27167" w:rsidRDefault="00931C22" w14:paraId="5C583248" w14:textId="08CD380D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F432D">
        <w:rPr>
          <w:rFonts w:cs="Times New Roman"/>
          <w:color w:val="000000" w:themeColor="text1"/>
          <w:szCs w:val="24"/>
        </w:rPr>
        <w:t>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6</w:t>
      </w:r>
      <w:r w:rsidRPr="00C317BB" w:rsidR="002B6DD7">
        <w:rPr>
          <w:rFonts w:cs="Times New Roman"/>
          <w:color w:val="000000" w:themeColor="text1"/>
          <w:szCs w:val="24"/>
        </w:rPr>
        <w:t>(c)</w:t>
      </w:r>
      <w:r w:rsidRPr="00C317BB">
        <w:rPr>
          <w:rFonts w:cs="Times New Roman"/>
          <w:color w:val="000000" w:themeColor="text1"/>
          <w:szCs w:val="24"/>
        </w:rPr>
        <w:t>(2)(C)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requires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Pr="00C317BB" w:rsidR="007A356D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95AD2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95AD2">
        <w:rPr>
          <w:rFonts w:cs="Times New Roman"/>
          <w:color w:val="000000" w:themeColor="text1"/>
          <w:szCs w:val="24"/>
        </w:rPr>
        <w:t>deciding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95AD2">
        <w:rPr>
          <w:rFonts w:cs="Times New Roman"/>
          <w:color w:val="000000" w:themeColor="text1"/>
          <w:szCs w:val="24"/>
        </w:rPr>
        <w:t>whether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95AD2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95AD2">
        <w:rPr>
          <w:rFonts w:cs="Times New Roman"/>
          <w:color w:val="000000" w:themeColor="text1"/>
          <w:szCs w:val="24"/>
        </w:rPr>
        <w:t>prohibit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95AD2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95AD2">
        <w:rPr>
          <w:rFonts w:cs="Times New Roman"/>
          <w:color w:val="000000" w:themeColor="text1"/>
          <w:szCs w:val="24"/>
        </w:rPr>
        <w:t>restrict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95AD2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95AD2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95AD2">
        <w:rPr>
          <w:rFonts w:cs="Times New Roman"/>
          <w:color w:val="000000" w:themeColor="text1"/>
          <w:szCs w:val="24"/>
        </w:rPr>
        <w:t>manner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95AD2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95AD2">
        <w:rPr>
          <w:rFonts w:cs="Times New Roman"/>
          <w:color w:val="000000" w:themeColor="text1"/>
          <w:szCs w:val="24"/>
        </w:rPr>
        <w:t>substantially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95AD2">
        <w:rPr>
          <w:rFonts w:cs="Times New Roman"/>
          <w:color w:val="000000" w:themeColor="text1"/>
          <w:szCs w:val="24"/>
        </w:rPr>
        <w:t>prevents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95AD2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95AD2">
        <w:rPr>
          <w:rFonts w:cs="Times New Roman"/>
          <w:color w:val="000000" w:themeColor="text1"/>
          <w:szCs w:val="24"/>
        </w:rPr>
        <w:t>specific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95AD2">
        <w:rPr>
          <w:rFonts w:cs="Times New Roman"/>
          <w:color w:val="000000" w:themeColor="text1"/>
          <w:szCs w:val="24"/>
        </w:rPr>
        <w:t>condition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95AD2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95AD2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95AD2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95AD2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95AD2">
        <w:rPr>
          <w:rFonts w:cs="Times New Roman"/>
          <w:color w:val="000000" w:themeColor="text1"/>
          <w:szCs w:val="24"/>
        </w:rPr>
        <w:t>setting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95AD2">
        <w:rPr>
          <w:rFonts w:cs="Times New Roman"/>
          <w:color w:val="000000" w:themeColor="text1"/>
          <w:szCs w:val="24"/>
        </w:rPr>
        <w:t>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95AD2">
        <w:rPr>
          <w:rFonts w:cs="Times New Roman"/>
          <w:color w:val="000000" w:themeColor="text1"/>
          <w:szCs w:val="24"/>
        </w:rPr>
        <w:t>appropriate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95AD2">
        <w:rPr>
          <w:rFonts w:cs="Times New Roman"/>
          <w:color w:val="000000" w:themeColor="text1"/>
          <w:szCs w:val="24"/>
        </w:rPr>
        <w:t>transition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95AD2">
        <w:rPr>
          <w:rFonts w:cs="Times New Roman"/>
          <w:color w:val="000000" w:themeColor="text1"/>
          <w:szCs w:val="24"/>
        </w:rPr>
        <w:t>period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95AD2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95AD2">
        <w:rPr>
          <w:rFonts w:cs="Times New Roman"/>
          <w:color w:val="000000" w:themeColor="text1"/>
          <w:szCs w:val="24"/>
        </w:rPr>
        <w:t>such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95AD2">
        <w:rPr>
          <w:rFonts w:cs="Times New Roman"/>
          <w:color w:val="000000" w:themeColor="text1"/>
          <w:szCs w:val="24"/>
        </w:rPr>
        <w:t>action,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considers,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extent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practicable,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whether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technically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economically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feasible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alternatives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benefit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health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environment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15006">
        <w:rPr>
          <w:rFonts w:cs="Times New Roman"/>
          <w:color w:val="000000" w:themeColor="text1"/>
          <w:szCs w:val="24"/>
        </w:rPr>
        <w:t>will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15006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reasonably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avai</w:t>
      </w:r>
      <w:r w:rsidRPr="00C317BB" w:rsidR="00A827D2">
        <w:rPr>
          <w:rFonts w:cs="Times New Roman"/>
          <w:color w:val="000000" w:themeColor="text1"/>
          <w:szCs w:val="24"/>
        </w:rPr>
        <w:t>lable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27D2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15006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27D2">
        <w:rPr>
          <w:rFonts w:cs="Times New Roman"/>
          <w:color w:val="000000" w:themeColor="text1"/>
          <w:szCs w:val="24"/>
        </w:rPr>
        <w:t>substitute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15006">
        <w:rPr>
          <w:rFonts w:cs="Times New Roman"/>
          <w:color w:val="000000" w:themeColor="text1"/>
          <w:szCs w:val="24"/>
        </w:rPr>
        <w:t>when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15006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15006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15006">
        <w:rPr>
          <w:rFonts w:cs="Times New Roman"/>
          <w:color w:val="000000" w:themeColor="text1"/>
          <w:szCs w:val="24"/>
        </w:rPr>
        <w:t>prohibition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15006">
        <w:rPr>
          <w:rFonts w:cs="Times New Roman"/>
          <w:color w:val="000000" w:themeColor="text1"/>
          <w:szCs w:val="24"/>
        </w:rPr>
        <w:t>o</w:t>
      </w:r>
      <w:r w:rsidRPr="00C317BB" w:rsidR="5D77D8BF">
        <w:rPr>
          <w:rFonts w:cs="Times New Roman"/>
          <w:color w:val="000000" w:themeColor="text1"/>
          <w:szCs w:val="24"/>
        </w:rPr>
        <w:t>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15006">
        <w:rPr>
          <w:rFonts w:cs="Times New Roman"/>
          <w:color w:val="000000" w:themeColor="text1"/>
          <w:szCs w:val="24"/>
        </w:rPr>
        <w:t>restriction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15006">
        <w:rPr>
          <w:rFonts w:cs="Times New Roman"/>
          <w:color w:val="000000" w:themeColor="text1"/>
          <w:szCs w:val="24"/>
        </w:rPr>
        <w:t>takes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15006">
        <w:rPr>
          <w:rFonts w:cs="Times New Roman"/>
          <w:color w:val="000000" w:themeColor="text1"/>
          <w:szCs w:val="24"/>
        </w:rPr>
        <w:t>effect</w:t>
      </w:r>
      <w:r w:rsidRPr="00C317BB" w:rsidR="00A827D2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27D2">
        <w:rPr>
          <w:rFonts w:cs="Times New Roman"/>
          <w:color w:val="000000" w:themeColor="text1"/>
          <w:szCs w:val="24"/>
        </w:rPr>
        <w:t>Unit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27D2">
        <w:rPr>
          <w:rFonts w:cs="Times New Roman"/>
          <w:color w:val="000000" w:themeColor="text1"/>
          <w:szCs w:val="24"/>
        </w:rPr>
        <w:t>III.B.</w:t>
      </w:r>
      <w:r w:rsidRPr="00C317BB" w:rsidR="009F432D">
        <w:rPr>
          <w:rFonts w:cs="Times New Roman"/>
          <w:color w:val="000000" w:themeColor="text1"/>
          <w:szCs w:val="24"/>
        </w:rPr>
        <w:t>4</w:t>
      </w:r>
      <w:r w:rsidRPr="00C317BB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includes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more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information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regarding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EPA’s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66B6D">
        <w:rPr>
          <w:rFonts w:cs="Times New Roman"/>
          <w:color w:val="000000" w:themeColor="text1"/>
          <w:szCs w:val="24"/>
        </w:rPr>
        <w:t>consideration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66B6D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66B6D">
        <w:rPr>
          <w:rFonts w:cs="Times New Roman"/>
          <w:color w:val="000000" w:themeColor="text1"/>
          <w:szCs w:val="24"/>
        </w:rPr>
        <w:t>alternatives</w:t>
      </w:r>
      <w:r w:rsidRPr="00C317BB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280EE8" w:rsidP="00F27167" w:rsidRDefault="00280EE8" w14:paraId="0BD5F041" w14:textId="34D7A80B">
      <w:pPr>
        <w:pStyle w:val="Heading3"/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1.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Consultations</w:t>
      </w:r>
      <w:r w:rsidRPr="00C317BB" w:rsidR="00FF2D57">
        <w:rPr>
          <w:rFonts w:cs="Times New Roman"/>
          <w:color w:val="000000" w:themeColor="text1"/>
          <w:szCs w:val="24"/>
        </w:rPr>
        <w:t>.</w:t>
      </w:r>
    </w:p>
    <w:p w:rsidRPr="00C317BB" w:rsidR="007A705B" w:rsidP="00F27167" w:rsidRDefault="00DC363E" w14:paraId="0C246AF0" w14:textId="7630D5B9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conducted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consultations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outreach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preparing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regulatory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action.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803F1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803F1">
        <w:rPr>
          <w:rFonts w:cs="Times New Roman"/>
          <w:color w:val="000000" w:themeColor="text1"/>
          <w:szCs w:val="24"/>
        </w:rPr>
        <w:t>Agency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F5F7C">
        <w:rPr>
          <w:rFonts w:cs="Times New Roman"/>
          <w:color w:val="000000" w:themeColor="text1"/>
          <w:szCs w:val="24"/>
        </w:rPr>
        <w:t>held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F5F7C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F5F7C">
        <w:rPr>
          <w:rFonts w:cs="Times New Roman"/>
          <w:color w:val="000000" w:themeColor="text1"/>
          <w:szCs w:val="24"/>
        </w:rPr>
        <w:t>federalism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F5F7C">
        <w:rPr>
          <w:rFonts w:cs="Times New Roman"/>
          <w:color w:val="000000" w:themeColor="text1"/>
          <w:szCs w:val="24"/>
        </w:rPr>
        <w:t>consultation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F5F7C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F5F7C">
        <w:rPr>
          <w:rFonts w:cs="Times New Roman"/>
          <w:color w:val="000000" w:themeColor="text1"/>
          <w:szCs w:val="24"/>
        </w:rPr>
        <w:t>May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F5F7C">
        <w:rPr>
          <w:rFonts w:cs="Times New Roman"/>
          <w:color w:val="000000" w:themeColor="text1"/>
          <w:szCs w:val="24"/>
        </w:rPr>
        <w:t>13,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F5F7C">
        <w:rPr>
          <w:rFonts w:cs="Times New Roman"/>
          <w:color w:val="000000" w:themeColor="text1"/>
          <w:szCs w:val="24"/>
        </w:rPr>
        <w:t>2021</w:t>
      </w:r>
      <w:r w:rsidRPr="00C317BB" w:rsidR="00F164A9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C6333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C6333">
        <w:rPr>
          <w:rFonts w:cs="Times New Roman"/>
          <w:color w:val="000000" w:themeColor="text1"/>
          <w:szCs w:val="24"/>
        </w:rPr>
        <w:t>part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C6333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C6333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C6333">
        <w:rPr>
          <w:rFonts w:cs="Times New Roman"/>
          <w:color w:val="000000" w:themeColor="text1"/>
          <w:szCs w:val="24"/>
        </w:rPr>
        <w:t>rulemaking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C6333">
        <w:rPr>
          <w:rFonts w:cs="Times New Roman"/>
          <w:color w:val="000000" w:themeColor="text1"/>
          <w:szCs w:val="24"/>
        </w:rPr>
        <w:t>process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C6333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C6333">
        <w:rPr>
          <w:rFonts w:cs="Times New Roman"/>
          <w:color w:val="000000" w:themeColor="text1"/>
          <w:szCs w:val="24"/>
        </w:rPr>
        <w:t>pursuant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C6333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C6333">
        <w:rPr>
          <w:rFonts w:cs="Times New Roman"/>
          <w:color w:val="000000" w:themeColor="text1"/>
          <w:szCs w:val="24"/>
        </w:rPr>
        <w:t>Executive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C6333">
        <w:rPr>
          <w:rFonts w:cs="Times New Roman"/>
          <w:color w:val="000000" w:themeColor="text1"/>
          <w:szCs w:val="24"/>
        </w:rPr>
        <w:t>Order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C6333">
        <w:rPr>
          <w:rFonts w:cs="Times New Roman"/>
          <w:color w:val="000000" w:themeColor="text1"/>
          <w:szCs w:val="24"/>
        </w:rPr>
        <w:t>13132</w:t>
      </w:r>
      <w:r w:rsidRPr="00C317BB" w:rsidR="00CF5F7C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F5F7C">
        <w:rPr>
          <w:rFonts w:cs="Times New Roman"/>
          <w:color w:val="000000" w:themeColor="text1"/>
          <w:szCs w:val="24"/>
        </w:rPr>
        <w:t>During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F5F7C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F5F7C">
        <w:rPr>
          <w:rFonts w:cs="Times New Roman"/>
          <w:color w:val="000000" w:themeColor="text1"/>
          <w:szCs w:val="24"/>
        </w:rPr>
        <w:t>consultation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B6900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F5F7C">
        <w:rPr>
          <w:rFonts w:cs="Times New Roman"/>
          <w:color w:val="000000" w:themeColor="text1"/>
          <w:szCs w:val="24"/>
        </w:rPr>
        <w:t>met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B6900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B6900">
        <w:rPr>
          <w:rFonts w:cs="Times New Roman"/>
          <w:color w:val="000000" w:themeColor="text1"/>
          <w:szCs w:val="24"/>
        </w:rPr>
        <w:t>state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B6900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B6900">
        <w:rPr>
          <w:rFonts w:cs="Times New Roman"/>
          <w:color w:val="000000" w:themeColor="text1"/>
          <w:szCs w:val="24"/>
        </w:rPr>
        <w:t>local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B6900">
        <w:rPr>
          <w:rFonts w:cs="Times New Roman"/>
          <w:color w:val="000000" w:themeColor="text1"/>
          <w:szCs w:val="24"/>
        </w:rPr>
        <w:t>officials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B6900">
        <w:rPr>
          <w:rFonts w:cs="Times New Roman"/>
          <w:color w:val="000000" w:themeColor="text1"/>
          <w:szCs w:val="24"/>
        </w:rPr>
        <w:t>early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B6900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B6900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B6900">
        <w:rPr>
          <w:rFonts w:cs="Times New Roman"/>
          <w:color w:val="000000" w:themeColor="text1"/>
          <w:szCs w:val="24"/>
        </w:rPr>
        <w:t>process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B6900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B6900">
        <w:rPr>
          <w:rFonts w:cs="Times New Roman"/>
          <w:color w:val="000000" w:themeColor="text1"/>
          <w:szCs w:val="24"/>
        </w:rPr>
        <w:t>developing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B6900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B6900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B6900">
        <w:rPr>
          <w:rFonts w:cs="Times New Roman"/>
          <w:color w:val="000000" w:themeColor="text1"/>
          <w:szCs w:val="24"/>
        </w:rPr>
        <w:t>action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B6900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B6900">
        <w:rPr>
          <w:rFonts w:cs="Times New Roman"/>
          <w:color w:val="000000" w:themeColor="text1"/>
          <w:szCs w:val="24"/>
        </w:rPr>
        <w:t>permit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B6900">
        <w:rPr>
          <w:rFonts w:cs="Times New Roman"/>
          <w:color w:val="000000" w:themeColor="text1"/>
          <w:szCs w:val="24"/>
        </w:rPr>
        <w:t>them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B6900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B6900">
        <w:rPr>
          <w:rFonts w:cs="Times New Roman"/>
          <w:color w:val="000000" w:themeColor="text1"/>
          <w:szCs w:val="24"/>
        </w:rPr>
        <w:t>have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B6900">
        <w:rPr>
          <w:rFonts w:cs="Times New Roman"/>
          <w:color w:val="000000" w:themeColor="text1"/>
          <w:szCs w:val="24"/>
        </w:rPr>
        <w:t>meaningful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B6900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B6900">
        <w:rPr>
          <w:rFonts w:cs="Times New Roman"/>
          <w:color w:val="000000" w:themeColor="text1"/>
          <w:szCs w:val="24"/>
        </w:rPr>
        <w:t>timely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B6900">
        <w:rPr>
          <w:rFonts w:cs="Times New Roman"/>
          <w:color w:val="000000" w:themeColor="text1"/>
          <w:szCs w:val="24"/>
        </w:rPr>
        <w:t>input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B6900">
        <w:rPr>
          <w:rFonts w:cs="Times New Roman"/>
          <w:color w:val="000000" w:themeColor="text1"/>
          <w:szCs w:val="24"/>
        </w:rPr>
        <w:t>into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B6900">
        <w:rPr>
          <w:rFonts w:cs="Times New Roman"/>
          <w:color w:val="000000" w:themeColor="text1"/>
          <w:szCs w:val="24"/>
        </w:rPr>
        <w:t>its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B6900">
        <w:rPr>
          <w:rFonts w:cs="Times New Roman"/>
          <w:color w:val="000000" w:themeColor="text1"/>
          <w:szCs w:val="24"/>
        </w:rPr>
        <w:t>development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173E7">
        <w:rPr>
          <w:rFonts w:cs="Times New Roman"/>
          <w:color w:val="000000" w:themeColor="text1"/>
          <w:szCs w:val="24"/>
        </w:rPr>
        <w:t>(Ref.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04A32">
        <w:rPr>
          <w:rFonts w:cs="Times New Roman"/>
          <w:color w:val="000000" w:themeColor="text1"/>
          <w:szCs w:val="24"/>
        </w:rPr>
        <w:t>7</w:t>
      </w:r>
      <w:r w:rsidRPr="00C317BB" w:rsidR="00D173E7">
        <w:rPr>
          <w:rFonts w:cs="Times New Roman"/>
          <w:color w:val="000000" w:themeColor="text1"/>
          <w:szCs w:val="24"/>
        </w:rPr>
        <w:t>)</w:t>
      </w:r>
      <w:r w:rsidRPr="00C317BB" w:rsidR="00FB6900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5303F">
        <w:rPr>
          <w:rFonts w:cs="Times New Roman"/>
          <w:color w:val="000000" w:themeColor="text1"/>
          <w:szCs w:val="24"/>
        </w:rPr>
        <w:t>During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5303F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5303F">
        <w:rPr>
          <w:rFonts w:cs="Times New Roman"/>
          <w:color w:val="000000" w:themeColor="text1"/>
          <w:szCs w:val="24"/>
        </w:rPr>
        <w:t>consultation,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5C20">
        <w:rPr>
          <w:rFonts w:cs="Times New Roman"/>
          <w:color w:val="000000" w:themeColor="text1"/>
          <w:szCs w:val="24"/>
        </w:rPr>
        <w:t>participants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5C20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5303F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5C20">
        <w:rPr>
          <w:rFonts w:cs="Times New Roman"/>
          <w:color w:val="000000" w:themeColor="text1"/>
          <w:szCs w:val="24"/>
        </w:rPr>
        <w:t>discussed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5C20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5C20">
        <w:rPr>
          <w:rFonts w:cs="Times New Roman"/>
          <w:color w:val="000000" w:themeColor="text1"/>
          <w:szCs w:val="24"/>
        </w:rPr>
        <w:t>authority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5C20">
        <w:rPr>
          <w:rFonts w:cs="Times New Roman"/>
          <w:color w:val="000000" w:themeColor="text1"/>
          <w:szCs w:val="24"/>
        </w:rPr>
        <w:t>given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5C20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5C20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5C20">
        <w:rPr>
          <w:rFonts w:cs="Times New Roman"/>
          <w:color w:val="000000" w:themeColor="text1"/>
          <w:szCs w:val="24"/>
        </w:rPr>
        <w:t>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5C20">
        <w:rPr>
          <w:rFonts w:cs="Times New Roman"/>
          <w:color w:val="000000" w:themeColor="text1"/>
          <w:szCs w:val="24"/>
        </w:rPr>
        <w:t>6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5C20">
        <w:rPr>
          <w:rFonts w:cs="Times New Roman"/>
          <w:color w:val="000000" w:themeColor="text1"/>
          <w:szCs w:val="24"/>
        </w:rPr>
        <w:t>regarding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5303F">
        <w:rPr>
          <w:rFonts w:cs="Times New Roman"/>
          <w:color w:val="000000" w:themeColor="text1"/>
          <w:szCs w:val="24"/>
        </w:rPr>
        <w:t>prohibition,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5303F">
        <w:rPr>
          <w:rFonts w:cs="Times New Roman"/>
          <w:color w:val="000000" w:themeColor="text1"/>
          <w:szCs w:val="24"/>
        </w:rPr>
        <w:t>how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5303F">
        <w:rPr>
          <w:rFonts w:cs="Times New Roman"/>
          <w:color w:val="000000" w:themeColor="text1"/>
          <w:szCs w:val="24"/>
        </w:rPr>
        <w:t>alternatives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55C0">
        <w:rPr>
          <w:rFonts w:cs="Times New Roman"/>
          <w:color w:val="000000" w:themeColor="text1"/>
          <w:szCs w:val="24"/>
        </w:rPr>
        <w:t>may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5303F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5303F">
        <w:rPr>
          <w:rFonts w:cs="Times New Roman"/>
          <w:color w:val="000000" w:themeColor="text1"/>
          <w:szCs w:val="24"/>
        </w:rPr>
        <w:t>treated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5303F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5303F">
        <w:rPr>
          <w:rFonts w:cs="Times New Roman"/>
          <w:color w:val="000000" w:themeColor="text1"/>
          <w:szCs w:val="24"/>
        </w:rPr>
        <w:t>rulemaking,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5303F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5303F">
        <w:rPr>
          <w:rFonts w:cs="Times New Roman"/>
          <w:color w:val="000000" w:themeColor="text1"/>
          <w:szCs w:val="24"/>
        </w:rPr>
        <w:t>which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5303F">
        <w:rPr>
          <w:rFonts w:cs="Times New Roman"/>
          <w:color w:val="000000" w:themeColor="text1"/>
          <w:szCs w:val="24"/>
        </w:rPr>
        <w:t>activities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5303F">
        <w:rPr>
          <w:rFonts w:cs="Times New Roman"/>
          <w:color w:val="000000" w:themeColor="text1"/>
          <w:szCs w:val="24"/>
        </w:rPr>
        <w:t>would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5303F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5303F">
        <w:rPr>
          <w:rFonts w:cs="Times New Roman"/>
          <w:color w:val="000000" w:themeColor="text1"/>
          <w:szCs w:val="24"/>
        </w:rPr>
        <w:t>potentially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5303F">
        <w:rPr>
          <w:rFonts w:cs="Times New Roman"/>
          <w:color w:val="000000" w:themeColor="text1"/>
          <w:szCs w:val="24"/>
        </w:rPr>
        <w:t>regulated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5303F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5303F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5303F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5303F">
        <w:rPr>
          <w:rFonts w:cs="Times New Roman"/>
          <w:color w:val="000000" w:themeColor="text1"/>
          <w:szCs w:val="24"/>
        </w:rPr>
        <w:t>rule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95E01">
        <w:rPr>
          <w:rFonts w:cs="Times New Roman"/>
          <w:color w:val="000000" w:themeColor="text1"/>
          <w:szCs w:val="24"/>
        </w:rPr>
        <w:t>(Ref.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04A32">
        <w:rPr>
          <w:rFonts w:cs="Times New Roman"/>
          <w:color w:val="000000" w:themeColor="text1"/>
          <w:szCs w:val="24"/>
        </w:rPr>
        <w:t>7</w:t>
      </w:r>
      <w:r w:rsidRPr="00C317BB" w:rsidR="00995E01">
        <w:rPr>
          <w:rFonts w:cs="Times New Roman"/>
          <w:color w:val="000000" w:themeColor="text1"/>
          <w:szCs w:val="24"/>
        </w:rPr>
        <w:t>)</w:t>
      </w:r>
      <w:r w:rsidRPr="00C317BB" w:rsidR="009D0EF4">
        <w:rPr>
          <w:rFonts w:cs="Times New Roman"/>
          <w:color w:val="000000" w:themeColor="text1"/>
          <w:szCs w:val="24"/>
        </w:rPr>
        <w:t>.</w:t>
      </w:r>
    </w:p>
    <w:p w:rsidRPr="00C317BB" w:rsidR="004771A2" w:rsidP="00F27167" w:rsidRDefault="00116144" w14:paraId="0CED670E" w14:textId="4A840248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24,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2021</w:t>
      </w:r>
      <w:r w:rsidRPr="00C317BB" w:rsidR="00F164A9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June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3,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2021,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held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tribal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consultations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Part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1: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Tribal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officials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were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given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opportunity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meaningfully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interact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managers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10865">
        <w:rPr>
          <w:rFonts w:cs="Times New Roman"/>
          <w:color w:val="000000" w:themeColor="text1"/>
          <w:szCs w:val="24"/>
        </w:rPr>
        <w:t>concerning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10865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10865">
        <w:rPr>
          <w:rFonts w:cs="Times New Roman"/>
          <w:color w:val="000000" w:themeColor="text1"/>
          <w:szCs w:val="24"/>
        </w:rPr>
        <w:t>current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10865">
        <w:rPr>
          <w:rFonts w:cs="Times New Roman"/>
          <w:color w:val="000000" w:themeColor="text1"/>
          <w:szCs w:val="24"/>
        </w:rPr>
        <w:t>status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10865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10865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10865">
        <w:rPr>
          <w:rFonts w:cs="Times New Roman"/>
          <w:color w:val="000000" w:themeColor="text1"/>
          <w:szCs w:val="24"/>
        </w:rPr>
        <w:t>management.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73B08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73B08">
        <w:rPr>
          <w:rFonts w:cs="Times New Roman"/>
          <w:color w:val="000000" w:themeColor="text1"/>
          <w:szCs w:val="24"/>
        </w:rPr>
        <w:t>received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73B08">
        <w:rPr>
          <w:rFonts w:cs="Times New Roman"/>
          <w:color w:val="000000" w:themeColor="text1"/>
          <w:szCs w:val="24"/>
        </w:rPr>
        <w:t>questions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73B08">
        <w:rPr>
          <w:rFonts w:cs="Times New Roman"/>
          <w:color w:val="000000" w:themeColor="text1"/>
          <w:szCs w:val="24"/>
        </w:rPr>
        <w:t>during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73B08">
        <w:rPr>
          <w:rFonts w:cs="Times New Roman"/>
          <w:color w:val="000000" w:themeColor="text1"/>
          <w:szCs w:val="24"/>
        </w:rPr>
        <w:t>both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164A9">
        <w:rPr>
          <w:rFonts w:cs="Times New Roman"/>
          <w:color w:val="000000" w:themeColor="text1"/>
          <w:szCs w:val="24"/>
        </w:rPr>
        <w:t>meetings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164A9">
        <w:rPr>
          <w:rFonts w:cs="Times New Roman"/>
          <w:color w:val="000000" w:themeColor="text1"/>
          <w:szCs w:val="24"/>
        </w:rPr>
        <w:t>held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164A9">
        <w:rPr>
          <w:rFonts w:cs="Times New Roman"/>
          <w:color w:val="000000" w:themeColor="text1"/>
          <w:szCs w:val="24"/>
        </w:rPr>
        <w:t>during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164A9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164A9">
        <w:rPr>
          <w:rFonts w:cs="Times New Roman"/>
          <w:color w:val="000000" w:themeColor="text1"/>
          <w:szCs w:val="24"/>
        </w:rPr>
        <w:t>consultation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164A9">
        <w:rPr>
          <w:rFonts w:cs="Times New Roman"/>
          <w:color w:val="000000" w:themeColor="text1"/>
          <w:szCs w:val="24"/>
        </w:rPr>
        <w:t>period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52885">
        <w:rPr>
          <w:rFonts w:cs="Times New Roman"/>
          <w:color w:val="000000" w:themeColor="text1"/>
          <w:szCs w:val="24"/>
        </w:rPr>
        <w:t>concerning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52885">
        <w:rPr>
          <w:rFonts w:cs="Times New Roman"/>
          <w:color w:val="000000" w:themeColor="text1"/>
          <w:szCs w:val="24"/>
        </w:rPr>
        <w:t>potential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52885">
        <w:rPr>
          <w:rFonts w:cs="Times New Roman"/>
          <w:color w:val="000000" w:themeColor="text1"/>
          <w:szCs w:val="24"/>
        </w:rPr>
        <w:t>risks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52885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52885">
        <w:rPr>
          <w:rFonts w:cs="Times New Roman"/>
          <w:color w:val="000000" w:themeColor="text1"/>
          <w:szCs w:val="24"/>
        </w:rPr>
        <w:t>workers,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52885">
        <w:rPr>
          <w:rFonts w:cs="Times New Roman"/>
          <w:color w:val="000000" w:themeColor="text1"/>
          <w:szCs w:val="24"/>
        </w:rPr>
        <w:t>consumers,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52885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52885">
        <w:rPr>
          <w:rFonts w:cs="Times New Roman"/>
          <w:color w:val="000000" w:themeColor="text1"/>
          <w:szCs w:val="24"/>
        </w:rPr>
        <w:t>general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52885">
        <w:rPr>
          <w:rFonts w:cs="Times New Roman"/>
          <w:color w:val="000000" w:themeColor="text1"/>
          <w:szCs w:val="24"/>
        </w:rPr>
        <w:t>population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173E7">
        <w:rPr>
          <w:rFonts w:cs="Times New Roman"/>
          <w:color w:val="000000" w:themeColor="text1"/>
          <w:szCs w:val="24"/>
        </w:rPr>
        <w:t>(Ref.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04A32">
        <w:rPr>
          <w:rFonts w:cs="Times New Roman"/>
          <w:color w:val="000000" w:themeColor="text1"/>
          <w:szCs w:val="24"/>
        </w:rPr>
        <w:t>8</w:t>
      </w:r>
      <w:r w:rsidRPr="00C317BB" w:rsidR="00D173E7">
        <w:rPr>
          <w:rFonts w:cs="Times New Roman"/>
          <w:color w:val="000000" w:themeColor="text1"/>
          <w:szCs w:val="24"/>
        </w:rPr>
        <w:t>)</w:t>
      </w:r>
      <w:r w:rsidRPr="00C317BB" w:rsidR="00FB6900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7F3286" w:rsidP="00F27167" w:rsidRDefault="001F74FD" w14:paraId="01E60F72" w14:textId="3AD8243A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also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conducted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outreach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20B58">
        <w:rPr>
          <w:rFonts w:cs="Times New Roman"/>
          <w:color w:val="000000" w:themeColor="text1"/>
          <w:szCs w:val="24"/>
        </w:rPr>
        <w:t>advocates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D7A67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communities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might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subject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disproportionate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such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minority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populations,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low-income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populations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indigenous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peoples.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5E09">
        <w:rPr>
          <w:rFonts w:cs="Times New Roman"/>
          <w:color w:val="000000" w:themeColor="text1"/>
          <w:szCs w:val="24"/>
        </w:rPr>
        <w:t>EPA’s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5E09">
        <w:rPr>
          <w:rFonts w:cs="Times New Roman"/>
          <w:color w:val="000000" w:themeColor="text1"/>
          <w:szCs w:val="24"/>
        </w:rPr>
        <w:t>environmental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5E09">
        <w:rPr>
          <w:rFonts w:cs="Times New Roman"/>
          <w:color w:val="000000" w:themeColor="text1"/>
          <w:szCs w:val="24"/>
        </w:rPr>
        <w:t>justice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5E09">
        <w:rPr>
          <w:rFonts w:cs="Times New Roman"/>
          <w:color w:val="000000" w:themeColor="text1"/>
          <w:szCs w:val="24"/>
        </w:rPr>
        <w:t>(EJ)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5E09">
        <w:rPr>
          <w:rFonts w:cs="Times New Roman"/>
          <w:color w:val="000000" w:themeColor="text1"/>
          <w:szCs w:val="24"/>
        </w:rPr>
        <w:t>consultation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5E09">
        <w:rPr>
          <w:rFonts w:cs="Times New Roman"/>
          <w:color w:val="000000" w:themeColor="text1"/>
          <w:szCs w:val="24"/>
        </w:rPr>
        <w:t>occurred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5E09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95E01">
        <w:rPr>
          <w:rFonts w:cs="Times New Roman"/>
          <w:color w:val="000000" w:themeColor="text1"/>
          <w:szCs w:val="24"/>
        </w:rPr>
        <w:t>June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95E01">
        <w:rPr>
          <w:rFonts w:cs="Times New Roman"/>
          <w:color w:val="000000" w:themeColor="text1"/>
          <w:szCs w:val="24"/>
        </w:rPr>
        <w:t>1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5E09">
        <w:rPr>
          <w:rFonts w:cs="Times New Roman"/>
          <w:color w:val="000000" w:themeColor="text1"/>
          <w:szCs w:val="24"/>
        </w:rPr>
        <w:t>through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5E09">
        <w:rPr>
          <w:rFonts w:cs="Times New Roman"/>
          <w:color w:val="000000" w:themeColor="text1"/>
          <w:szCs w:val="24"/>
        </w:rPr>
        <w:t>August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5E09">
        <w:rPr>
          <w:rFonts w:cs="Times New Roman"/>
          <w:color w:val="000000" w:themeColor="text1"/>
          <w:szCs w:val="24"/>
        </w:rPr>
        <w:t>13</w:t>
      </w:r>
      <w:r w:rsidRPr="00C317BB" w:rsidR="00995E01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95E01">
        <w:rPr>
          <w:rFonts w:cs="Times New Roman"/>
          <w:color w:val="000000" w:themeColor="text1"/>
          <w:szCs w:val="24"/>
        </w:rPr>
        <w:t>2021</w:t>
      </w:r>
      <w:r w:rsidRPr="00C317BB" w:rsidR="007F5E09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5E09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95E01">
        <w:rPr>
          <w:rFonts w:cs="Times New Roman"/>
          <w:color w:val="000000" w:themeColor="text1"/>
          <w:szCs w:val="24"/>
        </w:rPr>
        <w:t>June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5E09">
        <w:rPr>
          <w:rFonts w:cs="Times New Roman"/>
          <w:color w:val="000000" w:themeColor="text1"/>
          <w:szCs w:val="24"/>
        </w:rPr>
        <w:t>1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5E09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95E01">
        <w:rPr>
          <w:rFonts w:cs="Times New Roman"/>
          <w:color w:val="000000" w:themeColor="text1"/>
          <w:szCs w:val="24"/>
        </w:rPr>
        <w:t>9,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95E01">
        <w:rPr>
          <w:rFonts w:cs="Times New Roman"/>
          <w:color w:val="000000" w:themeColor="text1"/>
          <w:szCs w:val="24"/>
        </w:rPr>
        <w:t>2021,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95E01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95E01">
        <w:rPr>
          <w:rFonts w:cs="Times New Roman"/>
          <w:color w:val="000000" w:themeColor="text1"/>
          <w:szCs w:val="24"/>
        </w:rPr>
        <w:t>held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5E09">
        <w:rPr>
          <w:rFonts w:cs="Times New Roman"/>
          <w:color w:val="000000" w:themeColor="text1"/>
          <w:szCs w:val="24"/>
        </w:rPr>
        <w:t>public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5E09">
        <w:rPr>
          <w:rFonts w:cs="Times New Roman"/>
          <w:color w:val="000000" w:themeColor="text1"/>
          <w:szCs w:val="24"/>
        </w:rPr>
        <w:t>meetings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5E09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5E09">
        <w:rPr>
          <w:rFonts w:cs="Times New Roman"/>
          <w:color w:val="000000" w:themeColor="text1"/>
          <w:szCs w:val="24"/>
        </w:rPr>
        <w:t>part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5E09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5E09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95E01">
        <w:rPr>
          <w:rFonts w:cs="Times New Roman"/>
          <w:color w:val="000000" w:themeColor="text1"/>
          <w:szCs w:val="24"/>
        </w:rPr>
        <w:t>consultation.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932DF">
        <w:rPr>
          <w:rFonts w:cs="Times New Roman"/>
          <w:color w:val="000000" w:themeColor="text1"/>
          <w:szCs w:val="24"/>
        </w:rPr>
        <w:t>These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932DF">
        <w:rPr>
          <w:rFonts w:cs="Times New Roman"/>
          <w:color w:val="000000" w:themeColor="text1"/>
          <w:szCs w:val="24"/>
        </w:rPr>
        <w:t>meetings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932DF">
        <w:rPr>
          <w:rFonts w:cs="Times New Roman"/>
          <w:color w:val="000000" w:themeColor="text1"/>
          <w:szCs w:val="24"/>
        </w:rPr>
        <w:t>were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932DF">
        <w:rPr>
          <w:rFonts w:cs="Times New Roman"/>
          <w:color w:val="000000" w:themeColor="text1"/>
          <w:szCs w:val="24"/>
        </w:rPr>
        <w:t>held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932DF">
        <w:rPr>
          <w:rFonts w:cs="Times New Roman"/>
          <w:color w:val="000000" w:themeColor="text1"/>
          <w:szCs w:val="24"/>
        </w:rPr>
        <w:t>pursuant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932DF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932DF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932DF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932DF">
        <w:rPr>
          <w:rFonts w:cs="Times New Roman"/>
          <w:color w:val="000000" w:themeColor="text1"/>
          <w:szCs w:val="24"/>
        </w:rPr>
        <w:t>compliance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712F8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466E1">
        <w:rPr>
          <w:rFonts w:cs="Times New Roman"/>
          <w:color w:val="000000" w:themeColor="text1"/>
          <w:szCs w:val="24"/>
        </w:rPr>
        <w:t>Executive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466E1">
        <w:rPr>
          <w:rFonts w:cs="Times New Roman"/>
          <w:color w:val="000000" w:themeColor="text1"/>
          <w:szCs w:val="24"/>
        </w:rPr>
        <w:t>Orders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4048B">
        <w:rPr>
          <w:rFonts w:cs="Times New Roman"/>
          <w:color w:val="000000" w:themeColor="text1"/>
          <w:szCs w:val="24"/>
        </w:rPr>
        <w:t>12898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4048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4048B">
        <w:rPr>
          <w:rFonts w:cs="Times New Roman"/>
          <w:color w:val="000000" w:themeColor="text1"/>
          <w:szCs w:val="24"/>
        </w:rPr>
        <w:t>14008.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B0829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B0829">
        <w:rPr>
          <w:rFonts w:cs="Times New Roman"/>
          <w:color w:val="000000" w:themeColor="text1"/>
          <w:szCs w:val="24"/>
        </w:rPr>
        <w:t>received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B0829">
        <w:rPr>
          <w:rFonts w:cs="Times New Roman"/>
          <w:color w:val="000000" w:themeColor="text1"/>
          <w:szCs w:val="24"/>
        </w:rPr>
        <w:t>several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B0829">
        <w:rPr>
          <w:rFonts w:cs="Times New Roman"/>
          <w:color w:val="000000" w:themeColor="text1"/>
          <w:szCs w:val="24"/>
        </w:rPr>
        <w:t>comments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62CCE">
        <w:rPr>
          <w:rFonts w:cs="Times New Roman"/>
          <w:color w:val="000000" w:themeColor="text1"/>
          <w:szCs w:val="24"/>
        </w:rPr>
        <w:t>following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B0829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D0EF4">
        <w:rPr>
          <w:rFonts w:cs="Times New Roman"/>
          <w:color w:val="000000" w:themeColor="text1"/>
          <w:szCs w:val="24"/>
        </w:rPr>
        <w:t>EJ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B0829">
        <w:rPr>
          <w:rFonts w:cs="Times New Roman"/>
          <w:color w:val="000000" w:themeColor="text1"/>
          <w:szCs w:val="24"/>
        </w:rPr>
        <w:t>meetings.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62CCE">
        <w:rPr>
          <w:rFonts w:cs="Times New Roman"/>
          <w:color w:val="000000" w:themeColor="text1"/>
          <w:szCs w:val="24"/>
        </w:rPr>
        <w:t>Commenters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234E0">
        <w:rPr>
          <w:rFonts w:cs="Times New Roman"/>
          <w:color w:val="000000" w:themeColor="text1"/>
          <w:szCs w:val="24"/>
        </w:rPr>
        <w:t>expressed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234E0">
        <w:rPr>
          <w:rFonts w:cs="Times New Roman"/>
          <w:color w:val="000000" w:themeColor="text1"/>
          <w:szCs w:val="24"/>
        </w:rPr>
        <w:t>concern</w:t>
      </w:r>
      <w:r w:rsidRPr="00C317BB" w:rsidR="00B62CCE">
        <w:rPr>
          <w:rFonts w:cs="Times New Roman"/>
          <w:color w:val="000000" w:themeColor="text1"/>
          <w:szCs w:val="24"/>
        </w:rPr>
        <w:t>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234E0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234E0">
        <w:rPr>
          <w:rFonts w:cs="Times New Roman"/>
          <w:color w:val="000000" w:themeColor="text1"/>
          <w:szCs w:val="24"/>
        </w:rPr>
        <w:t>consumers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E720B">
        <w:rPr>
          <w:rFonts w:cs="Times New Roman"/>
          <w:color w:val="000000" w:themeColor="text1"/>
          <w:szCs w:val="24"/>
        </w:rPr>
        <w:t>who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E720B">
        <w:rPr>
          <w:rFonts w:cs="Times New Roman"/>
          <w:color w:val="000000" w:themeColor="text1"/>
          <w:szCs w:val="24"/>
        </w:rPr>
        <w:t>live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E720B">
        <w:rPr>
          <w:rFonts w:cs="Times New Roman"/>
          <w:color w:val="000000" w:themeColor="text1"/>
          <w:szCs w:val="24"/>
        </w:rPr>
        <w:t>near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E720B">
        <w:rPr>
          <w:rFonts w:cs="Times New Roman"/>
          <w:color w:val="000000" w:themeColor="text1"/>
          <w:szCs w:val="24"/>
        </w:rPr>
        <w:t>chlor-alkali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E720B">
        <w:rPr>
          <w:rFonts w:cs="Times New Roman"/>
          <w:color w:val="000000" w:themeColor="text1"/>
          <w:szCs w:val="24"/>
        </w:rPr>
        <w:t>facilities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234E0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234E0">
        <w:rPr>
          <w:rFonts w:cs="Times New Roman"/>
          <w:color w:val="000000" w:themeColor="text1"/>
          <w:szCs w:val="24"/>
        </w:rPr>
        <w:t>Do-It-Yourself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234E0">
        <w:rPr>
          <w:rFonts w:cs="Times New Roman"/>
          <w:color w:val="000000" w:themeColor="text1"/>
          <w:szCs w:val="24"/>
        </w:rPr>
        <w:t>(DIY)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234E0">
        <w:rPr>
          <w:rFonts w:cs="Times New Roman"/>
          <w:color w:val="000000" w:themeColor="text1"/>
          <w:szCs w:val="24"/>
        </w:rPr>
        <w:t>auto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234E0">
        <w:rPr>
          <w:rFonts w:cs="Times New Roman"/>
          <w:color w:val="000000" w:themeColor="text1"/>
          <w:szCs w:val="24"/>
        </w:rPr>
        <w:t>workers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84D6A">
        <w:rPr>
          <w:rFonts w:cs="Times New Roman"/>
          <w:color w:val="000000" w:themeColor="text1"/>
          <w:szCs w:val="24"/>
        </w:rPr>
        <w:t>could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E720B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E720B">
        <w:rPr>
          <w:rFonts w:cs="Times New Roman"/>
          <w:color w:val="000000" w:themeColor="text1"/>
          <w:szCs w:val="24"/>
        </w:rPr>
        <w:t>exposed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234E0">
        <w:rPr>
          <w:rFonts w:cs="Times New Roman"/>
          <w:color w:val="000000" w:themeColor="text1"/>
          <w:szCs w:val="24"/>
        </w:rPr>
        <w:t>unless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234E0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64673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234E0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234E0">
        <w:rPr>
          <w:rFonts w:cs="Times New Roman"/>
          <w:color w:val="000000" w:themeColor="text1"/>
          <w:szCs w:val="24"/>
        </w:rPr>
        <w:t>banned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07BDC">
        <w:rPr>
          <w:rFonts w:cs="Times New Roman"/>
          <w:color w:val="000000" w:themeColor="text1"/>
          <w:szCs w:val="24"/>
        </w:rPr>
        <w:t>(Ref.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E5DEE">
        <w:rPr>
          <w:rFonts w:cs="Times New Roman"/>
          <w:color w:val="000000" w:themeColor="text1"/>
          <w:szCs w:val="24"/>
        </w:rPr>
        <w:t>9</w:t>
      </w:r>
      <w:r w:rsidRPr="00C317BB" w:rsidR="00E07BDC">
        <w:rPr>
          <w:rFonts w:cs="Times New Roman"/>
          <w:color w:val="000000" w:themeColor="text1"/>
          <w:szCs w:val="24"/>
        </w:rPr>
        <w:t>).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FB6900" w:rsidP="00935FF7" w:rsidRDefault="00071985" w14:paraId="4F613EF0" w14:textId="39DAD647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Units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96D0B">
        <w:rPr>
          <w:rFonts w:cs="Times New Roman"/>
          <w:color w:val="000000" w:themeColor="text1"/>
          <w:szCs w:val="24"/>
        </w:rPr>
        <w:t>VIII.C.,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96D0B">
        <w:rPr>
          <w:rFonts w:cs="Times New Roman"/>
          <w:color w:val="000000" w:themeColor="text1"/>
          <w:szCs w:val="24"/>
        </w:rPr>
        <w:t>VIII.E</w:t>
      </w:r>
      <w:r w:rsidRPr="00C317BB" w:rsidR="00D007FA">
        <w:rPr>
          <w:rFonts w:cs="Times New Roman"/>
          <w:color w:val="000000" w:themeColor="text1"/>
          <w:szCs w:val="24"/>
        </w:rPr>
        <w:t>.</w:t>
      </w:r>
      <w:r w:rsidRPr="00C317BB" w:rsidR="00896D0B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96D0B">
        <w:rPr>
          <w:rFonts w:cs="Times New Roman"/>
          <w:color w:val="000000" w:themeColor="text1"/>
          <w:szCs w:val="24"/>
        </w:rPr>
        <w:t>VIII.F</w:t>
      </w:r>
      <w:r w:rsidRPr="00C317BB" w:rsidR="00D007FA">
        <w:rPr>
          <w:rFonts w:cs="Times New Roman"/>
          <w:color w:val="000000" w:themeColor="text1"/>
          <w:szCs w:val="24"/>
        </w:rPr>
        <w:t>.</w:t>
      </w:r>
      <w:r w:rsidRPr="00C317BB" w:rsidR="00896D0B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96D0B">
        <w:rPr>
          <w:rFonts w:cs="Times New Roman"/>
          <w:color w:val="000000" w:themeColor="text1"/>
          <w:szCs w:val="24"/>
        </w:rPr>
        <w:t>VIII.J</w:t>
      </w:r>
      <w:r w:rsidRPr="00C317BB" w:rsidR="00D007FA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B6900">
        <w:rPr>
          <w:rFonts w:cs="Times New Roman"/>
          <w:color w:val="000000" w:themeColor="text1"/>
          <w:szCs w:val="24"/>
        </w:rPr>
        <w:t>provide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B6900">
        <w:rPr>
          <w:rFonts w:cs="Times New Roman"/>
          <w:color w:val="000000" w:themeColor="text1"/>
          <w:szCs w:val="24"/>
        </w:rPr>
        <w:t>more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B6900">
        <w:rPr>
          <w:rFonts w:cs="Times New Roman"/>
          <w:color w:val="000000" w:themeColor="text1"/>
          <w:szCs w:val="24"/>
        </w:rPr>
        <w:t>information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B6900">
        <w:rPr>
          <w:rFonts w:cs="Times New Roman"/>
          <w:color w:val="000000" w:themeColor="text1"/>
          <w:szCs w:val="24"/>
        </w:rPr>
        <w:t>regarding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B6900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B6900">
        <w:rPr>
          <w:rFonts w:cs="Times New Roman"/>
          <w:color w:val="000000" w:themeColor="text1"/>
          <w:szCs w:val="24"/>
        </w:rPr>
        <w:t>consultations.</w:t>
      </w:r>
    </w:p>
    <w:p w:rsidRPr="00C317BB" w:rsidR="00280EE8" w:rsidP="00F27167" w:rsidRDefault="00280EE8" w14:paraId="278022F4" w14:textId="1A502AD6">
      <w:pPr>
        <w:pStyle w:val="Heading3"/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2.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stakeholder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consultations</w:t>
      </w:r>
      <w:r w:rsidRPr="00C317BB" w:rsidR="00FF2D57">
        <w:rPr>
          <w:rFonts w:cs="Times New Roman"/>
          <w:color w:val="000000" w:themeColor="text1"/>
          <w:szCs w:val="24"/>
        </w:rPr>
        <w:t>.</w:t>
      </w:r>
    </w:p>
    <w:p w:rsidRPr="00C317BB" w:rsidR="004F2A68" w:rsidP="00F27167" w:rsidRDefault="00415942" w14:paraId="4E1DB14C" w14:textId="465FEE2E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addition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consultations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described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96B6F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007FA">
        <w:rPr>
          <w:rFonts w:cs="Times New Roman"/>
          <w:color w:val="000000" w:themeColor="text1"/>
          <w:szCs w:val="24"/>
        </w:rPr>
        <w:t>Units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007FA">
        <w:rPr>
          <w:rFonts w:cs="Times New Roman"/>
          <w:color w:val="000000" w:themeColor="text1"/>
          <w:szCs w:val="24"/>
        </w:rPr>
        <w:t>VIII.C.,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007FA">
        <w:rPr>
          <w:rFonts w:cs="Times New Roman"/>
          <w:color w:val="000000" w:themeColor="text1"/>
          <w:szCs w:val="24"/>
        </w:rPr>
        <w:t>VIII.E.,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007FA">
        <w:rPr>
          <w:rFonts w:cs="Times New Roman"/>
          <w:color w:val="000000" w:themeColor="text1"/>
          <w:szCs w:val="24"/>
        </w:rPr>
        <w:t>VIII.F.,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5999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007FA">
        <w:rPr>
          <w:rFonts w:cs="Times New Roman"/>
          <w:color w:val="000000" w:themeColor="text1"/>
          <w:szCs w:val="24"/>
        </w:rPr>
        <w:t>VIII.J.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F2A68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B219A">
        <w:rPr>
          <w:rFonts w:cs="Times New Roman"/>
          <w:color w:val="000000" w:themeColor="text1"/>
          <w:szCs w:val="24"/>
        </w:rPr>
        <w:t>February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B219A">
        <w:rPr>
          <w:rFonts w:cs="Times New Roman"/>
          <w:color w:val="000000" w:themeColor="text1"/>
          <w:szCs w:val="24"/>
        </w:rPr>
        <w:t>3</w:t>
      </w:r>
      <w:r w:rsidRPr="00C317BB" w:rsidR="00A67BD4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F2A68">
        <w:rPr>
          <w:rFonts w:cs="Times New Roman"/>
          <w:color w:val="000000" w:themeColor="text1"/>
          <w:szCs w:val="24"/>
        </w:rPr>
        <w:t>202</w:t>
      </w:r>
      <w:r w:rsidRPr="00C317BB" w:rsidR="002B219A">
        <w:rPr>
          <w:rFonts w:cs="Times New Roman"/>
          <w:color w:val="000000" w:themeColor="text1"/>
          <w:szCs w:val="24"/>
        </w:rPr>
        <w:t>1</w:t>
      </w:r>
      <w:r w:rsidRPr="00C317BB" w:rsidR="004F2A68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F2A68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F2A68">
        <w:rPr>
          <w:rFonts w:cs="Times New Roman"/>
          <w:color w:val="000000" w:themeColor="text1"/>
          <w:szCs w:val="24"/>
        </w:rPr>
        <w:t>held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F2A68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2299F">
        <w:rPr>
          <w:rFonts w:cs="Times New Roman"/>
          <w:color w:val="000000" w:themeColor="text1"/>
          <w:szCs w:val="24"/>
        </w:rPr>
        <w:t>public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F2A68">
        <w:rPr>
          <w:rFonts w:cs="Times New Roman"/>
          <w:color w:val="000000" w:themeColor="text1"/>
          <w:szCs w:val="24"/>
        </w:rPr>
        <w:t>webinar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1429E">
        <w:rPr>
          <w:rFonts w:cs="Times New Roman"/>
          <w:color w:val="000000" w:themeColor="text1"/>
          <w:szCs w:val="24"/>
        </w:rPr>
        <w:t>(Ref.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1429E">
        <w:rPr>
          <w:rFonts w:cs="Times New Roman"/>
          <w:color w:val="000000" w:themeColor="text1"/>
          <w:szCs w:val="24"/>
        </w:rPr>
        <w:t>10)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1429E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1429E">
        <w:rPr>
          <w:rFonts w:cs="Times New Roman"/>
          <w:color w:val="000000" w:themeColor="text1"/>
          <w:szCs w:val="24"/>
        </w:rPr>
        <w:t>also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1429E">
        <w:rPr>
          <w:rFonts w:cs="Times New Roman"/>
          <w:color w:val="000000" w:themeColor="text1"/>
          <w:szCs w:val="24"/>
        </w:rPr>
        <w:t>attended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1429E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1429E">
        <w:rPr>
          <w:rFonts w:cs="Times New Roman"/>
          <w:color w:val="000000" w:themeColor="text1"/>
          <w:szCs w:val="24"/>
        </w:rPr>
        <w:t>Small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1429E">
        <w:rPr>
          <w:rFonts w:cs="Times New Roman"/>
          <w:color w:val="000000" w:themeColor="text1"/>
          <w:szCs w:val="24"/>
        </w:rPr>
        <w:t>Business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1429E">
        <w:rPr>
          <w:rFonts w:cs="Times New Roman"/>
          <w:color w:val="000000" w:themeColor="text1"/>
          <w:szCs w:val="24"/>
        </w:rPr>
        <w:t>Administration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1429E">
        <w:rPr>
          <w:rFonts w:cs="Times New Roman"/>
          <w:color w:val="000000" w:themeColor="text1"/>
          <w:szCs w:val="24"/>
        </w:rPr>
        <w:t>roundtable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1429E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1429E">
        <w:rPr>
          <w:rFonts w:cs="Times New Roman"/>
          <w:color w:val="000000" w:themeColor="text1"/>
          <w:szCs w:val="24"/>
        </w:rPr>
        <w:t>February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1429E">
        <w:rPr>
          <w:rFonts w:cs="Times New Roman"/>
          <w:color w:val="000000" w:themeColor="text1"/>
          <w:szCs w:val="24"/>
        </w:rPr>
        <w:t>5,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1429E">
        <w:rPr>
          <w:rFonts w:cs="Times New Roman"/>
          <w:color w:val="000000" w:themeColor="text1"/>
          <w:szCs w:val="24"/>
        </w:rPr>
        <w:t>2021,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1429E">
        <w:rPr>
          <w:rFonts w:cs="Times New Roman"/>
          <w:color w:val="000000" w:themeColor="text1"/>
          <w:szCs w:val="24"/>
        </w:rPr>
        <w:t>where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1429E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1429E">
        <w:rPr>
          <w:rFonts w:cs="Times New Roman"/>
          <w:color w:val="000000" w:themeColor="text1"/>
          <w:szCs w:val="24"/>
        </w:rPr>
        <w:t>staff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2299F">
        <w:rPr>
          <w:rFonts w:cs="Times New Roman"/>
          <w:color w:val="000000" w:themeColor="text1"/>
          <w:szCs w:val="24"/>
        </w:rPr>
        <w:t>provide</w:t>
      </w:r>
      <w:r w:rsidRPr="00C317BB" w:rsidR="0001429E">
        <w:rPr>
          <w:rFonts w:cs="Times New Roman"/>
          <w:color w:val="000000" w:themeColor="text1"/>
          <w:szCs w:val="24"/>
        </w:rPr>
        <w:t>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F2A68">
        <w:rPr>
          <w:rFonts w:cs="Times New Roman"/>
          <w:color w:val="000000" w:themeColor="text1"/>
          <w:szCs w:val="24"/>
        </w:rPr>
        <w:t>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F2A68">
        <w:rPr>
          <w:rFonts w:cs="Times New Roman"/>
          <w:color w:val="000000" w:themeColor="text1"/>
          <w:szCs w:val="24"/>
        </w:rPr>
        <w:t>overview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F2A68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F2A68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F2A68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F2A68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F2A68">
        <w:rPr>
          <w:rFonts w:cs="Times New Roman"/>
          <w:color w:val="000000" w:themeColor="text1"/>
          <w:szCs w:val="24"/>
        </w:rPr>
        <w:t>manag</w:t>
      </w:r>
      <w:r w:rsidRPr="00C317BB" w:rsidR="00CC590D">
        <w:rPr>
          <w:rFonts w:cs="Times New Roman"/>
          <w:color w:val="000000" w:themeColor="text1"/>
          <w:szCs w:val="24"/>
        </w:rPr>
        <w:t>e</w:t>
      </w:r>
      <w:r w:rsidRPr="00C317BB" w:rsidR="004F2A68">
        <w:rPr>
          <w:rFonts w:cs="Times New Roman"/>
          <w:color w:val="000000" w:themeColor="text1"/>
          <w:szCs w:val="24"/>
        </w:rPr>
        <w:t>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F2A68">
        <w:rPr>
          <w:rFonts w:cs="Times New Roman"/>
          <w:color w:val="000000" w:themeColor="text1"/>
          <w:szCs w:val="24"/>
        </w:rPr>
        <w:t>process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F2A68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F2A68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F2A68">
        <w:rPr>
          <w:rFonts w:cs="Times New Roman"/>
          <w:color w:val="000000" w:themeColor="text1"/>
          <w:szCs w:val="24"/>
        </w:rPr>
        <w:t>findings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F2A68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F2A68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01234">
        <w:rPr>
          <w:rFonts w:cs="Times New Roman"/>
          <w:color w:val="000000" w:themeColor="text1"/>
          <w:szCs w:val="24"/>
        </w:rPr>
        <w:t>Part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01234">
        <w:rPr>
          <w:rFonts w:cs="Times New Roman"/>
          <w:color w:val="000000" w:themeColor="text1"/>
          <w:szCs w:val="24"/>
        </w:rPr>
        <w:t>1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F2A68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F2A68">
        <w:rPr>
          <w:rFonts w:cs="Times New Roman"/>
          <w:color w:val="000000" w:themeColor="text1"/>
          <w:szCs w:val="24"/>
        </w:rPr>
        <w:t>evaluation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E6EA9">
        <w:rPr>
          <w:rFonts w:cs="Times New Roman"/>
          <w:szCs w:val="24"/>
        </w:rPr>
        <w:t>(</w:t>
      </w:r>
      <w:r w:rsidRPr="00C317BB" w:rsidR="004A3202">
        <w:rPr>
          <w:rFonts w:cs="Times New Roman"/>
          <w:szCs w:val="24"/>
        </w:rPr>
        <w:t>EPA-HQ-OPPT-2021-0057</w:t>
      </w:r>
      <w:r w:rsidRPr="00C317BB" w:rsidR="004A3202">
        <w:rPr>
          <w:rFonts w:cs="Times New Roman"/>
          <w:color w:val="000000" w:themeColor="text1"/>
          <w:szCs w:val="24"/>
        </w:rPr>
        <w:t>)</w:t>
      </w:r>
      <w:r w:rsidRPr="00C317BB" w:rsidR="008C56A6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C5ED4">
        <w:rPr>
          <w:rFonts w:cs="Times New Roman"/>
          <w:color w:val="000000" w:themeColor="text1"/>
          <w:szCs w:val="24"/>
        </w:rPr>
        <w:t>Attendees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1429E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1429E">
        <w:rPr>
          <w:rFonts w:cs="Times New Roman"/>
          <w:color w:val="000000" w:themeColor="text1"/>
          <w:szCs w:val="24"/>
        </w:rPr>
        <w:t>these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1429E">
        <w:rPr>
          <w:rFonts w:cs="Times New Roman"/>
          <w:color w:val="000000" w:themeColor="text1"/>
          <w:szCs w:val="24"/>
        </w:rPr>
        <w:t>meetings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C5ED4">
        <w:rPr>
          <w:rFonts w:cs="Times New Roman"/>
          <w:color w:val="000000" w:themeColor="text1"/>
          <w:szCs w:val="24"/>
        </w:rPr>
        <w:t>were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C5ED4">
        <w:rPr>
          <w:rFonts w:cs="Times New Roman"/>
          <w:color w:val="000000" w:themeColor="text1"/>
          <w:szCs w:val="24"/>
        </w:rPr>
        <w:t>given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C5ED4">
        <w:rPr>
          <w:rFonts w:cs="Times New Roman"/>
          <w:color w:val="000000" w:themeColor="text1"/>
          <w:szCs w:val="24"/>
        </w:rPr>
        <w:t>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C5ED4">
        <w:rPr>
          <w:rFonts w:cs="Times New Roman"/>
          <w:color w:val="000000" w:themeColor="text1"/>
          <w:szCs w:val="24"/>
        </w:rPr>
        <w:t>opportunity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C5ED4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C5ED4">
        <w:rPr>
          <w:rFonts w:cs="Times New Roman"/>
          <w:color w:val="000000" w:themeColor="text1"/>
          <w:szCs w:val="24"/>
        </w:rPr>
        <w:t>voice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C5ED4">
        <w:rPr>
          <w:rFonts w:cs="Times New Roman"/>
          <w:color w:val="000000" w:themeColor="text1"/>
          <w:szCs w:val="24"/>
        </w:rPr>
        <w:t>their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C5ED4">
        <w:rPr>
          <w:rFonts w:cs="Times New Roman"/>
          <w:color w:val="000000" w:themeColor="text1"/>
          <w:szCs w:val="24"/>
        </w:rPr>
        <w:t>concerns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C5ED4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C5ED4">
        <w:rPr>
          <w:rFonts w:cs="Times New Roman"/>
          <w:color w:val="000000" w:themeColor="text1"/>
          <w:szCs w:val="24"/>
        </w:rPr>
        <w:t>both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C5ED4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C5ED4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C5ED4">
        <w:rPr>
          <w:rFonts w:cs="Times New Roman"/>
          <w:color w:val="000000" w:themeColor="text1"/>
          <w:szCs w:val="24"/>
        </w:rPr>
        <w:t>evaluation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C5ED4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C5ED4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C5ED4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C5ED4">
        <w:rPr>
          <w:rFonts w:cs="Times New Roman"/>
          <w:color w:val="000000" w:themeColor="text1"/>
          <w:szCs w:val="24"/>
        </w:rPr>
        <w:t>management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C5ED4">
        <w:rPr>
          <w:rFonts w:cs="Times New Roman"/>
          <w:color w:val="000000" w:themeColor="text1"/>
          <w:szCs w:val="24"/>
        </w:rPr>
        <w:t>process.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415942" w:rsidP="00F27167" w:rsidRDefault="004F2A68" w14:paraId="1E3E0A86" w14:textId="5807CE78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Furthermore,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15942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15942">
        <w:rPr>
          <w:rFonts w:cs="Times New Roman"/>
          <w:color w:val="000000" w:themeColor="text1"/>
          <w:szCs w:val="24"/>
        </w:rPr>
        <w:t>engaged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15942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15942">
        <w:rPr>
          <w:rFonts w:cs="Times New Roman"/>
          <w:color w:val="000000" w:themeColor="text1"/>
          <w:szCs w:val="24"/>
        </w:rPr>
        <w:t>discussions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15942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91CD5">
        <w:rPr>
          <w:rFonts w:cs="Times New Roman"/>
          <w:color w:val="000000" w:themeColor="text1"/>
          <w:szCs w:val="24"/>
        </w:rPr>
        <w:t>industry,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91CD5">
        <w:rPr>
          <w:rFonts w:cs="Times New Roman"/>
          <w:color w:val="000000" w:themeColor="text1"/>
          <w:szCs w:val="24"/>
        </w:rPr>
        <w:t>non-governmental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91CD5">
        <w:rPr>
          <w:rFonts w:cs="Times New Roman"/>
          <w:color w:val="000000" w:themeColor="text1"/>
          <w:szCs w:val="24"/>
        </w:rPr>
        <w:t>organizations,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91CD5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91CD5">
        <w:rPr>
          <w:rFonts w:cs="Times New Roman"/>
          <w:color w:val="000000" w:themeColor="text1"/>
          <w:szCs w:val="24"/>
        </w:rPr>
        <w:t>national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91CD5">
        <w:rPr>
          <w:rFonts w:cs="Times New Roman"/>
          <w:color w:val="000000" w:themeColor="text1"/>
          <w:szCs w:val="24"/>
        </w:rPr>
        <w:t>governments,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461C3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15942">
        <w:rPr>
          <w:rFonts w:cs="Times New Roman"/>
          <w:color w:val="000000" w:themeColor="text1"/>
          <w:szCs w:val="24"/>
        </w:rPr>
        <w:t>experts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15942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15942">
        <w:rPr>
          <w:rFonts w:cs="Times New Roman"/>
          <w:color w:val="000000" w:themeColor="text1"/>
          <w:szCs w:val="24"/>
        </w:rPr>
        <w:t>users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15942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461C3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461C3">
        <w:rPr>
          <w:rFonts w:cs="Times New Roman"/>
          <w:color w:val="000000" w:themeColor="text1"/>
          <w:szCs w:val="24"/>
        </w:rPr>
        <w:t>asbestos</w:t>
      </w:r>
      <w:r w:rsidRPr="00C317BB" w:rsidR="00587442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E08C0">
        <w:rPr>
          <w:rFonts w:cs="Times New Roman"/>
          <w:color w:val="000000" w:themeColor="text1"/>
          <w:szCs w:val="24"/>
        </w:rPr>
        <w:t>Summaries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E08C0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B4D6E">
        <w:rPr>
          <w:rFonts w:cs="Times New Roman"/>
          <w:color w:val="000000" w:themeColor="text1"/>
          <w:szCs w:val="24"/>
        </w:rPr>
        <w:t>external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B6900">
        <w:rPr>
          <w:rFonts w:cs="Times New Roman"/>
          <w:color w:val="000000" w:themeColor="text1"/>
          <w:szCs w:val="24"/>
        </w:rPr>
        <w:t>meetings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B4D6E">
        <w:rPr>
          <w:rFonts w:cs="Times New Roman"/>
          <w:color w:val="000000" w:themeColor="text1"/>
          <w:szCs w:val="24"/>
        </w:rPr>
        <w:t>held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B6900">
        <w:rPr>
          <w:rFonts w:cs="Times New Roman"/>
          <w:color w:val="000000" w:themeColor="text1"/>
          <w:szCs w:val="24"/>
        </w:rPr>
        <w:t>during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B6900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B6900">
        <w:rPr>
          <w:rFonts w:cs="Times New Roman"/>
          <w:color w:val="000000" w:themeColor="text1"/>
          <w:szCs w:val="24"/>
        </w:rPr>
        <w:t>development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B6900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B6900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B6900">
        <w:rPr>
          <w:rFonts w:cs="Times New Roman"/>
          <w:color w:val="000000" w:themeColor="text1"/>
          <w:szCs w:val="24"/>
        </w:rPr>
        <w:t>propos</w:t>
      </w:r>
      <w:r w:rsidRPr="00C317BB" w:rsidR="00B85E91">
        <w:rPr>
          <w:rFonts w:cs="Times New Roman"/>
          <w:color w:val="000000" w:themeColor="text1"/>
          <w:szCs w:val="24"/>
        </w:rPr>
        <w:t>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85E91">
        <w:rPr>
          <w:rFonts w:cs="Times New Roman"/>
          <w:color w:val="000000" w:themeColor="text1"/>
          <w:szCs w:val="24"/>
        </w:rPr>
        <w:t>rule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E7A84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15942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B6900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15942">
        <w:rPr>
          <w:rFonts w:cs="Times New Roman"/>
          <w:color w:val="000000" w:themeColor="text1"/>
          <w:szCs w:val="24"/>
        </w:rPr>
        <w:t>docket</w:t>
      </w:r>
      <w:r w:rsidRPr="00C317BB" w:rsidR="000B6AE1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B6AE1">
        <w:rPr>
          <w:rFonts w:cs="Times New Roman"/>
          <w:color w:val="000000" w:themeColor="text1"/>
          <w:szCs w:val="24"/>
        </w:rPr>
        <w:t>These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B6AE1">
        <w:rPr>
          <w:rFonts w:cs="Times New Roman"/>
          <w:color w:val="000000" w:themeColor="text1"/>
          <w:szCs w:val="24"/>
        </w:rPr>
        <w:t>meetings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B6AE1">
        <w:rPr>
          <w:rFonts w:cs="Times New Roman"/>
          <w:color w:val="000000" w:themeColor="text1"/>
          <w:szCs w:val="24"/>
        </w:rPr>
        <w:t>helped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B6AE1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B6AE1">
        <w:rPr>
          <w:rFonts w:cs="Times New Roman"/>
          <w:color w:val="000000" w:themeColor="text1"/>
          <w:szCs w:val="24"/>
        </w:rPr>
        <w:t>inform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B6AE1">
        <w:rPr>
          <w:rFonts w:cs="Times New Roman"/>
          <w:color w:val="000000" w:themeColor="text1"/>
          <w:szCs w:val="24"/>
        </w:rPr>
        <w:t>how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B6AE1">
        <w:rPr>
          <w:rFonts w:cs="Times New Roman"/>
          <w:color w:val="000000" w:themeColor="text1"/>
          <w:szCs w:val="24"/>
        </w:rPr>
        <w:t>long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B6AE1">
        <w:rPr>
          <w:rFonts w:cs="Times New Roman"/>
          <w:color w:val="000000" w:themeColor="text1"/>
          <w:szCs w:val="24"/>
        </w:rPr>
        <w:t>industry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B6AE1">
        <w:rPr>
          <w:rFonts w:cs="Times New Roman"/>
          <w:color w:val="000000" w:themeColor="text1"/>
          <w:szCs w:val="24"/>
        </w:rPr>
        <w:t>w</w:t>
      </w:r>
      <w:r w:rsidRPr="00C317BB" w:rsidR="004B2362">
        <w:rPr>
          <w:rFonts w:cs="Times New Roman"/>
          <w:color w:val="000000" w:themeColor="text1"/>
          <w:szCs w:val="24"/>
        </w:rPr>
        <w:t>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B6AE1">
        <w:rPr>
          <w:rFonts w:cs="Times New Roman"/>
          <w:color w:val="000000" w:themeColor="text1"/>
          <w:szCs w:val="24"/>
        </w:rPr>
        <w:t>need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B6AE1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B6AE1">
        <w:rPr>
          <w:rFonts w:cs="Times New Roman"/>
          <w:color w:val="000000" w:themeColor="text1"/>
          <w:szCs w:val="24"/>
        </w:rPr>
        <w:t>implement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2362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B6AE1">
        <w:rPr>
          <w:rFonts w:cs="Times New Roman"/>
          <w:color w:val="000000" w:themeColor="text1"/>
          <w:szCs w:val="24"/>
        </w:rPr>
        <w:t>prohibition</w:t>
      </w:r>
      <w:r w:rsidRPr="00C317BB" w:rsidR="00EC2B4B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C2B4B">
        <w:rPr>
          <w:rFonts w:cs="Times New Roman"/>
          <w:color w:val="000000" w:themeColor="text1"/>
          <w:szCs w:val="24"/>
        </w:rPr>
        <w:t>how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C2B4B">
        <w:rPr>
          <w:rFonts w:cs="Times New Roman"/>
          <w:color w:val="000000" w:themeColor="text1"/>
          <w:szCs w:val="24"/>
        </w:rPr>
        <w:t>companies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C2B4B">
        <w:rPr>
          <w:rFonts w:cs="Times New Roman"/>
          <w:color w:val="000000" w:themeColor="text1"/>
          <w:szCs w:val="24"/>
        </w:rPr>
        <w:t>currently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C2B4B">
        <w:rPr>
          <w:rFonts w:cs="Times New Roman"/>
          <w:color w:val="000000" w:themeColor="text1"/>
          <w:szCs w:val="24"/>
        </w:rPr>
        <w:t>protect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C2B4B">
        <w:rPr>
          <w:rFonts w:cs="Times New Roman"/>
          <w:color w:val="000000" w:themeColor="text1"/>
          <w:szCs w:val="24"/>
        </w:rPr>
        <w:t>workers,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C2B4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C2B4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C2B4B">
        <w:rPr>
          <w:rFonts w:cs="Times New Roman"/>
          <w:color w:val="000000" w:themeColor="text1"/>
          <w:szCs w:val="24"/>
        </w:rPr>
        <w:t>extent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C2B4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C2B4B">
        <w:rPr>
          <w:rFonts w:cs="Times New Roman"/>
          <w:color w:val="000000" w:themeColor="text1"/>
          <w:szCs w:val="24"/>
        </w:rPr>
        <w:t>which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C2B4B">
        <w:rPr>
          <w:rFonts w:cs="Times New Roman"/>
          <w:color w:val="000000" w:themeColor="text1"/>
          <w:szCs w:val="24"/>
        </w:rPr>
        <w:t>each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2362">
        <w:rPr>
          <w:rFonts w:cs="Times New Roman"/>
          <w:color w:val="000000" w:themeColor="text1"/>
          <w:szCs w:val="24"/>
        </w:rPr>
        <w:t>industry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C2B4B">
        <w:rPr>
          <w:rFonts w:cs="Times New Roman"/>
          <w:color w:val="000000" w:themeColor="text1"/>
          <w:szCs w:val="24"/>
        </w:rPr>
        <w:t>uses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C2B4B">
        <w:rPr>
          <w:rFonts w:cs="Times New Roman"/>
          <w:color w:val="000000" w:themeColor="text1"/>
          <w:szCs w:val="24"/>
        </w:rPr>
        <w:t>asbestos-free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C2B4B">
        <w:rPr>
          <w:rFonts w:cs="Times New Roman"/>
          <w:color w:val="000000" w:themeColor="text1"/>
          <w:szCs w:val="24"/>
        </w:rPr>
        <w:t>technology.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C2B4B">
        <w:rPr>
          <w:rFonts w:cs="Times New Roman"/>
          <w:color w:val="000000" w:themeColor="text1"/>
          <w:szCs w:val="24"/>
        </w:rPr>
        <w:t>Additionally,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C2B4B">
        <w:rPr>
          <w:rFonts w:cs="Times New Roman"/>
          <w:color w:val="000000" w:themeColor="text1"/>
          <w:szCs w:val="24"/>
        </w:rPr>
        <w:t>discussion</w:t>
      </w:r>
      <w:r w:rsidRPr="00C317BB" w:rsidR="005C52C2">
        <w:rPr>
          <w:rFonts w:cs="Times New Roman"/>
          <w:color w:val="000000" w:themeColor="text1"/>
          <w:szCs w:val="24"/>
        </w:rPr>
        <w:t>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C2B4B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464C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C2B4B">
        <w:rPr>
          <w:rFonts w:cs="Times New Roman"/>
          <w:color w:val="000000" w:themeColor="text1"/>
          <w:szCs w:val="24"/>
        </w:rPr>
        <w:t>Canad</w:t>
      </w:r>
      <w:r w:rsidRPr="00C317BB" w:rsidR="00DD464C">
        <w:rPr>
          <w:rFonts w:cs="Times New Roman"/>
          <w:color w:val="000000" w:themeColor="text1"/>
          <w:szCs w:val="24"/>
        </w:rPr>
        <w:t>ian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464C">
        <w:rPr>
          <w:rFonts w:cs="Times New Roman"/>
          <w:color w:val="000000" w:themeColor="text1"/>
          <w:szCs w:val="24"/>
        </w:rPr>
        <w:t>government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C2B4B">
        <w:rPr>
          <w:rFonts w:cs="Times New Roman"/>
          <w:color w:val="000000" w:themeColor="text1"/>
          <w:szCs w:val="24"/>
        </w:rPr>
        <w:t>helped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52C2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6324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A74BD">
        <w:rPr>
          <w:rFonts w:cs="Times New Roman"/>
          <w:color w:val="000000" w:themeColor="text1"/>
          <w:szCs w:val="24"/>
        </w:rPr>
        <w:t>better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6324">
        <w:rPr>
          <w:rFonts w:cs="Times New Roman"/>
          <w:color w:val="000000" w:themeColor="text1"/>
          <w:szCs w:val="24"/>
        </w:rPr>
        <w:t>understan</w:t>
      </w:r>
      <w:r w:rsidRPr="00C317BB" w:rsidR="00EE3A2E">
        <w:rPr>
          <w:rFonts w:cs="Times New Roman"/>
          <w:color w:val="000000" w:themeColor="text1"/>
          <w:szCs w:val="24"/>
        </w:rPr>
        <w:t>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E3A2E">
        <w:rPr>
          <w:rFonts w:cs="Times New Roman"/>
          <w:color w:val="000000" w:themeColor="text1"/>
          <w:szCs w:val="24"/>
        </w:rPr>
        <w:t>how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2362">
        <w:rPr>
          <w:rFonts w:cs="Times New Roman"/>
          <w:color w:val="000000" w:themeColor="text1"/>
          <w:szCs w:val="24"/>
        </w:rPr>
        <w:t>Canada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E3A2E">
        <w:rPr>
          <w:rFonts w:cs="Times New Roman"/>
          <w:color w:val="000000" w:themeColor="text1"/>
          <w:szCs w:val="24"/>
        </w:rPr>
        <w:t>approached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2362">
        <w:rPr>
          <w:rFonts w:cs="Times New Roman"/>
          <w:color w:val="000000" w:themeColor="text1"/>
          <w:szCs w:val="24"/>
        </w:rPr>
        <w:t>its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04A21">
        <w:rPr>
          <w:rFonts w:cs="Times New Roman"/>
          <w:color w:val="000000" w:themeColor="text1"/>
          <w:szCs w:val="24"/>
        </w:rPr>
        <w:t>2018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2362">
        <w:rPr>
          <w:rFonts w:cs="Times New Roman"/>
          <w:color w:val="000000" w:themeColor="text1"/>
          <w:szCs w:val="24"/>
        </w:rPr>
        <w:t>regulation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34B59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9140D">
        <w:rPr>
          <w:rFonts w:cs="Times New Roman"/>
          <w:color w:val="000000" w:themeColor="text1"/>
          <w:szCs w:val="24"/>
        </w:rPr>
        <w:t>prohibi</w:t>
      </w:r>
      <w:r w:rsidRPr="00C317BB" w:rsidR="00034B59">
        <w:rPr>
          <w:rFonts w:cs="Times New Roman"/>
          <w:color w:val="000000" w:themeColor="text1"/>
          <w:szCs w:val="24"/>
        </w:rPr>
        <w:t>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A047F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90B9B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6C7D">
        <w:rPr>
          <w:rFonts w:cs="Times New Roman"/>
          <w:color w:val="000000" w:themeColor="text1"/>
          <w:szCs w:val="24"/>
        </w:rPr>
        <w:t>(</w:t>
      </w:r>
      <w:r w:rsidRPr="00C317BB" w:rsidR="00DE2A64">
        <w:rPr>
          <w:rFonts w:cs="Times New Roman"/>
          <w:color w:val="000000" w:themeColor="text1"/>
          <w:szCs w:val="24"/>
        </w:rPr>
        <w:t>such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E2A64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6918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53121">
        <w:rPr>
          <w:rFonts w:cs="Times New Roman"/>
          <w:color w:val="000000" w:themeColor="text1"/>
          <w:szCs w:val="24"/>
        </w:rPr>
        <w:t>asbestos-containing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6918">
        <w:rPr>
          <w:rFonts w:cs="Times New Roman"/>
          <w:color w:val="000000" w:themeColor="text1"/>
          <w:szCs w:val="24"/>
        </w:rPr>
        <w:t>products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6918">
        <w:rPr>
          <w:rFonts w:cs="Times New Roman"/>
          <w:color w:val="000000" w:themeColor="text1"/>
          <w:szCs w:val="24"/>
        </w:rPr>
        <w:t>covered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B7A2D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B7A2D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B7A2D">
        <w:rPr>
          <w:rFonts w:cs="Times New Roman"/>
          <w:color w:val="000000" w:themeColor="text1"/>
          <w:szCs w:val="24"/>
        </w:rPr>
        <w:t>prohibition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6918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53121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12F9C">
        <w:rPr>
          <w:rFonts w:cs="Times New Roman"/>
          <w:color w:val="000000" w:themeColor="text1"/>
          <w:szCs w:val="24"/>
        </w:rPr>
        <w:t>chosen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53121">
        <w:rPr>
          <w:rFonts w:cs="Times New Roman"/>
          <w:color w:val="000000" w:themeColor="text1"/>
          <w:szCs w:val="24"/>
        </w:rPr>
        <w:t>prohibition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53121">
        <w:rPr>
          <w:rFonts w:cs="Times New Roman"/>
          <w:color w:val="000000" w:themeColor="text1"/>
          <w:szCs w:val="24"/>
        </w:rPr>
        <w:t>effective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53121">
        <w:rPr>
          <w:rFonts w:cs="Times New Roman"/>
          <w:color w:val="000000" w:themeColor="text1"/>
          <w:szCs w:val="24"/>
        </w:rPr>
        <w:t>dates</w:t>
      </w:r>
      <w:r w:rsidRPr="00C317BB" w:rsidR="00D46C7D">
        <w:rPr>
          <w:rFonts w:cs="Times New Roman"/>
          <w:color w:val="000000" w:themeColor="text1"/>
          <w:szCs w:val="24"/>
        </w:rPr>
        <w:t>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17FB0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034AF">
        <w:rPr>
          <w:rFonts w:cs="Times New Roman"/>
          <w:color w:val="000000" w:themeColor="text1"/>
          <w:szCs w:val="24"/>
        </w:rPr>
        <w:t>better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034AF">
        <w:rPr>
          <w:rFonts w:cs="Times New Roman"/>
          <w:color w:val="000000" w:themeColor="text1"/>
          <w:szCs w:val="24"/>
        </w:rPr>
        <w:t>inform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C448C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C448C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C448C">
        <w:rPr>
          <w:rFonts w:cs="Times New Roman"/>
          <w:color w:val="000000" w:themeColor="text1"/>
          <w:szCs w:val="24"/>
        </w:rPr>
        <w:t>rule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87442">
        <w:rPr>
          <w:rFonts w:cs="Times New Roman"/>
          <w:color w:val="000000" w:themeColor="text1"/>
          <w:szCs w:val="24"/>
        </w:rPr>
        <w:t>(Ref</w:t>
      </w:r>
      <w:r w:rsidRPr="00C317BB" w:rsidR="002C5ED4">
        <w:rPr>
          <w:rFonts w:cs="Times New Roman"/>
          <w:color w:val="000000" w:themeColor="text1"/>
          <w:szCs w:val="24"/>
        </w:rPr>
        <w:t>s</w:t>
      </w:r>
      <w:r w:rsidRPr="00C317BB" w:rsidR="00587442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C5ED4">
        <w:rPr>
          <w:rFonts w:cs="Times New Roman"/>
          <w:color w:val="000000" w:themeColor="text1"/>
          <w:szCs w:val="24"/>
        </w:rPr>
        <w:t>4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12BE9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C5ED4">
        <w:rPr>
          <w:rFonts w:cs="Times New Roman"/>
          <w:color w:val="000000" w:themeColor="text1"/>
          <w:szCs w:val="24"/>
        </w:rPr>
        <w:t>11</w:t>
      </w:r>
      <w:r w:rsidRPr="00C317BB" w:rsidR="00415942">
        <w:rPr>
          <w:rFonts w:cs="Times New Roman"/>
          <w:color w:val="000000" w:themeColor="text1"/>
          <w:szCs w:val="24"/>
        </w:rPr>
        <w:t>).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15942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15942">
        <w:rPr>
          <w:rFonts w:cs="Times New Roman"/>
          <w:color w:val="000000" w:themeColor="text1"/>
          <w:szCs w:val="24"/>
        </w:rPr>
        <w:t>purpose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15942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15942">
        <w:rPr>
          <w:rFonts w:cs="Times New Roman"/>
          <w:color w:val="000000" w:themeColor="text1"/>
          <w:szCs w:val="24"/>
        </w:rPr>
        <w:t>these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64230">
        <w:rPr>
          <w:rFonts w:cs="Times New Roman"/>
          <w:color w:val="000000" w:themeColor="text1"/>
          <w:szCs w:val="24"/>
        </w:rPr>
        <w:t>stakeholder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15942">
        <w:rPr>
          <w:rFonts w:cs="Times New Roman"/>
          <w:color w:val="000000" w:themeColor="text1"/>
          <w:szCs w:val="24"/>
        </w:rPr>
        <w:t>discussions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15942">
        <w:rPr>
          <w:rFonts w:cs="Times New Roman"/>
          <w:color w:val="000000" w:themeColor="text1"/>
          <w:szCs w:val="24"/>
        </w:rPr>
        <w:t>was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15942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15942">
        <w:rPr>
          <w:rFonts w:cs="Times New Roman"/>
          <w:color w:val="000000" w:themeColor="text1"/>
          <w:szCs w:val="24"/>
        </w:rPr>
        <w:t>hear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15942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A21E8">
        <w:rPr>
          <w:rFonts w:cs="Times New Roman"/>
          <w:color w:val="000000" w:themeColor="text1"/>
          <w:szCs w:val="24"/>
        </w:rPr>
        <w:t>importers,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A21E8">
        <w:rPr>
          <w:rFonts w:cs="Times New Roman"/>
          <w:color w:val="000000" w:themeColor="text1"/>
          <w:szCs w:val="24"/>
        </w:rPr>
        <w:t>processors,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A21E8">
        <w:rPr>
          <w:rFonts w:cs="Times New Roman"/>
          <w:color w:val="000000" w:themeColor="text1"/>
          <w:szCs w:val="24"/>
        </w:rPr>
        <w:t>distributors,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A21E8">
        <w:rPr>
          <w:rFonts w:cs="Times New Roman"/>
          <w:color w:val="000000" w:themeColor="text1"/>
          <w:szCs w:val="24"/>
        </w:rPr>
        <w:t>users,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A21E8">
        <w:rPr>
          <w:rFonts w:cs="Times New Roman"/>
          <w:color w:val="000000" w:themeColor="text1"/>
          <w:szCs w:val="24"/>
        </w:rPr>
        <w:t>academics,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A21E8">
        <w:rPr>
          <w:rFonts w:cs="Times New Roman"/>
          <w:color w:val="000000" w:themeColor="text1"/>
          <w:szCs w:val="24"/>
        </w:rPr>
        <w:t>advisory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A21E8">
        <w:rPr>
          <w:rFonts w:cs="Times New Roman"/>
          <w:color w:val="000000" w:themeColor="text1"/>
          <w:szCs w:val="24"/>
        </w:rPr>
        <w:t>councils,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A21E8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A21E8">
        <w:rPr>
          <w:rFonts w:cs="Times New Roman"/>
          <w:color w:val="000000" w:themeColor="text1"/>
          <w:szCs w:val="24"/>
        </w:rPr>
        <w:t>members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A21E8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A21E8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A21E8">
        <w:rPr>
          <w:rFonts w:cs="Times New Roman"/>
          <w:color w:val="000000" w:themeColor="text1"/>
          <w:szCs w:val="24"/>
        </w:rPr>
        <w:t>public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A21E8">
        <w:rPr>
          <w:rFonts w:cs="Times New Roman"/>
          <w:color w:val="000000" w:themeColor="text1"/>
          <w:szCs w:val="24"/>
        </w:rPr>
        <w:t>health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A21E8">
        <w:rPr>
          <w:rFonts w:cs="Times New Roman"/>
          <w:color w:val="000000" w:themeColor="text1"/>
          <w:szCs w:val="24"/>
        </w:rPr>
        <w:t>community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9564E">
        <w:rPr>
          <w:rFonts w:cs="Times New Roman"/>
          <w:color w:val="000000" w:themeColor="text1"/>
          <w:szCs w:val="24"/>
        </w:rPr>
        <w:t>about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9564E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9564E">
        <w:rPr>
          <w:rFonts w:cs="Times New Roman"/>
          <w:color w:val="000000" w:themeColor="text1"/>
          <w:szCs w:val="24"/>
        </w:rPr>
        <w:t>conditions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9564E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9564E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9564E">
        <w:rPr>
          <w:rFonts w:cs="Times New Roman"/>
          <w:color w:val="000000" w:themeColor="text1"/>
          <w:szCs w:val="24"/>
        </w:rPr>
        <w:t>evaluated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2A66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7155B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7155B">
        <w:rPr>
          <w:rFonts w:cs="Times New Roman"/>
          <w:color w:val="000000" w:themeColor="text1"/>
          <w:szCs w:val="24"/>
        </w:rPr>
        <w:t>asbestos</w:t>
      </w:r>
      <w:r w:rsidRPr="00C317BB" w:rsidR="00415942">
        <w:rPr>
          <w:rFonts w:cs="Times New Roman"/>
          <w:color w:val="000000" w:themeColor="text1"/>
          <w:szCs w:val="24"/>
        </w:rPr>
        <w:t>;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15942">
        <w:rPr>
          <w:rFonts w:cs="Times New Roman"/>
          <w:color w:val="000000" w:themeColor="text1"/>
          <w:szCs w:val="24"/>
        </w:rPr>
        <w:t>substitute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15942">
        <w:rPr>
          <w:rFonts w:cs="Times New Roman"/>
          <w:color w:val="000000" w:themeColor="text1"/>
          <w:szCs w:val="24"/>
        </w:rPr>
        <w:t>chemicals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15942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15942">
        <w:rPr>
          <w:rFonts w:cs="Times New Roman"/>
          <w:color w:val="000000" w:themeColor="text1"/>
          <w:szCs w:val="24"/>
        </w:rPr>
        <w:t>alternative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15942">
        <w:rPr>
          <w:rFonts w:cs="Times New Roman"/>
          <w:color w:val="000000" w:themeColor="text1"/>
          <w:szCs w:val="24"/>
        </w:rPr>
        <w:t>methods;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15942">
        <w:rPr>
          <w:rFonts w:cs="Times New Roman"/>
          <w:color w:val="000000" w:themeColor="text1"/>
          <w:szCs w:val="24"/>
        </w:rPr>
        <w:t>engineering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15942">
        <w:rPr>
          <w:rFonts w:cs="Times New Roman"/>
          <w:color w:val="000000" w:themeColor="text1"/>
          <w:szCs w:val="24"/>
        </w:rPr>
        <w:t>control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15942">
        <w:rPr>
          <w:rFonts w:cs="Times New Roman"/>
          <w:color w:val="000000" w:themeColor="text1"/>
          <w:szCs w:val="24"/>
        </w:rPr>
        <w:t>measures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15942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15942">
        <w:rPr>
          <w:rFonts w:cs="Times New Roman"/>
          <w:color w:val="000000" w:themeColor="text1"/>
          <w:szCs w:val="24"/>
        </w:rPr>
        <w:t>personal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15942">
        <w:rPr>
          <w:rFonts w:cs="Times New Roman"/>
          <w:color w:val="000000" w:themeColor="text1"/>
          <w:szCs w:val="24"/>
        </w:rPr>
        <w:t>protective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15942">
        <w:rPr>
          <w:rFonts w:cs="Times New Roman"/>
          <w:color w:val="000000" w:themeColor="text1"/>
          <w:szCs w:val="24"/>
        </w:rPr>
        <w:t>equipment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15942">
        <w:rPr>
          <w:rFonts w:cs="Times New Roman"/>
          <w:color w:val="000000" w:themeColor="text1"/>
          <w:szCs w:val="24"/>
        </w:rPr>
        <w:t>currently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15942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15942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15942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10149">
        <w:rPr>
          <w:rFonts w:cs="Times New Roman"/>
          <w:color w:val="000000" w:themeColor="text1"/>
          <w:szCs w:val="24"/>
        </w:rPr>
        <w:t>potentially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15942">
        <w:rPr>
          <w:rFonts w:cs="Times New Roman"/>
          <w:color w:val="000000" w:themeColor="text1"/>
          <w:szCs w:val="24"/>
        </w:rPr>
        <w:t>feasibl</w:t>
      </w:r>
      <w:r w:rsidRPr="00C317BB" w:rsidR="00910149">
        <w:rPr>
          <w:rFonts w:cs="Times New Roman"/>
          <w:color w:val="000000" w:themeColor="text1"/>
          <w:szCs w:val="24"/>
        </w:rPr>
        <w:t>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10149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15942">
        <w:rPr>
          <w:rFonts w:cs="Times New Roman"/>
          <w:color w:val="000000" w:themeColor="text1"/>
          <w:szCs w:val="24"/>
        </w:rPr>
        <w:t>adopt</w:t>
      </w:r>
      <w:r w:rsidRPr="00C317BB" w:rsidR="00910149">
        <w:rPr>
          <w:rFonts w:cs="Times New Roman"/>
          <w:color w:val="000000" w:themeColor="text1"/>
          <w:szCs w:val="24"/>
        </w:rPr>
        <w:t>ion</w:t>
      </w:r>
      <w:r w:rsidRPr="00C317BB" w:rsidR="00415942">
        <w:rPr>
          <w:rFonts w:cs="Times New Roman"/>
          <w:color w:val="000000" w:themeColor="text1"/>
          <w:szCs w:val="24"/>
        </w:rPr>
        <w:t>;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15942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15942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15942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15942">
        <w:rPr>
          <w:rFonts w:cs="Times New Roman"/>
          <w:color w:val="000000" w:themeColor="text1"/>
          <w:szCs w:val="24"/>
        </w:rPr>
        <w:t>reduction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15942">
        <w:rPr>
          <w:rFonts w:cs="Times New Roman"/>
          <w:color w:val="000000" w:themeColor="text1"/>
          <w:szCs w:val="24"/>
        </w:rPr>
        <w:t>approaches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15942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15942">
        <w:rPr>
          <w:rFonts w:cs="Times New Roman"/>
          <w:color w:val="000000" w:themeColor="text1"/>
          <w:szCs w:val="24"/>
        </w:rPr>
        <w:t>may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15942">
        <w:rPr>
          <w:rFonts w:cs="Times New Roman"/>
          <w:color w:val="000000" w:themeColor="text1"/>
          <w:szCs w:val="24"/>
        </w:rPr>
        <w:t>have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15942">
        <w:rPr>
          <w:rFonts w:cs="Times New Roman"/>
          <w:color w:val="000000" w:themeColor="text1"/>
          <w:szCs w:val="24"/>
        </w:rPr>
        <w:t>already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15942">
        <w:rPr>
          <w:rFonts w:cs="Times New Roman"/>
          <w:color w:val="000000" w:themeColor="text1"/>
          <w:szCs w:val="24"/>
        </w:rPr>
        <w:t>been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15942">
        <w:rPr>
          <w:rFonts w:cs="Times New Roman"/>
          <w:color w:val="000000" w:themeColor="text1"/>
          <w:szCs w:val="24"/>
        </w:rPr>
        <w:t>adopted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15942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15942">
        <w:rPr>
          <w:rFonts w:cs="Times New Roman"/>
          <w:color w:val="000000" w:themeColor="text1"/>
          <w:szCs w:val="24"/>
        </w:rPr>
        <w:t>considered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15942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214B0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214B0">
        <w:rPr>
          <w:rFonts w:cs="Times New Roman"/>
          <w:color w:val="000000" w:themeColor="text1"/>
          <w:szCs w:val="24"/>
        </w:rPr>
        <w:t>e</w:t>
      </w:r>
      <w:r w:rsidRPr="00C317BB" w:rsidR="0081731D">
        <w:rPr>
          <w:rFonts w:cs="Times New Roman"/>
          <w:color w:val="000000" w:themeColor="text1"/>
          <w:szCs w:val="24"/>
        </w:rPr>
        <w:t>valuated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1731D">
        <w:rPr>
          <w:rFonts w:cs="Times New Roman"/>
          <w:color w:val="000000" w:themeColor="text1"/>
          <w:szCs w:val="24"/>
        </w:rPr>
        <w:t>conditions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1731D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1731D">
        <w:rPr>
          <w:rFonts w:cs="Times New Roman"/>
          <w:color w:val="000000" w:themeColor="text1"/>
          <w:szCs w:val="24"/>
        </w:rPr>
        <w:t>use</w:t>
      </w:r>
      <w:r w:rsidRPr="00C317BB" w:rsidR="00415942">
        <w:rPr>
          <w:rFonts w:cs="Times New Roman"/>
          <w:color w:val="000000" w:themeColor="text1"/>
          <w:szCs w:val="24"/>
        </w:rPr>
        <w:t>.</w:t>
      </w:r>
    </w:p>
    <w:p w:rsidRPr="00C317BB" w:rsidR="008C1C0B" w:rsidP="00F27167" w:rsidRDefault="00931C22" w14:paraId="08A68AFF" w14:textId="142CACCD">
      <w:pPr>
        <w:pStyle w:val="Heading2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B</w:t>
      </w:r>
      <w:r w:rsidRPr="00C317BB" w:rsidR="008C1C0B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C1C0B">
        <w:rPr>
          <w:rFonts w:cs="Times New Roman"/>
          <w:color w:val="000000" w:themeColor="text1"/>
          <w:szCs w:val="24"/>
        </w:rPr>
        <w:t>Regulatory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749D5">
        <w:rPr>
          <w:rFonts w:cs="Times New Roman"/>
          <w:color w:val="000000" w:themeColor="text1"/>
          <w:szCs w:val="24"/>
        </w:rPr>
        <w:t>a</w:t>
      </w:r>
      <w:r w:rsidRPr="00C317BB">
        <w:rPr>
          <w:rFonts w:cs="Times New Roman"/>
          <w:color w:val="000000" w:themeColor="text1"/>
          <w:szCs w:val="24"/>
        </w:rPr>
        <w:t>ssessment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749D5">
        <w:rPr>
          <w:rFonts w:cs="Times New Roman"/>
          <w:color w:val="000000" w:themeColor="text1"/>
          <w:szCs w:val="24"/>
        </w:rPr>
        <w:t>c</w:t>
      </w:r>
      <w:r w:rsidRPr="00C317BB" w:rsidR="00A503DF">
        <w:rPr>
          <w:rFonts w:cs="Times New Roman"/>
          <w:color w:val="000000" w:themeColor="text1"/>
          <w:szCs w:val="24"/>
        </w:rPr>
        <w:t>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749D5">
        <w:rPr>
          <w:rFonts w:cs="Times New Roman"/>
          <w:color w:val="000000" w:themeColor="text1"/>
          <w:szCs w:val="24"/>
        </w:rPr>
        <w:t>a</w:t>
      </w:r>
      <w:r w:rsidRPr="00C317BB" w:rsidR="00A503DF">
        <w:rPr>
          <w:rFonts w:cs="Times New Roman"/>
          <w:color w:val="000000" w:themeColor="text1"/>
          <w:szCs w:val="24"/>
        </w:rPr>
        <w:t>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503DF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2A66">
        <w:rPr>
          <w:rFonts w:cs="Times New Roman"/>
          <w:color w:val="000000" w:themeColor="text1"/>
          <w:szCs w:val="24"/>
        </w:rPr>
        <w:t>P</w:t>
      </w:r>
      <w:r w:rsidRPr="00C317BB" w:rsidR="00A503DF">
        <w:rPr>
          <w:rFonts w:cs="Times New Roman"/>
          <w:color w:val="000000" w:themeColor="text1"/>
          <w:szCs w:val="24"/>
        </w:rPr>
        <w:t>art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503DF">
        <w:rPr>
          <w:rFonts w:cs="Times New Roman"/>
          <w:color w:val="000000" w:themeColor="text1"/>
          <w:szCs w:val="24"/>
        </w:rPr>
        <w:t>1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3B221F" w:rsidP="00F27167" w:rsidRDefault="003B221F" w14:paraId="146BDCC4" w14:textId="10EE033A">
      <w:pPr>
        <w:ind w:firstLine="720"/>
        <w:rPr>
          <w:rFonts w:cs="Times New Roman"/>
          <w:color w:val="000000" w:themeColor="text1"/>
          <w:szCs w:val="24"/>
          <w:shd w:val="clear" w:color="auto" w:fill="FFFFFF"/>
        </w:rPr>
      </w:pPr>
      <w:r w:rsidRPr="00C317BB">
        <w:rPr>
          <w:rFonts w:cs="Times New Roman"/>
          <w:color w:val="000000" w:themeColor="text1"/>
          <w:szCs w:val="24"/>
          <w:shd w:val="clear" w:color="auto" w:fill="FFFFFF"/>
        </w:rPr>
        <w:t>This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>
        <w:rPr>
          <w:rFonts w:cs="Times New Roman"/>
          <w:color w:val="000000" w:themeColor="text1"/>
          <w:szCs w:val="24"/>
          <w:shd w:val="clear" w:color="auto" w:fill="FFFFFF"/>
        </w:rPr>
        <w:t>Unit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>
        <w:rPr>
          <w:rFonts w:cs="Times New Roman"/>
          <w:color w:val="000000" w:themeColor="text1"/>
          <w:szCs w:val="24"/>
          <w:shd w:val="clear" w:color="auto" w:fill="FFFFFF"/>
        </w:rPr>
        <w:t>describes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B3655F">
        <w:rPr>
          <w:rFonts w:cs="Times New Roman"/>
          <w:color w:val="000000" w:themeColor="text1"/>
          <w:szCs w:val="24"/>
          <w:shd w:val="clear" w:color="auto" w:fill="FFFFFF"/>
        </w:rPr>
        <w:t>the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B3655F">
        <w:rPr>
          <w:rFonts w:cs="Times New Roman"/>
          <w:color w:val="000000" w:themeColor="text1"/>
          <w:szCs w:val="24"/>
          <w:shd w:val="clear" w:color="auto" w:fill="FFFFFF"/>
        </w:rPr>
        <w:t>additional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B3655F">
        <w:rPr>
          <w:rFonts w:cs="Times New Roman"/>
          <w:color w:val="000000" w:themeColor="text1"/>
          <w:szCs w:val="24"/>
          <w:shd w:val="clear" w:color="auto" w:fill="FFFFFF"/>
        </w:rPr>
        <w:t>information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B3655F">
        <w:rPr>
          <w:rFonts w:cs="Times New Roman"/>
          <w:color w:val="000000" w:themeColor="text1"/>
          <w:szCs w:val="24"/>
          <w:shd w:val="clear" w:color="auto" w:fill="FFFFFF"/>
        </w:rPr>
        <w:t>that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B3655F">
        <w:rPr>
          <w:rFonts w:cs="Times New Roman"/>
          <w:color w:val="000000" w:themeColor="text1"/>
          <w:szCs w:val="24"/>
          <w:shd w:val="clear" w:color="auto" w:fill="FFFFFF"/>
        </w:rPr>
        <w:t>EPA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B3655F">
        <w:rPr>
          <w:rFonts w:cs="Times New Roman"/>
          <w:color w:val="000000" w:themeColor="text1"/>
          <w:szCs w:val="24"/>
          <w:shd w:val="clear" w:color="auto" w:fill="FFFFFF"/>
        </w:rPr>
        <w:t>considered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B3655F">
        <w:rPr>
          <w:rFonts w:cs="Times New Roman"/>
          <w:color w:val="000000" w:themeColor="text1"/>
          <w:szCs w:val="24"/>
          <w:shd w:val="clear" w:color="auto" w:fill="FFFFFF"/>
        </w:rPr>
        <w:t>in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B3655F">
        <w:rPr>
          <w:rFonts w:cs="Times New Roman"/>
          <w:color w:val="000000" w:themeColor="text1"/>
          <w:szCs w:val="24"/>
          <w:shd w:val="clear" w:color="auto" w:fill="FFFFFF"/>
        </w:rPr>
        <w:t>deciding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B3655F">
        <w:rPr>
          <w:rFonts w:cs="Times New Roman"/>
          <w:color w:val="000000" w:themeColor="text1"/>
          <w:szCs w:val="24"/>
          <w:shd w:val="clear" w:color="auto" w:fill="FFFFFF"/>
        </w:rPr>
        <w:t>the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9D5F03">
        <w:rPr>
          <w:rFonts w:cs="Times New Roman"/>
          <w:color w:val="000000" w:themeColor="text1"/>
          <w:szCs w:val="24"/>
          <w:shd w:val="clear" w:color="auto" w:fill="FFFFFF"/>
        </w:rPr>
        <w:t>proposed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B3655F">
        <w:rPr>
          <w:rFonts w:cs="Times New Roman"/>
          <w:color w:val="000000" w:themeColor="text1"/>
          <w:szCs w:val="24"/>
          <w:shd w:val="clear" w:color="auto" w:fill="FFFFFF"/>
        </w:rPr>
        <w:t>regulatory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B3655F">
        <w:rPr>
          <w:rFonts w:cs="Times New Roman"/>
          <w:color w:val="000000" w:themeColor="text1"/>
          <w:szCs w:val="24"/>
          <w:shd w:val="clear" w:color="auto" w:fill="FFFFFF"/>
        </w:rPr>
        <w:t>approach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B3655F">
        <w:rPr>
          <w:rFonts w:cs="Times New Roman"/>
          <w:color w:val="000000" w:themeColor="text1"/>
          <w:szCs w:val="24"/>
          <w:shd w:val="clear" w:color="auto" w:fill="FFFFFF"/>
        </w:rPr>
        <w:t>for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B15BA5">
        <w:rPr>
          <w:rFonts w:cs="Times New Roman"/>
          <w:color w:val="000000" w:themeColor="text1"/>
          <w:szCs w:val="24"/>
          <w:shd w:val="clear" w:color="auto" w:fill="FFFFFF"/>
        </w:rPr>
        <w:t>chrysotile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B15BA5">
        <w:rPr>
          <w:rFonts w:cs="Times New Roman"/>
          <w:color w:val="000000" w:themeColor="text1"/>
          <w:szCs w:val="24"/>
          <w:shd w:val="clear" w:color="auto" w:fill="FFFFFF"/>
        </w:rPr>
        <w:t>asbestos</w:t>
      </w:r>
      <w:r w:rsidRPr="00C317BB" w:rsidR="00B3655F">
        <w:rPr>
          <w:rFonts w:cs="Times New Roman"/>
          <w:color w:val="000000" w:themeColor="text1"/>
          <w:szCs w:val="24"/>
          <w:shd w:val="clear" w:color="auto" w:fill="FFFFFF"/>
        </w:rPr>
        <w:t>,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B3655F">
        <w:rPr>
          <w:rFonts w:cs="Times New Roman"/>
          <w:color w:val="000000" w:themeColor="text1"/>
          <w:szCs w:val="24"/>
          <w:shd w:val="clear" w:color="auto" w:fill="FFFFFF"/>
        </w:rPr>
        <w:t>so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B3655F">
        <w:rPr>
          <w:rFonts w:cs="Times New Roman"/>
          <w:color w:val="000000" w:themeColor="text1"/>
          <w:szCs w:val="24"/>
          <w:shd w:val="clear" w:color="auto" w:fill="FFFFFF"/>
        </w:rPr>
        <w:t>that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B15BA5">
        <w:rPr>
          <w:rFonts w:cs="Times New Roman"/>
          <w:color w:val="000000" w:themeColor="text1"/>
          <w:szCs w:val="24"/>
          <w:shd w:val="clear" w:color="auto" w:fill="FFFFFF"/>
        </w:rPr>
        <w:t>chrysotile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B15BA5">
        <w:rPr>
          <w:rFonts w:cs="Times New Roman"/>
          <w:color w:val="000000" w:themeColor="text1"/>
          <w:szCs w:val="24"/>
          <w:shd w:val="clear" w:color="auto" w:fill="FFFFFF"/>
        </w:rPr>
        <w:t>asbestos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584C82">
        <w:rPr>
          <w:rFonts w:cs="Times New Roman"/>
          <w:color w:val="000000" w:themeColor="text1"/>
          <w:szCs w:val="24"/>
          <w:shd w:val="clear" w:color="auto" w:fill="FFFFFF"/>
        </w:rPr>
        <w:t>would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B3655F">
        <w:rPr>
          <w:rFonts w:cs="Times New Roman"/>
          <w:color w:val="000000" w:themeColor="text1"/>
          <w:szCs w:val="24"/>
          <w:shd w:val="clear" w:color="auto" w:fill="FFFFFF"/>
        </w:rPr>
        <w:t>no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B3655F">
        <w:rPr>
          <w:rFonts w:cs="Times New Roman"/>
          <w:color w:val="000000" w:themeColor="text1"/>
          <w:szCs w:val="24"/>
          <w:shd w:val="clear" w:color="auto" w:fill="FFFFFF"/>
        </w:rPr>
        <w:t>longer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B3655F">
        <w:rPr>
          <w:rFonts w:cs="Times New Roman"/>
          <w:color w:val="000000" w:themeColor="text1"/>
          <w:szCs w:val="24"/>
          <w:shd w:val="clear" w:color="auto" w:fill="FFFFFF"/>
        </w:rPr>
        <w:t>present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B3655F">
        <w:rPr>
          <w:rFonts w:cs="Times New Roman"/>
          <w:color w:val="000000" w:themeColor="text1"/>
          <w:szCs w:val="24"/>
          <w:shd w:val="clear" w:color="auto" w:fill="FFFFFF"/>
        </w:rPr>
        <w:t>an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B3655F">
        <w:rPr>
          <w:rFonts w:cs="Times New Roman"/>
          <w:color w:val="000000" w:themeColor="text1"/>
          <w:szCs w:val="24"/>
          <w:shd w:val="clear" w:color="auto" w:fill="FFFFFF"/>
        </w:rPr>
        <w:t>unreasonable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B3655F">
        <w:rPr>
          <w:rFonts w:cs="Times New Roman"/>
          <w:color w:val="000000" w:themeColor="text1"/>
          <w:szCs w:val="24"/>
          <w:shd w:val="clear" w:color="auto" w:fill="FFFFFF"/>
        </w:rPr>
        <w:t>risk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29332C">
        <w:rPr>
          <w:rFonts w:cs="Times New Roman"/>
          <w:color w:val="000000" w:themeColor="text1"/>
          <w:szCs w:val="24"/>
          <w:shd w:val="clear" w:color="auto" w:fill="FFFFFF"/>
        </w:rPr>
        <w:t>under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ED6FDA">
        <w:rPr>
          <w:rFonts w:cs="Times New Roman"/>
          <w:color w:val="000000" w:themeColor="text1"/>
          <w:szCs w:val="24"/>
          <w:shd w:val="clear" w:color="auto" w:fill="FFFFFF"/>
        </w:rPr>
        <w:t>the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ED6FDA">
        <w:rPr>
          <w:rFonts w:cs="Times New Roman"/>
          <w:color w:val="000000" w:themeColor="text1"/>
          <w:szCs w:val="24"/>
          <w:shd w:val="clear" w:color="auto" w:fill="FFFFFF"/>
        </w:rPr>
        <w:t>conditions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ED6FDA">
        <w:rPr>
          <w:rFonts w:cs="Times New Roman"/>
          <w:color w:val="000000" w:themeColor="text1"/>
          <w:szCs w:val="24"/>
          <w:shd w:val="clear" w:color="auto" w:fill="FFFFFF"/>
        </w:rPr>
        <w:t>of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ED6FDA">
        <w:rPr>
          <w:rFonts w:cs="Times New Roman"/>
          <w:color w:val="000000" w:themeColor="text1"/>
          <w:szCs w:val="24"/>
          <w:shd w:val="clear" w:color="auto" w:fill="FFFFFF"/>
        </w:rPr>
        <w:t>use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ED6FDA">
        <w:rPr>
          <w:rFonts w:cs="Times New Roman"/>
          <w:color w:val="000000" w:themeColor="text1"/>
          <w:szCs w:val="24"/>
          <w:shd w:val="clear" w:color="auto" w:fill="FFFFFF"/>
        </w:rPr>
        <w:t>evaluated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ED6FDA">
        <w:rPr>
          <w:rFonts w:cs="Times New Roman"/>
          <w:color w:val="000000" w:themeColor="text1"/>
          <w:szCs w:val="24"/>
          <w:shd w:val="clear" w:color="auto" w:fill="FFFFFF"/>
        </w:rPr>
        <w:t>under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ED6FDA">
        <w:rPr>
          <w:rFonts w:cs="Times New Roman"/>
          <w:color w:val="000000" w:themeColor="text1"/>
          <w:szCs w:val="24"/>
          <w:shd w:val="clear" w:color="auto" w:fill="FFFFFF"/>
        </w:rPr>
        <w:t>Part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ED6FDA">
        <w:rPr>
          <w:rFonts w:cs="Times New Roman"/>
          <w:color w:val="000000" w:themeColor="text1"/>
          <w:szCs w:val="24"/>
          <w:shd w:val="clear" w:color="auto" w:fill="FFFFFF"/>
        </w:rPr>
        <w:t>1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682A66">
        <w:rPr>
          <w:rFonts w:cs="Times New Roman"/>
          <w:color w:val="000000" w:themeColor="text1"/>
          <w:szCs w:val="24"/>
          <w:shd w:val="clear" w:color="auto" w:fill="FFFFFF"/>
        </w:rPr>
        <w:t>of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682A66">
        <w:rPr>
          <w:rFonts w:cs="Times New Roman"/>
          <w:color w:val="000000" w:themeColor="text1"/>
          <w:szCs w:val="24"/>
          <w:shd w:val="clear" w:color="auto" w:fill="FFFFFF"/>
        </w:rPr>
        <w:t>the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682A66">
        <w:rPr>
          <w:rFonts w:cs="Times New Roman"/>
          <w:color w:val="000000" w:themeColor="text1"/>
          <w:szCs w:val="24"/>
          <w:shd w:val="clear" w:color="auto" w:fill="FFFFFF"/>
        </w:rPr>
        <w:t>risk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682A66">
        <w:rPr>
          <w:rFonts w:cs="Times New Roman"/>
          <w:color w:val="000000" w:themeColor="text1"/>
          <w:szCs w:val="24"/>
          <w:shd w:val="clear" w:color="auto" w:fill="FFFFFF"/>
        </w:rPr>
        <w:t>evaluation</w:t>
      </w:r>
      <w:r w:rsidRPr="00C317BB" w:rsidR="00B3655F">
        <w:rPr>
          <w:rFonts w:cs="Times New Roman"/>
          <w:color w:val="000000" w:themeColor="text1"/>
          <w:szCs w:val="24"/>
          <w:shd w:val="clear" w:color="auto" w:fill="FFFFFF"/>
        </w:rPr>
        <w:t>.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B3655F">
        <w:rPr>
          <w:rFonts w:cs="Times New Roman"/>
          <w:color w:val="000000" w:themeColor="text1"/>
          <w:szCs w:val="24"/>
          <w:shd w:val="clear" w:color="auto" w:fill="FFFFFF"/>
        </w:rPr>
        <w:t>This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B3655F">
        <w:rPr>
          <w:rFonts w:cs="Times New Roman"/>
          <w:color w:val="000000" w:themeColor="text1"/>
          <w:szCs w:val="24"/>
          <w:shd w:val="clear" w:color="auto" w:fill="FFFFFF"/>
        </w:rPr>
        <w:t>Unit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B3655F">
        <w:rPr>
          <w:rFonts w:cs="Times New Roman"/>
          <w:color w:val="000000" w:themeColor="text1"/>
          <w:szCs w:val="24"/>
          <w:shd w:val="clear" w:color="auto" w:fill="FFFFFF"/>
        </w:rPr>
        <w:t>describes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B3655F">
        <w:rPr>
          <w:rFonts w:cs="Times New Roman"/>
          <w:color w:val="000000" w:themeColor="text1"/>
          <w:szCs w:val="24"/>
          <w:shd w:val="clear" w:color="auto" w:fill="FFFFFF"/>
        </w:rPr>
        <w:t>the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F33AF1">
        <w:rPr>
          <w:rFonts w:cs="Times New Roman"/>
          <w:color w:val="000000" w:themeColor="text1"/>
          <w:szCs w:val="24"/>
          <w:shd w:val="clear" w:color="auto" w:fill="FFFFFF"/>
        </w:rPr>
        <w:t>unreasonable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F33AF1">
        <w:rPr>
          <w:rFonts w:cs="Times New Roman"/>
          <w:color w:val="000000" w:themeColor="text1"/>
          <w:szCs w:val="24"/>
          <w:shd w:val="clear" w:color="auto" w:fill="FFFFFF"/>
        </w:rPr>
        <w:t>risk,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F33AF1">
        <w:rPr>
          <w:rFonts w:cs="Times New Roman"/>
          <w:color w:val="000000" w:themeColor="text1"/>
          <w:szCs w:val="24"/>
          <w:shd w:val="clear" w:color="auto" w:fill="FFFFFF"/>
        </w:rPr>
        <w:t>the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>
        <w:rPr>
          <w:rFonts w:cs="Times New Roman"/>
          <w:color w:val="000000" w:themeColor="text1"/>
          <w:szCs w:val="24"/>
          <w:shd w:val="clear" w:color="auto" w:fill="FFFFFF"/>
        </w:rPr>
        <w:t>conditions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>
        <w:rPr>
          <w:rFonts w:cs="Times New Roman"/>
          <w:color w:val="000000" w:themeColor="text1"/>
          <w:szCs w:val="24"/>
          <w:shd w:val="clear" w:color="auto" w:fill="FFFFFF"/>
        </w:rPr>
        <w:t>of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>
        <w:rPr>
          <w:rFonts w:cs="Times New Roman"/>
          <w:color w:val="000000" w:themeColor="text1"/>
          <w:szCs w:val="24"/>
          <w:shd w:val="clear" w:color="auto" w:fill="FFFFFF"/>
        </w:rPr>
        <w:t>use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>
        <w:rPr>
          <w:rFonts w:cs="Times New Roman"/>
          <w:color w:val="000000" w:themeColor="text1"/>
          <w:szCs w:val="24"/>
          <w:shd w:val="clear" w:color="auto" w:fill="FFFFFF"/>
        </w:rPr>
        <w:t>of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B15BA5">
        <w:rPr>
          <w:rFonts w:cs="Times New Roman"/>
          <w:color w:val="000000" w:themeColor="text1"/>
          <w:szCs w:val="24"/>
          <w:shd w:val="clear" w:color="auto" w:fill="FFFFFF"/>
        </w:rPr>
        <w:t>chrysotile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B15BA5">
        <w:rPr>
          <w:rFonts w:cs="Times New Roman"/>
          <w:color w:val="000000" w:themeColor="text1"/>
          <w:szCs w:val="24"/>
          <w:shd w:val="clear" w:color="auto" w:fill="FFFFFF"/>
        </w:rPr>
        <w:t>asbestos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>
        <w:rPr>
          <w:rFonts w:cs="Times New Roman"/>
          <w:color w:val="000000" w:themeColor="text1"/>
          <w:szCs w:val="24"/>
          <w:shd w:val="clear" w:color="auto" w:fill="FFFFFF"/>
        </w:rPr>
        <w:t>that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>
        <w:rPr>
          <w:rFonts w:cs="Times New Roman"/>
          <w:color w:val="000000" w:themeColor="text1"/>
          <w:szCs w:val="24"/>
          <w:shd w:val="clear" w:color="auto" w:fill="FFFFFF"/>
        </w:rPr>
        <w:t>are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>
        <w:rPr>
          <w:rFonts w:cs="Times New Roman"/>
          <w:color w:val="000000" w:themeColor="text1"/>
          <w:szCs w:val="24"/>
          <w:shd w:val="clear" w:color="auto" w:fill="FFFFFF"/>
        </w:rPr>
        <w:t>the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>
        <w:rPr>
          <w:rFonts w:cs="Times New Roman"/>
          <w:color w:val="000000" w:themeColor="text1"/>
          <w:szCs w:val="24"/>
          <w:shd w:val="clear" w:color="auto" w:fill="FFFFFF"/>
        </w:rPr>
        <w:t>focus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>
        <w:rPr>
          <w:rFonts w:cs="Times New Roman"/>
          <w:color w:val="000000" w:themeColor="text1"/>
          <w:szCs w:val="24"/>
          <w:shd w:val="clear" w:color="auto" w:fill="FFFFFF"/>
        </w:rPr>
        <w:t>of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>
        <w:rPr>
          <w:rFonts w:cs="Times New Roman"/>
          <w:color w:val="000000" w:themeColor="text1"/>
          <w:szCs w:val="24"/>
          <w:shd w:val="clear" w:color="auto" w:fill="FFFFFF"/>
        </w:rPr>
        <w:t>this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>
        <w:rPr>
          <w:rFonts w:cs="Times New Roman"/>
          <w:color w:val="000000" w:themeColor="text1"/>
          <w:szCs w:val="24"/>
          <w:shd w:val="clear" w:color="auto" w:fill="FFFFFF"/>
        </w:rPr>
        <w:t>regulation,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F33AF1">
        <w:rPr>
          <w:rFonts w:cs="Times New Roman"/>
          <w:color w:val="000000" w:themeColor="text1"/>
          <w:szCs w:val="24"/>
          <w:shd w:val="clear" w:color="auto" w:fill="FFFFFF"/>
        </w:rPr>
        <w:t>and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B3655F">
        <w:rPr>
          <w:rFonts w:cs="Times New Roman"/>
          <w:color w:val="000000" w:themeColor="text1"/>
          <w:szCs w:val="24"/>
          <w:shd w:val="clear" w:color="auto" w:fill="FFFFFF"/>
        </w:rPr>
        <w:t>how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B3655F">
        <w:rPr>
          <w:rFonts w:cs="Times New Roman"/>
          <w:color w:val="000000" w:themeColor="text1"/>
          <w:szCs w:val="24"/>
          <w:shd w:val="clear" w:color="auto" w:fill="FFFFFF"/>
        </w:rPr>
        <w:t>EPA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B3655F">
        <w:rPr>
          <w:rFonts w:cs="Times New Roman"/>
          <w:color w:val="000000" w:themeColor="text1"/>
          <w:szCs w:val="24"/>
          <w:shd w:val="clear" w:color="auto" w:fill="FFFFFF"/>
        </w:rPr>
        <w:t>is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8A0C4A">
        <w:rPr>
          <w:rFonts w:cs="Times New Roman"/>
          <w:color w:val="000000" w:themeColor="text1"/>
          <w:szCs w:val="24"/>
          <w:shd w:val="clear" w:color="auto" w:fill="FFFFFF"/>
        </w:rPr>
        <w:t>proposing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8A0C4A">
        <w:rPr>
          <w:rFonts w:cs="Times New Roman"/>
          <w:color w:val="000000" w:themeColor="text1"/>
          <w:szCs w:val="24"/>
          <w:shd w:val="clear" w:color="auto" w:fill="FFFFFF"/>
        </w:rPr>
        <w:t>to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B3655F">
        <w:rPr>
          <w:rFonts w:cs="Times New Roman"/>
          <w:color w:val="000000" w:themeColor="text1"/>
          <w:szCs w:val="24"/>
          <w:shd w:val="clear" w:color="auto" w:fill="FFFFFF"/>
        </w:rPr>
        <w:t>apply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B3655F">
        <w:rPr>
          <w:rFonts w:cs="Times New Roman"/>
          <w:color w:val="000000" w:themeColor="text1"/>
          <w:szCs w:val="24"/>
          <w:shd w:val="clear" w:color="auto" w:fill="FFFFFF"/>
        </w:rPr>
        <w:t>the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>
        <w:rPr>
          <w:rFonts w:cs="Times New Roman"/>
          <w:color w:val="000000" w:themeColor="text1"/>
          <w:szCs w:val="24"/>
          <w:shd w:val="clear" w:color="auto" w:fill="FFFFFF"/>
        </w:rPr>
        <w:t>TSCA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>
        <w:rPr>
          <w:rFonts w:cs="Times New Roman"/>
          <w:color w:val="000000" w:themeColor="text1"/>
          <w:szCs w:val="24"/>
          <w:shd w:val="clear" w:color="auto" w:fill="FFFFFF"/>
        </w:rPr>
        <w:t>section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>
        <w:rPr>
          <w:rFonts w:cs="Times New Roman"/>
          <w:color w:val="000000" w:themeColor="text1"/>
          <w:szCs w:val="24"/>
          <w:shd w:val="clear" w:color="auto" w:fill="FFFFFF"/>
        </w:rPr>
        <w:t>6(a)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>
        <w:rPr>
          <w:rFonts w:cs="Times New Roman"/>
          <w:color w:val="000000" w:themeColor="text1"/>
          <w:szCs w:val="24"/>
          <w:shd w:val="clear" w:color="auto" w:fill="FFFFFF"/>
        </w:rPr>
        <w:t>requirements,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B3655F">
        <w:rPr>
          <w:rFonts w:cs="Times New Roman"/>
          <w:color w:val="000000" w:themeColor="text1"/>
          <w:szCs w:val="24"/>
          <w:shd w:val="clear" w:color="auto" w:fill="FFFFFF"/>
        </w:rPr>
        <w:t>including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B3655F">
        <w:rPr>
          <w:rFonts w:cs="Times New Roman"/>
          <w:color w:val="000000" w:themeColor="text1"/>
          <w:szCs w:val="24"/>
          <w:shd w:val="clear" w:color="auto" w:fill="FFFFFF"/>
        </w:rPr>
        <w:t>the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B3655F">
        <w:rPr>
          <w:rFonts w:cs="Times New Roman"/>
          <w:color w:val="000000" w:themeColor="text1"/>
          <w:szCs w:val="24"/>
          <w:shd w:val="clear" w:color="auto" w:fill="FFFFFF"/>
        </w:rPr>
        <w:t>consideration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B3655F">
        <w:rPr>
          <w:rFonts w:cs="Times New Roman"/>
          <w:color w:val="000000" w:themeColor="text1"/>
          <w:szCs w:val="24"/>
          <w:shd w:val="clear" w:color="auto" w:fill="FFFFFF"/>
        </w:rPr>
        <w:t>of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B3655F">
        <w:rPr>
          <w:rFonts w:cs="Times New Roman"/>
          <w:color w:val="000000" w:themeColor="text1"/>
          <w:szCs w:val="24"/>
          <w:shd w:val="clear" w:color="auto" w:fill="FFFFFF"/>
        </w:rPr>
        <w:t>alternatives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B3655F">
        <w:rPr>
          <w:rFonts w:cs="Times New Roman"/>
          <w:color w:val="000000" w:themeColor="text1"/>
          <w:szCs w:val="24"/>
          <w:shd w:val="clear" w:color="auto" w:fill="FFFFFF"/>
        </w:rPr>
        <w:t>in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B3655F">
        <w:rPr>
          <w:rFonts w:cs="Times New Roman"/>
          <w:color w:val="000000" w:themeColor="text1"/>
          <w:szCs w:val="24"/>
          <w:shd w:val="clear" w:color="auto" w:fill="FFFFFF"/>
        </w:rPr>
        <w:t>deciding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B3655F">
        <w:rPr>
          <w:rFonts w:cs="Times New Roman"/>
          <w:color w:val="000000" w:themeColor="text1"/>
          <w:szCs w:val="24"/>
          <w:shd w:val="clear" w:color="auto" w:fill="FFFFFF"/>
        </w:rPr>
        <w:t>whether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B3655F">
        <w:rPr>
          <w:rFonts w:cs="Times New Roman"/>
          <w:color w:val="000000" w:themeColor="text1"/>
          <w:szCs w:val="24"/>
          <w:shd w:val="clear" w:color="auto" w:fill="FFFFFF"/>
        </w:rPr>
        <w:t>to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B3655F">
        <w:rPr>
          <w:rFonts w:cs="Times New Roman"/>
          <w:color w:val="000000" w:themeColor="text1"/>
          <w:szCs w:val="24"/>
          <w:shd w:val="clear" w:color="auto" w:fill="FFFFFF"/>
        </w:rPr>
        <w:t>prohibit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B3655F">
        <w:rPr>
          <w:rFonts w:cs="Times New Roman"/>
          <w:color w:val="000000" w:themeColor="text1"/>
          <w:szCs w:val="24"/>
          <w:shd w:val="clear" w:color="auto" w:fill="FFFFFF"/>
        </w:rPr>
        <w:t>or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B3655F">
        <w:rPr>
          <w:rFonts w:cs="Times New Roman"/>
          <w:color w:val="000000" w:themeColor="text1"/>
          <w:szCs w:val="24"/>
          <w:shd w:val="clear" w:color="auto" w:fill="FFFFFF"/>
        </w:rPr>
        <w:t>restrict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B3655F">
        <w:rPr>
          <w:rFonts w:cs="Times New Roman"/>
          <w:color w:val="000000" w:themeColor="text1"/>
          <w:szCs w:val="24"/>
          <w:shd w:val="clear" w:color="auto" w:fill="FFFFFF"/>
        </w:rPr>
        <w:t>in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B3655F">
        <w:rPr>
          <w:rFonts w:cs="Times New Roman"/>
          <w:color w:val="000000" w:themeColor="text1"/>
          <w:szCs w:val="24"/>
          <w:shd w:val="clear" w:color="auto" w:fill="FFFFFF"/>
        </w:rPr>
        <w:t>a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B3655F">
        <w:rPr>
          <w:rFonts w:cs="Times New Roman"/>
          <w:color w:val="000000" w:themeColor="text1"/>
          <w:szCs w:val="24"/>
          <w:shd w:val="clear" w:color="auto" w:fill="FFFFFF"/>
        </w:rPr>
        <w:t>manner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B3655F">
        <w:rPr>
          <w:rFonts w:cs="Times New Roman"/>
          <w:color w:val="000000" w:themeColor="text1"/>
          <w:szCs w:val="24"/>
          <w:shd w:val="clear" w:color="auto" w:fill="FFFFFF"/>
        </w:rPr>
        <w:t>that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B3655F">
        <w:rPr>
          <w:rFonts w:cs="Times New Roman"/>
          <w:color w:val="000000" w:themeColor="text1"/>
          <w:szCs w:val="24"/>
          <w:shd w:val="clear" w:color="auto" w:fill="FFFFFF"/>
        </w:rPr>
        <w:t>substantially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B3655F">
        <w:rPr>
          <w:rFonts w:cs="Times New Roman"/>
          <w:color w:val="000000" w:themeColor="text1"/>
          <w:szCs w:val="24"/>
          <w:shd w:val="clear" w:color="auto" w:fill="FFFFFF"/>
        </w:rPr>
        <w:t>prevents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B3655F">
        <w:rPr>
          <w:rFonts w:cs="Times New Roman"/>
          <w:color w:val="000000" w:themeColor="text1"/>
          <w:szCs w:val="24"/>
          <w:shd w:val="clear" w:color="auto" w:fill="FFFFFF"/>
        </w:rPr>
        <w:t>a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B3655F">
        <w:rPr>
          <w:rFonts w:cs="Times New Roman"/>
          <w:color w:val="000000" w:themeColor="text1"/>
          <w:szCs w:val="24"/>
          <w:shd w:val="clear" w:color="auto" w:fill="FFFFFF"/>
        </w:rPr>
        <w:t>specific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B3655F">
        <w:rPr>
          <w:rFonts w:cs="Times New Roman"/>
          <w:color w:val="000000" w:themeColor="text1"/>
          <w:szCs w:val="24"/>
          <w:shd w:val="clear" w:color="auto" w:fill="FFFFFF"/>
        </w:rPr>
        <w:t>condition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B3655F">
        <w:rPr>
          <w:rFonts w:cs="Times New Roman"/>
          <w:color w:val="000000" w:themeColor="text1"/>
          <w:szCs w:val="24"/>
          <w:shd w:val="clear" w:color="auto" w:fill="FFFFFF"/>
        </w:rPr>
        <w:t>of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B3655F">
        <w:rPr>
          <w:rFonts w:cs="Times New Roman"/>
          <w:color w:val="000000" w:themeColor="text1"/>
          <w:szCs w:val="24"/>
          <w:shd w:val="clear" w:color="auto" w:fill="FFFFFF"/>
        </w:rPr>
        <w:t>use.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</w:p>
    <w:p w:rsidRPr="00C317BB" w:rsidR="00855617" w:rsidP="00F27167" w:rsidRDefault="00855617" w14:paraId="4E6A2B65" w14:textId="14252847">
      <w:pPr>
        <w:pStyle w:val="Heading3"/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1.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Description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unreasonable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risk</w:t>
      </w:r>
      <w:r w:rsidRPr="00C317BB" w:rsidR="00FF2D57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4D2261" w:rsidP="00F27167" w:rsidRDefault="003402F1" w14:paraId="46A77195" w14:textId="45586989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8419E">
        <w:rPr>
          <w:rFonts w:cs="Times New Roman"/>
          <w:color w:val="000000" w:themeColor="text1"/>
          <w:szCs w:val="24"/>
        </w:rPr>
        <w:t>health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8419E">
        <w:rPr>
          <w:rFonts w:cs="Times New Roman"/>
          <w:color w:val="000000" w:themeColor="text1"/>
          <w:szCs w:val="24"/>
        </w:rPr>
        <w:t>endpoint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C26EE">
        <w:rPr>
          <w:rFonts w:cs="Times New Roman"/>
          <w:color w:val="000000" w:themeColor="text1"/>
          <w:szCs w:val="24"/>
        </w:rPr>
        <w:t>driving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EPA’s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determination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unreasonable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conditions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cancer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inhalation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(Ref.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9571A">
        <w:rPr>
          <w:rFonts w:cs="Times New Roman"/>
          <w:color w:val="000000" w:themeColor="text1"/>
          <w:szCs w:val="24"/>
        </w:rPr>
        <w:t>1</w:t>
      </w:r>
      <w:r w:rsidRPr="00C317BB">
        <w:rPr>
          <w:rFonts w:cs="Times New Roman"/>
          <w:color w:val="000000" w:themeColor="text1"/>
          <w:szCs w:val="24"/>
        </w:rPr>
        <w:t>).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unreasonable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includes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mesothelioma,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lung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cancer,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cancers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chronic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inhalation.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E20B4">
        <w:rPr>
          <w:rFonts w:cs="Times New Roman"/>
          <w:color w:val="000000" w:themeColor="text1"/>
          <w:szCs w:val="24"/>
        </w:rPr>
        <w:t>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E20B4">
        <w:rPr>
          <w:rFonts w:cs="Times New Roman"/>
          <w:color w:val="000000" w:themeColor="text1"/>
          <w:szCs w:val="24"/>
        </w:rPr>
        <w:t>inhalation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E20B4">
        <w:rPr>
          <w:rFonts w:cs="Times New Roman"/>
          <w:color w:val="000000" w:themeColor="text1"/>
          <w:szCs w:val="24"/>
        </w:rPr>
        <w:t>unit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E20B4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E20B4">
        <w:rPr>
          <w:rFonts w:cs="Times New Roman"/>
          <w:color w:val="000000" w:themeColor="text1"/>
          <w:szCs w:val="24"/>
        </w:rPr>
        <w:t>(IUR)</w:t>
      </w:r>
      <w:r w:rsidRPr="00C317BB" w:rsidR="006B4876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B4876">
        <w:rPr>
          <w:rFonts w:cs="Times New Roman"/>
          <w:color w:val="000000" w:themeColor="text1"/>
          <w:szCs w:val="24"/>
        </w:rPr>
        <w:t>which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B4876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B4876">
        <w:rPr>
          <w:rFonts w:cs="Times New Roman"/>
          <w:color w:val="000000" w:themeColor="text1"/>
          <w:szCs w:val="24"/>
        </w:rPr>
        <w:t>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B4876">
        <w:rPr>
          <w:rFonts w:cs="Times New Roman"/>
          <w:color w:val="000000" w:themeColor="text1"/>
          <w:szCs w:val="24"/>
        </w:rPr>
        <w:t>estimate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B4876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B4876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B4876">
        <w:rPr>
          <w:rFonts w:cs="Times New Roman"/>
          <w:color w:val="000000" w:themeColor="text1"/>
          <w:szCs w:val="24"/>
        </w:rPr>
        <w:t>carcinogenic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B4876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B4876">
        <w:rPr>
          <w:rFonts w:cs="Times New Roman"/>
          <w:color w:val="000000" w:themeColor="text1"/>
          <w:szCs w:val="24"/>
        </w:rPr>
        <w:t>associated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B4876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B4876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B4876">
        <w:rPr>
          <w:rFonts w:cs="Times New Roman"/>
          <w:color w:val="000000" w:themeColor="text1"/>
          <w:szCs w:val="24"/>
        </w:rPr>
        <w:t>unit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B4876">
        <w:rPr>
          <w:rFonts w:cs="Times New Roman"/>
          <w:color w:val="000000" w:themeColor="text1"/>
          <w:szCs w:val="24"/>
        </w:rPr>
        <w:t>concentration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B4876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B4876">
        <w:rPr>
          <w:rFonts w:cs="Times New Roman"/>
          <w:color w:val="000000" w:themeColor="text1"/>
          <w:szCs w:val="24"/>
        </w:rPr>
        <w:t>air,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E20B4">
        <w:rPr>
          <w:rFonts w:cs="Times New Roman"/>
          <w:color w:val="000000" w:themeColor="text1"/>
          <w:szCs w:val="24"/>
        </w:rPr>
        <w:t>was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E20B4">
        <w:rPr>
          <w:rFonts w:cs="Times New Roman"/>
          <w:color w:val="000000" w:themeColor="text1"/>
          <w:szCs w:val="24"/>
        </w:rPr>
        <w:t>developed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E20B4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E20B4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E20B4">
        <w:rPr>
          <w:rFonts w:cs="Times New Roman"/>
          <w:color w:val="000000" w:themeColor="text1"/>
          <w:szCs w:val="24"/>
        </w:rPr>
        <w:t>asbestos.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E20B4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E20B4">
        <w:rPr>
          <w:rFonts w:cs="Times New Roman"/>
          <w:color w:val="000000" w:themeColor="text1"/>
          <w:szCs w:val="24"/>
        </w:rPr>
        <w:t>IUR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E20B4">
        <w:rPr>
          <w:rFonts w:cs="Times New Roman"/>
          <w:color w:val="000000" w:themeColor="text1"/>
          <w:szCs w:val="24"/>
        </w:rPr>
        <w:t>was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E20B4">
        <w:rPr>
          <w:rFonts w:cs="Times New Roman"/>
          <w:color w:val="000000" w:themeColor="text1"/>
          <w:szCs w:val="24"/>
        </w:rPr>
        <w:t>based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E20B4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E20B4">
        <w:rPr>
          <w:rFonts w:cs="Times New Roman"/>
          <w:color w:val="000000" w:themeColor="text1"/>
          <w:szCs w:val="24"/>
        </w:rPr>
        <w:t>epidemiological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E20B4">
        <w:rPr>
          <w:rFonts w:cs="Times New Roman"/>
          <w:color w:val="000000" w:themeColor="text1"/>
          <w:szCs w:val="24"/>
        </w:rPr>
        <w:t>studies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E20B4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E20B4">
        <w:rPr>
          <w:rFonts w:cs="Times New Roman"/>
          <w:color w:val="000000" w:themeColor="text1"/>
          <w:szCs w:val="24"/>
        </w:rPr>
        <w:t>mesothelioma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E20B4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E20B4">
        <w:rPr>
          <w:rFonts w:cs="Times New Roman"/>
          <w:color w:val="000000" w:themeColor="text1"/>
          <w:szCs w:val="24"/>
        </w:rPr>
        <w:t>lung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E20B4">
        <w:rPr>
          <w:rFonts w:cs="Times New Roman"/>
          <w:color w:val="000000" w:themeColor="text1"/>
          <w:szCs w:val="24"/>
        </w:rPr>
        <w:t>cancer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E20B4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E20B4">
        <w:rPr>
          <w:rFonts w:cs="Times New Roman"/>
          <w:color w:val="000000" w:themeColor="text1"/>
          <w:szCs w:val="24"/>
        </w:rPr>
        <w:t>cohorts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E20B4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E20B4">
        <w:rPr>
          <w:rFonts w:cs="Times New Roman"/>
          <w:color w:val="000000" w:themeColor="text1"/>
          <w:szCs w:val="24"/>
        </w:rPr>
        <w:t>workers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E20B4">
        <w:rPr>
          <w:rFonts w:cs="Times New Roman"/>
          <w:color w:val="000000" w:themeColor="text1"/>
          <w:szCs w:val="24"/>
        </w:rPr>
        <w:t>using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E20B4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E20B4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E20B4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E20B4">
        <w:rPr>
          <w:rFonts w:cs="Times New Roman"/>
          <w:color w:val="000000" w:themeColor="text1"/>
          <w:szCs w:val="24"/>
        </w:rPr>
        <w:t>commerc</w:t>
      </w:r>
      <w:r w:rsidRPr="00C317BB" w:rsidR="00013D33">
        <w:rPr>
          <w:rFonts w:cs="Times New Roman"/>
          <w:color w:val="000000" w:themeColor="text1"/>
          <w:szCs w:val="24"/>
        </w:rPr>
        <w:t>e</w:t>
      </w:r>
      <w:r w:rsidRPr="00C317BB" w:rsidR="002E20B4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C3566">
        <w:rPr>
          <w:rFonts w:cs="Times New Roman"/>
          <w:color w:val="000000" w:themeColor="text1"/>
          <w:szCs w:val="24"/>
        </w:rPr>
        <w:t>Since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F0AF8">
        <w:rPr>
          <w:rFonts w:cs="Times New Roman"/>
          <w:color w:val="000000" w:themeColor="text1"/>
          <w:szCs w:val="24"/>
        </w:rPr>
        <w:t>there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F0AF8">
        <w:rPr>
          <w:rFonts w:cs="Times New Roman"/>
          <w:color w:val="000000" w:themeColor="text1"/>
          <w:szCs w:val="24"/>
        </w:rPr>
        <w:t>was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F0AF8">
        <w:rPr>
          <w:rFonts w:cs="Times New Roman"/>
          <w:color w:val="000000" w:themeColor="text1"/>
          <w:szCs w:val="24"/>
        </w:rPr>
        <w:t>no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F0AF8">
        <w:rPr>
          <w:rFonts w:cs="Times New Roman"/>
          <w:color w:val="000000" w:themeColor="text1"/>
          <w:szCs w:val="24"/>
        </w:rPr>
        <w:t>exposure-response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F0AF8">
        <w:rPr>
          <w:rFonts w:cs="Times New Roman"/>
          <w:color w:val="000000" w:themeColor="text1"/>
          <w:szCs w:val="24"/>
        </w:rPr>
        <w:t>data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F0AF8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11200">
        <w:rPr>
          <w:rFonts w:cs="Times New Roman"/>
          <w:color w:val="000000" w:themeColor="text1"/>
          <w:szCs w:val="24"/>
        </w:rPr>
        <w:t>cancer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11200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11200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C3566">
        <w:rPr>
          <w:rFonts w:cs="Times New Roman"/>
          <w:color w:val="000000" w:themeColor="text1"/>
          <w:szCs w:val="24"/>
        </w:rPr>
        <w:t>ovar</w:t>
      </w:r>
      <w:r w:rsidRPr="00C317BB" w:rsidR="00311200">
        <w:rPr>
          <w:rFonts w:cs="Times New Roman"/>
          <w:color w:val="000000" w:themeColor="text1"/>
          <w:szCs w:val="24"/>
        </w:rPr>
        <w:t>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C3566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C3566">
        <w:rPr>
          <w:rFonts w:cs="Times New Roman"/>
          <w:color w:val="000000" w:themeColor="text1"/>
          <w:szCs w:val="24"/>
        </w:rPr>
        <w:t>laryngeal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C3566">
        <w:rPr>
          <w:rFonts w:cs="Times New Roman"/>
          <w:color w:val="000000" w:themeColor="text1"/>
          <w:szCs w:val="24"/>
        </w:rPr>
        <w:t>cancer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C3566">
        <w:rPr>
          <w:rFonts w:cs="Times New Roman"/>
          <w:color w:val="000000" w:themeColor="text1"/>
          <w:szCs w:val="24"/>
        </w:rPr>
        <w:t>effects</w:t>
      </w:r>
      <w:r w:rsidRPr="00C317BB" w:rsidR="001F0AF8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C3566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C3566">
        <w:rPr>
          <w:rFonts w:cs="Times New Roman"/>
          <w:color w:val="000000" w:themeColor="text1"/>
          <w:szCs w:val="24"/>
        </w:rPr>
        <w:t>direct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C3566">
        <w:rPr>
          <w:rFonts w:cs="Times New Roman"/>
          <w:color w:val="000000" w:themeColor="text1"/>
          <w:szCs w:val="24"/>
        </w:rPr>
        <w:t>estimate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C3566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C3566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F0AF8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C3566">
        <w:rPr>
          <w:rFonts w:cs="Times New Roman"/>
          <w:color w:val="000000" w:themeColor="text1"/>
          <w:szCs w:val="24"/>
        </w:rPr>
        <w:t>ovaria</w:t>
      </w:r>
      <w:r w:rsidRPr="00C317BB" w:rsidR="00866B89">
        <w:rPr>
          <w:rFonts w:cs="Times New Roman"/>
          <w:color w:val="000000" w:themeColor="text1"/>
          <w:szCs w:val="24"/>
        </w:rPr>
        <w:t>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C3566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C3566">
        <w:rPr>
          <w:rFonts w:cs="Times New Roman"/>
          <w:color w:val="000000" w:themeColor="text1"/>
          <w:szCs w:val="24"/>
        </w:rPr>
        <w:t>laryngeal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C3566">
        <w:rPr>
          <w:rFonts w:cs="Times New Roman"/>
          <w:color w:val="000000" w:themeColor="text1"/>
          <w:szCs w:val="24"/>
        </w:rPr>
        <w:t>cancer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C3566">
        <w:rPr>
          <w:rFonts w:cs="Times New Roman"/>
          <w:color w:val="000000" w:themeColor="text1"/>
          <w:szCs w:val="24"/>
        </w:rPr>
        <w:t>could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C3566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C3566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C3566">
        <w:rPr>
          <w:rFonts w:cs="Times New Roman"/>
          <w:color w:val="000000" w:themeColor="text1"/>
          <w:szCs w:val="24"/>
        </w:rPr>
        <w:t>ma</w:t>
      </w:r>
      <w:r w:rsidRPr="00C317BB" w:rsidR="001F0AF8">
        <w:rPr>
          <w:rFonts w:cs="Times New Roman"/>
          <w:color w:val="000000" w:themeColor="text1"/>
          <w:szCs w:val="24"/>
        </w:rPr>
        <w:t>d</w:t>
      </w:r>
      <w:r w:rsidRPr="00C317BB" w:rsidR="002C3566">
        <w:rPr>
          <w:rFonts w:cs="Times New Roman"/>
          <w:color w:val="000000" w:themeColor="text1"/>
          <w:szCs w:val="24"/>
        </w:rPr>
        <w:t>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1690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1690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204CC">
        <w:rPr>
          <w:rFonts w:cs="Times New Roman"/>
          <w:color w:val="000000" w:themeColor="text1"/>
          <w:szCs w:val="24"/>
        </w:rPr>
        <w:t>unit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204CC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1690B">
        <w:rPr>
          <w:rFonts w:cs="Times New Roman"/>
          <w:color w:val="000000" w:themeColor="text1"/>
          <w:szCs w:val="24"/>
        </w:rPr>
        <w:t>calculation</w:t>
      </w:r>
      <w:r w:rsidRPr="00C317BB" w:rsidR="001F0AF8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F0AF8">
        <w:rPr>
          <w:rFonts w:cs="Times New Roman"/>
          <w:color w:val="000000" w:themeColor="text1"/>
          <w:szCs w:val="24"/>
        </w:rPr>
        <w:t>A</w:t>
      </w:r>
      <w:r w:rsidRPr="00C317BB" w:rsidR="00662F02">
        <w:rPr>
          <w:rFonts w:cs="Times New Roman"/>
          <w:color w:val="000000" w:themeColor="text1"/>
          <w:szCs w:val="24"/>
        </w:rPr>
        <w:t>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62F02">
        <w:rPr>
          <w:rFonts w:cs="Times New Roman"/>
          <w:color w:val="000000" w:themeColor="text1"/>
          <w:szCs w:val="24"/>
        </w:rPr>
        <w:t>adjustment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62F02">
        <w:rPr>
          <w:rFonts w:cs="Times New Roman"/>
          <w:color w:val="000000" w:themeColor="text1"/>
          <w:szCs w:val="24"/>
        </w:rPr>
        <w:t>factor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62F02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62F02">
        <w:rPr>
          <w:rFonts w:cs="Times New Roman"/>
          <w:color w:val="000000" w:themeColor="text1"/>
          <w:szCs w:val="24"/>
        </w:rPr>
        <w:t>ovarian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62F02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62F02">
        <w:rPr>
          <w:rFonts w:cs="Times New Roman"/>
          <w:color w:val="000000" w:themeColor="text1"/>
          <w:szCs w:val="24"/>
        </w:rPr>
        <w:t>laryngeal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62F02">
        <w:rPr>
          <w:rFonts w:cs="Times New Roman"/>
          <w:color w:val="000000" w:themeColor="text1"/>
          <w:szCs w:val="24"/>
        </w:rPr>
        <w:t>cancer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62F02">
        <w:rPr>
          <w:rFonts w:cs="Times New Roman"/>
          <w:color w:val="000000" w:themeColor="text1"/>
          <w:szCs w:val="24"/>
        </w:rPr>
        <w:t>effects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62F02">
        <w:rPr>
          <w:rFonts w:cs="Times New Roman"/>
          <w:color w:val="000000" w:themeColor="text1"/>
          <w:szCs w:val="24"/>
        </w:rPr>
        <w:t>was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62F02">
        <w:rPr>
          <w:rFonts w:cs="Times New Roman"/>
          <w:color w:val="000000" w:themeColor="text1"/>
          <w:szCs w:val="24"/>
        </w:rPr>
        <w:t>applied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62F02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62F02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62F02">
        <w:rPr>
          <w:rFonts w:cs="Times New Roman"/>
          <w:color w:val="000000" w:themeColor="text1"/>
          <w:szCs w:val="24"/>
        </w:rPr>
        <w:t>value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62F02">
        <w:rPr>
          <w:rFonts w:cs="Times New Roman"/>
          <w:color w:val="000000" w:themeColor="text1"/>
          <w:szCs w:val="24"/>
        </w:rPr>
        <w:t>estimates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32908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32908">
        <w:rPr>
          <w:rFonts w:cs="Times New Roman"/>
          <w:color w:val="000000" w:themeColor="text1"/>
          <w:szCs w:val="24"/>
        </w:rPr>
        <w:t>correct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32908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32908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32908">
        <w:rPr>
          <w:rFonts w:cs="Times New Roman"/>
          <w:color w:val="000000" w:themeColor="text1"/>
          <w:szCs w:val="24"/>
        </w:rPr>
        <w:t>negative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32908">
        <w:rPr>
          <w:rFonts w:cs="Times New Roman"/>
          <w:color w:val="000000" w:themeColor="text1"/>
          <w:szCs w:val="24"/>
        </w:rPr>
        <w:t>bias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32908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32908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32908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32908">
        <w:rPr>
          <w:rFonts w:cs="Times New Roman"/>
          <w:color w:val="000000" w:themeColor="text1"/>
          <w:szCs w:val="24"/>
        </w:rPr>
        <w:t>values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32908">
        <w:rPr>
          <w:rFonts w:cs="Times New Roman"/>
          <w:color w:val="000000" w:themeColor="text1"/>
          <w:szCs w:val="24"/>
        </w:rPr>
        <w:t>derived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32908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F75F9">
        <w:rPr>
          <w:rFonts w:cs="Times New Roman"/>
          <w:color w:val="000000" w:themeColor="text1"/>
          <w:szCs w:val="24"/>
        </w:rPr>
        <w:t>only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32908">
        <w:rPr>
          <w:rFonts w:cs="Times New Roman"/>
          <w:color w:val="000000" w:themeColor="text1"/>
          <w:szCs w:val="24"/>
        </w:rPr>
        <w:t>lung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32908">
        <w:rPr>
          <w:rFonts w:cs="Times New Roman"/>
          <w:color w:val="000000" w:themeColor="text1"/>
          <w:szCs w:val="24"/>
        </w:rPr>
        <w:t>cancer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32908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32908">
        <w:rPr>
          <w:rFonts w:cs="Times New Roman"/>
          <w:color w:val="000000" w:themeColor="text1"/>
          <w:szCs w:val="24"/>
        </w:rPr>
        <w:t>mesothelioma.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E546E">
        <w:rPr>
          <w:rFonts w:cs="Times New Roman"/>
          <w:color w:val="000000" w:themeColor="text1"/>
          <w:szCs w:val="24"/>
        </w:rPr>
        <w:t>And,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E546E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E546E">
        <w:rPr>
          <w:rFonts w:cs="Times New Roman"/>
          <w:color w:val="000000" w:themeColor="text1"/>
          <w:szCs w:val="24"/>
        </w:rPr>
        <w:t>discussed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E546E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E546E">
        <w:rPr>
          <w:rFonts w:cs="Times New Roman"/>
          <w:color w:val="000000" w:themeColor="text1"/>
          <w:szCs w:val="24"/>
        </w:rPr>
        <w:t>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E546E">
        <w:rPr>
          <w:rFonts w:cs="Times New Roman"/>
          <w:color w:val="000000" w:themeColor="text1"/>
          <w:szCs w:val="24"/>
        </w:rPr>
        <w:t>4.</w:t>
      </w:r>
      <w:r w:rsidRPr="00C317BB" w:rsidR="003065F6">
        <w:rPr>
          <w:rFonts w:cs="Times New Roman"/>
          <w:color w:val="000000" w:themeColor="text1"/>
          <w:szCs w:val="24"/>
        </w:rPr>
        <w:t>2.1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E546E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E546E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E546E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E546E">
        <w:rPr>
          <w:rFonts w:cs="Times New Roman"/>
          <w:color w:val="000000" w:themeColor="text1"/>
          <w:szCs w:val="24"/>
        </w:rPr>
        <w:t>Evaluation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E546E">
        <w:rPr>
          <w:rFonts w:cs="Times New Roman"/>
          <w:color w:val="000000" w:themeColor="text1"/>
          <w:szCs w:val="24"/>
        </w:rPr>
        <w:t>(Ref.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E546E">
        <w:rPr>
          <w:rFonts w:cs="Times New Roman"/>
          <w:color w:val="000000" w:themeColor="text1"/>
          <w:szCs w:val="24"/>
        </w:rPr>
        <w:t>1),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E546E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E546E">
        <w:rPr>
          <w:rFonts w:cs="Times New Roman"/>
          <w:color w:val="000000" w:themeColor="text1"/>
          <w:szCs w:val="24"/>
        </w:rPr>
        <w:t>workers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E546E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E546E">
        <w:rPr>
          <w:rFonts w:cs="Times New Roman"/>
          <w:color w:val="000000" w:themeColor="text1"/>
          <w:szCs w:val="24"/>
        </w:rPr>
        <w:t>ONUs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E546E">
        <w:rPr>
          <w:rFonts w:cs="Times New Roman"/>
          <w:color w:val="000000" w:themeColor="text1"/>
          <w:szCs w:val="24"/>
        </w:rPr>
        <w:t>exposed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E546E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E546E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E546E">
        <w:rPr>
          <w:rFonts w:cs="Times New Roman"/>
          <w:color w:val="000000" w:themeColor="text1"/>
          <w:szCs w:val="24"/>
        </w:rPr>
        <w:t>workplace,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E546E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035AD">
        <w:rPr>
          <w:rFonts w:cs="Times New Roman"/>
          <w:color w:val="000000" w:themeColor="text1"/>
          <w:szCs w:val="24"/>
        </w:rPr>
        <w:t>used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035AD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035AD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035AD">
        <w:rPr>
          <w:rFonts w:cs="Times New Roman"/>
          <w:color w:val="000000" w:themeColor="text1"/>
          <w:szCs w:val="24"/>
        </w:rPr>
        <w:t>benchmark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E546E">
        <w:rPr>
          <w:rFonts w:cs="Times New Roman"/>
          <w:color w:val="000000" w:themeColor="text1"/>
          <w:szCs w:val="24"/>
        </w:rPr>
        <w:t>extra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E546E">
        <w:rPr>
          <w:rFonts w:cs="Times New Roman"/>
          <w:color w:val="000000" w:themeColor="text1"/>
          <w:szCs w:val="24"/>
        </w:rPr>
        <w:t>risks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E546E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E546E">
        <w:rPr>
          <w:rFonts w:cs="Times New Roman"/>
          <w:color w:val="000000" w:themeColor="text1"/>
          <w:szCs w:val="24"/>
        </w:rPr>
        <w:t>1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E546E">
        <w:rPr>
          <w:rFonts w:cs="Times New Roman"/>
          <w:color w:val="000000" w:themeColor="text1"/>
          <w:szCs w:val="24"/>
        </w:rPr>
        <w:t>cancer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E546E">
        <w:rPr>
          <w:rFonts w:cs="Times New Roman"/>
          <w:color w:val="000000" w:themeColor="text1"/>
          <w:szCs w:val="24"/>
        </w:rPr>
        <w:t>per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E546E">
        <w:rPr>
          <w:rFonts w:cs="Times New Roman"/>
          <w:color w:val="000000" w:themeColor="text1"/>
          <w:szCs w:val="24"/>
        </w:rPr>
        <w:t>10,000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03E2">
        <w:rPr>
          <w:rFonts w:cs="Times New Roman"/>
          <w:color w:val="000000" w:themeColor="text1"/>
          <w:szCs w:val="24"/>
        </w:rPr>
        <w:t>people.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03E2">
        <w:rPr>
          <w:rFonts w:cs="Times New Roman"/>
          <w:color w:val="000000" w:themeColor="text1"/>
          <w:szCs w:val="24"/>
        </w:rPr>
        <w:t>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03E2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03E2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03E2">
        <w:rPr>
          <w:rFonts w:cs="Times New Roman"/>
          <w:color w:val="000000" w:themeColor="text1"/>
          <w:szCs w:val="24"/>
        </w:rPr>
        <w:t>level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2CD1">
        <w:rPr>
          <w:rFonts w:cs="Times New Roman"/>
          <w:color w:val="000000" w:themeColor="text1"/>
          <w:szCs w:val="24"/>
        </w:rPr>
        <w:t>1x10</w:t>
      </w:r>
      <w:r w:rsidRPr="00C317BB" w:rsidR="00EF05B7">
        <w:rPr>
          <w:rFonts w:cs="Times New Roman"/>
          <w:color w:val="000000" w:themeColor="text1"/>
          <w:szCs w:val="24"/>
        </w:rPr>
        <w:t>-4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03E2">
        <w:rPr>
          <w:rFonts w:cs="Times New Roman"/>
          <w:color w:val="000000" w:themeColor="text1"/>
          <w:szCs w:val="24"/>
        </w:rPr>
        <w:t>(1E-4),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03E2">
        <w:rPr>
          <w:rFonts w:cs="Times New Roman"/>
          <w:color w:val="000000" w:themeColor="text1"/>
          <w:szCs w:val="24"/>
        </w:rPr>
        <w:t>if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03E2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03E2">
        <w:rPr>
          <w:rFonts w:cs="Times New Roman"/>
          <w:color w:val="000000" w:themeColor="text1"/>
          <w:szCs w:val="24"/>
        </w:rPr>
        <w:t>noncancer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03E2">
        <w:rPr>
          <w:rFonts w:cs="Times New Roman"/>
          <w:color w:val="000000" w:themeColor="text1"/>
          <w:szCs w:val="24"/>
        </w:rPr>
        <w:t>effects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03E2">
        <w:rPr>
          <w:rFonts w:cs="Times New Roman"/>
          <w:color w:val="000000" w:themeColor="text1"/>
          <w:szCs w:val="24"/>
        </w:rPr>
        <w:t>(e.g.,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03E2">
        <w:rPr>
          <w:rFonts w:cs="Times New Roman"/>
          <w:color w:val="000000" w:themeColor="text1"/>
          <w:szCs w:val="24"/>
        </w:rPr>
        <w:t>asbestosis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03E2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03E2">
        <w:rPr>
          <w:rFonts w:cs="Times New Roman"/>
          <w:color w:val="000000" w:themeColor="text1"/>
          <w:szCs w:val="24"/>
        </w:rPr>
        <w:t>pleural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03E2">
        <w:rPr>
          <w:rFonts w:cs="Times New Roman"/>
          <w:color w:val="000000" w:themeColor="text1"/>
          <w:szCs w:val="24"/>
        </w:rPr>
        <w:t>thickening)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03E2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03E2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03E2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03E2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03E2">
        <w:rPr>
          <w:rFonts w:cs="Times New Roman"/>
          <w:color w:val="000000" w:themeColor="text1"/>
          <w:szCs w:val="24"/>
        </w:rPr>
        <w:t>similar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03E2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03E2">
        <w:rPr>
          <w:rFonts w:cs="Times New Roman"/>
          <w:color w:val="000000" w:themeColor="text1"/>
          <w:szCs w:val="24"/>
        </w:rPr>
        <w:t>Libby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5158">
        <w:rPr>
          <w:rFonts w:cs="Times New Roman"/>
          <w:color w:val="000000" w:themeColor="text1"/>
          <w:szCs w:val="24"/>
        </w:rPr>
        <w:t>A</w:t>
      </w:r>
      <w:r w:rsidRPr="00C317BB" w:rsidR="004603E2">
        <w:rPr>
          <w:rFonts w:cs="Times New Roman"/>
          <w:color w:val="000000" w:themeColor="text1"/>
          <w:szCs w:val="24"/>
        </w:rPr>
        <w:t>mphibole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5158">
        <w:rPr>
          <w:rFonts w:cs="Times New Roman"/>
          <w:color w:val="000000" w:themeColor="text1"/>
          <w:szCs w:val="24"/>
        </w:rPr>
        <w:t>A</w:t>
      </w:r>
      <w:r w:rsidRPr="00C317BB" w:rsidR="004603E2">
        <w:rPr>
          <w:rFonts w:cs="Times New Roman"/>
          <w:color w:val="000000" w:themeColor="text1"/>
          <w:szCs w:val="24"/>
        </w:rPr>
        <w:t>sbestos,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03E2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03E2">
        <w:rPr>
          <w:rFonts w:cs="Times New Roman"/>
          <w:color w:val="000000" w:themeColor="text1"/>
          <w:szCs w:val="24"/>
        </w:rPr>
        <w:t>non-cancer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03E2">
        <w:rPr>
          <w:rFonts w:cs="Times New Roman"/>
          <w:color w:val="000000" w:themeColor="text1"/>
          <w:szCs w:val="24"/>
        </w:rPr>
        <w:t>effects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03E2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03E2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03E2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03E2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03E2">
        <w:rPr>
          <w:rFonts w:cs="Times New Roman"/>
          <w:color w:val="000000" w:themeColor="text1"/>
          <w:szCs w:val="24"/>
        </w:rPr>
        <w:t>likely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03E2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03E2">
        <w:rPr>
          <w:rFonts w:cs="Times New Roman"/>
          <w:color w:val="000000" w:themeColor="text1"/>
          <w:szCs w:val="24"/>
        </w:rPr>
        <w:t>contribute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03E2">
        <w:rPr>
          <w:rFonts w:cs="Times New Roman"/>
          <w:color w:val="000000" w:themeColor="text1"/>
          <w:szCs w:val="24"/>
        </w:rPr>
        <w:t>additional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03E2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03E2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03E2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03E2">
        <w:rPr>
          <w:rFonts w:cs="Times New Roman"/>
          <w:color w:val="000000" w:themeColor="text1"/>
          <w:szCs w:val="24"/>
        </w:rPr>
        <w:t>overall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03E2">
        <w:rPr>
          <w:rFonts w:cs="Times New Roman"/>
          <w:color w:val="000000" w:themeColor="text1"/>
          <w:szCs w:val="24"/>
        </w:rPr>
        <w:t>health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03E2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03E2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03E2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03E2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03E2">
        <w:rPr>
          <w:rFonts w:cs="Times New Roman"/>
          <w:color w:val="000000" w:themeColor="text1"/>
          <w:szCs w:val="24"/>
        </w:rPr>
        <w:t>beyond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03E2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03E2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03E2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03E2">
        <w:rPr>
          <w:rFonts w:cs="Times New Roman"/>
          <w:color w:val="000000" w:themeColor="text1"/>
          <w:szCs w:val="24"/>
        </w:rPr>
        <w:t>cancer.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03E2">
        <w:rPr>
          <w:rFonts w:cs="Times New Roman"/>
          <w:color w:val="000000" w:themeColor="text1"/>
          <w:szCs w:val="24"/>
        </w:rPr>
        <w:t>Thus,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03E2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03E2">
        <w:rPr>
          <w:rFonts w:cs="Times New Roman"/>
          <w:color w:val="000000" w:themeColor="text1"/>
          <w:szCs w:val="24"/>
        </w:rPr>
        <w:t>overall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03E2">
        <w:rPr>
          <w:rFonts w:cs="Times New Roman"/>
          <w:color w:val="000000" w:themeColor="text1"/>
          <w:szCs w:val="24"/>
        </w:rPr>
        <w:t>health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03E2">
        <w:rPr>
          <w:rFonts w:cs="Times New Roman"/>
          <w:color w:val="000000" w:themeColor="text1"/>
          <w:szCs w:val="24"/>
        </w:rPr>
        <w:t>risks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03E2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03E2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03E2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03E2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03E2">
        <w:rPr>
          <w:rFonts w:cs="Times New Roman"/>
          <w:color w:val="000000" w:themeColor="text1"/>
          <w:szCs w:val="24"/>
        </w:rPr>
        <w:t>underestimated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03E2">
        <w:rPr>
          <w:rFonts w:cs="Times New Roman"/>
          <w:color w:val="000000" w:themeColor="text1"/>
          <w:szCs w:val="24"/>
        </w:rPr>
        <w:t>based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03E2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03E2">
        <w:rPr>
          <w:rFonts w:cs="Times New Roman"/>
          <w:color w:val="000000" w:themeColor="text1"/>
          <w:szCs w:val="24"/>
        </w:rPr>
        <w:t>cancer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03E2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03E2">
        <w:rPr>
          <w:rFonts w:cs="Times New Roman"/>
          <w:color w:val="000000" w:themeColor="text1"/>
          <w:szCs w:val="24"/>
        </w:rPr>
        <w:t>alone</w:t>
      </w:r>
      <w:r w:rsidRPr="00C317BB" w:rsidR="00761030">
        <w:rPr>
          <w:rFonts w:cs="Times New Roman"/>
          <w:color w:val="000000" w:themeColor="text1"/>
          <w:szCs w:val="24"/>
        </w:rPr>
        <w:t>.</w:t>
      </w:r>
    </w:p>
    <w:p w:rsidRPr="00C317BB" w:rsidR="00381806" w:rsidP="00F27167" w:rsidRDefault="004D2261" w14:paraId="1877CC04" w14:textId="06195D18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processing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industrial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diaphragm</w:t>
      </w:r>
      <w:r w:rsidRPr="00C317BB" w:rsidR="005671B7">
        <w:rPr>
          <w:rFonts w:cs="Times New Roman"/>
          <w:color w:val="000000" w:themeColor="text1"/>
          <w:szCs w:val="24"/>
        </w:rPr>
        <w:t>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9700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9700B">
        <w:rPr>
          <w:rFonts w:cs="Times New Roman"/>
          <w:color w:val="000000" w:themeColor="text1"/>
          <w:szCs w:val="24"/>
        </w:rPr>
        <w:t>found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57463">
        <w:rPr>
          <w:rFonts w:cs="Times New Roman"/>
          <w:color w:val="000000" w:themeColor="text1"/>
          <w:szCs w:val="24"/>
        </w:rPr>
        <w:t>unreasonable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57463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671B7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C04C9">
        <w:rPr>
          <w:rFonts w:cs="Times New Roman"/>
          <w:color w:val="000000" w:themeColor="text1"/>
          <w:szCs w:val="24"/>
        </w:rPr>
        <w:t>workers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20C95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24AC6">
        <w:rPr>
          <w:rFonts w:cs="Times New Roman"/>
          <w:color w:val="000000" w:themeColor="text1"/>
          <w:szCs w:val="24"/>
        </w:rPr>
        <w:t>chronic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C04C9">
        <w:rPr>
          <w:rFonts w:cs="Times New Roman"/>
          <w:color w:val="000000" w:themeColor="text1"/>
          <w:szCs w:val="24"/>
        </w:rPr>
        <w:t>inhalation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C04C9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5594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5594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5594">
        <w:rPr>
          <w:rFonts w:cs="Times New Roman"/>
          <w:color w:val="000000" w:themeColor="text1"/>
          <w:szCs w:val="24"/>
        </w:rPr>
        <w:t>asbestos,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5594">
        <w:rPr>
          <w:rFonts w:cs="Times New Roman"/>
          <w:color w:val="000000" w:themeColor="text1"/>
          <w:szCs w:val="24"/>
        </w:rPr>
        <w:t>based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D541D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34DE3">
        <w:rPr>
          <w:rFonts w:cs="Times New Roman"/>
          <w:color w:val="000000" w:themeColor="text1"/>
          <w:szCs w:val="24"/>
        </w:rPr>
        <w:t>industry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34DE3">
        <w:rPr>
          <w:rFonts w:cs="Times New Roman"/>
          <w:color w:val="000000" w:themeColor="text1"/>
          <w:szCs w:val="24"/>
        </w:rPr>
        <w:t>data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34DE3">
        <w:rPr>
          <w:rFonts w:cs="Times New Roman"/>
          <w:color w:val="000000" w:themeColor="text1"/>
          <w:szCs w:val="24"/>
        </w:rPr>
        <w:t>including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34DE3">
        <w:rPr>
          <w:rFonts w:cs="Times New Roman"/>
          <w:color w:val="000000" w:themeColor="text1"/>
          <w:szCs w:val="24"/>
        </w:rPr>
        <w:t>personal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7535F">
        <w:rPr>
          <w:rFonts w:cs="Times New Roman"/>
          <w:color w:val="000000" w:themeColor="text1"/>
          <w:szCs w:val="24"/>
        </w:rPr>
        <w:t>air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7535F">
        <w:rPr>
          <w:rFonts w:cs="Times New Roman"/>
          <w:color w:val="000000" w:themeColor="text1"/>
          <w:szCs w:val="24"/>
        </w:rPr>
        <w:t>mo</w:t>
      </w:r>
      <w:r w:rsidRPr="00C317BB" w:rsidR="002C1CD5">
        <w:rPr>
          <w:rFonts w:cs="Times New Roman"/>
          <w:color w:val="000000" w:themeColor="text1"/>
          <w:szCs w:val="24"/>
        </w:rPr>
        <w:t>nitoring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C1CD5">
        <w:rPr>
          <w:rFonts w:cs="Times New Roman"/>
          <w:color w:val="000000" w:themeColor="text1"/>
          <w:szCs w:val="24"/>
        </w:rPr>
        <w:t>(i.e.,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C1CD5">
        <w:rPr>
          <w:rFonts w:cs="Times New Roman"/>
          <w:color w:val="000000" w:themeColor="text1"/>
          <w:szCs w:val="24"/>
        </w:rPr>
        <w:t>worker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C1CD5">
        <w:rPr>
          <w:rFonts w:cs="Times New Roman"/>
          <w:color w:val="000000" w:themeColor="text1"/>
          <w:szCs w:val="24"/>
        </w:rPr>
        <w:t>breathing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C1CD5">
        <w:rPr>
          <w:rFonts w:cs="Times New Roman"/>
          <w:color w:val="000000" w:themeColor="text1"/>
          <w:szCs w:val="24"/>
        </w:rPr>
        <w:t>zone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90D66">
        <w:rPr>
          <w:rFonts w:cs="Times New Roman"/>
          <w:color w:val="000000" w:themeColor="text1"/>
          <w:szCs w:val="24"/>
        </w:rPr>
        <w:t>results)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34DE3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F2864">
        <w:rPr>
          <w:rFonts w:cs="Times New Roman"/>
          <w:color w:val="000000" w:themeColor="text1"/>
          <w:szCs w:val="24"/>
        </w:rPr>
        <w:t>area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54C29">
        <w:rPr>
          <w:rFonts w:cs="Times New Roman"/>
          <w:color w:val="000000" w:themeColor="text1"/>
          <w:szCs w:val="24"/>
        </w:rPr>
        <w:t>air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54C29">
        <w:rPr>
          <w:rFonts w:cs="Times New Roman"/>
          <w:color w:val="000000" w:themeColor="text1"/>
          <w:szCs w:val="24"/>
        </w:rPr>
        <w:t>monitoring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F2864">
        <w:rPr>
          <w:rFonts w:cs="Times New Roman"/>
          <w:color w:val="000000" w:themeColor="text1"/>
          <w:szCs w:val="24"/>
        </w:rPr>
        <w:t>(i.e.,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F2864">
        <w:rPr>
          <w:rFonts w:cs="Times New Roman"/>
          <w:color w:val="000000" w:themeColor="text1"/>
          <w:szCs w:val="24"/>
        </w:rPr>
        <w:t>fixed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F2864">
        <w:rPr>
          <w:rFonts w:cs="Times New Roman"/>
          <w:color w:val="000000" w:themeColor="text1"/>
          <w:szCs w:val="24"/>
        </w:rPr>
        <w:t>location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F2864">
        <w:rPr>
          <w:rFonts w:cs="Times New Roman"/>
          <w:color w:val="000000" w:themeColor="text1"/>
          <w:szCs w:val="24"/>
        </w:rPr>
        <w:t>air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F2864">
        <w:rPr>
          <w:rFonts w:cs="Times New Roman"/>
          <w:color w:val="000000" w:themeColor="text1"/>
          <w:szCs w:val="24"/>
        </w:rPr>
        <w:t>monitoring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F2864">
        <w:rPr>
          <w:rFonts w:cs="Times New Roman"/>
          <w:color w:val="000000" w:themeColor="text1"/>
          <w:szCs w:val="24"/>
        </w:rPr>
        <w:t>results)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C1130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C1130">
        <w:rPr>
          <w:rFonts w:cs="Times New Roman"/>
          <w:color w:val="000000" w:themeColor="text1"/>
          <w:szCs w:val="24"/>
        </w:rPr>
        <w:t>led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C1130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C1130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C1130">
        <w:rPr>
          <w:rFonts w:cs="Times New Roman"/>
          <w:color w:val="000000" w:themeColor="text1"/>
          <w:szCs w:val="24"/>
        </w:rPr>
        <w:t>high-end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C1130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C1130">
        <w:rPr>
          <w:rFonts w:cs="Times New Roman"/>
          <w:color w:val="000000" w:themeColor="text1"/>
          <w:szCs w:val="24"/>
        </w:rPr>
        <w:t>estimates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C1130">
        <w:rPr>
          <w:rFonts w:cs="Times New Roman"/>
          <w:color w:val="000000" w:themeColor="text1"/>
          <w:szCs w:val="24"/>
        </w:rPr>
        <w:t>exceeding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C1130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25E50">
        <w:rPr>
          <w:rFonts w:cs="Times New Roman"/>
          <w:color w:val="000000" w:themeColor="text1"/>
          <w:szCs w:val="24"/>
        </w:rPr>
        <w:t>1E</w:t>
      </w:r>
      <w:r w:rsidRPr="00C317BB" w:rsidR="001C1130">
        <w:rPr>
          <w:rFonts w:cs="Times New Roman"/>
          <w:color w:val="000000" w:themeColor="text1"/>
          <w:szCs w:val="24"/>
        </w:rPr>
        <w:t>-4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C1130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C1130">
        <w:rPr>
          <w:rFonts w:cs="Times New Roman"/>
          <w:color w:val="000000" w:themeColor="text1"/>
          <w:szCs w:val="24"/>
        </w:rPr>
        <w:t>benchmark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D57D0">
        <w:rPr>
          <w:rFonts w:cs="Times New Roman"/>
          <w:color w:val="000000" w:themeColor="text1"/>
          <w:szCs w:val="24"/>
        </w:rPr>
        <w:t>(Ref.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9571A">
        <w:rPr>
          <w:rFonts w:cs="Times New Roman"/>
          <w:color w:val="000000" w:themeColor="text1"/>
          <w:szCs w:val="24"/>
        </w:rPr>
        <w:t>1</w:t>
      </w:r>
      <w:r w:rsidRPr="00C317BB" w:rsidR="005D57D0">
        <w:rPr>
          <w:rFonts w:cs="Times New Roman"/>
          <w:color w:val="000000" w:themeColor="text1"/>
          <w:szCs w:val="24"/>
        </w:rPr>
        <w:t>).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7C04C9" w:rsidP="00F27167" w:rsidRDefault="00381806" w14:paraId="6E2EC24F" w14:textId="1615138D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D6196">
        <w:rPr>
          <w:rFonts w:cs="Times New Roman"/>
          <w:color w:val="000000" w:themeColor="text1"/>
          <w:szCs w:val="24"/>
        </w:rPr>
        <w:t>both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757DA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processing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D6196">
        <w:rPr>
          <w:rFonts w:cs="Times New Roman"/>
          <w:color w:val="000000" w:themeColor="text1"/>
          <w:szCs w:val="24"/>
        </w:rPr>
        <w:t>(i.e.,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94432">
        <w:rPr>
          <w:rFonts w:cs="Times New Roman"/>
          <w:color w:val="000000" w:themeColor="text1"/>
          <w:szCs w:val="24"/>
        </w:rPr>
        <w:t>gasket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D6196">
        <w:rPr>
          <w:rFonts w:cs="Times New Roman"/>
          <w:color w:val="000000" w:themeColor="text1"/>
          <w:szCs w:val="24"/>
        </w:rPr>
        <w:t>cutting)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C6BF6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C6BF6">
        <w:rPr>
          <w:rFonts w:cs="Times New Roman"/>
          <w:color w:val="000000" w:themeColor="text1"/>
          <w:szCs w:val="24"/>
        </w:rPr>
        <w:t>industrial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C6BF6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activities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sheet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gaskets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F1410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F1410">
        <w:rPr>
          <w:rFonts w:cs="Times New Roman"/>
          <w:color w:val="000000" w:themeColor="text1"/>
          <w:szCs w:val="24"/>
        </w:rPr>
        <w:t>chemical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F1410">
        <w:rPr>
          <w:rFonts w:cs="Times New Roman"/>
          <w:color w:val="000000" w:themeColor="text1"/>
          <w:szCs w:val="24"/>
        </w:rPr>
        <w:t>production</w:t>
      </w:r>
      <w:r w:rsidRPr="00C317BB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9700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9700B">
        <w:rPr>
          <w:rFonts w:cs="Times New Roman"/>
          <w:color w:val="000000" w:themeColor="text1"/>
          <w:szCs w:val="24"/>
        </w:rPr>
        <w:t>found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1375B">
        <w:rPr>
          <w:rFonts w:cs="Times New Roman"/>
          <w:color w:val="000000" w:themeColor="text1"/>
          <w:szCs w:val="24"/>
        </w:rPr>
        <w:t>unreasonable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1375B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341E5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341E5">
        <w:rPr>
          <w:rFonts w:cs="Times New Roman"/>
          <w:color w:val="000000" w:themeColor="text1"/>
          <w:szCs w:val="24"/>
        </w:rPr>
        <w:t>workers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341E5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341E5">
        <w:rPr>
          <w:rFonts w:cs="Times New Roman"/>
          <w:color w:val="000000" w:themeColor="text1"/>
          <w:szCs w:val="24"/>
        </w:rPr>
        <w:t>ONUs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1375B">
        <w:rPr>
          <w:rFonts w:cs="Times New Roman"/>
          <w:color w:val="000000" w:themeColor="text1"/>
          <w:szCs w:val="24"/>
        </w:rPr>
        <w:t>f</w:t>
      </w:r>
      <w:r w:rsidRPr="00C317BB">
        <w:rPr>
          <w:rFonts w:cs="Times New Roman"/>
          <w:color w:val="000000" w:themeColor="text1"/>
          <w:szCs w:val="24"/>
        </w:rPr>
        <w:t>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24AC6">
        <w:rPr>
          <w:rFonts w:cs="Times New Roman"/>
          <w:color w:val="000000" w:themeColor="text1"/>
          <w:szCs w:val="24"/>
        </w:rPr>
        <w:t>chronic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inhalation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727D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727DB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727DB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9700B">
        <w:rPr>
          <w:rFonts w:cs="Times New Roman"/>
          <w:color w:val="000000" w:themeColor="text1"/>
          <w:szCs w:val="24"/>
        </w:rPr>
        <w:t>based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79F9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B1937">
        <w:rPr>
          <w:rFonts w:cs="Times New Roman"/>
          <w:color w:val="000000" w:themeColor="text1"/>
          <w:szCs w:val="24"/>
        </w:rPr>
        <w:t>monitoring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B1937">
        <w:rPr>
          <w:rFonts w:cs="Times New Roman"/>
          <w:color w:val="000000" w:themeColor="text1"/>
          <w:szCs w:val="24"/>
        </w:rPr>
        <w:t>data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B1937">
        <w:rPr>
          <w:rFonts w:cs="Times New Roman"/>
          <w:color w:val="000000" w:themeColor="text1"/>
          <w:szCs w:val="24"/>
        </w:rPr>
        <w:t>provided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B1937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B1937">
        <w:rPr>
          <w:rFonts w:cs="Times New Roman"/>
          <w:color w:val="000000" w:themeColor="text1"/>
          <w:szCs w:val="24"/>
        </w:rPr>
        <w:t>industry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B1937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2E31">
        <w:rPr>
          <w:rFonts w:cs="Times New Roman"/>
          <w:color w:val="000000" w:themeColor="text1"/>
          <w:szCs w:val="24"/>
        </w:rPr>
        <w:t>dat</w:t>
      </w:r>
      <w:r w:rsidRPr="00C317BB" w:rsidR="003517E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B1937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B1937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B1937">
        <w:rPr>
          <w:rFonts w:cs="Times New Roman"/>
          <w:color w:val="000000" w:themeColor="text1"/>
          <w:szCs w:val="24"/>
        </w:rPr>
        <w:t>published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B1937">
        <w:rPr>
          <w:rFonts w:cs="Times New Roman"/>
          <w:color w:val="000000" w:themeColor="text1"/>
          <w:szCs w:val="24"/>
        </w:rPr>
        <w:t>literature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16627">
        <w:rPr>
          <w:rFonts w:cs="Times New Roman"/>
          <w:color w:val="000000" w:themeColor="text1"/>
          <w:szCs w:val="24"/>
        </w:rPr>
        <w:t>(Ref.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9571A">
        <w:rPr>
          <w:rFonts w:cs="Times New Roman"/>
          <w:color w:val="000000" w:themeColor="text1"/>
          <w:szCs w:val="24"/>
        </w:rPr>
        <w:t>1</w:t>
      </w:r>
      <w:r w:rsidRPr="00C317BB" w:rsidR="00616627">
        <w:rPr>
          <w:rFonts w:cs="Times New Roman"/>
          <w:color w:val="000000" w:themeColor="text1"/>
          <w:szCs w:val="24"/>
        </w:rPr>
        <w:t>).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4A4B97" w:rsidP="00F27167" w:rsidRDefault="004A4B97" w14:paraId="00BD69B4" w14:textId="419BB3AE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industrial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disposal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6347A">
        <w:rPr>
          <w:rFonts w:cs="Times New Roman"/>
          <w:color w:val="000000" w:themeColor="text1"/>
          <w:szCs w:val="24"/>
        </w:rPr>
        <w:t>oilfield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brake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blocks,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C6BF6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C6BF6">
        <w:rPr>
          <w:rFonts w:cs="Times New Roman"/>
          <w:color w:val="000000" w:themeColor="text1"/>
          <w:szCs w:val="24"/>
        </w:rPr>
        <w:t>found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13ABC">
        <w:rPr>
          <w:rFonts w:cs="Times New Roman"/>
          <w:color w:val="000000" w:themeColor="text1"/>
          <w:szCs w:val="24"/>
        </w:rPr>
        <w:t>unreasonable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13ABC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90D66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90D66">
        <w:rPr>
          <w:rFonts w:cs="Times New Roman"/>
          <w:color w:val="000000" w:themeColor="text1"/>
          <w:szCs w:val="24"/>
        </w:rPr>
        <w:t>wo</w:t>
      </w:r>
      <w:r w:rsidRPr="00C317BB" w:rsidR="00616627">
        <w:rPr>
          <w:rFonts w:cs="Times New Roman"/>
          <w:color w:val="000000" w:themeColor="text1"/>
          <w:szCs w:val="24"/>
        </w:rPr>
        <w:t>rkers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16627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16627">
        <w:rPr>
          <w:rFonts w:cs="Times New Roman"/>
          <w:color w:val="000000" w:themeColor="text1"/>
          <w:szCs w:val="24"/>
        </w:rPr>
        <w:t>ONUs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16627">
        <w:rPr>
          <w:rFonts w:cs="Times New Roman"/>
          <w:color w:val="000000" w:themeColor="text1"/>
          <w:szCs w:val="24"/>
        </w:rPr>
        <w:t>f</w:t>
      </w:r>
      <w:r w:rsidRPr="00C317BB">
        <w:rPr>
          <w:rFonts w:cs="Times New Roman"/>
          <w:color w:val="000000" w:themeColor="text1"/>
          <w:szCs w:val="24"/>
        </w:rPr>
        <w:t>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chronic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inhalation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6364C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6364C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6364C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based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24988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24988">
        <w:rPr>
          <w:rFonts w:cs="Times New Roman"/>
          <w:color w:val="000000" w:themeColor="text1"/>
          <w:szCs w:val="24"/>
        </w:rPr>
        <w:t>1988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24988">
        <w:rPr>
          <w:rFonts w:cs="Times New Roman"/>
          <w:color w:val="000000" w:themeColor="text1"/>
          <w:szCs w:val="24"/>
        </w:rPr>
        <w:t>study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24988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24988">
        <w:rPr>
          <w:rFonts w:cs="Times New Roman"/>
          <w:color w:val="000000" w:themeColor="text1"/>
          <w:szCs w:val="24"/>
        </w:rPr>
        <w:t>Norway’s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24988">
        <w:rPr>
          <w:rFonts w:cs="Times New Roman"/>
          <w:color w:val="000000" w:themeColor="text1"/>
          <w:szCs w:val="24"/>
        </w:rPr>
        <w:t>offshore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24988">
        <w:rPr>
          <w:rFonts w:cs="Times New Roman"/>
          <w:color w:val="000000" w:themeColor="text1"/>
          <w:szCs w:val="24"/>
        </w:rPr>
        <w:t>petroleum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24988">
        <w:rPr>
          <w:rFonts w:cs="Times New Roman"/>
          <w:color w:val="000000" w:themeColor="text1"/>
          <w:szCs w:val="24"/>
        </w:rPr>
        <w:t>industry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94432">
        <w:rPr>
          <w:rFonts w:cs="Times New Roman"/>
          <w:color w:val="000000" w:themeColor="text1"/>
          <w:szCs w:val="24"/>
        </w:rPr>
        <w:t>(</w:t>
      </w:r>
      <w:r w:rsidRPr="00C317BB" w:rsidR="00616627">
        <w:rPr>
          <w:rFonts w:cs="Times New Roman"/>
          <w:color w:val="000000" w:themeColor="text1"/>
          <w:szCs w:val="24"/>
        </w:rPr>
        <w:t>Ref.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9571A">
        <w:rPr>
          <w:rFonts w:cs="Times New Roman"/>
          <w:color w:val="000000" w:themeColor="text1"/>
          <w:szCs w:val="24"/>
        </w:rPr>
        <w:t>1</w:t>
      </w:r>
      <w:r w:rsidRPr="00C317BB" w:rsidR="00616627">
        <w:rPr>
          <w:rFonts w:cs="Times New Roman"/>
          <w:color w:val="000000" w:themeColor="text1"/>
          <w:szCs w:val="24"/>
        </w:rPr>
        <w:t>).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6E35A4" w:rsidP="00F27167" w:rsidRDefault="00C86F0E" w14:paraId="73CDAE1F" w14:textId="5C066CEE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commercial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disposal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aftermarket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automotive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brakes/linings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vehicle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friction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product</w:t>
      </w:r>
      <w:r w:rsidRPr="00C317BB" w:rsidR="00CA61E7">
        <w:rPr>
          <w:rFonts w:cs="Times New Roman"/>
          <w:color w:val="000000" w:themeColor="text1"/>
          <w:szCs w:val="24"/>
        </w:rPr>
        <w:t>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AA9">
        <w:rPr>
          <w:rFonts w:cs="Times New Roman"/>
          <w:color w:val="000000" w:themeColor="text1"/>
          <w:szCs w:val="24"/>
        </w:rPr>
        <w:t>(</w:t>
      </w:r>
      <w:r w:rsidRPr="00C317BB" w:rsidR="0031485C">
        <w:rPr>
          <w:rFonts w:cs="Times New Roman"/>
          <w:color w:val="000000" w:themeColor="text1"/>
          <w:szCs w:val="24"/>
        </w:rPr>
        <w:t>except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1485C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B3E94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357BB">
        <w:rPr>
          <w:rFonts w:cs="Times New Roman"/>
          <w:color w:val="000000" w:themeColor="text1"/>
          <w:szCs w:val="24"/>
        </w:rPr>
        <w:t>NASA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B3E94">
        <w:rPr>
          <w:rFonts w:cs="Times New Roman"/>
          <w:color w:val="000000" w:themeColor="text1"/>
          <w:szCs w:val="24"/>
        </w:rPr>
        <w:t>Super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B3E94">
        <w:rPr>
          <w:rFonts w:cs="Times New Roman"/>
          <w:color w:val="000000" w:themeColor="text1"/>
          <w:szCs w:val="24"/>
        </w:rPr>
        <w:t>Guppy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2664">
        <w:rPr>
          <w:rFonts w:cs="Times New Roman"/>
          <w:color w:val="000000" w:themeColor="text1"/>
          <w:szCs w:val="24"/>
        </w:rPr>
        <w:t>Turbine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2664">
        <w:rPr>
          <w:rFonts w:cs="Times New Roman"/>
          <w:color w:val="000000" w:themeColor="text1"/>
          <w:szCs w:val="24"/>
        </w:rPr>
        <w:t>aircraft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357BB">
        <w:rPr>
          <w:rFonts w:cs="Times New Roman"/>
          <w:color w:val="000000" w:themeColor="text1"/>
          <w:szCs w:val="24"/>
        </w:rPr>
        <w:t>use)</w:t>
      </w:r>
      <w:r w:rsidRPr="00C317BB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E748D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E748D">
        <w:rPr>
          <w:rFonts w:cs="Times New Roman"/>
          <w:color w:val="000000" w:themeColor="text1"/>
          <w:szCs w:val="24"/>
        </w:rPr>
        <w:t>found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C2C30">
        <w:rPr>
          <w:rFonts w:cs="Times New Roman"/>
          <w:color w:val="000000" w:themeColor="text1"/>
          <w:szCs w:val="24"/>
        </w:rPr>
        <w:t>unreasonable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C2C30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A61E7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A4573">
        <w:rPr>
          <w:rFonts w:cs="Times New Roman"/>
          <w:color w:val="000000" w:themeColor="text1"/>
          <w:szCs w:val="24"/>
        </w:rPr>
        <w:t>workers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E748D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E748D">
        <w:rPr>
          <w:rFonts w:cs="Times New Roman"/>
          <w:color w:val="000000" w:themeColor="text1"/>
          <w:szCs w:val="24"/>
        </w:rPr>
        <w:t>ONUs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A4573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A4573">
        <w:rPr>
          <w:rFonts w:cs="Times New Roman"/>
          <w:color w:val="000000" w:themeColor="text1"/>
          <w:szCs w:val="24"/>
        </w:rPr>
        <w:t>chronic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A4573">
        <w:rPr>
          <w:rFonts w:cs="Times New Roman"/>
          <w:color w:val="000000" w:themeColor="text1"/>
          <w:szCs w:val="24"/>
        </w:rPr>
        <w:t>inhalation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A4573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6364C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6364C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6364C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D7047">
        <w:rPr>
          <w:rFonts w:cs="Times New Roman"/>
          <w:color w:val="000000" w:themeColor="text1"/>
          <w:szCs w:val="24"/>
        </w:rPr>
        <w:t>based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D7047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213E3">
        <w:rPr>
          <w:rFonts w:cs="Times New Roman"/>
          <w:color w:val="000000" w:themeColor="text1"/>
          <w:szCs w:val="24"/>
        </w:rPr>
        <w:t>published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213E3">
        <w:rPr>
          <w:rFonts w:cs="Times New Roman"/>
          <w:color w:val="000000" w:themeColor="text1"/>
          <w:szCs w:val="24"/>
        </w:rPr>
        <w:t>literature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6364C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6364C">
        <w:rPr>
          <w:rFonts w:cs="Times New Roman"/>
          <w:color w:val="000000" w:themeColor="text1"/>
          <w:szCs w:val="24"/>
        </w:rPr>
        <w:t>OSHA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6364C">
        <w:rPr>
          <w:rFonts w:cs="Times New Roman"/>
          <w:color w:val="000000" w:themeColor="text1"/>
          <w:szCs w:val="24"/>
        </w:rPr>
        <w:t>data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3C80">
        <w:rPr>
          <w:rFonts w:cs="Times New Roman"/>
          <w:color w:val="000000" w:themeColor="text1"/>
          <w:szCs w:val="24"/>
        </w:rPr>
        <w:t>(Section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3C80">
        <w:rPr>
          <w:rFonts w:cs="Times New Roman"/>
          <w:color w:val="000000" w:themeColor="text1"/>
          <w:szCs w:val="24"/>
        </w:rPr>
        <w:t>2.3.1.8.1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3C80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3C80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3C80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3C80">
        <w:rPr>
          <w:rFonts w:cs="Times New Roman"/>
          <w:color w:val="000000" w:themeColor="text1"/>
          <w:szCs w:val="24"/>
        </w:rPr>
        <w:t>Evaluation)</w:t>
      </w:r>
      <w:r w:rsidRPr="00C317BB" w:rsidR="009A4573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4949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4949">
        <w:rPr>
          <w:rFonts w:cs="Times New Roman"/>
          <w:color w:val="000000" w:themeColor="text1"/>
          <w:szCs w:val="24"/>
        </w:rPr>
        <w:t>determined</w:t>
      </w:r>
      <w:r w:rsidRPr="00C317BB" w:rsidR="00060F24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41E3B">
        <w:rPr>
          <w:rFonts w:cs="Times New Roman"/>
          <w:color w:val="000000" w:themeColor="text1"/>
          <w:szCs w:val="24"/>
        </w:rPr>
        <w:t>based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41E3B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60F24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41E3B">
        <w:rPr>
          <w:rFonts w:cs="Times New Roman"/>
          <w:color w:val="000000" w:themeColor="text1"/>
          <w:szCs w:val="24"/>
        </w:rPr>
        <w:t>data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41E3B">
        <w:rPr>
          <w:rFonts w:cs="Times New Roman"/>
          <w:color w:val="000000" w:themeColor="text1"/>
          <w:szCs w:val="24"/>
        </w:rPr>
        <w:t>provided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41E3B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41E3B">
        <w:rPr>
          <w:rFonts w:cs="Times New Roman"/>
          <w:color w:val="000000" w:themeColor="text1"/>
          <w:szCs w:val="24"/>
        </w:rPr>
        <w:t>NASA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41E3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41E3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568E8">
        <w:rPr>
          <w:rFonts w:cs="Times New Roman"/>
          <w:color w:val="000000" w:themeColor="text1"/>
          <w:szCs w:val="24"/>
        </w:rPr>
        <w:t>(Section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568E8">
        <w:rPr>
          <w:rFonts w:cs="Times New Roman"/>
          <w:color w:val="000000" w:themeColor="text1"/>
          <w:szCs w:val="24"/>
        </w:rPr>
        <w:t>2.3.1.8.2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568E8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568E8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568E8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568E8">
        <w:rPr>
          <w:rFonts w:cs="Times New Roman"/>
          <w:color w:val="000000" w:themeColor="text1"/>
          <w:szCs w:val="24"/>
        </w:rPr>
        <w:t>Evaluation</w:t>
      </w:r>
      <w:r w:rsidRPr="00C317BB" w:rsidR="00060F24">
        <w:rPr>
          <w:rFonts w:cs="Times New Roman"/>
          <w:color w:val="000000" w:themeColor="text1"/>
          <w:szCs w:val="24"/>
        </w:rPr>
        <w:t>),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4949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4949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4949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4949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4949">
        <w:rPr>
          <w:rFonts w:cs="Times New Roman"/>
          <w:color w:val="000000" w:themeColor="text1"/>
          <w:szCs w:val="24"/>
        </w:rPr>
        <w:t>disposal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4949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4949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4949">
        <w:rPr>
          <w:rFonts w:cs="Times New Roman"/>
          <w:color w:val="000000" w:themeColor="text1"/>
          <w:szCs w:val="24"/>
        </w:rPr>
        <w:t>asbestos</w:t>
      </w:r>
      <w:r w:rsidRPr="00C317BB" w:rsidR="000307C7">
        <w:rPr>
          <w:rFonts w:cs="Times New Roman"/>
          <w:color w:val="000000" w:themeColor="text1"/>
          <w:szCs w:val="24"/>
        </w:rPr>
        <w:t>-</w:t>
      </w:r>
      <w:r w:rsidRPr="00C317BB" w:rsidR="00D94949">
        <w:rPr>
          <w:rFonts w:cs="Times New Roman"/>
          <w:color w:val="000000" w:themeColor="text1"/>
          <w:szCs w:val="24"/>
        </w:rPr>
        <w:t>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4949">
        <w:rPr>
          <w:rFonts w:cs="Times New Roman"/>
          <w:color w:val="000000" w:themeColor="text1"/>
          <w:szCs w:val="24"/>
        </w:rPr>
        <w:t>brakes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4949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4949">
        <w:rPr>
          <w:rFonts w:cs="Times New Roman"/>
          <w:color w:val="000000" w:themeColor="text1"/>
          <w:szCs w:val="24"/>
        </w:rPr>
        <w:t>NASA’s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4949">
        <w:rPr>
          <w:rFonts w:cs="Times New Roman"/>
          <w:color w:val="000000" w:themeColor="text1"/>
          <w:szCs w:val="24"/>
        </w:rPr>
        <w:t>Super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4949">
        <w:rPr>
          <w:rFonts w:cs="Times New Roman"/>
          <w:color w:val="000000" w:themeColor="text1"/>
          <w:szCs w:val="24"/>
        </w:rPr>
        <w:t>Guppy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4949">
        <w:rPr>
          <w:rFonts w:cs="Times New Roman"/>
          <w:color w:val="000000" w:themeColor="text1"/>
          <w:szCs w:val="24"/>
        </w:rPr>
        <w:t>Turbine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4949">
        <w:rPr>
          <w:rFonts w:cs="Times New Roman"/>
          <w:color w:val="000000" w:themeColor="text1"/>
          <w:szCs w:val="24"/>
        </w:rPr>
        <w:t>aircraft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4949">
        <w:rPr>
          <w:rFonts w:cs="Times New Roman"/>
          <w:color w:val="000000" w:themeColor="text1"/>
          <w:szCs w:val="24"/>
        </w:rPr>
        <w:t>did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4949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4949">
        <w:rPr>
          <w:rFonts w:cs="Times New Roman"/>
          <w:color w:val="000000" w:themeColor="text1"/>
          <w:szCs w:val="24"/>
        </w:rPr>
        <w:t>present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4949">
        <w:rPr>
          <w:rFonts w:cs="Times New Roman"/>
          <w:color w:val="000000" w:themeColor="text1"/>
          <w:szCs w:val="24"/>
        </w:rPr>
        <w:t>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4949">
        <w:rPr>
          <w:rFonts w:cs="Times New Roman"/>
          <w:color w:val="000000" w:themeColor="text1"/>
          <w:szCs w:val="24"/>
        </w:rPr>
        <w:t>unreasonable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4949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4949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4949">
        <w:rPr>
          <w:rFonts w:cs="Times New Roman"/>
          <w:color w:val="000000" w:themeColor="text1"/>
          <w:szCs w:val="24"/>
        </w:rPr>
        <w:t>injury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4949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4949">
        <w:rPr>
          <w:rFonts w:cs="Times New Roman"/>
          <w:color w:val="000000" w:themeColor="text1"/>
          <w:szCs w:val="24"/>
        </w:rPr>
        <w:t>health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4949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4949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4949">
        <w:rPr>
          <w:rFonts w:cs="Times New Roman"/>
          <w:color w:val="000000" w:themeColor="text1"/>
          <w:szCs w:val="24"/>
        </w:rPr>
        <w:t>environment.</w:t>
      </w:r>
    </w:p>
    <w:p w:rsidRPr="00C317BB" w:rsidR="004C7192" w:rsidP="00F27167" w:rsidRDefault="005613B2" w14:paraId="185F7198" w14:textId="18D0F28E">
      <w:pPr>
        <w:ind w:firstLine="720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 </w:t>
      </w:r>
      <w:r w:rsidRPr="00C317BB" w:rsidR="00A2148E">
        <w:rPr>
          <w:rFonts w:cs="Times New Roman"/>
          <w:color w:val="000000" w:themeColor="text1"/>
          <w:szCs w:val="24"/>
        </w:rPr>
        <w:t>For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4757DA">
        <w:rPr>
          <w:rFonts w:cs="Times New Roman"/>
          <w:color w:val="000000" w:themeColor="text1"/>
          <w:szCs w:val="24"/>
        </w:rPr>
        <w:t>the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A2148E">
        <w:rPr>
          <w:rFonts w:cs="Times New Roman"/>
          <w:color w:val="000000" w:themeColor="text1"/>
          <w:szCs w:val="24"/>
        </w:rPr>
        <w:t>commercial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A2148E">
        <w:rPr>
          <w:rFonts w:cs="Times New Roman"/>
          <w:color w:val="000000" w:themeColor="text1"/>
          <w:szCs w:val="24"/>
        </w:rPr>
        <w:t>use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A2148E">
        <w:rPr>
          <w:rFonts w:cs="Times New Roman"/>
          <w:color w:val="000000" w:themeColor="text1"/>
          <w:szCs w:val="24"/>
        </w:rPr>
        <w:t>and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A2148E">
        <w:rPr>
          <w:rFonts w:cs="Times New Roman"/>
          <w:color w:val="000000" w:themeColor="text1"/>
          <w:szCs w:val="24"/>
        </w:rPr>
        <w:t>disposal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A2148E">
        <w:rPr>
          <w:rFonts w:cs="Times New Roman"/>
          <w:color w:val="000000" w:themeColor="text1"/>
          <w:szCs w:val="24"/>
        </w:rPr>
        <w:t>of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A2148E">
        <w:rPr>
          <w:rFonts w:cs="Times New Roman"/>
          <w:color w:val="000000" w:themeColor="text1"/>
          <w:szCs w:val="24"/>
        </w:rPr>
        <w:t>other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A2148E">
        <w:rPr>
          <w:rFonts w:cs="Times New Roman"/>
          <w:color w:val="000000" w:themeColor="text1"/>
          <w:szCs w:val="24"/>
        </w:rPr>
        <w:t>chrysotile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A2148E">
        <w:rPr>
          <w:rFonts w:cs="Times New Roman"/>
          <w:color w:val="000000" w:themeColor="text1"/>
          <w:szCs w:val="24"/>
        </w:rPr>
        <w:t>asbestos-containing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A2148E">
        <w:rPr>
          <w:rFonts w:cs="Times New Roman"/>
          <w:color w:val="000000" w:themeColor="text1"/>
          <w:szCs w:val="24"/>
        </w:rPr>
        <w:t>gaskets,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40220A">
        <w:rPr>
          <w:rFonts w:cs="Times New Roman"/>
          <w:color w:val="000000" w:themeColor="text1"/>
          <w:szCs w:val="24"/>
        </w:rPr>
        <w:t>EPA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40220A">
        <w:rPr>
          <w:rFonts w:cs="Times New Roman"/>
          <w:color w:val="000000" w:themeColor="text1"/>
          <w:szCs w:val="24"/>
        </w:rPr>
        <w:t>found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40220A">
        <w:rPr>
          <w:rFonts w:cs="Times New Roman"/>
          <w:color w:val="000000" w:themeColor="text1"/>
          <w:szCs w:val="24"/>
        </w:rPr>
        <w:t>unreaso</w:t>
      </w:r>
      <w:r w:rsidRPr="00C317BB" w:rsidR="00DB5A75">
        <w:rPr>
          <w:rFonts w:cs="Times New Roman"/>
          <w:color w:val="000000" w:themeColor="text1"/>
          <w:szCs w:val="24"/>
        </w:rPr>
        <w:t>nable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DB5A75">
        <w:rPr>
          <w:rFonts w:cs="Times New Roman"/>
          <w:color w:val="000000" w:themeColor="text1"/>
          <w:szCs w:val="24"/>
        </w:rPr>
        <w:t>risk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DB5A75">
        <w:rPr>
          <w:rFonts w:cs="Times New Roman"/>
          <w:color w:val="000000" w:themeColor="text1"/>
          <w:szCs w:val="24"/>
        </w:rPr>
        <w:t>to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4C7192">
        <w:rPr>
          <w:rFonts w:cs="Times New Roman"/>
          <w:color w:val="000000" w:themeColor="text1"/>
          <w:szCs w:val="24"/>
        </w:rPr>
        <w:t>workers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42308D">
        <w:rPr>
          <w:rFonts w:cs="Times New Roman"/>
          <w:color w:val="000000" w:themeColor="text1"/>
          <w:szCs w:val="24"/>
        </w:rPr>
        <w:t>and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42308D">
        <w:rPr>
          <w:rFonts w:cs="Times New Roman"/>
          <w:color w:val="000000" w:themeColor="text1"/>
          <w:szCs w:val="24"/>
        </w:rPr>
        <w:t>ONUs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4C7192">
        <w:rPr>
          <w:rFonts w:cs="Times New Roman"/>
          <w:color w:val="000000" w:themeColor="text1"/>
          <w:szCs w:val="24"/>
        </w:rPr>
        <w:t>from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4C7192">
        <w:rPr>
          <w:rFonts w:cs="Times New Roman"/>
          <w:color w:val="000000" w:themeColor="text1"/>
          <w:szCs w:val="24"/>
        </w:rPr>
        <w:t>chronic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4C7192">
        <w:rPr>
          <w:rFonts w:cs="Times New Roman"/>
          <w:color w:val="000000" w:themeColor="text1"/>
          <w:szCs w:val="24"/>
        </w:rPr>
        <w:t>inhalation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4C7192">
        <w:rPr>
          <w:rFonts w:cs="Times New Roman"/>
          <w:color w:val="000000" w:themeColor="text1"/>
          <w:szCs w:val="24"/>
        </w:rPr>
        <w:t>exposure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2E0E55">
        <w:rPr>
          <w:rFonts w:cs="Times New Roman"/>
          <w:color w:val="000000" w:themeColor="text1"/>
          <w:szCs w:val="24"/>
        </w:rPr>
        <w:t>to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2E0E55">
        <w:rPr>
          <w:rFonts w:cs="Times New Roman"/>
          <w:color w:val="000000" w:themeColor="text1"/>
          <w:szCs w:val="24"/>
        </w:rPr>
        <w:t>chrysotile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2E0E55">
        <w:rPr>
          <w:rFonts w:cs="Times New Roman"/>
          <w:color w:val="000000" w:themeColor="text1"/>
          <w:szCs w:val="24"/>
        </w:rPr>
        <w:t>asbestos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4C7192">
        <w:rPr>
          <w:rFonts w:cs="Times New Roman"/>
          <w:color w:val="000000" w:themeColor="text1"/>
          <w:szCs w:val="24"/>
        </w:rPr>
        <w:t>based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4C7192">
        <w:rPr>
          <w:rFonts w:cs="Times New Roman"/>
          <w:color w:val="000000" w:themeColor="text1"/>
          <w:szCs w:val="24"/>
        </w:rPr>
        <w:t>on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041E98">
        <w:rPr>
          <w:rFonts w:cs="Times New Roman"/>
          <w:color w:val="000000" w:themeColor="text1"/>
          <w:szCs w:val="24"/>
        </w:rPr>
        <w:t>exposure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041E98">
        <w:rPr>
          <w:rFonts w:cs="Times New Roman"/>
          <w:color w:val="000000" w:themeColor="text1"/>
          <w:szCs w:val="24"/>
        </w:rPr>
        <w:t>scenarios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041E98">
        <w:rPr>
          <w:rFonts w:cs="Times New Roman"/>
          <w:color w:val="000000" w:themeColor="text1"/>
          <w:szCs w:val="24"/>
        </w:rPr>
        <w:t>from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041E98">
        <w:rPr>
          <w:rFonts w:cs="Times New Roman"/>
          <w:color w:val="000000" w:themeColor="text1"/>
          <w:szCs w:val="24"/>
        </w:rPr>
        <w:t>occupational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041E98">
        <w:rPr>
          <w:rFonts w:cs="Times New Roman"/>
          <w:color w:val="000000" w:themeColor="text1"/>
          <w:szCs w:val="24"/>
        </w:rPr>
        <w:t>monitoring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041E98">
        <w:rPr>
          <w:rFonts w:cs="Times New Roman"/>
          <w:color w:val="000000" w:themeColor="text1"/>
          <w:szCs w:val="24"/>
        </w:rPr>
        <w:t>data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041E98">
        <w:rPr>
          <w:rFonts w:cs="Times New Roman"/>
          <w:color w:val="000000" w:themeColor="text1"/>
          <w:szCs w:val="24"/>
        </w:rPr>
        <w:t>for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041E98">
        <w:rPr>
          <w:rFonts w:cs="Times New Roman"/>
          <w:color w:val="000000" w:themeColor="text1"/>
          <w:szCs w:val="24"/>
        </w:rPr>
        <w:t>asbestos-containing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041E98">
        <w:rPr>
          <w:rFonts w:cs="Times New Roman"/>
          <w:color w:val="000000" w:themeColor="text1"/>
          <w:szCs w:val="24"/>
        </w:rPr>
        <w:t>gasket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041E98">
        <w:rPr>
          <w:rFonts w:cs="Times New Roman"/>
          <w:color w:val="000000" w:themeColor="text1"/>
          <w:szCs w:val="24"/>
        </w:rPr>
        <w:t>replacement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A804FE">
        <w:rPr>
          <w:rFonts w:cs="Times New Roman"/>
          <w:color w:val="000000" w:themeColor="text1"/>
          <w:szCs w:val="24"/>
        </w:rPr>
        <w:t>activities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041E98">
        <w:rPr>
          <w:rFonts w:cs="Times New Roman"/>
          <w:color w:val="000000" w:themeColor="text1"/>
          <w:szCs w:val="24"/>
        </w:rPr>
        <w:t>in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041E98">
        <w:rPr>
          <w:rFonts w:cs="Times New Roman"/>
          <w:color w:val="000000" w:themeColor="text1"/>
          <w:szCs w:val="24"/>
        </w:rPr>
        <w:t>vehicles</w:t>
      </w:r>
      <w:r w:rsidRPr="00C317BB" w:rsidR="004C7192">
        <w:rPr>
          <w:rFonts w:cs="Times New Roman"/>
          <w:color w:val="000000" w:themeColor="text1"/>
          <w:szCs w:val="24"/>
        </w:rPr>
        <w:t>.</w:t>
      </w:r>
      <w:r>
        <w:rPr>
          <w:rFonts w:cs="Times New Roman"/>
          <w:color w:val="000000" w:themeColor="text1"/>
          <w:szCs w:val="24"/>
        </w:rPr>
        <w:t xml:space="preserve"> </w:t>
      </w:r>
    </w:p>
    <w:p w:rsidRPr="00C317BB" w:rsidR="006820CF" w:rsidP="00F27167" w:rsidRDefault="00754C8C" w14:paraId="7ED38091" w14:textId="03F06AAA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76C3">
        <w:rPr>
          <w:rFonts w:cs="Times New Roman"/>
          <w:color w:val="000000" w:themeColor="text1"/>
          <w:szCs w:val="24"/>
        </w:rPr>
        <w:t>consumer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76C3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76C3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76C3">
        <w:rPr>
          <w:rFonts w:cs="Times New Roman"/>
          <w:color w:val="000000" w:themeColor="text1"/>
          <w:szCs w:val="24"/>
        </w:rPr>
        <w:t>disposal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76C3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76C3">
        <w:rPr>
          <w:rFonts w:cs="Times New Roman"/>
          <w:color w:val="000000" w:themeColor="text1"/>
          <w:szCs w:val="24"/>
        </w:rPr>
        <w:t>aftermarket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76C3">
        <w:rPr>
          <w:rFonts w:cs="Times New Roman"/>
          <w:color w:val="000000" w:themeColor="text1"/>
          <w:szCs w:val="24"/>
        </w:rPr>
        <w:t>automotive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76C3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76C3">
        <w:rPr>
          <w:rFonts w:cs="Times New Roman"/>
          <w:color w:val="000000" w:themeColor="text1"/>
          <w:szCs w:val="24"/>
        </w:rPr>
        <w:t>asbestos-containing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76C3">
        <w:rPr>
          <w:rFonts w:cs="Times New Roman"/>
          <w:color w:val="000000" w:themeColor="text1"/>
          <w:szCs w:val="24"/>
        </w:rPr>
        <w:t>brakes/linings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B537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B537B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B537B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B537B">
        <w:rPr>
          <w:rFonts w:cs="Times New Roman"/>
          <w:color w:val="000000" w:themeColor="text1"/>
          <w:szCs w:val="24"/>
        </w:rPr>
        <w:t>asbestos-containing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B537B">
        <w:rPr>
          <w:rFonts w:cs="Times New Roman"/>
          <w:color w:val="000000" w:themeColor="text1"/>
          <w:szCs w:val="24"/>
        </w:rPr>
        <w:t>gaskets</w:t>
      </w:r>
      <w:r w:rsidRPr="00C317BB" w:rsidR="005176C3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F0ECA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A0165">
        <w:rPr>
          <w:rFonts w:cs="Times New Roman"/>
          <w:color w:val="000000" w:themeColor="text1"/>
          <w:szCs w:val="24"/>
        </w:rPr>
        <w:t>found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B537B">
        <w:rPr>
          <w:rFonts w:cs="Times New Roman"/>
          <w:color w:val="000000" w:themeColor="text1"/>
          <w:szCs w:val="24"/>
        </w:rPr>
        <w:t>unreasonable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B537B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A0165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113C">
        <w:rPr>
          <w:rFonts w:cs="Times New Roman"/>
          <w:color w:val="000000" w:themeColor="text1"/>
          <w:szCs w:val="24"/>
        </w:rPr>
        <w:t>consumers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C0828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C0828">
        <w:rPr>
          <w:rFonts w:cs="Times New Roman"/>
          <w:color w:val="000000" w:themeColor="text1"/>
          <w:szCs w:val="24"/>
        </w:rPr>
        <w:t>bystanders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76C3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76C3">
        <w:rPr>
          <w:rFonts w:cs="Times New Roman"/>
          <w:color w:val="000000" w:themeColor="text1"/>
          <w:szCs w:val="24"/>
        </w:rPr>
        <w:t>chronic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76C3">
        <w:rPr>
          <w:rFonts w:cs="Times New Roman"/>
          <w:color w:val="000000" w:themeColor="text1"/>
          <w:szCs w:val="24"/>
        </w:rPr>
        <w:t>inhalation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76C3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D6F53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D6F53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D6F53">
        <w:rPr>
          <w:rFonts w:cs="Times New Roman"/>
          <w:color w:val="000000" w:themeColor="text1"/>
          <w:szCs w:val="24"/>
        </w:rPr>
        <w:t>asbestos</w:t>
      </w:r>
      <w:r w:rsidRPr="00C317BB" w:rsidR="005A233B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A233B">
        <w:rPr>
          <w:rFonts w:cs="Times New Roman"/>
          <w:color w:val="000000" w:themeColor="text1"/>
          <w:szCs w:val="24"/>
        </w:rPr>
        <w:t>using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1E98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1E98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1E98">
        <w:rPr>
          <w:rFonts w:cs="Times New Roman"/>
          <w:color w:val="000000" w:themeColor="text1"/>
          <w:szCs w:val="24"/>
        </w:rPr>
        <w:t>benchmark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1E98">
        <w:rPr>
          <w:rFonts w:cs="Times New Roman"/>
          <w:color w:val="000000" w:themeColor="text1"/>
          <w:szCs w:val="24"/>
        </w:rPr>
        <w:t>cancer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1E98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1E98">
        <w:rPr>
          <w:rFonts w:cs="Times New Roman"/>
          <w:color w:val="000000" w:themeColor="text1"/>
          <w:szCs w:val="24"/>
        </w:rPr>
        <w:t>level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1E98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1E98">
        <w:rPr>
          <w:rFonts w:cs="Times New Roman"/>
          <w:color w:val="000000" w:themeColor="text1"/>
          <w:szCs w:val="24"/>
        </w:rPr>
        <w:t>1x10‐6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F68C2">
        <w:rPr>
          <w:rFonts w:cs="Times New Roman"/>
          <w:color w:val="000000" w:themeColor="text1"/>
          <w:szCs w:val="24"/>
        </w:rPr>
        <w:t>(1E</w:t>
      </w:r>
      <w:r w:rsidRPr="00C317BB" w:rsidR="001554DB">
        <w:rPr>
          <w:rFonts w:cs="Times New Roman"/>
          <w:color w:val="000000" w:themeColor="text1"/>
          <w:szCs w:val="24"/>
        </w:rPr>
        <w:t>-6)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1E98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1E98">
        <w:rPr>
          <w:rFonts w:cs="Times New Roman"/>
          <w:color w:val="000000" w:themeColor="text1"/>
          <w:szCs w:val="24"/>
        </w:rPr>
        <w:t>consumers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1E98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1E98">
        <w:rPr>
          <w:rFonts w:cs="Times New Roman"/>
          <w:color w:val="000000" w:themeColor="text1"/>
          <w:szCs w:val="24"/>
        </w:rPr>
        <w:t>bystanders</w:t>
      </w:r>
      <w:r w:rsidRPr="00C317BB" w:rsidR="00AA0165">
        <w:rPr>
          <w:rFonts w:cs="Times New Roman"/>
          <w:color w:val="000000" w:themeColor="text1"/>
          <w:szCs w:val="24"/>
        </w:rPr>
        <w:t>.</w:t>
      </w:r>
    </w:p>
    <w:p w:rsidRPr="00C317BB" w:rsidR="00C86F0E" w:rsidP="00F27167" w:rsidRDefault="00307C23" w14:paraId="66D1429C" w14:textId="3248C8E8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also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not</w:t>
      </w:r>
      <w:r w:rsidRPr="00C317BB" w:rsidR="006278F2">
        <w:rPr>
          <w:rFonts w:cs="Times New Roman"/>
          <w:color w:val="000000" w:themeColor="text1"/>
          <w:szCs w:val="24"/>
        </w:rPr>
        <w:t>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278F2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71627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20CB">
        <w:rPr>
          <w:rFonts w:cs="Times New Roman"/>
          <w:color w:val="000000" w:themeColor="text1"/>
          <w:szCs w:val="24"/>
        </w:rPr>
        <w:t>Part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20CB">
        <w:rPr>
          <w:rFonts w:cs="Times New Roman"/>
          <w:color w:val="000000" w:themeColor="text1"/>
          <w:szCs w:val="24"/>
        </w:rPr>
        <w:t>1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20CB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20CB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20CB">
        <w:rPr>
          <w:rFonts w:cs="Times New Roman"/>
          <w:color w:val="000000" w:themeColor="text1"/>
          <w:szCs w:val="24"/>
        </w:rPr>
        <w:t>evaluation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20C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20CB">
        <w:rPr>
          <w:rFonts w:cs="Times New Roman"/>
          <w:color w:val="000000" w:themeColor="text1"/>
          <w:szCs w:val="24"/>
        </w:rPr>
        <w:t>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20CB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20CB">
        <w:rPr>
          <w:rFonts w:cs="Times New Roman"/>
          <w:color w:val="000000" w:themeColor="text1"/>
          <w:szCs w:val="24"/>
        </w:rPr>
        <w:t>possible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20C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20CB">
        <w:rPr>
          <w:rFonts w:cs="Times New Roman"/>
          <w:color w:val="000000" w:themeColor="text1"/>
          <w:szCs w:val="24"/>
        </w:rPr>
        <w:t>industrial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20CB">
        <w:rPr>
          <w:rFonts w:cs="Times New Roman"/>
          <w:color w:val="000000" w:themeColor="text1"/>
          <w:szCs w:val="24"/>
        </w:rPr>
        <w:t>workers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20C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20CB">
        <w:rPr>
          <w:rFonts w:cs="Times New Roman"/>
          <w:color w:val="000000" w:themeColor="text1"/>
          <w:szCs w:val="24"/>
        </w:rPr>
        <w:t>consumers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20CB">
        <w:rPr>
          <w:rFonts w:cs="Times New Roman"/>
          <w:color w:val="000000" w:themeColor="text1"/>
          <w:szCs w:val="24"/>
        </w:rPr>
        <w:t>working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20CB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20CB">
        <w:rPr>
          <w:rFonts w:cs="Times New Roman"/>
          <w:color w:val="000000" w:themeColor="text1"/>
          <w:szCs w:val="24"/>
        </w:rPr>
        <w:t>aftermarket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20CB">
        <w:rPr>
          <w:rFonts w:cs="Times New Roman"/>
          <w:color w:val="000000" w:themeColor="text1"/>
          <w:szCs w:val="24"/>
        </w:rPr>
        <w:t>automotive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20CB">
        <w:rPr>
          <w:rFonts w:cs="Times New Roman"/>
          <w:color w:val="000000" w:themeColor="text1"/>
          <w:szCs w:val="24"/>
        </w:rPr>
        <w:t>products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20C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20CB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20CB">
        <w:rPr>
          <w:rFonts w:cs="Times New Roman"/>
          <w:color w:val="000000" w:themeColor="text1"/>
          <w:szCs w:val="24"/>
        </w:rPr>
        <w:t>types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20C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20CB">
        <w:rPr>
          <w:rFonts w:cs="Times New Roman"/>
          <w:color w:val="000000" w:themeColor="text1"/>
          <w:szCs w:val="24"/>
        </w:rPr>
        <w:t>asbestos-containing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20CB">
        <w:rPr>
          <w:rFonts w:cs="Times New Roman"/>
          <w:color w:val="000000" w:themeColor="text1"/>
          <w:szCs w:val="24"/>
        </w:rPr>
        <w:t>gaskets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20C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20CB">
        <w:rPr>
          <w:rFonts w:cs="Times New Roman"/>
          <w:color w:val="000000" w:themeColor="text1"/>
          <w:szCs w:val="24"/>
        </w:rPr>
        <w:t>cause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20CB">
        <w:rPr>
          <w:rFonts w:cs="Times New Roman"/>
          <w:color w:val="000000" w:themeColor="text1"/>
          <w:szCs w:val="24"/>
        </w:rPr>
        <w:t>unintentional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20CB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20C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20CB">
        <w:rPr>
          <w:rFonts w:cs="Times New Roman"/>
          <w:color w:val="000000" w:themeColor="text1"/>
          <w:szCs w:val="24"/>
        </w:rPr>
        <w:t>individuals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20C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20CB">
        <w:rPr>
          <w:rFonts w:cs="Times New Roman"/>
          <w:color w:val="000000" w:themeColor="text1"/>
          <w:szCs w:val="24"/>
        </w:rPr>
        <w:t>their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20CB">
        <w:rPr>
          <w:rFonts w:cs="Times New Roman"/>
          <w:color w:val="000000" w:themeColor="text1"/>
          <w:szCs w:val="24"/>
        </w:rPr>
        <w:t>residence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20CB">
        <w:rPr>
          <w:rFonts w:cs="Times New Roman"/>
          <w:color w:val="000000" w:themeColor="text1"/>
          <w:szCs w:val="24"/>
        </w:rPr>
        <w:t>due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20C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20CB">
        <w:rPr>
          <w:rFonts w:cs="Times New Roman"/>
          <w:color w:val="000000" w:themeColor="text1"/>
          <w:szCs w:val="24"/>
        </w:rPr>
        <w:t>take-home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20CB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20CB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20CB">
        <w:rPr>
          <w:rFonts w:cs="Times New Roman"/>
          <w:color w:val="000000" w:themeColor="text1"/>
          <w:szCs w:val="24"/>
        </w:rPr>
        <w:t>contaminated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20CB">
        <w:rPr>
          <w:rFonts w:cs="Times New Roman"/>
          <w:color w:val="000000" w:themeColor="text1"/>
          <w:szCs w:val="24"/>
        </w:rPr>
        <w:t>clothing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20C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20CB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20CB">
        <w:rPr>
          <w:rFonts w:cs="Times New Roman"/>
          <w:color w:val="000000" w:themeColor="text1"/>
          <w:szCs w:val="24"/>
        </w:rPr>
        <w:t>items.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B537B">
        <w:rPr>
          <w:rFonts w:cs="Times New Roman"/>
          <w:color w:val="000000" w:themeColor="text1"/>
          <w:szCs w:val="24"/>
        </w:rPr>
        <w:t>While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20C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20CB">
        <w:rPr>
          <w:rFonts w:cs="Times New Roman"/>
          <w:color w:val="000000" w:themeColor="text1"/>
          <w:szCs w:val="24"/>
        </w:rPr>
        <w:t>did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20CB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20CB">
        <w:rPr>
          <w:rFonts w:cs="Times New Roman"/>
          <w:color w:val="000000" w:themeColor="text1"/>
          <w:szCs w:val="24"/>
        </w:rPr>
        <w:t>identify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20C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20CB">
        <w:rPr>
          <w:rFonts w:cs="Times New Roman"/>
          <w:color w:val="000000" w:themeColor="text1"/>
          <w:szCs w:val="24"/>
        </w:rPr>
        <w:t>receive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20CB">
        <w:rPr>
          <w:rFonts w:cs="Times New Roman"/>
          <w:color w:val="000000" w:themeColor="text1"/>
          <w:szCs w:val="24"/>
        </w:rPr>
        <w:t>information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20CB">
        <w:rPr>
          <w:rFonts w:cs="Times New Roman"/>
          <w:color w:val="000000" w:themeColor="text1"/>
          <w:szCs w:val="24"/>
        </w:rPr>
        <w:t>which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20CB">
        <w:rPr>
          <w:rFonts w:cs="Times New Roman"/>
          <w:color w:val="000000" w:themeColor="text1"/>
          <w:szCs w:val="24"/>
        </w:rPr>
        <w:t>could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20CB">
        <w:rPr>
          <w:rFonts w:cs="Times New Roman"/>
          <w:color w:val="000000" w:themeColor="text1"/>
          <w:szCs w:val="24"/>
        </w:rPr>
        <w:t>inform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20CB">
        <w:rPr>
          <w:rFonts w:cs="Times New Roman"/>
          <w:color w:val="000000" w:themeColor="text1"/>
          <w:szCs w:val="24"/>
        </w:rPr>
        <w:t>such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20CB">
        <w:rPr>
          <w:rFonts w:cs="Times New Roman"/>
          <w:color w:val="000000" w:themeColor="text1"/>
          <w:szCs w:val="24"/>
        </w:rPr>
        <w:t>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20CB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20CB">
        <w:rPr>
          <w:rFonts w:cs="Times New Roman"/>
          <w:color w:val="000000" w:themeColor="text1"/>
          <w:szCs w:val="24"/>
        </w:rPr>
        <w:t>scenario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20C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20CB">
        <w:rPr>
          <w:rFonts w:cs="Times New Roman"/>
          <w:color w:val="000000" w:themeColor="text1"/>
          <w:szCs w:val="24"/>
        </w:rPr>
        <w:t>does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20CB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20CB">
        <w:rPr>
          <w:rFonts w:cs="Times New Roman"/>
          <w:color w:val="000000" w:themeColor="text1"/>
          <w:szCs w:val="24"/>
        </w:rPr>
        <w:t>currently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20CB">
        <w:rPr>
          <w:rFonts w:cs="Times New Roman"/>
          <w:color w:val="000000" w:themeColor="text1"/>
          <w:szCs w:val="24"/>
        </w:rPr>
        <w:t>have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20CB">
        <w:rPr>
          <w:rFonts w:cs="Times New Roman"/>
          <w:color w:val="000000" w:themeColor="text1"/>
          <w:szCs w:val="24"/>
        </w:rPr>
        <w:t>models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20CB">
        <w:rPr>
          <w:rFonts w:cs="Times New Roman"/>
          <w:color w:val="000000" w:themeColor="text1"/>
          <w:szCs w:val="24"/>
        </w:rPr>
        <w:t>which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20CB">
        <w:rPr>
          <w:rFonts w:cs="Times New Roman"/>
          <w:color w:val="000000" w:themeColor="text1"/>
          <w:szCs w:val="24"/>
        </w:rPr>
        <w:t>can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20CB">
        <w:rPr>
          <w:rFonts w:cs="Times New Roman"/>
          <w:color w:val="000000" w:themeColor="text1"/>
          <w:szCs w:val="24"/>
        </w:rPr>
        <w:t>adequately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20CB">
        <w:rPr>
          <w:rFonts w:cs="Times New Roman"/>
          <w:color w:val="000000" w:themeColor="text1"/>
          <w:szCs w:val="24"/>
        </w:rPr>
        <w:t>evaluate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20C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20CB">
        <w:rPr>
          <w:rFonts w:cs="Times New Roman"/>
          <w:color w:val="000000" w:themeColor="text1"/>
          <w:szCs w:val="24"/>
        </w:rPr>
        <w:t>address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20CB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20CB">
        <w:rPr>
          <w:rFonts w:cs="Times New Roman"/>
          <w:color w:val="000000" w:themeColor="text1"/>
          <w:szCs w:val="24"/>
        </w:rPr>
        <w:t>pathway</w:t>
      </w:r>
      <w:r w:rsidRPr="00C317BB" w:rsidR="008B537B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F7241">
        <w:rPr>
          <w:rFonts w:cs="Times New Roman"/>
          <w:color w:val="000000" w:themeColor="text1"/>
          <w:szCs w:val="24"/>
        </w:rPr>
        <w:t>t</w:t>
      </w:r>
      <w:r w:rsidRPr="00C317BB" w:rsidR="00C220CB">
        <w:rPr>
          <w:rFonts w:cs="Times New Roman"/>
          <w:color w:val="000000" w:themeColor="text1"/>
          <w:szCs w:val="24"/>
        </w:rPr>
        <w:t>ake-home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20CB">
        <w:rPr>
          <w:rFonts w:cs="Times New Roman"/>
          <w:color w:val="000000" w:themeColor="text1"/>
          <w:szCs w:val="24"/>
        </w:rPr>
        <w:t>exposures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8194F">
        <w:rPr>
          <w:rFonts w:cs="Times New Roman"/>
          <w:color w:val="000000" w:themeColor="text1"/>
          <w:szCs w:val="24"/>
        </w:rPr>
        <w:t>were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20CB">
        <w:rPr>
          <w:rFonts w:cs="Times New Roman"/>
          <w:color w:val="000000" w:themeColor="text1"/>
          <w:szCs w:val="24"/>
        </w:rPr>
        <w:t>considered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20CB">
        <w:rPr>
          <w:rFonts w:cs="Times New Roman"/>
          <w:color w:val="000000" w:themeColor="text1"/>
          <w:szCs w:val="24"/>
        </w:rPr>
        <w:t>pathways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F7241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F7241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F7241">
        <w:rPr>
          <w:rFonts w:cs="Times New Roman"/>
          <w:color w:val="000000" w:themeColor="text1"/>
          <w:szCs w:val="24"/>
        </w:rPr>
        <w:t>Part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F7241">
        <w:rPr>
          <w:rFonts w:cs="Times New Roman"/>
          <w:color w:val="000000" w:themeColor="text1"/>
          <w:szCs w:val="24"/>
        </w:rPr>
        <w:t>1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F7241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F7241">
        <w:rPr>
          <w:rFonts w:cs="Times New Roman"/>
          <w:color w:val="000000" w:themeColor="text1"/>
          <w:szCs w:val="24"/>
        </w:rPr>
        <w:t>evaluation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F7241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F7241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20C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20CB">
        <w:rPr>
          <w:rFonts w:cs="Times New Roman"/>
          <w:color w:val="000000" w:themeColor="text1"/>
          <w:szCs w:val="24"/>
        </w:rPr>
        <w:t>could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20CB">
        <w:rPr>
          <w:rFonts w:cs="Times New Roman"/>
          <w:color w:val="000000" w:themeColor="text1"/>
          <w:szCs w:val="24"/>
        </w:rPr>
        <w:t>increase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20CB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20C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20CB">
        <w:rPr>
          <w:rFonts w:cs="Times New Roman"/>
          <w:color w:val="000000" w:themeColor="text1"/>
          <w:szCs w:val="24"/>
        </w:rPr>
        <w:t>populations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20CB">
        <w:rPr>
          <w:rFonts w:cs="Times New Roman"/>
          <w:color w:val="000000" w:themeColor="text1"/>
          <w:szCs w:val="24"/>
        </w:rPr>
        <w:t>associated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20CB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20C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20CB">
        <w:rPr>
          <w:rFonts w:cs="Times New Roman"/>
          <w:color w:val="000000" w:themeColor="text1"/>
          <w:szCs w:val="24"/>
        </w:rPr>
        <w:t>workers,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20CB">
        <w:rPr>
          <w:rFonts w:cs="Times New Roman"/>
          <w:color w:val="000000" w:themeColor="text1"/>
          <w:szCs w:val="24"/>
        </w:rPr>
        <w:t>ONUs,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20CB">
        <w:rPr>
          <w:rFonts w:cs="Times New Roman"/>
          <w:color w:val="000000" w:themeColor="text1"/>
          <w:szCs w:val="24"/>
        </w:rPr>
        <w:t>consumer</w:t>
      </w:r>
      <w:r w:rsidRPr="00C317BB" w:rsidR="00582BDE">
        <w:rPr>
          <w:rFonts w:cs="Times New Roman"/>
          <w:color w:val="000000" w:themeColor="text1"/>
          <w:szCs w:val="24"/>
        </w:rPr>
        <w:t>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20C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20CB">
        <w:rPr>
          <w:rFonts w:cs="Times New Roman"/>
          <w:color w:val="000000" w:themeColor="text1"/>
          <w:szCs w:val="24"/>
        </w:rPr>
        <w:t>bystander</w:t>
      </w:r>
      <w:r w:rsidRPr="00C317BB" w:rsidR="00C25264">
        <w:rPr>
          <w:rFonts w:cs="Times New Roman"/>
          <w:color w:val="000000" w:themeColor="text1"/>
          <w:szCs w:val="24"/>
        </w:rPr>
        <w:t>s</w:t>
      </w:r>
      <w:r w:rsidRPr="00C317BB" w:rsidR="0090562E">
        <w:rPr>
          <w:rFonts w:cs="Times New Roman"/>
          <w:color w:val="000000" w:themeColor="text1"/>
          <w:szCs w:val="24"/>
        </w:rPr>
        <w:t>.</w:t>
      </w:r>
    </w:p>
    <w:p w:rsidRPr="00C317BB" w:rsidR="00C43618" w:rsidP="00F27167" w:rsidRDefault="002E58E9" w14:paraId="3A637C38" w14:textId="43D85AB6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Unit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V.A.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C0632">
        <w:rPr>
          <w:rFonts w:cs="Times New Roman"/>
          <w:color w:val="000000" w:themeColor="text1"/>
          <w:szCs w:val="24"/>
        </w:rPr>
        <w:t>summarizes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C0632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C0632">
        <w:rPr>
          <w:rFonts w:cs="Times New Roman"/>
          <w:color w:val="000000" w:themeColor="text1"/>
          <w:szCs w:val="24"/>
        </w:rPr>
        <w:t>health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C0632">
        <w:rPr>
          <w:rFonts w:cs="Times New Roman"/>
          <w:color w:val="000000" w:themeColor="text1"/>
          <w:szCs w:val="24"/>
        </w:rPr>
        <w:t>effects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C0632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C0632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C0632">
        <w:rPr>
          <w:rFonts w:cs="Times New Roman"/>
          <w:color w:val="000000" w:themeColor="text1"/>
          <w:szCs w:val="24"/>
        </w:rPr>
        <w:t>magnitude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C0632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C0632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13367">
        <w:rPr>
          <w:rFonts w:cs="Times New Roman"/>
          <w:color w:val="000000" w:themeColor="text1"/>
          <w:szCs w:val="24"/>
        </w:rPr>
        <w:t>ex</w:t>
      </w:r>
      <w:r w:rsidRPr="00C317BB" w:rsidR="00C43618">
        <w:rPr>
          <w:rFonts w:cs="Times New Roman"/>
          <w:color w:val="000000" w:themeColor="text1"/>
          <w:szCs w:val="24"/>
        </w:rPr>
        <w:t>p</w:t>
      </w:r>
      <w:r w:rsidRPr="00C317BB" w:rsidR="00813367">
        <w:rPr>
          <w:rFonts w:cs="Times New Roman"/>
          <w:color w:val="000000" w:themeColor="text1"/>
          <w:szCs w:val="24"/>
        </w:rPr>
        <w:t>osures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43618">
        <w:rPr>
          <w:rFonts w:cs="Times New Roman"/>
          <w:color w:val="000000" w:themeColor="text1"/>
          <w:szCs w:val="24"/>
        </w:rPr>
        <w:t>(Ref.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9571A">
        <w:rPr>
          <w:rFonts w:cs="Times New Roman"/>
          <w:color w:val="000000" w:themeColor="text1"/>
          <w:szCs w:val="24"/>
        </w:rPr>
        <w:t>1</w:t>
      </w:r>
      <w:r w:rsidRPr="00C317BB" w:rsidR="00C43618">
        <w:rPr>
          <w:rFonts w:cs="Times New Roman"/>
          <w:color w:val="000000" w:themeColor="text1"/>
          <w:szCs w:val="24"/>
        </w:rPr>
        <w:t>).</w:t>
      </w:r>
    </w:p>
    <w:p w:rsidRPr="00C317BB" w:rsidR="00CF0DE5" w:rsidP="00F27167" w:rsidRDefault="002B64E6" w14:paraId="5A52BFD9" w14:textId="53200030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regulatory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actions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proposed</w:t>
      </w:r>
      <w:r w:rsidRPr="00C317BB" w:rsidR="005849FE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alternatives,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54BD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54BD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longer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presents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unreasonable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risk,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IV.</w:t>
      </w:r>
    </w:p>
    <w:p w:rsidRPr="00C317BB" w:rsidR="00013942" w:rsidP="00F27167" w:rsidRDefault="00013942" w14:paraId="58451DC0" w14:textId="47B4EBF2">
      <w:pPr>
        <w:pStyle w:val="Heading3"/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2.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Description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conditions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use</w:t>
      </w:r>
      <w:r w:rsidRPr="00C317BB" w:rsidR="00FF2D57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E3362D" w:rsidP="00F27167" w:rsidRDefault="00C64152" w14:paraId="084153FB" w14:textId="68FA87FA">
      <w:pPr>
        <w:ind w:firstLine="720"/>
        <w:rPr>
          <w:rFonts w:cs="Times New Roman"/>
          <w:b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describes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conditions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subject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</w:t>
      </w:r>
      <w:r w:rsidRPr="00C317BB" w:rsidR="00DA1E08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regulatory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action.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153EB4" w:rsidP="00F27167" w:rsidRDefault="00153EB4" w14:paraId="7A57F086" w14:textId="4CD317B0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Although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identified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both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industrial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commercial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Part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1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evaluation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purposes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distinguishing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scenarios,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Agency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clarified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clarifies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now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interprets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authority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over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“any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manner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method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commercial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use”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6(a)(5)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reach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both.</w:t>
      </w:r>
    </w:p>
    <w:p w:rsidRPr="00C317BB" w:rsidR="00482485" w:rsidP="00F27167" w:rsidRDefault="00040F47" w14:paraId="274BB83B" w14:textId="5780E2BC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95F26">
        <w:rPr>
          <w:rFonts w:cs="Times New Roman"/>
          <w:color w:val="000000" w:themeColor="text1"/>
          <w:szCs w:val="24"/>
        </w:rPr>
        <w:t>conditions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95F26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95F26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C08D0">
        <w:rPr>
          <w:rFonts w:cs="Times New Roman"/>
          <w:color w:val="000000" w:themeColor="text1"/>
          <w:szCs w:val="24"/>
        </w:rPr>
        <w:t>subject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C08D0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C08D0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C08D0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C08D0">
        <w:rPr>
          <w:rFonts w:cs="Times New Roman"/>
          <w:color w:val="000000" w:themeColor="text1"/>
          <w:szCs w:val="24"/>
        </w:rPr>
        <w:t>regulatory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C08D0">
        <w:rPr>
          <w:rFonts w:cs="Times New Roman"/>
          <w:color w:val="000000" w:themeColor="text1"/>
          <w:szCs w:val="24"/>
        </w:rPr>
        <w:t>action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include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legacy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61439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associated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disposal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fiber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types.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738C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738C">
        <w:rPr>
          <w:rFonts w:cs="Times New Roman"/>
          <w:color w:val="000000" w:themeColor="text1"/>
          <w:szCs w:val="24"/>
        </w:rPr>
        <w:t>will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738C">
        <w:rPr>
          <w:rFonts w:cs="Times New Roman"/>
          <w:color w:val="000000" w:themeColor="text1"/>
          <w:szCs w:val="24"/>
        </w:rPr>
        <w:t>consider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738C">
        <w:rPr>
          <w:rFonts w:cs="Times New Roman"/>
          <w:color w:val="000000" w:themeColor="text1"/>
          <w:szCs w:val="24"/>
        </w:rPr>
        <w:t>legacy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738C">
        <w:rPr>
          <w:rFonts w:cs="Times New Roman"/>
          <w:color w:val="000000" w:themeColor="text1"/>
          <w:szCs w:val="24"/>
        </w:rPr>
        <w:t>uses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738C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738C">
        <w:rPr>
          <w:rFonts w:cs="Times New Roman"/>
          <w:color w:val="000000" w:themeColor="text1"/>
          <w:szCs w:val="24"/>
        </w:rPr>
        <w:t>associated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738C">
        <w:rPr>
          <w:rFonts w:cs="Times New Roman"/>
          <w:color w:val="000000" w:themeColor="text1"/>
          <w:szCs w:val="24"/>
        </w:rPr>
        <w:t>disposals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738C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738C">
        <w:rPr>
          <w:rFonts w:cs="Times New Roman"/>
          <w:color w:val="000000" w:themeColor="text1"/>
          <w:szCs w:val="24"/>
        </w:rPr>
        <w:t>Part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738C">
        <w:rPr>
          <w:rFonts w:cs="Times New Roman"/>
          <w:color w:val="000000" w:themeColor="text1"/>
          <w:szCs w:val="24"/>
        </w:rPr>
        <w:t>2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738C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738C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738C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738C">
        <w:rPr>
          <w:rFonts w:cs="Times New Roman"/>
          <w:color w:val="000000" w:themeColor="text1"/>
          <w:szCs w:val="24"/>
        </w:rPr>
        <w:t>evaluation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738C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738C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1D45">
        <w:rPr>
          <w:rFonts w:cs="Times New Roman"/>
          <w:color w:val="000000" w:themeColor="text1"/>
          <w:szCs w:val="24"/>
        </w:rPr>
        <w:t>(Ref.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9571A">
        <w:rPr>
          <w:rFonts w:cs="Times New Roman"/>
          <w:color w:val="000000" w:themeColor="text1"/>
          <w:szCs w:val="24"/>
        </w:rPr>
        <w:t>1</w:t>
      </w:r>
      <w:r w:rsidRPr="00C317BB" w:rsidR="00A81D45">
        <w:rPr>
          <w:rFonts w:cs="Times New Roman"/>
          <w:color w:val="000000" w:themeColor="text1"/>
          <w:szCs w:val="24"/>
        </w:rPr>
        <w:t>)</w:t>
      </w:r>
      <w:r w:rsidRPr="00C317BB" w:rsidR="000548B6">
        <w:rPr>
          <w:rFonts w:cs="Times New Roman"/>
          <w:color w:val="000000" w:themeColor="text1"/>
          <w:szCs w:val="24"/>
        </w:rPr>
        <w:t>.</w:t>
      </w:r>
    </w:p>
    <w:p w:rsidRPr="00C317BB" w:rsidR="004D2700" w:rsidP="00F27167" w:rsidRDefault="004D2700" w14:paraId="25A883D3" w14:textId="4EC5DF72">
      <w:pPr>
        <w:pStyle w:val="Heading4"/>
        <w:keepNext w:val="0"/>
        <w:keepLines w:val="0"/>
        <w:spacing w:before="0"/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a.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</w:t>
      </w:r>
      <w:r w:rsidRPr="00C317BB" w:rsidR="00F86372">
        <w:rPr>
          <w:rFonts w:cs="Times New Roman"/>
          <w:color w:val="000000" w:themeColor="text1"/>
          <w:szCs w:val="24"/>
        </w:rPr>
        <w:t>rocessing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86372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86372">
        <w:rPr>
          <w:rFonts w:cs="Times New Roman"/>
          <w:color w:val="000000" w:themeColor="text1"/>
          <w:szCs w:val="24"/>
        </w:rPr>
        <w:t>industrial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86372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86372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86372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86372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86372">
        <w:rPr>
          <w:rFonts w:cs="Times New Roman"/>
          <w:color w:val="000000" w:themeColor="text1"/>
          <w:szCs w:val="24"/>
        </w:rPr>
        <w:t>diaphragms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86372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86372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86372">
        <w:rPr>
          <w:rFonts w:cs="Times New Roman"/>
          <w:color w:val="000000" w:themeColor="text1"/>
          <w:szCs w:val="24"/>
        </w:rPr>
        <w:t>chlor-alkali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86372">
        <w:rPr>
          <w:rFonts w:cs="Times New Roman"/>
          <w:color w:val="000000" w:themeColor="text1"/>
          <w:szCs w:val="24"/>
        </w:rPr>
        <w:t>industry</w:t>
      </w:r>
      <w:r w:rsidRPr="00C317BB" w:rsidR="008C2FF9">
        <w:rPr>
          <w:rFonts w:cs="Times New Roman"/>
          <w:color w:val="000000" w:themeColor="text1"/>
          <w:szCs w:val="24"/>
        </w:rPr>
        <w:t>: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F86372" w:rsidP="00F27167" w:rsidRDefault="00F86372" w14:paraId="7AEC82A0" w14:textId="23D0EAE4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imported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chlor-alkali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industry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fabrication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semi-permeable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diaphragms.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15430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diaphragms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industrial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process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production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chorine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sodium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hydroxide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(caustic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soda).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chemically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inert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effectively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separate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E1485">
        <w:rPr>
          <w:rFonts w:cs="Times New Roman"/>
          <w:color w:val="000000" w:themeColor="text1"/>
          <w:szCs w:val="24"/>
        </w:rPr>
        <w:t>chlorine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E1485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E1485">
        <w:rPr>
          <w:rFonts w:cs="Times New Roman"/>
          <w:color w:val="000000" w:themeColor="text1"/>
          <w:szCs w:val="24"/>
        </w:rPr>
        <w:t>sodium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E1485">
        <w:rPr>
          <w:rFonts w:cs="Times New Roman"/>
          <w:color w:val="000000" w:themeColor="text1"/>
          <w:szCs w:val="24"/>
        </w:rPr>
        <w:t>hydroxide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electrolytic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cells.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2114E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2114E">
        <w:rPr>
          <w:rFonts w:cs="Times New Roman"/>
          <w:color w:val="000000" w:themeColor="text1"/>
          <w:szCs w:val="24"/>
        </w:rPr>
        <w:t>chlor-alkali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2114E">
        <w:rPr>
          <w:rFonts w:cs="Times New Roman"/>
          <w:color w:val="000000" w:themeColor="text1"/>
          <w:szCs w:val="24"/>
        </w:rPr>
        <w:t>chemical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2114E">
        <w:rPr>
          <w:rFonts w:cs="Times New Roman"/>
          <w:color w:val="000000" w:themeColor="text1"/>
          <w:szCs w:val="24"/>
        </w:rPr>
        <w:t>production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2114E">
        <w:rPr>
          <w:rFonts w:cs="Times New Roman"/>
          <w:color w:val="000000" w:themeColor="text1"/>
          <w:szCs w:val="24"/>
        </w:rPr>
        <w:t>process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2114E">
        <w:rPr>
          <w:rFonts w:cs="Times New Roman"/>
          <w:color w:val="000000" w:themeColor="text1"/>
          <w:szCs w:val="24"/>
        </w:rPr>
        <w:t>involves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2114E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2114E">
        <w:rPr>
          <w:rFonts w:cs="Times New Roman"/>
          <w:color w:val="000000" w:themeColor="text1"/>
          <w:szCs w:val="24"/>
        </w:rPr>
        <w:t>separation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2114E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2114E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2114E">
        <w:rPr>
          <w:rFonts w:cs="Times New Roman"/>
          <w:color w:val="000000" w:themeColor="text1"/>
          <w:szCs w:val="24"/>
        </w:rPr>
        <w:t>sodium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2114E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2114E">
        <w:rPr>
          <w:rFonts w:cs="Times New Roman"/>
          <w:color w:val="000000" w:themeColor="text1"/>
          <w:szCs w:val="24"/>
        </w:rPr>
        <w:t>chloride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2114E">
        <w:rPr>
          <w:rFonts w:cs="Times New Roman"/>
          <w:color w:val="000000" w:themeColor="text1"/>
          <w:szCs w:val="24"/>
        </w:rPr>
        <w:t>atoms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2114E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2114E">
        <w:rPr>
          <w:rFonts w:cs="Times New Roman"/>
          <w:color w:val="000000" w:themeColor="text1"/>
          <w:szCs w:val="24"/>
        </w:rPr>
        <w:t>salt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2114E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2114E">
        <w:rPr>
          <w:rFonts w:cs="Times New Roman"/>
          <w:color w:val="000000" w:themeColor="text1"/>
          <w:szCs w:val="24"/>
        </w:rPr>
        <w:t>saltwater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2114E">
        <w:rPr>
          <w:rFonts w:cs="Times New Roman"/>
          <w:color w:val="000000" w:themeColor="text1"/>
          <w:szCs w:val="24"/>
        </w:rPr>
        <w:t>(brine)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2114E">
        <w:rPr>
          <w:rFonts w:cs="Times New Roman"/>
          <w:color w:val="000000" w:themeColor="text1"/>
          <w:szCs w:val="24"/>
        </w:rPr>
        <w:t>via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2114E">
        <w:rPr>
          <w:rFonts w:cs="Times New Roman"/>
          <w:color w:val="000000" w:themeColor="text1"/>
          <w:szCs w:val="24"/>
        </w:rPr>
        <w:t>electricity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2114E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2114E">
        <w:rPr>
          <w:rFonts w:cs="Times New Roman"/>
          <w:color w:val="000000" w:themeColor="text1"/>
          <w:szCs w:val="24"/>
        </w:rPr>
        <w:t>produce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2114E">
        <w:rPr>
          <w:rFonts w:cs="Times New Roman"/>
          <w:color w:val="000000" w:themeColor="text1"/>
          <w:szCs w:val="24"/>
        </w:rPr>
        <w:t>sodium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2114E">
        <w:rPr>
          <w:rFonts w:cs="Times New Roman"/>
          <w:color w:val="000000" w:themeColor="text1"/>
          <w:szCs w:val="24"/>
        </w:rPr>
        <w:t>hydroxide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2114E">
        <w:rPr>
          <w:rFonts w:cs="Times New Roman"/>
          <w:color w:val="000000" w:themeColor="text1"/>
          <w:szCs w:val="24"/>
        </w:rPr>
        <w:t>(caustic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2114E">
        <w:rPr>
          <w:rFonts w:cs="Times New Roman"/>
          <w:color w:val="000000" w:themeColor="text1"/>
          <w:szCs w:val="24"/>
        </w:rPr>
        <w:t>soda),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2114E">
        <w:rPr>
          <w:rFonts w:cs="Times New Roman"/>
          <w:color w:val="000000" w:themeColor="text1"/>
          <w:szCs w:val="24"/>
        </w:rPr>
        <w:t>hydrogen,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2114E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2114E">
        <w:rPr>
          <w:rFonts w:cs="Times New Roman"/>
          <w:color w:val="000000" w:themeColor="text1"/>
          <w:szCs w:val="24"/>
        </w:rPr>
        <w:t>chlorine.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2114E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2114E">
        <w:rPr>
          <w:rFonts w:cs="Times New Roman"/>
          <w:color w:val="000000" w:themeColor="text1"/>
          <w:szCs w:val="24"/>
        </w:rPr>
        <w:t>reaction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2114E">
        <w:rPr>
          <w:rFonts w:cs="Times New Roman"/>
          <w:color w:val="000000" w:themeColor="text1"/>
          <w:szCs w:val="24"/>
        </w:rPr>
        <w:t>occurs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2114E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2114E">
        <w:rPr>
          <w:rFonts w:cs="Times New Roman"/>
          <w:color w:val="000000" w:themeColor="text1"/>
          <w:szCs w:val="24"/>
        </w:rPr>
        <w:t>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2114E">
        <w:rPr>
          <w:rFonts w:cs="Times New Roman"/>
          <w:color w:val="000000" w:themeColor="text1"/>
          <w:szCs w:val="24"/>
        </w:rPr>
        <w:t>electrolytic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2114E">
        <w:rPr>
          <w:rFonts w:cs="Times New Roman"/>
          <w:color w:val="000000" w:themeColor="text1"/>
          <w:szCs w:val="24"/>
        </w:rPr>
        <w:t>cell.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2114E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2114E">
        <w:rPr>
          <w:rFonts w:cs="Times New Roman"/>
          <w:color w:val="000000" w:themeColor="text1"/>
          <w:szCs w:val="24"/>
        </w:rPr>
        <w:t>cell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2114E">
        <w:rPr>
          <w:rFonts w:cs="Times New Roman"/>
          <w:color w:val="000000" w:themeColor="text1"/>
          <w:szCs w:val="24"/>
        </w:rPr>
        <w:t>contains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2114E">
        <w:rPr>
          <w:rFonts w:cs="Times New Roman"/>
          <w:color w:val="000000" w:themeColor="text1"/>
          <w:szCs w:val="24"/>
        </w:rPr>
        <w:t>two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2114E">
        <w:rPr>
          <w:rFonts w:cs="Times New Roman"/>
          <w:color w:val="000000" w:themeColor="text1"/>
          <w:szCs w:val="24"/>
        </w:rPr>
        <w:t>compartments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2114E">
        <w:rPr>
          <w:rFonts w:cs="Times New Roman"/>
          <w:color w:val="000000" w:themeColor="text1"/>
          <w:szCs w:val="24"/>
        </w:rPr>
        <w:t>separated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2114E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2114E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2114E">
        <w:rPr>
          <w:rFonts w:cs="Times New Roman"/>
          <w:color w:val="000000" w:themeColor="text1"/>
          <w:szCs w:val="24"/>
        </w:rPr>
        <w:t>semi-permeable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2114E">
        <w:rPr>
          <w:rFonts w:cs="Times New Roman"/>
          <w:color w:val="000000" w:themeColor="text1"/>
          <w:szCs w:val="24"/>
        </w:rPr>
        <w:t>diaphragm,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2114E">
        <w:rPr>
          <w:rFonts w:cs="Times New Roman"/>
          <w:color w:val="000000" w:themeColor="text1"/>
          <w:szCs w:val="24"/>
        </w:rPr>
        <w:t>which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2114E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2114E">
        <w:rPr>
          <w:rFonts w:cs="Times New Roman"/>
          <w:color w:val="000000" w:themeColor="text1"/>
          <w:szCs w:val="24"/>
        </w:rPr>
        <w:t>made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2114E">
        <w:rPr>
          <w:rFonts w:cs="Times New Roman"/>
          <w:color w:val="000000" w:themeColor="text1"/>
          <w:szCs w:val="24"/>
        </w:rPr>
        <w:t>mostly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2114E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2114E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2114E">
        <w:rPr>
          <w:rFonts w:cs="Times New Roman"/>
          <w:color w:val="000000" w:themeColor="text1"/>
          <w:szCs w:val="24"/>
        </w:rPr>
        <w:t>asbestos.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2114E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2114E">
        <w:rPr>
          <w:rFonts w:cs="Times New Roman"/>
          <w:color w:val="000000" w:themeColor="text1"/>
          <w:szCs w:val="24"/>
        </w:rPr>
        <w:t>diaphragm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2114E">
        <w:rPr>
          <w:rFonts w:cs="Times New Roman"/>
          <w:color w:val="000000" w:themeColor="text1"/>
          <w:szCs w:val="24"/>
        </w:rPr>
        <w:t>prevents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2114E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2114E">
        <w:rPr>
          <w:rFonts w:cs="Times New Roman"/>
          <w:color w:val="000000" w:themeColor="text1"/>
          <w:szCs w:val="24"/>
        </w:rPr>
        <w:t>reaction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2114E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2114E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2114E">
        <w:rPr>
          <w:rFonts w:cs="Times New Roman"/>
          <w:color w:val="000000" w:themeColor="text1"/>
          <w:szCs w:val="24"/>
        </w:rPr>
        <w:t>caustic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2114E">
        <w:rPr>
          <w:rFonts w:cs="Times New Roman"/>
          <w:color w:val="000000" w:themeColor="text1"/>
          <w:szCs w:val="24"/>
        </w:rPr>
        <w:t>soda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2114E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2114E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2114E">
        <w:rPr>
          <w:rFonts w:cs="Times New Roman"/>
          <w:color w:val="000000" w:themeColor="text1"/>
          <w:szCs w:val="24"/>
        </w:rPr>
        <w:t>chlorine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2114E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2114E">
        <w:rPr>
          <w:rFonts w:cs="Times New Roman"/>
          <w:color w:val="000000" w:themeColor="text1"/>
          <w:szCs w:val="24"/>
        </w:rPr>
        <w:t>allows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2114E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2114E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2114E">
        <w:rPr>
          <w:rFonts w:cs="Times New Roman"/>
          <w:color w:val="000000" w:themeColor="text1"/>
          <w:szCs w:val="24"/>
        </w:rPr>
        <w:t>separation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2114E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2114E">
        <w:rPr>
          <w:rFonts w:cs="Times New Roman"/>
          <w:color w:val="000000" w:themeColor="text1"/>
          <w:szCs w:val="24"/>
        </w:rPr>
        <w:t>both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2114E">
        <w:rPr>
          <w:rFonts w:cs="Times New Roman"/>
          <w:color w:val="000000" w:themeColor="text1"/>
          <w:szCs w:val="24"/>
        </w:rPr>
        <w:t>materials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2114E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2114E">
        <w:rPr>
          <w:rFonts w:cs="Times New Roman"/>
          <w:color w:val="000000" w:themeColor="text1"/>
          <w:szCs w:val="24"/>
        </w:rPr>
        <w:t>further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2114E">
        <w:rPr>
          <w:rFonts w:cs="Times New Roman"/>
          <w:color w:val="000000" w:themeColor="text1"/>
          <w:szCs w:val="24"/>
        </w:rPr>
        <w:t>processing.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Diaphragms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typically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1-3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years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before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must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A1ADD">
        <w:rPr>
          <w:rFonts w:cs="Times New Roman"/>
          <w:color w:val="000000" w:themeColor="text1"/>
          <w:szCs w:val="24"/>
        </w:rPr>
        <w:t>replaced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F1789">
        <w:rPr>
          <w:rFonts w:cs="Times New Roman"/>
          <w:color w:val="000000" w:themeColor="text1"/>
          <w:szCs w:val="24"/>
        </w:rPr>
        <w:t>(</w:t>
      </w:r>
      <w:r w:rsidRPr="00C317BB" w:rsidR="008B537B">
        <w:rPr>
          <w:rFonts w:cs="Times New Roman"/>
          <w:color w:val="000000" w:themeColor="text1"/>
          <w:szCs w:val="24"/>
        </w:rPr>
        <w:t>Ref.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9571A">
        <w:rPr>
          <w:rFonts w:cs="Times New Roman"/>
          <w:color w:val="000000" w:themeColor="text1"/>
          <w:szCs w:val="24"/>
        </w:rPr>
        <w:t>1</w:t>
      </w:r>
      <w:r w:rsidRPr="00C317BB" w:rsidR="006F1789">
        <w:rPr>
          <w:rFonts w:cs="Times New Roman"/>
          <w:color w:val="000000" w:themeColor="text1"/>
          <w:szCs w:val="24"/>
        </w:rPr>
        <w:t>)</w:t>
      </w:r>
      <w:r w:rsidRPr="00C317BB" w:rsidR="00035C79">
        <w:rPr>
          <w:rFonts w:cs="Times New Roman"/>
          <w:color w:val="000000" w:themeColor="text1"/>
          <w:szCs w:val="24"/>
        </w:rPr>
        <w:t>.</w:t>
      </w:r>
    </w:p>
    <w:p w:rsidRPr="00C317BB" w:rsidR="00F86372" w:rsidP="00F27167" w:rsidRDefault="004D2700" w14:paraId="0FFA672A" w14:textId="1819FA0C">
      <w:pPr>
        <w:pStyle w:val="Heading4"/>
        <w:keepNext w:val="0"/>
        <w:keepLines w:val="0"/>
        <w:spacing w:before="0"/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b.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</w:t>
      </w:r>
      <w:r w:rsidRPr="00C317BB" w:rsidR="00F86372">
        <w:rPr>
          <w:rFonts w:cs="Times New Roman"/>
          <w:color w:val="000000" w:themeColor="text1"/>
          <w:szCs w:val="24"/>
        </w:rPr>
        <w:t>rocessing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86372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86372">
        <w:rPr>
          <w:rFonts w:cs="Times New Roman"/>
          <w:color w:val="000000" w:themeColor="text1"/>
          <w:szCs w:val="24"/>
        </w:rPr>
        <w:t>industrial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86372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86372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86372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86372">
        <w:rPr>
          <w:rFonts w:cs="Times New Roman"/>
          <w:color w:val="000000" w:themeColor="text1"/>
          <w:szCs w:val="24"/>
        </w:rPr>
        <w:t>asbestos-containing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86372">
        <w:rPr>
          <w:rFonts w:cs="Times New Roman"/>
          <w:color w:val="000000" w:themeColor="text1"/>
          <w:szCs w:val="24"/>
        </w:rPr>
        <w:t>sheet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86372">
        <w:rPr>
          <w:rFonts w:cs="Times New Roman"/>
          <w:color w:val="000000" w:themeColor="text1"/>
          <w:szCs w:val="24"/>
        </w:rPr>
        <w:t>gaskets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86372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86372">
        <w:rPr>
          <w:rFonts w:cs="Times New Roman"/>
          <w:color w:val="000000" w:themeColor="text1"/>
          <w:szCs w:val="24"/>
        </w:rPr>
        <w:t>chemical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86372">
        <w:rPr>
          <w:rFonts w:cs="Times New Roman"/>
          <w:color w:val="000000" w:themeColor="text1"/>
          <w:szCs w:val="24"/>
        </w:rPr>
        <w:t>production</w:t>
      </w:r>
      <w:r w:rsidRPr="00C317BB" w:rsidR="008C2FF9">
        <w:rPr>
          <w:rFonts w:cs="Times New Roman"/>
          <w:color w:val="000000" w:themeColor="text1"/>
          <w:szCs w:val="24"/>
        </w:rPr>
        <w:t>:</w:t>
      </w:r>
    </w:p>
    <w:p w:rsidRPr="00C317BB" w:rsidR="00F86372" w:rsidP="00F27167" w:rsidRDefault="00F86372" w14:paraId="14547D71" w14:textId="0B6CE376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Sheet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gaskets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leakproof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seal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between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fixed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components.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gaskets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primarily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industrial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applications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extreme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operating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conditions,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such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high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temperatures,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high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pressures,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presence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chlorine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corrosive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substances.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Such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extreme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production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conditions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found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many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chemical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manufacturing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processing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operations</w:t>
      </w:r>
      <w:r w:rsidRPr="00C317BB" w:rsidR="002F0EFC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includ</w:t>
      </w:r>
      <w:r w:rsidRPr="00C317BB" w:rsidR="00FD1A69">
        <w:rPr>
          <w:rFonts w:cs="Times New Roman"/>
          <w:color w:val="000000" w:themeColor="text1"/>
          <w:szCs w:val="24"/>
        </w:rPr>
        <w:t>ing</w:t>
      </w:r>
      <w:r w:rsidRPr="00C317BB">
        <w:rPr>
          <w:rFonts w:cs="Times New Roman"/>
          <w:color w:val="000000" w:themeColor="text1"/>
          <w:szCs w:val="24"/>
        </w:rPr>
        <w:t>: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manufacture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titanium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dioxide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chlorinated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hydrocarbons;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polymerization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reactions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involving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chlorinated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monomers;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steam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cracking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petrochemical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facilities.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B2796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767D">
        <w:rPr>
          <w:rFonts w:cs="Times New Roman"/>
          <w:color w:val="000000" w:themeColor="text1"/>
          <w:szCs w:val="24"/>
        </w:rPr>
        <w:t>asbestos-containing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gaskets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6299A">
        <w:rPr>
          <w:rFonts w:cs="Times New Roman"/>
          <w:color w:val="000000" w:themeColor="text1"/>
          <w:szCs w:val="24"/>
        </w:rPr>
        <w:t>fabricated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6299A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sheet</w:t>
      </w:r>
      <w:r w:rsidRPr="00C317BB" w:rsidR="00937A5D">
        <w:rPr>
          <w:rFonts w:cs="Times New Roman"/>
          <w:color w:val="000000" w:themeColor="text1"/>
          <w:szCs w:val="24"/>
        </w:rPr>
        <w:t>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37A5D">
        <w:rPr>
          <w:rFonts w:cs="Times New Roman"/>
          <w:color w:val="000000" w:themeColor="text1"/>
          <w:szCs w:val="24"/>
        </w:rPr>
        <w:t>composed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37A5D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37A5D">
        <w:rPr>
          <w:rFonts w:cs="Times New Roman"/>
          <w:color w:val="000000" w:themeColor="text1"/>
          <w:szCs w:val="24"/>
        </w:rPr>
        <w:t>80%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37A5D">
        <w:rPr>
          <w:rFonts w:cs="Times New Roman"/>
          <w:color w:val="000000" w:themeColor="text1"/>
          <w:szCs w:val="24"/>
        </w:rPr>
        <w:t>(minimum)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37A5D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37A5D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37A5D">
        <w:rPr>
          <w:rFonts w:cs="Times New Roman"/>
          <w:color w:val="000000" w:themeColor="text1"/>
          <w:szCs w:val="24"/>
        </w:rPr>
        <w:t>fully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37A5D">
        <w:rPr>
          <w:rFonts w:cs="Times New Roman"/>
          <w:color w:val="000000" w:themeColor="text1"/>
          <w:szCs w:val="24"/>
        </w:rPr>
        <w:t>encapsulated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37A5D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07A71">
        <w:rPr>
          <w:rFonts w:cs="Times New Roman"/>
          <w:color w:val="000000" w:themeColor="text1"/>
          <w:szCs w:val="24"/>
        </w:rPr>
        <w:t>s</w:t>
      </w:r>
      <w:r w:rsidRPr="00C317BB" w:rsidR="00937A5D">
        <w:rPr>
          <w:rFonts w:cs="Times New Roman"/>
          <w:color w:val="000000" w:themeColor="text1"/>
          <w:szCs w:val="24"/>
        </w:rPr>
        <w:t>tyrene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07A71">
        <w:rPr>
          <w:rFonts w:cs="Times New Roman"/>
          <w:color w:val="000000" w:themeColor="text1"/>
          <w:szCs w:val="24"/>
        </w:rPr>
        <w:t>b</w:t>
      </w:r>
      <w:r w:rsidRPr="00C317BB" w:rsidR="00937A5D">
        <w:rPr>
          <w:rFonts w:cs="Times New Roman"/>
          <w:color w:val="000000" w:themeColor="text1"/>
          <w:szCs w:val="24"/>
        </w:rPr>
        <w:t>utadiene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07A71">
        <w:rPr>
          <w:rFonts w:cs="Times New Roman"/>
          <w:color w:val="000000" w:themeColor="text1"/>
          <w:szCs w:val="24"/>
        </w:rPr>
        <w:t>r</w:t>
      </w:r>
      <w:r w:rsidRPr="00C317BB" w:rsidR="00937A5D">
        <w:rPr>
          <w:rFonts w:cs="Times New Roman"/>
          <w:color w:val="000000" w:themeColor="text1"/>
          <w:szCs w:val="24"/>
        </w:rPr>
        <w:t>ubber</w:t>
      </w:r>
      <w:r w:rsidRPr="00C317BB" w:rsidR="00A5258E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5258E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5258E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5258E">
        <w:rPr>
          <w:rFonts w:cs="Times New Roman"/>
          <w:color w:val="000000" w:themeColor="text1"/>
          <w:szCs w:val="24"/>
        </w:rPr>
        <w:t>asbestos-containing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5258E">
        <w:rPr>
          <w:rFonts w:cs="Times New Roman"/>
          <w:color w:val="000000" w:themeColor="text1"/>
          <w:szCs w:val="24"/>
        </w:rPr>
        <w:t>sheets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6516">
        <w:rPr>
          <w:rFonts w:cs="Times New Roman"/>
          <w:color w:val="000000" w:themeColor="text1"/>
          <w:szCs w:val="24"/>
        </w:rPr>
        <w:t>imported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636E">
        <w:rPr>
          <w:rFonts w:cs="Times New Roman"/>
          <w:color w:val="000000" w:themeColor="text1"/>
          <w:szCs w:val="24"/>
        </w:rPr>
        <w:t>into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636E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636E">
        <w:rPr>
          <w:rFonts w:cs="Times New Roman"/>
          <w:color w:val="000000" w:themeColor="text1"/>
          <w:szCs w:val="24"/>
        </w:rPr>
        <w:t>U.S.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1009B">
        <w:rPr>
          <w:rFonts w:cs="Times New Roman"/>
          <w:color w:val="000000" w:themeColor="text1"/>
          <w:szCs w:val="24"/>
        </w:rPr>
        <w:t>i</w:t>
      </w:r>
      <w:r w:rsidRPr="00C317BB" w:rsidR="00AE7F17">
        <w:rPr>
          <w:rFonts w:cs="Times New Roman"/>
          <w:color w:val="000000" w:themeColor="text1"/>
          <w:szCs w:val="24"/>
        </w:rPr>
        <w:t>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E7F17">
        <w:rPr>
          <w:rFonts w:cs="Times New Roman"/>
          <w:color w:val="000000" w:themeColor="text1"/>
          <w:szCs w:val="24"/>
        </w:rPr>
        <w:t>large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E7F17">
        <w:rPr>
          <w:rFonts w:cs="Times New Roman"/>
          <w:color w:val="000000" w:themeColor="text1"/>
          <w:szCs w:val="24"/>
        </w:rPr>
        <w:t>rolls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636E">
        <w:rPr>
          <w:rFonts w:cs="Times New Roman"/>
          <w:color w:val="000000" w:themeColor="text1"/>
          <w:szCs w:val="24"/>
        </w:rPr>
        <w:t>where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636E">
        <w:rPr>
          <w:rFonts w:cs="Times New Roman"/>
          <w:color w:val="000000" w:themeColor="text1"/>
          <w:szCs w:val="24"/>
        </w:rPr>
        <w:t>they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636E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6516">
        <w:rPr>
          <w:rFonts w:cs="Times New Roman"/>
          <w:color w:val="000000" w:themeColor="text1"/>
          <w:szCs w:val="24"/>
        </w:rPr>
        <w:t>cut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6516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6516">
        <w:rPr>
          <w:rFonts w:cs="Times New Roman"/>
          <w:color w:val="000000" w:themeColor="text1"/>
          <w:szCs w:val="24"/>
        </w:rPr>
        <w:t>shape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6516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6516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6516">
        <w:rPr>
          <w:rFonts w:cs="Times New Roman"/>
          <w:color w:val="000000" w:themeColor="text1"/>
          <w:szCs w:val="24"/>
        </w:rPr>
        <w:t>fabricator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6516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E4FD5">
        <w:rPr>
          <w:rFonts w:cs="Times New Roman"/>
          <w:color w:val="000000" w:themeColor="text1"/>
          <w:szCs w:val="24"/>
        </w:rPr>
        <w:t>subsequently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E4FD5">
        <w:rPr>
          <w:rFonts w:cs="Times New Roman"/>
          <w:color w:val="000000" w:themeColor="text1"/>
          <w:szCs w:val="24"/>
        </w:rPr>
        <w:t>used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56E55">
        <w:rPr>
          <w:rFonts w:cs="Times New Roman"/>
          <w:color w:val="000000" w:themeColor="text1"/>
          <w:szCs w:val="24"/>
        </w:rPr>
        <w:t>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56E55">
        <w:rPr>
          <w:rFonts w:cs="Times New Roman"/>
          <w:color w:val="000000" w:themeColor="text1"/>
          <w:szCs w:val="24"/>
        </w:rPr>
        <w:t>titanium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56E55">
        <w:rPr>
          <w:rFonts w:cs="Times New Roman"/>
          <w:color w:val="000000" w:themeColor="text1"/>
          <w:szCs w:val="24"/>
        </w:rPr>
        <w:t>dioxide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56E55">
        <w:rPr>
          <w:rFonts w:cs="Times New Roman"/>
          <w:color w:val="000000" w:themeColor="text1"/>
          <w:szCs w:val="24"/>
        </w:rPr>
        <w:t>manufacturing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56E55">
        <w:rPr>
          <w:rFonts w:cs="Times New Roman"/>
          <w:color w:val="000000" w:themeColor="text1"/>
          <w:szCs w:val="24"/>
        </w:rPr>
        <w:t>facilities</w:t>
      </w:r>
      <w:r w:rsidRPr="00C317BB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Installed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gaskets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typically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remain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61D51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anywhere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few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weeks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three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years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F1789">
        <w:rPr>
          <w:rFonts w:cs="Times New Roman"/>
          <w:color w:val="000000" w:themeColor="text1"/>
          <w:szCs w:val="24"/>
        </w:rPr>
        <w:t>(</w:t>
      </w:r>
      <w:r w:rsidRPr="00C317BB" w:rsidR="00553C02">
        <w:rPr>
          <w:rFonts w:cs="Times New Roman"/>
          <w:color w:val="000000" w:themeColor="text1"/>
          <w:szCs w:val="24"/>
        </w:rPr>
        <w:t>Ref.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3C02">
        <w:rPr>
          <w:rFonts w:cs="Times New Roman"/>
          <w:color w:val="000000" w:themeColor="text1"/>
          <w:szCs w:val="24"/>
        </w:rPr>
        <w:t>1)</w:t>
      </w:r>
      <w:r w:rsidRPr="00C317BB" w:rsidR="00A32ED7">
        <w:rPr>
          <w:rFonts w:cs="Times New Roman"/>
          <w:color w:val="000000" w:themeColor="text1"/>
          <w:szCs w:val="24"/>
        </w:rPr>
        <w:t>.</w:t>
      </w:r>
    </w:p>
    <w:p w:rsidRPr="00C317BB" w:rsidR="00F86372" w:rsidP="00F27167" w:rsidRDefault="004D2700" w14:paraId="085D20F6" w14:textId="379A6BD6">
      <w:pPr>
        <w:pStyle w:val="Heading4"/>
        <w:keepNext w:val="0"/>
        <w:keepLines w:val="0"/>
        <w:spacing w:before="0"/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c.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</w:t>
      </w:r>
      <w:r w:rsidRPr="00C317BB" w:rsidR="00F86372">
        <w:rPr>
          <w:rFonts w:cs="Times New Roman"/>
          <w:color w:val="000000" w:themeColor="text1"/>
          <w:szCs w:val="24"/>
        </w:rPr>
        <w:t>ndustrial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86372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86372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86372">
        <w:rPr>
          <w:rFonts w:cs="Times New Roman"/>
          <w:color w:val="000000" w:themeColor="text1"/>
          <w:szCs w:val="24"/>
        </w:rPr>
        <w:t>disposal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86372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86372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86372">
        <w:rPr>
          <w:rFonts w:cs="Times New Roman"/>
          <w:color w:val="000000" w:themeColor="text1"/>
          <w:szCs w:val="24"/>
        </w:rPr>
        <w:t>asbestos-containing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86372">
        <w:rPr>
          <w:rFonts w:cs="Times New Roman"/>
          <w:color w:val="000000" w:themeColor="text1"/>
          <w:szCs w:val="24"/>
        </w:rPr>
        <w:t>brake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86372">
        <w:rPr>
          <w:rFonts w:cs="Times New Roman"/>
          <w:color w:val="000000" w:themeColor="text1"/>
          <w:szCs w:val="24"/>
        </w:rPr>
        <w:t>blocks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86372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86372">
        <w:rPr>
          <w:rFonts w:cs="Times New Roman"/>
          <w:color w:val="000000" w:themeColor="text1"/>
          <w:szCs w:val="24"/>
        </w:rPr>
        <w:t>oil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86372">
        <w:rPr>
          <w:rFonts w:cs="Times New Roman"/>
          <w:color w:val="000000" w:themeColor="text1"/>
          <w:szCs w:val="24"/>
        </w:rPr>
        <w:t>industry</w:t>
      </w:r>
      <w:r w:rsidRPr="00C317BB" w:rsidR="008C2FF9">
        <w:rPr>
          <w:rFonts w:cs="Times New Roman"/>
          <w:color w:val="000000" w:themeColor="text1"/>
          <w:szCs w:val="24"/>
        </w:rPr>
        <w:t>:</w:t>
      </w:r>
    </w:p>
    <w:p w:rsidRPr="00C317BB" w:rsidR="00F86372" w:rsidP="00F27167" w:rsidRDefault="00F86372" w14:paraId="77C626B9" w14:textId="60878719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rotary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drilling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oil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well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C317BB">
        <w:rPr>
          <w:rFonts w:cs="Times New Roman"/>
          <w:color w:val="000000" w:themeColor="text1"/>
          <w:szCs w:val="24"/>
        </w:rPr>
        <w:t>drawworks</w:t>
      </w:r>
      <w:proofErr w:type="spellEnd"/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hoisting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machine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raise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lower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traveling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blocks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during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drilling.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C317BB">
        <w:rPr>
          <w:rFonts w:cs="Times New Roman"/>
          <w:color w:val="000000" w:themeColor="text1"/>
          <w:szCs w:val="24"/>
        </w:rPr>
        <w:t>drawworks</w:t>
      </w:r>
      <w:proofErr w:type="spellEnd"/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permanently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installed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component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mobile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drilling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rig.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C317BB">
        <w:rPr>
          <w:rFonts w:cs="Times New Roman"/>
          <w:color w:val="000000" w:themeColor="text1"/>
          <w:szCs w:val="24"/>
        </w:rPr>
        <w:t>drawworks</w:t>
      </w:r>
      <w:proofErr w:type="spellEnd"/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consists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large-diameter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steel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spool,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motor,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brake,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reduction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gear,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auxiliary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brake.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brake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C317BB">
        <w:rPr>
          <w:rFonts w:cs="Times New Roman"/>
          <w:color w:val="000000" w:themeColor="text1"/>
          <w:szCs w:val="24"/>
        </w:rPr>
        <w:t>drawworks</w:t>
      </w:r>
      <w:proofErr w:type="spellEnd"/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hoisting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machine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essential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component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engaged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when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motion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traveling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block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desired.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60948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60948">
        <w:rPr>
          <w:rFonts w:cs="Times New Roman"/>
          <w:color w:val="000000" w:themeColor="text1"/>
          <w:szCs w:val="24"/>
        </w:rPr>
        <w:t>a</w:t>
      </w:r>
      <w:r w:rsidRPr="00C317BB">
        <w:rPr>
          <w:rFonts w:cs="Times New Roman"/>
          <w:color w:val="000000" w:themeColor="text1"/>
          <w:szCs w:val="24"/>
        </w:rPr>
        <w:t>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brake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blocks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3331">
        <w:rPr>
          <w:rFonts w:cs="Times New Roman"/>
          <w:color w:val="000000" w:themeColor="text1"/>
          <w:szCs w:val="24"/>
        </w:rPr>
        <w:t>imported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40173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40173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some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C317BB">
        <w:rPr>
          <w:rFonts w:cs="Times New Roman"/>
          <w:color w:val="000000" w:themeColor="text1"/>
          <w:szCs w:val="24"/>
        </w:rPr>
        <w:t>drawworks</w:t>
      </w:r>
      <w:proofErr w:type="spellEnd"/>
      <w:r w:rsidRPr="00C317BB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reportedly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most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often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larger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drilling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rigs.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Spent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brake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blocks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must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periodically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replaced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workers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oilfield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industry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who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maintain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F1789">
        <w:rPr>
          <w:rFonts w:cs="Times New Roman"/>
          <w:color w:val="000000" w:themeColor="text1"/>
          <w:szCs w:val="24"/>
        </w:rPr>
        <w:t>(</w:t>
      </w:r>
      <w:r w:rsidRPr="00C317BB" w:rsidR="005E6452">
        <w:rPr>
          <w:rFonts w:cs="Times New Roman"/>
          <w:color w:val="000000" w:themeColor="text1"/>
          <w:szCs w:val="24"/>
        </w:rPr>
        <w:t>Ref.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E6452">
        <w:rPr>
          <w:rFonts w:cs="Times New Roman"/>
          <w:color w:val="000000" w:themeColor="text1"/>
          <w:szCs w:val="24"/>
        </w:rPr>
        <w:t>1</w:t>
      </w:r>
      <w:r w:rsidRPr="00C317BB" w:rsidR="006F1789">
        <w:rPr>
          <w:rFonts w:cs="Times New Roman"/>
          <w:color w:val="000000" w:themeColor="text1"/>
          <w:szCs w:val="24"/>
        </w:rPr>
        <w:t>)</w:t>
      </w:r>
      <w:r w:rsidRPr="00C317BB" w:rsidR="00612BE9">
        <w:rPr>
          <w:rFonts w:cs="Times New Roman"/>
          <w:color w:val="000000" w:themeColor="text1"/>
          <w:szCs w:val="24"/>
        </w:rPr>
        <w:t>.</w:t>
      </w:r>
    </w:p>
    <w:p w:rsidRPr="00C317BB" w:rsidR="00F86372" w:rsidP="00F27167" w:rsidRDefault="004D2700" w14:paraId="3486874E" w14:textId="3A27C38A">
      <w:pPr>
        <w:pStyle w:val="Heading4"/>
        <w:keepNext w:val="0"/>
        <w:keepLines w:val="0"/>
        <w:spacing w:before="0"/>
        <w:ind w:firstLine="720"/>
        <w:rPr>
          <w:rFonts w:cs="Times New Roman"/>
          <w:color w:val="000000" w:themeColor="text1"/>
          <w:szCs w:val="24"/>
        </w:rPr>
      </w:pPr>
      <w:bookmarkStart w:name="_Hlk87368433" w:id="20"/>
      <w:r w:rsidRPr="00C317BB">
        <w:rPr>
          <w:rFonts w:cs="Times New Roman"/>
          <w:color w:val="000000" w:themeColor="text1"/>
          <w:szCs w:val="24"/>
        </w:rPr>
        <w:t>d.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</w:t>
      </w:r>
      <w:r w:rsidRPr="00C317BB" w:rsidR="00F86372">
        <w:rPr>
          <w:rFonts w:cs="Times New Roman"/>
          <w:color w:val="000000" w:themeColor="text1"/>
          <w:szCs w:val="24"/>
        </w:rPr>
        <w:t>ommercial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86372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86372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86372">
        <w:rPr>
          <w:rFonts w:cs="Times New Roman"/>
          <w:color w:val="000000" w:themeColor="text1"/>
          <w:szCs w:val="24"/>
        </w:rPr>
        <w:t>disposal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86372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86372">
        <w:rPr>
          <w:rFonts w:cs="Times New Roman"/>
          <w:color w:val="000000" w:themeColor="text1"/>
          <w:szCs w:val="24"/>
        </w:rPr>
        <w:t>aftermarket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86372">
        <w:rPr>
          <w:rFonts w:cs="Times New Roman"/>
          <w:color w:val="000000" w:themeColor="text1"/>
          <w:szCs w:val="24"/>
        </w:rPr>
        <w:t>automotive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86372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86372">
        <w:rPr>
          <w:rFonts w:cs="Times New Roman"/>
          <w:color w:val="000000" w:themeColor="text1"/>
          <w:szCs w:val="24"/>
        </w:rPr>
        <w:t>asbestos-containing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86372">
        <w:rPr>
          <w:rFonts w:cs="Times New Roman"/>
          <w:color w:val="000000" w:themeColor="text1"/>
          <w:szCs w:val="24"/>
        </w:rPr>
        <w:t>brakes/linings</w:t>
      </w:r>
      <w:r w:rsidRPr="00C317BB" w:rsidR="008C2FF9">
        <w:rPr>
          <w:rFonts w:cs="Times New Roman"/>
          <w:color w:val="000000" w:themeColor="text1"/>
          <w:szCs w:val="24"/>
        </w:rPr>
        <w:t>:</w:t>
      </w:r>
    </w:p>
    <w:bookmarkEnd w:id="20"/>
    <w:p w:rsidRPr="00C317BB" w:rsidR="00F86372" w:rsidP="00F27167" w:rsidRDefault="00F86372" w14:paraId="28018451" w14:textId="39389B61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two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primary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types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automobile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brakes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drum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brakes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disc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brakes,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bookmarkStart w:name="_Hlk86843121" w:id="21"/>
      <w:r w:rsidRPr="00C317BB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found</w:t>
      </w:r>
      <w:bookmarkEnd w:id="21"/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0730F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both</w:t>
      </w:r>
      <w:r w:rsidRPr="00C317BB" w:rsidR="0030730F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linings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drum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brake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assemblies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pads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disc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brake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assemblies.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Disc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brakes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much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more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common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today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drum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brakes,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but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many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passenger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vehicles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have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combination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disc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brakes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front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wheels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drum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brakes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rear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wheels.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fibers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offer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many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properties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desired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brake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linings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brake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pads</w:t>
      </w:r>
      <w:r w:rsidRPr="00C317BB" w:rsidR="002A3A32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up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through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1990s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many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new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automobiles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manufactured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United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States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had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brake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assemblies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components.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However,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2000,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longer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brakes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virtually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Pr="00C317BB" w:rsidR="00ED70D7">
        <w:rPr>
          <w:rFonts w:cs="Times New Roman"/>
          <w:color w:val="000000" w:themeColor="text1"/>
          <w:szCs w:val="24"/>
        </w:rPr>
        <w:t>ny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D681D">
        <w:rPr>
          <w:rFonts w:cs="Times New Roman"/>
          <w:color w:val="000000" w:themeColor="text1"/>
          <w:szCs w:val="24"/>
        </w:rPr>
        <w:t>original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D681D">
        <w:rPr>
          <w:rFonts w:cs="Times New Roman"/>
          <w:color w:val="000000" w:themeColor="text1"/>
          <w:szCs w:val="24"/>
        </w:rPr>
        <w:t>equipment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D681D">
        <w:rPr>
          <w:rFonts w:cs="Times New Roman"/>
          <w:color w:val="000000" w:themeColor="text1"/>
          <w:szCs w:val="24"/>
        </w:rPr>
        <w:t>manufacture</w:t>
      </w:r>
      <w:r w:rsidRPr="00C317BB" w:rsidR="00C55479">
        <w:rPr>
          <w:rFonts w:cs="Times New Roman"/>
          <w:color w:val="000000" w:themeColor="text1"/>
          <w:szCs w:val="24"/>
        </w:rPr>
        <w:t>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D681D">
        <w:rPr>
          <w:rFonts w:cs="Times New Roman"/>
          <w:color w:val="000000" w:themeColor="text1"/>
          <w:szCs w:val="24"/>
        </w:rPr>
        <w:t>(OEM)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automobiles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sold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domestically.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automotive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parts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10B6F">
        <w:rPr>
          <w:rFonts w:cs="Times New Roman"/>
          <w:color w:val="000000" w:themeColor="text1"/>
          <w:szCs w:val="24"/>
        </w:rPr>
        <w:t>currently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banned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46259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46259">
        <w:rPr>
          <w:rFonts w:cs="Times New Roman"/>
          <w:color w:val="000000" w:themeColor="text1"/>
          <w:szCs w:val="24"/>
        </w:rPr>
        <w:t>U.S.,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brake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products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imported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sold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United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States.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quantity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brake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parts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imported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unknown.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0730F">
        <w:rPr>
          <w:rFonts w:cs="Times New Roman"/>
          <w:color w:val="000000" w:themeColor="text1"/>
          <w:szCs w:val="24"/>
        </w:rPr>
        <w:t>Therefore</w:t>
      </w:r>
      <w:r w:rsidRPr="00C317BB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0730F">
        <w:rPr>
          <w:rFonts w:cs="Times New Roman"/>
          <w:color w:val="000000" w:themeColor="text1"/>
          <w:szCs w:val="24"/>
        </w:rPr>
        <w:t>could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0730F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found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United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States: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(1)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0730F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vehicles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road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07252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have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brakes,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whether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older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vintage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vehicles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aftermarket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parts;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(2)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0730F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vehicles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D5065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have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new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brakes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installed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establishments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individuals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certain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imported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products.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Brakes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must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repaired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replaced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periodically,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E409F">
        <w:rPr>
          <w:rFonts w:cs="Times New Roman"/>
          <w:color w:val="000000" w:themeColor="text1"/>
          <w:szCs w:val="24"/>
        </w:rPr>
        <w:t>which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E409F">
        <w:rPr>
          <w:rFonts w:cs="Times New Roman"/>
          <w:color w:val="000000" w:themeColor="text1"/>
          <w:szCs w:val="24"/>
        </w:rPr>
        <w:t>involves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activities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2666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create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dust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E409F">
        <w:rPr>
          <w:rFonts w:cs="Times New Roman"/>
          <w:color w:val="000000" w:themeColor="text1"/>
          <w:szCs w:val="24"/>
        </w:rPr>
        <w:t>potential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occupational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F27A3">
        <w:rPr>
          <w:rFonts w:cs="Times New Roman"/>
          <w:color w:val="000000" w:themeColor="text1"/>
          <w:szCs w:val="24"/>
        </w:rPr>
        <w:t>(</w:t>
      </w:r>
      <w:r w:rsidRPr="00C317BB" w:rsidR="00553C02">
        <w:rPr>
          <w:rFonts w:cs="Times New Roman"/>
          <w:color w:val="000000" w:themeColor="text1"/>
          <w:szCs w:val="24"/>
        </w:rPr>
        <w:t>Ref.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3C02">
        <w:rPr>
          <w:rFonts w:cs="Times New Roman"/>
          <w:color w:val="000000" w:themeColor="text1"/>
          <w:szCs w:val="24"/>
        </w:rPr>
        <w:t>1</w:t>
      </w:r>
      <w:r w:rsidRPr="00C317BB" w:rsidR="00DF27A3">
        <w:rPr>
          <w:rFonts w:cs="Times New Roman"/>
          <w:color w:val="000000" w:themeColor="text1"/>
          <w:szCs w:val="24"/>
        </w:rPr>
        <w:t>)</w:t>
      </w:r>
      <w:r w:rsidRPr="00C317BB" w:rsidR="00F75838">
        <w:rPr>
          <w:rFonts w:cs="Times New Roman"/>
          <w:color w:val="000000" w:themeColor="text1"/>
          <w:szCs w:val="24"/>
        </w:rPr>
        <w:t>.</w:t>
      </w:r>
    </w:p>
    <w:p w:rsidRPr="00C317BB" w:rsidR="00F86372" w:rsidP="00F27167" w:rsidRDefault="004D2700" w14:paraId="5D3DEE1E" w14:textId="5DB71B7B">
      <w:pPr>
        <w:pStyle w:val="Heading4"/>
        <w:keepNext w:val="0"/>
        <w:keepLines w:val="0"/>
        <w:spacing w:before="0"/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e.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</w:t>
      </w:r>
      <w:r w:rsidRPr="00C317BB" w:rsidR="00F86372">
        <w:rPr>
          <w:rFonts w:cs="Times New Roman"/>
          <w:color w:val="000000" w:themeColor="text1"/>
          <w:szCs w:val="24"/>
        </w:rPr>
        <w:t>ommercial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86372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86372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86372">
        <w:rPr>
          <w:rFonts w:cs="Times New Roman"/>
          <w:color w:val="000000" w:themeColor="text1"/>
          <w:szCs w:val="24"/>
        </w:rPr>
        <w:t>disposal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86372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86372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86372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86372">
        <w:rPr>
          <w:rFonts w:cs="Times New Roman"/>
          <w:color w:val="000000" w:themeColor="text1"/>
          <w:szCs w:val="24"/>
        </w:rPr>
        <w:t>asbestos-containing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86372">
        <w:rPr>
          <w:rFonts w:cs="Times New Roman"/>
          <w:color w:val="000000" w:themeColor="text1"/>
          <w:szCs w:val="24"/>
        </w:rPr>
        <w:t>vehicle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86372">
        <w:rPr>
          <w:rFonts w:cs="Times New Roman"/>
          <w:color w:val="000000" w:themeColor="text1"/>
          <w:szCs w:val="24"/>
        </w:rPr>
        <w:t>friction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86372">
        <w:rPr>
          <w:rFonts w:cs="Times New Roman"/>
          <w:color w:val="000000" w:themeColor="text1"/>
          <w:szCs w:val="24"/>
        </w:rPr>
        <w:t>products</w:t>
      </w:r>
      <w:r w:rsidRPr="00C317BB" w:rsidR="0043463F">
        <w:rPr>
          <w:rFonts w:cs="Times New Roman"/>
          <w:color w:val="000000" w:themeColor="text1"/>
          <w:szCs w:val="24"/>
        </w:rPr>
        <w:t>:</w:t>
      </w:r>
    </w:p>
    <w:p w:rsidRPr="00C317BB" w:rsidR="00F86372" w:rsidP="00F27167" w:rsidRDefault="00F86372" w14:paraId="2BE4D4CF" w14:textId="6BD57D64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While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verified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U.S.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automotive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manufacturers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installing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</w:t>
      </w:r>
      <w:r w:rsidRPr="00C317BB" w:rsidR="00E0256F">
        <w:rPr>
          <w:rFonts w:cs="Times New Roman"/>
          <w:color w:val="000000" w:themeColor="text1"/>
          <w:szCs w:val="24"/>
        </w:rPr>
        <w:t>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brakes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new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cars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domestic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distribution,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identified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company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11C9A">
        <w:rPr>
          <w:rFonts w:cs="Times New Roman"/>
          <w:color w:val="000000" w:themeColor="text1"/>
          <w:szCs w:val="24"/>
        </w:rPr>
        <w:t>claimed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11C9A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import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brakes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56A93">
        <w:rPr>
          <w:rFonts w:cs="Times New Roman"/>
          <w:color w:val="000000" w:themeColor="text1"/>
          <w:szCs w:val="24"/>
        </w:rPr>
        <w:t>then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install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56A93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cars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United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States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56A93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56A93">
        <w:rPr>
          <w:rFonts w:cs="Times New Roman"/>
          <w:color w:val="000000" w:themeColor="text1"/>
          <w:szCs w:val="24"/>
        </w:rPr>
        <w:t>export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56A93">
        <w:rPr>
          <w:rFonts w:cs="Times New Roman"/>
          <w:color w:val="000000" w:themeColor="text1"/>
          <w:szCs w:val="24"/>
        </w:rPr>
        <w:t>only</w:t>
      </w:r>
      <w:r w:rsidRPr="00C317BB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56CA9">
        <w:rPr>
          <w:rFonts w:cs="Times New Roman"/>
          <w:color w:val="000000" w:themeColor="text1"/>
          <w:szCs w:val="24"/>
        </w:rPr>
        <w:t>Following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56CA9">
        <w:rPr>
          <w:rFonts w:cs="Times New Roman"/>
          <w:color w:val="000000" w:themeColor="text1"/>
          <w:szCs w:val="24"/>
        </w:rPr>
        <w:t>completi</w:t>
      </w:r>
      <w:r w:rsidRPr="00C317BB" w:rsidR="002202EB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56CA9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56CA9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56CA9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56CA9">
        <w:rPr>
          <w:rFonts w:cs="Times New Roman"/>
          <w:color w:val="000000" w:themeColor="text1"/>
          <w:szCs w:val="24"/>
        </w:rPr>
        <w:t>evaluation,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56CA9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56CA9">
        <w:rPr>
          <w:rFonts w:cs="Times New Roman"/>
          <w:color w:val="000000" w:themeColor="text1"/>
          <w:szCs w:val="24"/>
        </w:rPr>
        <w:t>d</w:t>
      </w:r>
      <w:r w:rsidRPr="00C317BB" w:rsidR="005F61C5">
        <w:rPr>
          <w:rFonts w:cs="Times New Roman"/>
          <w:color w:val="000000" w:themeColor="text1"/>
          <w:szCs w:val="24"/>
        </w:rPr>
        <w:t>uring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202E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56CA9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56CA9">
        <w:rPr>
          <w:rFonts w:cs="Times New Roman"/>
          <w:color w:val="000000" w:themeColor="text1"/>
          <w:szCs w:val="24"/>
        </w:rPr>
        <w:t>management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202EB">
        <w:rPr>
          <w:rFonts w:cs="Times New Roman"/>
          <w:color w:val="000000" w:themeColor="text1"/>
          <w:szCs w:val="24"/>
        </w:rPr>
        <w:t>phase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202EB">
        <w:rPr>
          <w:rFonts w:cs="Times New Roman"/>
          <w:color w:val="000000" w:themeColor="text1"/>
          <w:szCs w:val="24"/>
        </w:rPr>
        <w:t>following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7E6F">
        <w:rPr>
          <w:rFonts w:cs="Times New Roman"/>
          <w:color w:val="000000" w:themeColor="text1"/>
          <w:szCs w:val="24"/>
        </w:rPr>
        <w:t>publication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7E6F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7E6F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7E6F">
        <w:rPr>
          <w:rFonts w:cs="Times New Roman"/>
          <w:color w:val="000000" w:themeColor="text1"/>
          <w:szCs w:val="24"/>
        </w:rPr>
        <w:t>final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7E6F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7E6F">
        <w:rPr>
          <w:rFonts w:cs="Times New Roman"/>
          <w:color w:val="000000" w:themeColor="text1"/>
          <w:szCs w:val="24"/>
        </w:rPr>
        <w:t>evaluation</w:t>
      </w:r>
      <w:r w:rsidRPr="00C317BB" w:rsidR="00D55C03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5C03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5C03">
        <w:rPr>
          <w:rFonts w:cs="Times New Roman"/>
          <w:color w:val="000000" w:themeColor="text1"/>
          <w:szCs w:val="24"/>
        </w:rPr>
        <w:t>company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90689">
        <w:rPr>
          <w:rFonts w:cs="Times New Roman"/>
          <w:color w:val="000000" w:themeColor="text1"/>
          <w:szCs w:val="24"/>
        </w:rPr>
        <w:t>disavowed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90689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90689">
        <w:rPr>
          <w:rFonts w:cs="Times New Roman"/>
          <w:color w:val="000000" w:themeColor="text1"/>
          <w:szCs w:val="24"/>
        </w:rPr>
        <w:t>practice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1175">
        <w:rPr>
          <w:rFonts w:cs="Times New Roman"/>
          <w:color w:val="000000" w:themeColor="text1"/>
          <w:szCs w:val="24"/>
        </w:rPr>
        <w:t>(Ref.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1175">
        <w:rPr>
          <w:rFonts w:cs="Times New Roman"/>
          <w:color w:val="000000" w:themeColor="text1"/>
          <w:szCs w:val="24"/>
        </w:rPr>
        <w:t>12).</w:t>
      </w:r>
    </w:p>
    <w:p w:rsidRPr="00C317BB" w:rsidR="00F86372" w:rsidP="00F27167" w:rsidRDefault="00F86372" w14:paraId="0D66E96A" w14:textId="440AD7AA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addition,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limited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brakes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special,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large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transport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plane,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“Super-Guppy”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Turbine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(SGT)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aircraft,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owned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operated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National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Aeronautics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Space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Administration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(NASA).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SGT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aircraft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specialty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cargo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plane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transports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oversized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equipment,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considered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mission-critical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vehicle.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Only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SGT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aircraft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operation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today,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NASA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acquired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1997.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SGT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aircraft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averages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approximately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100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flights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year.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When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hangered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maintained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NASA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facility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Paso,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Texas.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SGT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aircraft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eight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landing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gear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systems,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each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system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32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brake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blocks,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which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contain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Potential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worker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exposures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associated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servicing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brakes.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D6AAF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D6AAF">
        <w:rPr>
          <w:rFonts w:cs="Times New Roman"/>
          <w:color w:val="000000" w:themeColor="text1"/>
          <w:szCs w:val="24"/>
        </w:rPr>
        <w:t>explained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D6AAF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D6AAF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D6AAF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D6AAF">
        <w:rPr>
          <w:rFonts w:cs="Times New Roman"/>
          <w:color w:val="000000" w:themeColor="text1"/>
          <w:szCs w:val="24"/>
        </w:rPr>
        <w:t>evaluation,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259CF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259CF">
        <w:rPr>
          <w:rFonts w:cs="Times New Roman"/>
          <w:color w:val="000000" w:themeColor="text1"/>
          <w:szCs w:val="24"/>
        </w:rPr>
        <w:t>following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259CF">
        <w:rPr>
          <w:rFonts w:cs="Times New Roman"/>
          <w:color w:val="000000" w:themeColor="text1"/>
          <w:szCs w:val="24"/>
        </w:rPr>
        <w:t>two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259CF">
        <w:rPr>
          <w:rFonts w:cs="Times New Roman"/>
          <w:color w:val="000000" w:themeColor="text1"/>
          <w:szCs w:val="24"/>
        </w:rPr>
        <w:t>conditions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259CF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259CF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259CF">
        <w:rPr>
          <w:rFonts w:cs="Times New Roman"/>
          <w:color w:val="000000" w:themeColor="text1"/>
          <w:szCs w:val="24"/>
        </w:rPr>
        <w:t>do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259CF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259CF">
        <w:rPr>
          <w:rFonts w:cs="Times New Roman"/>
          <w:color w:val="000000" w:themeColor="text1"/>
          <w:szCs w:val="24"/>
        </w:rPr>
        <w:t>present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259CF">
        <w:rPr>
          <w:rFonts w:cs="Times New Roman"/>
          <w:color w:val="000000" w:themeColor="text1"/>
          <w:szCs w:val="24"/>
        </w:rPr>
        <w:t>unreasonable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259CF">
        <w:rPr>
          <w:rFonts w:cs="Times New Roman"/>
          <w:color w:val="000000" w:themeColor="text1"/>
          <w:szCs w:val="24"/>
        </w:rPr>
        <w:t>risk,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259CF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259CF">
        <w:rPr>
          <w:rFonts w:cs="Times New Roman"/>
          <w:color w:val="000000" w:themeColor="text1"/>
          <w:szCs w:val="24"/>
        </w:rPr>
        <w:t>therefore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4750">
        <w:rPr>
          <w:rFonts w:cs="Times New Roman"/>
          <w:color w:val="000000" w:themeColor="text1"/>
          <w:szCs w:val="24"/>
        </w:rPr>
        <w:t>do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259CF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4750">
        <w:rPr>
          <w:rFonts w:cs="Times New Roman"/>
          <w:color w:val="000000" w:themeColor="text1"/>
          <w:szCs w:val="24"/>
        </w:rPr>
        <w:t>require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4750">
        <w:rPr>
          <w:rFonts w:cs="Times New Roman"/>
          <w:color w:val="000000" w:themeColor="text1"/>
          <w:szCs w:val="24"/>
        </w:rPr>
        <w:t>mitigation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4750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259CF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259CF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259CF">
        <w:rPr>
          <w:rFonts w:cs="Times New Roman"/>
          <w:color w:val="000000" w:themeColor="text1"/>
          <w:szCs w:val="24"/>
        </w:rPr>
        <w:t>regulation: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259CF">
        <w:rPr>
          <w:rFonts w:cs="Times New Roman"/>
          <w:color w:val="000000" w:themeColor="text1"/>
          <w:szCs w:val="24"/>
        </w:rPr>
        <w:t>u</w:t>
      </w:r>
      <w:r w:rsidRPr="00C317BB" w:rsidR="00CA55D1">
        <w:rPr>
          <w:rFonts w:cs="Times New Roman"/>
          <w:color w:val="000000" w:themeColor="text1"/>
          <w:szCs w:val="24"/>
        </w:rPr>
        <w:t>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A55D1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A55D1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A55D1">
        <w:rPr>
          <w:rFonts w:cs="Times New Roman"/>
          <w:color w:val="000000" w:themeColor="text1"/>
          <w:szCs w:val="24"/>
        </w:rPr>
        <w:t>asbestos-containing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A55D1">
        <w:rPr>
          <w:rFonts w:cs="Times New Roman"/>
          <w:color w:val="000000" w:themeColor="text1"/>
          <w:szCs w:val="24"/>
        </w:rPr>
        <w:t>brakes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A55D1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A55D1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A55D1">
        <w:rPr>
          <w:rFonts w:cs="Times New Roman"/>
          <w:color w:val="000000" w:themeColor="text1"/>
          <w:szCs w:val="24"/>
        </w:rPr>
        <w:t>specialized,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A55D1">
        <w:rPr>
          <w:rFonts w:cs="Times New Roman"/>
          <w:color w:val="000000" w:themeColor="text1"/>
          <w:szCs w:val="24"/>
        </w:rPr>
        <w:t>large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A55D1">
        <w:rPr>
          <w:rFonts w:cs="Times New Roman"/>
          <w:color w:val="000000" w:themeColor="text1"/>
          <w:szCs w:val="24"/>
        </w:rPr>
        <w:t>NASA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A55D1">
        <w:rPr>
          <w:rFonts w:cs="Times New Roman"/>
          <w:color w:val="000000" w:themeColor="text1"/>
          <w:szCs w:val="24"/>
        </w:rPr>
        <w:t>transport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A55D1">
        <w:rPr>
          <w:rFonts w:cs="Times New Roman"/>
          <w:color w:val="000000" w:themeColor="text1"/>
          <w:szCs w:val="24"/>
        </w:rPr>
        <w:t>plane</w:t>
      </w:r>
      <w:r w:rsidRPr="00C317BB" w:rsidR="00E259CF">
        <w:rPr>
          <w:rFonts w:cs="Times New Roman"/>
          <w:color w:val="000000" w:themeColor="text1"/>
          <w:szCs w:val="24"/>
        </w:rPr>
        <w:t>;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259CF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259CF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259CF">
        <w:rPr>
          <w:rFonts w:cs="Times New Roman"/>
          <w:color w:val="000000" w:themeColor="text1"/>
          <w:szCs w:val="24"/>
        </w:rPr>
        <w:t>d</w:t>
      </w:r>
      <w:r w:rsidRPr="00C317BB" w:rsidR="00CA55D1">
        <w:rPr>
          <w:rFonts w:cs="Times New Roman"/>
          <w:color w:val="000000" w:themeColor="text1"/>
          <w:szCs w:val="24"/>
        </w:rPr>
        <w:t>isposal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A55D1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A55D1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A55D1">
        <w:rPr>
          <w:rFonts w:cs="Times New Roman"/>
          <w:color w:val="000000" w:themeColor="text1"/>
          <w:szCs w:val="24"/>
        </w:rPr>
        <w:t>asbestos-containing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A55D1">
        <w:rPr>
          <w:rFonts w:cs="Times New Roman"/>
          <w:color w:val="000000" w:themeColor="text1"/>
          <w:szCs w:val="24"/>
        </w:rPr>
        <w:t>brakes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A55D1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A55D1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A55D1">
        <w:rPr>
          <w:rFonts w:cs="Times New Roman"/>
          <w:color w:val="000000" w:themeColor="text1"/>
          <w:szCs w:val="24"/>
        </w:rPr>
        <w:t>specialized,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A55D1">
        <w:rPr>
          <w:rFonts w:cs="Times New Roman"/>
          <w:color w:val="000000" w:themeColor="text1"/>
          <w:szCs w:val="24"/>
        </w:rPr>
        <w:t>large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A55D1">
        <w:rPr>
          <w:rFonts w:cs="Times New Roman"/>
          <w:color w:val="000000" w:themeColor="text1"/>
          <w:szCs w:val="24"/>
        </w:rPr>
        <w:t>NASA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A55D1">
        <w:rPr>
          <w:rFonts w:cs="Times New Roman"/>
          <w:color w:val="000000" w:themeColor="text1"/>
          <w:szCs w:val="24"/>
        </w:rPr>
        <w:t>transport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A55D1">
        <w:rPr>
          <w:rFonts w:cs="Times New Roman"/>
          <w:color w:val="000000" w:themeColor="text1"/>
          <w:szCs w:val="24"/>
        </w:rPr>
        <w:t>plane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F27A3">
        <w:rPr>
          <w:rFonts w:cs="Times New Roman"/>
          <w:color w:val="000000" w:themeColor="text1"/>
          <w:szCs w:val="24"/>
        </w:rPr>
        <w:t>(</w:t>
      </w:r>
      <w:r w:rsidRPr="00C317BB" w:rsidR="00553C02">
        <w:rPr>
          <w:rFonts w:cs="Times New Roman"/>
          <w:color w:val="000000" w:themeColor="text1"/>
          <w:szCs w:val="24"/>
        </w:rPr>
        <w:t>Ref.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3C02">
        <w:rPr>
          <w:rFonts w:cs="Times New Roman"/>
          <w:color w:val="000000" w:themeColor="text1"/>
          <w:szCs w:val="24"/>
        </w:rPr>
        <w:t>1</w:t>
      </w:r>
      <w:r w:rsidRPr="00C317BB" w:rsidR="00DF27A3">
        <w:rPr>
          <w:rFonts w:cs="Times New Roman"/>
          <w:color w:val="000000" w:themeColor="text1"/>
          <w:szCs w:val="24"/>
        </w:rPr>
        <w:t>)</w:t>
      </w:r>
      <w:r w:rsidRPr="00C317BB" w:rsidR="00174415">
        <w:rPr>
          <w:rFonts w:cs="Times New Roman"/>
          <w:color w:val="000000" w:themeColor="text1"/>
          <w:szCs w:val="24"/>
        </w:rPr>
        <w:t>.</w:t>
      </w:r>
    </w:p>
    <w:p w:rsidRPr="00C317BB" w:rsidR="00F86372" w:rsidP="00F27167" w:rsidRDefault="004D2700" w14:paraId="0C5346E4" w14:textId="54A6260F">
      <w:pPr>
        <w:pStyle w:val="Heading4"/>
        <w:keepNext w:val="0"/>
        <w:keepLines w:val="0"/>
        <w:spacing w:before="0"/>
        <w:ind w:firstLine="720"/>
        <w:rPr>
          <w:rFonts w:cs="Times New Roman"/>
          <w:color w:val="000000" w:themeColor="text1"/>
          <w:szCs w:val="24"/>
        </w:rPr>
      </w:pPr>
      <w:bookmarkStart w:name="_Hlk87368582" w:id="22"/>
      <w:r w:rsidRPr="00C317BB">
        <w:rPr>
          <w:rFonts w:cs="Times New Roman"/>
          <w:color w:val="000000" w:themeColor="text1"/>
          <w:szCs w:val="24"/>
        </w:rPr>
        <w:t>f.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</w:t>
      </w:r>
      <w:r w:rsidRPr="00C317BB" w:rsidR="00F86372">
        <w:rPr>
          <w:rFonts w:cs="Times New Roman"/>
          <w:color w:val="000000" w:themeColor="text1"/>
          <w:szCs w:val="24"/>
        </w:rPr>
        <w:t>ommercial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86372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86372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86372">
        <w:rPr>
          <w:rFonts w:cs="Times New Roman"/>
          <w:color w:val="000000" w:themeColor="text1"/>
          <w:szCs w:val="24"/>
        </w:rPr>
        <w:t>disposal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86372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86372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86372">
        <w:rPr>
          <w:rFonts w:cs="Times New Roman"/>
          <w:color w:val="000000" w:themeColor="text1"/>
          <w:szCs w:val="24"/>
        </w:rPr>
        <w:t>asbestos-containing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86372">
        <w:rPr>
          <w:rFonts w:cs="Times New Roman"/>
          <w:color w:val="000000" w:themeColor="text1"/>
          <w:szCs w:val="24"/>
        </w:rPr>
        <w:t>gaskets</w:t>
      </w:r>
      <w:r w:rsidRPr="00C317BB" w:rsidR="0043463F">
        <w:rPr>
          <w:rFonts w:cs="Times New Roman"/>
          <w:color w:val="000000" w:themeColor="text1"/>
          <w:szCs w:val="24"/>
        </w:rPr>
        <w:t>:</w:t>
      </w:r>
    </w:p>
    <w:p w:rsidRPr="00C317BB" w:rsidR="00F86372" w:rsidP="00F27167" w:rsidRDefault="00F86372" w14:paraId="472BB6CE" w14:textId="4359CF3B">
      <w:pPr>
        <w:ind w:firstLine="720"/>
        <w:rPr>
          <w:rFonts w:cs="Times New Roman"/>
          <w:color w:val="000000" w:themeColor="text1"/>
          <w:szCs w:val="24"/>
        </w:rPr>
      </w:pPr>
      <w:bookmarkStart w:name="_Hlk87369063" w:id="23"/>
      <w:bookmarkEnd w:id="22"/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D168B">
        <w:rPr>
          <w:rFonts w:cs="Times New Roman"/>
          <w:color w:val="000000" w:themeColor="text1"/>
          <w:szCs w:val="24"/>
        </w:rPr>
        <w:t>also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identified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gaskets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exhaust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system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specific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type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utility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vehicle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manufactured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available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purchase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United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States.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D2700">
        <w:rPr>
          <w:rFonts w:cs="Times New Roman"/>
          <w:color w:val="000000" w:themeColor="text1"/>
          <w:szCs w:val="24"/>
        </w:rPr>
        <w:t>utility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D2700">
        <w:rPr>
          <w:rFonts w:cs="Times New Roman"/>
          <w:color w:val="000000" w:themeColor="text1"/>
          <w:szCs w:val="24"/>
        </w:rPr>
        <w:t>vehicle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manufacturer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78C8">
        <w:rPr>
          <w:rFonts w:cs="Times New Roman"/>
          <w:color w:val="000000" w:themeColor="text1"/>
          <w:szCs w:val="24"/>
        </w:rPr>
        <w:t>purported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244B">
        <w:rPr>
          <w:rFonts w:cs="Times New Roman"/>
          <w:color w:val="000000" w:themeColor="text1"/>
          <w:szCs w:val="24"/>
        </w:rPr>
        <w:t>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244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244B">
        <w:rPr>
          <w:rFonts w:cs="Times New Roman"/>
          <w:color w:val="000000" w:themeColor="text1"/>
          <w:szCs w:val="24"/>
        </w:rPr>
        <w:t>time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78C8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receive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pre-cut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gaskets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which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installed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during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manufacture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D2700">
        <w:rPr>
          <w:rFonts w:cs="Times New Roman"/>
          <w:color w:val="000000" w:themeColor="text1"/>
          <w:szCs w:val="24"/>
        </w:rPr>
        <w:t>vehicle</w:t>
      </w:r>
      <w:r w:rsidRPr="00C317BB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gaskets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removed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during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servicing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exhaust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system.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6508F">
        <w:rPr>
          <w:rFonts w:cs="Times New Roman"/>
          <w:color w:val="000000" w:themeColor="text1"/>
          <w:szCs w:val="24"/>
        </w:rPr>
        <w:t>determined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workers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B572F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B572F">
        <w:rPr>
          <w:rFonts w:cs="Times New Roman"/>
          <w:color w:val="000000" w:themeColor="text1"/>
          <w:szCs w:val="24"/>
        </w:rPr>
        <w:t>ONUs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who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install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gaskets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during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assembly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workers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who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repair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vehicles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17226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17226">
        <w:rPr>
          <w:rFonts w:cs="Times New Roman"/>
          <w:color w:val="000000" w:themeColor="text1"/>
          <w:szCs w:val="24"/>
        </w:rPr>
        <w:t>exposed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17226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17226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F27A3">
        <w:rPr>
          <w:rFonts w:cs="Times New Roman"/>
          <w:color w:val="000000" w:themeColor="text1"/>
          <w:szCs w:val="24"/>
        </w:rPr>
        <w:t>(</w:t>
      </w:r>
      <w:r w:rsidRPr="00C317BB" w:rsidR="00553C02">
        <w:rPr>
          <w:rFonts w:cs="Times New Roman"/>
          <w:color w:val="000000" w:themeColor="text1"/>
          <w:szCs w:val="24"/>
        </w:rPr>
        <w:t>Ref.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3C02">
        <w:rPr>
          <w:rFonts w:cs="Times New Roman"/>
          <w:color w:val="000000" w:themeColor="text1"/>
          <w:szCs w:val="24"/>
        </w:rPr>
        <w:t>1</w:t>
      </w:r>
      <w:r w:rsidRPr="00C317BB" w:rsidR="00DF27A3">
        <w:rPr>
          <w:rFonts w:cs="Times New Roman"/>
          <w:color w:val="000000" w:themeColor="text1"/>
          <w:szCs w:val="24"/>
        </w:rPr>
        <w:t>)</w:t>
      </w:r>
      <w:r w:rsidRPr="00C317BB" w:rsidR="00E20627">
        <w:rPr>
          <w:rFonts w:cs="Times New Roman"/>
          <w:color w:val="000000" w:themeColor="text1"/>
          <w:szCs w:val="24"/>
        </w:rPr>
        <w:t>.</w:t>
      </w:r>
    </w:p>
    <w:bookmarkEnd w:id="23"/>
    <w:p w:rsidRPr="00C317BB" w:rsidR="008D13A3" w:rsidP="00F27167" w:rsidRDefault="008D13A3" w14:paraId="0AC0FCD8" w14:textId="14F8D7FD">
      <w:pPr>
        <w:pStyle w:val="Heading4"/>
        <w:keepNext w:val="0"/>
        <w:keepLines w:val="0"/>
        <w:spacing w:before="0"/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g.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Consumer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disposal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aftermarket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automotive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brakes/linings</w:t>
      </w:r>
      <w:r w:rsidRPr="00C317BB" w:rsidR="0043463F">
        <w:rPr>
          <w:rFonts w:cs="Times New Roman"/>
          <w:color w:val="000000" w:themeColor="text1"/>
          <w:szCs w:val="24"/>
        </w:rPr>
        <w:t>:</w:t>
      </w:r>
    </w:p>
    <w:p w:rsidRPr="00C317BB" w:rsidR="008D13A3" w:rsidP="00F27167" w:rsidRDefault="008D13A3" w14:paraId="2D42B37B" w14:textId="05B15814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discussed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259CF">
        <w:rPr>
          <w:rFonts w:cs="Times New Roman"/>
          <w:color w:val="000000" w:themeColor="text1"/>
          <w:szCs w:val="24"/>
        </w:rPr>
        <w:t>U</w:t>
      </w:r>
      <w:r w:rsidRPr="00C317BB">
        <w:rPr>
          <w:rFonts w:cs="Times New Roman"/>
          <w:color w:val="000000" w:themeColor="text1"/>
          <w:szCs w:val="24"/>
        </w:rPr>
        <w:t>nit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III.</w:t>
      </w:r>
      <w:r w:rsidRPr="00C317BB" w:rsidR="0076212A">
        <w:rPr>
          <w:rFonts w:cs="Times New Roman"/>
          <w:color w:val="000000" w:themeColor="text1"/>
          <w:szCs w:val="24"/>
        </w:rPr>
        <w:t>B.</w:t>
      </w:r>
      <w:r w:rsidRPr="00C317BB">
        <w:rPr>
          <w:rFonts w:cs="Times New Roman"/>
          <w:color w:val="000000" w:themeColor="text1"/>
          <w:szCs w:val="24"/>
        </w:rPr>
        <w:t>2.d.,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found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United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States: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(1)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vehicles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road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have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brakes,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whether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original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manufacturers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(primarily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older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vintage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vehicles)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aftermarket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parts;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(2)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vehicles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have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new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brakes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installed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establishments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individuals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certain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imported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products.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Brakes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must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repaired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replaced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periodically,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activities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which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create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dust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consumers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D5A24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D5A24">
        <w:rPr>
          <w:rFonts w:cs="Times New Roman"/>
          <w:color w:val="000000" w:themeColor="text1"/>
          <w:szCs w:val="24"/>
        </w:rPr>
        <w:t>bystanders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who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perform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their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own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do-it-yourself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automobile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maintenance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repairs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components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(</w:t>
      </w:r>
      <w:r w:rsidRPr="00C317BB" w:rsidR="00553C02">
        <w:rPr>
          <w:rFonts w:cs="Times New Roman"/>
          <w:color w:val="000000" w:themeColor="text1"/>
          <w:szCs w:val="24"/>
        </w:rPr>
        <w:t>Ref.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3C02">
        <w:rPr>
          <w:rFonts w:cs="Times New Roman"/>
          <w:color w:val="000000" w:themeColor="text1"/>
          <w:szCs w:val="24"/>
        </w:rPr>
        <w:t>1</w:t>
      </w:r>
      <w:r w:rsidRPr="00C317BB">
        <w:rPr>
          <w:rFonts w:cs="Times New Roman"/>
          <w:color w:val="000000" w:themeColor="text1"/>
          <w:szCs w:val="24"/>
        </w:rPr>
        <w:t>)</w:t>
      </w:r>
      <w:r w:rsidRPr="00C317BB" w:rsidR="0076212A">
        <w:rPr>
          <w:rFonts w:cs="Times New Roman"/>
          <w:color w:val="000000" w:themeColor="text1"/>
          <w:szCs w:val="24"/>
        </w:rPr>
        <w:t>.</w:t>
      </w:r>
    </w:p>
    <w:p w:rsidRPr="00C317BB" w:rsidR="00013942" w:rsidP="00F27167" w:rsidRDefault="00013942" w14:paraId="0D68417B" w14:textId="2982B22B">
      <w:pPr>
        <w:pStyle w:val="Heading4"/>
        <w:keepNext w:val="0"/>
        <w:keepLines w:val="0"/>
        <w:spacing w:before="0"/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h.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Consumer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disposal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gaskets</w:t>
      </w:r>
      <w:r w:rsidRPr="00C317BB" w:rsidR="0043463F">
        <w:rPr>
          <w:rFonts w:cs="Times New Roman"/>
          <w:color w:val="000000" w:themeColor="text1"/>
          <w:szCs w:val="24"/>
        </w:rPr>
        <w:t>:</w:t>
      </w:r>
    </w:p>
    <w:p w:rsidRPr="00C317BB" w:rsidR="008D13A3" w:rsidP="00F27167" w:rsidRDefault="004B23A8" w14:paraId="4CC2E152" w14:textId="7F8CBC1F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discussed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259CF">
        <w:rPr>
          <w:rFonts w:cs="Times New Roman"/>
          <w:color w:val="000000" w:themeColor="text1"/>
          <w:szCs w:val="24"/>
        </w:rPr>
        <w:t>Unit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III.</w:t>
      </w:r>
      <w:r w:rsidRPr="00C317BB" w:rsidR="0076212A">
        <w:rPr>
          <w:rFonts w:cs="Times New Roman"/>
          <w:color w:val="000000" w:themeColor="text1"/>
          <w:szCs w:val="24"/>
        </w:rPr>
        <w:t>B.</w:t>
      </w:r>
      <w:r w:rsidRPr="00C317BB">
        <w:rPr>
          <w:rFonts w:cs="Times New Roman"/>
          <w:color w:val="000000" w:themeColor="text1"/>
          <w:szCs w:val="24"/>
        </w:rPr>
        <w:t>2.f.,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also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identified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gaskets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exhaust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system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specific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type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utility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vehicle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manufactured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available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purchase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United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States.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gaskets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removed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during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servicing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exhaust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system.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determined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do-it-yourself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consumers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who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repair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vehicles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7050D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7050D">
        <w:rPr>
          <w:rFonts w:cs="Times New Roman"/>
          <w:color w:val="000000" w:themeColor="text1"/>
          <w:szCs w:val="24"/>
        </w:rPr>
        <w:t>bystanders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(</w:t>
      </w:r>
      <w:r w:rsidRPr="00C317BB" w:rsidR="00553C02">
        <w:rPr>
          <w:rFonts w:cs="Times New Roman"/>
          <w:color w:val="000000" w:themeColor="text1"/>
          <w:szCs w:val="24"/>
        </w:rPr>
        <w:t>Ref.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3C02">
        <w:rPr>
          <w:rFonts w:cs="Times New Roman"/>
          <w:color w:val="000000" w:themeColor="text1"/>
          <w:szCs w:val="24"/>
        </w:rPr>
        <w:t>1</w:t>
      </w:r>
      <w:r w:rsidRPr="00C317BB">
        <w:rPr>
          <w:rFonts w:cs="Times New Roman"/>
          <w:color w:val="000000" w:themeColor="text1"/>
          <w:szCs w:val="24"/>
        </w:rPr>
        <w:t>)</w:t>
      </w:r>
      <w:r w:rsidRPr="00C317BB" w:rsidR="008D13A3">
        <w:rPr>
          <w:rFonts w:cs="Times New Roman"/>
          <w:color w:val="000000" w:themeColor="text1"/>
          <w:szCs w:val="24"/>
        </w:rPr>
        <w:t>.</w:t>
      </w:r>
    </w:p>
    <w:p w:rsidRPr="00C317BB" w:rsidR="00013942" w:rsidP="00F27167" w:rsidRDefault="00013942" w14:paraId="70053BC6" w14:textId="77777777">
      <w:pPr>
        <w:pStyle w:val="Heading3"/>
        <w:rPr>
          <w:rFonts w:cs="Times New Roman"/>
          <w:szCs w:val="24"/>
        </w:rPr>
      </w:pPr>
      <w:r w:rsidRPr="00C317BB">
        <w:rPr>
          <w:rFonts w:cs="Times New Roman"/>
          <w:szCs w:val="24"/>
        </w:rPr>
        <w:t>3.</w:t>
      </w:r>
      <w:r w:rsidR="005613B2">
        <w:rPr>
          <w:rFonts w:cs="Times New Roman"/>
          <w:szCs w:val="24"/>
        </w:rPr>
        <w:t xml:space="preserve"> </w:t>
      </w:r>
      <w:r w:rsidRPr="00C317BB">
        <w:rPr>
          <w:rFonts w:cs="Times New Roman"/>
          <w:szCs w:val="24"/>
        </w:rPr>
        <w:t>Description</w:t>
      </w:r>
      <w:r w:rsidR="005613B2">
        <w:rPr>
          <w:rFonts w:cs="Times New Roman"/>
          <w:szCs w:val="24"/>
        </w:rPr>
        <w:t xml:space="preserve"> </w:t>
      </w:r>
      <w:r w:rsidRPr="00C317BB">
        <w:rPr>
          <w:rFonts w:cs="Times New Roman"/>
          <w:szCs w:val="24"/>
        </w:rPr>
        <w:t>of</w:t>
      </w:r>
      <w:r w:rsidR="005613B2">
        <w:rPr>
          <w:rFonts w:cs="Times New Roman"/>
          <w:szCs w:val="24"/>
        </w:rPr>
        <w:t xml:space="preserve"> </w:t>
      </w:r>
      <w:r w:rsidRPr="00C317BB">
        <w:rPr>
          <w:rFonts w:cs="Times New Roman"/>
          <w:szCs w:val="24"/>
        </w:rPr>
        <w:t>TSCA</w:t>
      </w:r>
      <w:r w:rsidR="005613B2">
        <w:rPr>
          <w:rFonts w:cs="Times New Roman"/>
          <w:szCs w:val="24"/>
        </w:rPr>
        <w:t xml:space="preserve"> </w:t>
      </w:r>
      <w:r w:rsidRPr="00C317BB">
        <w:rPr>
          <w:rFonts w:cs="Times New Roman"/>
          <w:szCs w:val="24"/>
        </w:rPr>
        <w:t>section</w:t>
      </w:r>
      <w:r w:rsidR="005613B2">
        <w:rPr>
          <w:rFonts w:cs="Times New Roman"/>
          <w:szCs w:val="24"/>
        </w:rPr>
        <w:t xml:space="preserve"> </w:t>
      </w:r>
      <w:r w:rsidRPr="00C317BB">
        <w:rPr>
          <w:rFonts w:cs="Times New Roman"/>
          <w:szCs w:val="24"/>
        </w:rPr>
        <w:t>6(a)</w:t>
      </w:r>
      <w:r w:rsidR="005613B2">
        <w:rPr>
          <w:rFonts w:cs="Times New Roman"/>
          <w:szCs w:val="24"/>
        </w:rPr>
        <w:t xml:space="preserve"> </w:t>
      </w:r>
      <w:r w:rsidRPr="00C317BB">
        <w:rPr>
          <w:rFonts w:cs="Times New Roman"/>
          <w:szCs w:val="24"/>
        </w:rPr>
        <w:t>requirements</w:t>
      </w:r>
      <w:r w:rsidR="005613B2">
        <w:rPr>
          <w:rFonts w:cs="Times New Roman"/>
          <w:szCs w:val="24"/>
        </w:rPr>
        <w:t xml:space="preserve"> </w:t>
      </w:r>
      <w:r w:rsidRPr="00C317BB">
        <w:rPr>
          <w:rFonts w:cs="Times New Roman"/>
          <w:szCs w:val="24"/>
        </w:rPr>
        <w:t>considered</w:t>
      </w:r>
      <w:r w:rsidR="005613B2">
        <w:rPr>
          <w:rFonts w:cs="Times New Roman"/>
          <w:szCs w:val="24"/>
        </w:rPr>
        <w:t xml:space="preserve"> </w:t>
      </w:r>
      <w:r w:rsidRPr="00C317BB">
        <w:rPr>
          <w:rFonts w:cs="Times New Roman"/>
          <w:szCs w:val="24"/>
        </w:rPr>
        <w:t>to</w:t>
      </w:r>
      <w:r w:rsidR="005613B2">
        <w:rPr>
          <w:rFonts w:cs="Times New Roman"/>
          <w:szCs w:val="24"/>
        </w:rPr>
        <w:t xml:space="preserve"> </w:t>
      </w:r>
      <w:r w:rsidRPr="00C317BB">
        <w:rPr>
          <w:rFonts w:cs="Times New Roman"/>
          <w:szCs w:val="24"/>
        </w:rPr>
        <w:t>address</w:t>
      </w:r>
      <w:r w:rsidR="005613B2">
        <w:rPr>
          <w:rFonts w:cs="Times New Roman"/>
          <w:szCs w:val="24"/>
        </w:rPr>
        <w:t xml:space="preserve"> </w:t>
      </w:r>
      <w:r w:rsidRPr="00C317BB">
        <w:rPr>
          <w:rFonts w:cs="Times New Roman"/>
          <w:szCs w:val="24"/>
        </w:rPr>
        <w:t>unreasonable</w:t>
      </w:r>
      <w:r w:rsidR="005613B2">
        <w:rPr>
          <w:rFonts w:cs="Times New Roman"/>
          <w:szCs w:val="24"/>
        </w:rPr>
        <w:t xml:space="preserve"> </w:t>
      </w:r>
      <w:r w:rsidRPr="00C317BB">
        <w:rPr>
          <w:rFonts w:cs="Times New Roman"/>
          <w:szCs w:val="24"/>
        </w:rPr>
        <w:t>risk.</w:t>
      </w:r>
      <w:r w:rsidR="005613B2">
        <w:rPr>
          <w:rFonts w:cs="Times New Roman"/>
          <w:szCs w:val="24"/>
        </w:rPr>
        <w:t xml:space="preserve"> </w:t>
      </w:r>
    </w:p>
    <w:p w:rsidRPr="00C317BB" w:rsidR="006840A9" w:rsidP="006840A9" w:rsidRDefault="00554946" w14:paraId="69336913" w14:textId="137191B0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E58E9">
        <w:rPr>
          <w:rFonts w:cs="Times New Roman"/>
          <w:color w:val="000000" w:themeColor="text1"/>
          <w:szCs w:val="24"/>
        </w:rPr>
        <w:t>examined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E58E9">
        <w:rPr>
          <w:rFonts w:cs="Times New Roman"/>
          <w:color w:val="000000" w:themeColor="text1"/>
          <w:szCs w:val="24"/>
        </w:rPr>
        <w:t>which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7B0A">
        <w:rPr>
          <w:rFonts w:cs="Times New Roman"/>
          <w:color w:val="000000" w:themeColor="text1"/>
          <w:szCs w:val="24"/>
        </w:rPr>
        <w:t>requirement</w:t>
      </w:r>
      <w:r w:rsidRPr="00C317BB" w:rsidR="002E58E9">
        <w:rPr>
          <w:rFonts w:cs="Times New Roman"/>
          <w:color w:val="000000" w:themeColor="text1"/>
          <w:szCs w:val="24"/>
        </w:rPr>
        <w:t>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388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388">
        <w:rPr>
          <w:rFonts w:cs="Times New Roman"/>
          <w:color w:val="000000" w:themeColor="text1"/>
          <w:szCs w:val="24"/>
        </w:rPr>
        <w:t>combination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388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388">
        <w:rPr>
          <w:rFonts w:cs="Times New Roman"/>
          <w:color w:val="000000" w:themeColor="text1"/>
          <w:szCs w:val="24"/>
        </w:rPr>
        <w:t>requirements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7B0A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7B0A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54838">
        <w:rPr>
          <w:rFonts w:cs="Times New Roman"/>
          <w:color w:val="000000" w:themeColor="text1"/>
          <w:szCs w:val="24"/>
        </w:rPr>
        <w:t>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7B0A">
        <w:rPr>
          <w:rFonts w:cs="Times New Roman"/>
          <w:color w:val="000000" w:themeColor="text1"/>
          <w:szCs w:val="24"/>
        </w:rPr>
        <w:t>6(a)</w:t>
      </w:r>
      <w:r w:rsidRPr="00C317BB" w:rsidR="00244B55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44B55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44B55">
        <w:rPr>
          <w:rFonts w:cs="Times New Roman"/>
          <w:color w:val="000000" w:themeColor="text1"/>
          <w:szCs w:val="24"/>
        </w:rPr>
        <w:t>described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44B55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44B55">
        <w:rPr>
          <w:rFonts w:cs="Times New Roman"/>
          <w:color w:val="000000" w:themeColor="text1"/>
          <w:szCs w:val="24"/>
        </w:rPr>
        <w:t>Unit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44B55">
        <w:rPr>
          <w:rFonts w:cs="Times New Roman"/>
          <w:color w:val="000000" w:themeColor="text1"/>
          <w:szCs w:val="24"/>
        </w:rPr>
        <w:t>III,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32761">
        <w:rPr>
          <w:rFonts w:cs="Times New Roman"/>
          <w:color w:val="000000" w:themeColor="text1"/>
          <w:szCs w:val="24"/>
        </w:rPr>
        <w:t>have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32761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32761">
        <w:rPr>
          <w:rFonts w:cs="Times New Roman"/>
          <w:color w:val="000000" w:themeColor="text1"/>
          <w:szCs w:val="24"/>
        </w:rPr>
        <w:t>potential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7B0A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E3050">
        <w:rPr>
          <w:rFonts w:cs="Times New Roman"/>
          <w:color w:val="000000" w:themeColor="text1"/>
          <w:szCs w:val="24"/>
        </w:rPr>
        <w:t>reduce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E3050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0289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E3050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50A43">
        <w:rPr>
          <w:rFonts w:cs="Times New Roman"/>
          <w:color w:val="000000" w:themeColor="text1"/>
          <w:szCs w:val="24"/>
        </w:rPr>
        <w:t>workers,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50A43">
        <w:rPr>
          <w:rFonts w:cs="Times New Roman"/>
          <w:color w:val="000000" w:themeColor="text1"/>
          <w:szCs w:val="24"/>
        </w:rPr>
        <w:t>occupational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50A43">
        <w:rPr>
          <w:rFonts w:cs="Times New Roman"/>
          <w:color w:val="000000" w:themeColor="text1"/>
          <w:szCs w:val="24"/>
        </w:rPr>
        <w:t>non</w:t>
      </w:r>
      <w:r w:rsidRPr="00C317BB" w:rsidR="00CE0BBA">
        <w:rPr>
          <w:rFonts w:cs="Times New Roman"/>
          <w:color w:val="000000" w:themeColor="text1"/>
          <w:szCs w:val="24"/>
        </w:rPr>
        <w:t>-</w:t>
      </w:r>
      <w:r w:rsidRPr="00C317BB" w:rsidR="00B50A43">
        <w:rPr>
          <w:rFonts w:cs="Times New Roman"/>
          <w:color w:val="000000" w:themeColor="text1"/>
          <w:szCs w:val="24"/>
        </w:rPr>
        <w:t>users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0BBA">
        <w:rPr>
          <w:rFonts w:cs="Times New Roman"/>
          <w:color w:val="000000" w:themeColor="text1"/>
          <w:szCs w:val="24"/>
        </w:rPr>
        <w:t>(ONUs)</w:t>
      </w:r>
      <w:r w:rsidRPr="00C317BB" w:rsidR="00B50A43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E3050">
        <w:rPr>
          <w:rFonts w:cs="Times New Roman"/>
          <w:color w:val="000000" w:themeColor="text1"/>
          <w:szCs w:val="24"/>
        </w:rPr>
        <w:t>consumers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B4733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50A43">
        <w:rPr>
          <w:rFonts w:cs="Times New Roman"/>
          <w:color w:val="000000" w:themeColor="text1"/>
          <w:szCs w:val="24"/>
        </w:rPr>
        <w:t>bystanders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E3050">
        <w:rPr>
          <w:rFonts w:cs="Times New Roman"/>
          <w:color w:val="000000" w:themeColor="text1"/>
          <w:szCs w:val="24"/>
        </w:rPr>
        <w:t>so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E3050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70EDF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70EDF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70EDF">
        <w:rPr>
          <w:rFonts w:cs="Times New Roman"/>
          <w:color w:val="000000" w:themeColor="text1"/>
          <w:szCs w:val="24"/>
        </w:rPr>
        <w:t>no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70EDF">
        <w:rPr>
          <w:rFonts w:cs="Times New Roman"/>
          <w:color w:val="000000" w:themeColor="text1"/>
          <w:szCs w:val="24"/>
        </w:rPr>
        <w:t>longer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70EDF">
        <w:rPr>
          <w:rFonts w:cs="Times New Roman"/>
          <w:color w:val="000000" w:themeColor="text1"/>
          <w:szCs w:val="24"/>
        </w:rPr>
        <w:t>presents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32761">
        <w:rPr>
          <w:rFonts w:cs="Times New Roman"/>
          <w:color w:val="000000" w:themeColor="text1"/>
          <w:szCs w:val="24"/>
        </w:rPr>
        <w:t>unreasonable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32761">
        <w:rPr>
          <w:rFonts w:cs="Times New Roman"/>
          <w:color w:val="000000" w:themeColor="text1"/>
          <w:szCs w:val="24"/>
        </w:rPr>
        <w:t>risk</w:t>
      </w:r>
      <w:r w:rsidRPr="00C317BB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required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TSCA,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amended,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selecting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among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these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requirements,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factored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in,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extent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practicable,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considerations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including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effects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chemical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health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environment,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benefits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chemical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substance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various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uses,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reasonably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ascertainable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economic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consequences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rule,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including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effect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rule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national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economy,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small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business,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technological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innovation,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environment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public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health;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costs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benefits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regulatory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action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one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more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primary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regulatory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alternative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regulatory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actions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considered;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cost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effectiveness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regulatory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action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one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more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primary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alternative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regulatory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actions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considered.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See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Unit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V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further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discussion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related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(c)(2)(A)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considerations,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including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statement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effects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rule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respect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these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40A9">
        <w:rPr>
          <w:rFonts w:cs="Times New Roman"/>
          <w:color w:val="000000" w:themeColor="text1"/>
          <w:szCs w:val="24"/>
        </w:rPr>
        <w:t>considerations.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D57388" w:rsidP="006840A9" w:rsidRDefault="008F351D" w14:paraId="15DF5C35" w14:textId="77509364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32761">
        <w:rPr>
          <w:rFonts w:cs="Times New Roman"/>
          <w:color w:val="000000" w:themeColor="text1"/>
          <w:szCs w:val="24"/>
        </w:rPr>
        <w:t>developed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42488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regulatory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3CE5">
        <w:rPr>
          <w:rFonts w:cs="Times New Roman"/>
          <w:color w:val="000000" w:themeColor="text1"/>
          <w:szCs w:val="24"/>
        </w:rPr>
        <w:t>one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30ABC">
        <w:rPr>
          <w:rFonts w:cs="Times New Roman"/>
          <w:color w:val="000000" w:themeColor="text1"/>
          <w:szCs w:val="24"/>
        </w:rPr>
        <w:t>primary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alternative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regulatory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action</w:t>
      </w:r>
      <w:r w:rsidRPr="00C317BB" w:rsidR="00666EF3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66EF3">
        <w:rPr>
          <w:rFonts w:cs="Times New Roman"/>
          <w:color w:val="000000" w:themeColor="text1"/>
          <w:szCs w:val="24"/>
        </w:rPr>
        <w:t>which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66EF3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66EF3">
        <w:rPr>
          <w:rFonts w:cs="Times New Roman"/>
          <w:color w:val="000000" w:themeColor="text1"/>
          <w:szCs w:val="24"/>
        </w:rPr>
        <w:t>described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66EF3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66EF3">
        <w:rPr>
          <w:rFonts w:cs="Times New Roman"/>
          <w:color w:val="000000" w:themeColor="text1"/>
          <w:szCs w:val="24"/>
        </w:rPr>
        <w:t>Unit</w:t>
      </w:r>
      <w:r w:rsidRPr="00C317BB" w:rsidR="00680384">
        <w:rPr>
          <w:rFonts w:cs="Times New Roman"/>
          <w:color w:val="000000" w:themeColor="text1"/>
          <w:szCs w:val="24"/>
        </w:rPr>
        <w:t>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82FE6">
        <w:rPr>
          <w:rFonts w:cs="Times New Roman"/>
          <w:color w:val="000000" w:themeColor="text1"/>
          <w:szCs w:val="24"/>
        </w:rPr>
        <w:t>I</w:t>
      </w:r>
      <w:r w:rsidRPr="00C317BB" w:rsidR="008A0289">
        <w:rPr>
          <w:rFonts w:cs="Times New Roman"/>
          <w:color w:val="000000" w:themeColor="text1"/>
          <w:szCs w:val="24"/>
        </w:rPr>
        <w:t>V</w:t>
      </w:r>
      <w:r w:rsidRPr="00C317BB" w:rsidR="00666EF3">
        <w:rPr>
          <w:rFonts w:cs="Times New Roman"/>
          <w:color w:val="000000" w:themeColor="text1"/>
          <w:szCs w:val="24"/>
        </w:rPr>
        <w:t>.</w:t>
      </w:r>
      <w:r w:rsidRPr="00C317BB" w:rsidR="007275C5">
        <w:rPr>
          <w:rFonts w:cs="Times New Roman"/>
          <w:color w:val="000000" w:themeColor="text1"/>
          <w:szCs w:val="24"/>
        </w:rPr>
        <w:t>A</w:t>
      </w:r>
      <w:r w:rsidRPr="00C317BB" w:rsidR="00B32761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0289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0289">
        <w:rPr>
          <w:rFonts w:cs="Times New Roman"/>
          <w:color w:val="000000" w:themeColor="text1"/>
          <w:szCs w:val="24"/>
        </w:rPr>
        <w:t>IV</w:t>
      </w:r>
      <w:r w:rsidRPr="00C317BB" w:rsidR="00582FE6">
        <w:rPr>
          <w:rFonts w:cs="Times New Roman"/>
          <w:color w:val="000000" w:themeColor="text1"/>
          <w:szCs w:val="24"/>
        </w:rPr>
        <w:t>.</w:t>
      </w:r>
      <w:r w:rsidRPr="00C317BB" w:rsidR="007275C5">
        <w:rPr>
          <w:rFonts w:cs="Times New Roman"/>
          <w:color w:val="000000" w:themeColor="text1"/>
          <w:szCs w:val="24"/>
        </w:rPr>
        <w:t>B</w:t>
      </w:r>
      <w:r w:rsidRPr="00C317BB" w:rsidR="008A0289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819E7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819E7">
        <w:rPr>
          <w:rFonts w:cs="Times New Roman"/>
          <w:color w:val="000000" w:themeColor="text1"/>
          <w:szCs w:val="24"/>
        </w:rPr>
        <w:t>identify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819E7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819E7">
        <w:rPr>
          <w:rFonts w:cs="Times New Roman"/>
          <w:color w:val="000000" w:themeColor="text1"/>
          <w:szCs w:val="24"/>
        </w:rPr>
        <w:t>select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819E7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819E7">
        <w:rPr>
          <w:rFonts w:cs="Times New Roman"/>
          <w:color w:val="000000" w:themeColor="text1"/>
          <w:szCs w:val="24"/>
        </w:rPr>
        <w:t>regulatory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819E7">
        <w:rPr>
          <w:rFonts w:cs="Times New Roman"/>
          <w:color w:val="000000" w:themeColor="text1"/>
          <w:szCs w:val="24"/>
        </w:rPr>
        <w:t>action,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819E7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819E7">
        <w:rPr>
          <w:rFonts w:cs="Times New Roman"/>
          <w:color w:val="000000" w:themeColor="text1"/>
          <w:szCs w:val="24"/>
        </w:rPr>
        <w:t>considered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819E7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819E7">
        <w:rPr>
          <w:rFonts w:cs="Times New Roman"/>
          <w:color w:val="000000" w:themeColor="text1"/>
          <w:szCs w:val="24"/>
        </w:rPr>
        <w:t>route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819E7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819E7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819E7">
        <w:rPr>
          <w:rFonts w:cs="Times New Roman"/>
          <w:color w:val="000000" w:themeColor="text1"/>
          <w:szCs w:val="24"/>
        </w:rPr>
        <w:t>driving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819E7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819E7">
        <w:rPr>
          <w:rFonts w:cs="Times New Roman"/>
          <w:color w:val="000000" w:themeColor="text1"/>
          <w:szCs w:val="24"/>
        </w:rPr>
        <w:t>unreasonable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819E7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819E7">
        <w:rPr>
          <w:rFonts w:cs="Times New Roman"/>
          <w:color w:val="000000" w:themeColor="text1"/>
          <w:szCs w:val="24"/>
        </w:rPr>
        <w:t>(inhalation)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819E7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819E7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819E7">
        <w:rPr>
          <w:rFonts w:cs="Times New Roman"/>
          <w:color w:val="000000" w:themeColor="text1"/>
          <w:szCs w:val="24"/>
        </w:rPr>
        <w:t>exposed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819E7">
        <w:rPr>
          <w:rFonts w:cs="Times New Roman"/>
          <w:color w:val="000000" w:themeColor="text1"/>
          <w:szCs w:val="24"/>
        </w:rPr>
        <w:t>population.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388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388">
        <w:rPr>
          <w:rFonts w:cs="Times New Roman"/>
          <w:color w:val="000000" w:themeColor="text1"/>
          <w:szCs w:val="24"/>
        </w:rPr>
        <w:t>consumer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388">
        <w:rPr>
          <w:rFonts w:cs="Times New Roman"/>
          <w:color w:val="000000" w:themeColor="text1"/>
          <w:szCs w:val="24"/>
        </w:rPr>
        <w:t>conditions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388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388">
        <w:rPr>
          <w:rFonts w:cs="Times New Roman"/>
          <w:color w:val="000000" w:themeColor="text1"/>
          <w:szCs w:val="24"/>
        </w:rPr>
        <w:t>use,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388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388">
        <w:rPr>
          <w:rFonts w:cs="Times New Roman"/>
          <w:color w:val="000000" w:themeColor="text1"/>
          <w:szCs w:val="24"/>
        </w:rPr>
        <w:t>considered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5CB046DB">
        <w:rPr>
          <w:rFonts w:cs="Times New Roman"/>
          <w:color w:val="000000" w:themeColor="text1"/>
          <w:szCs w:val="24"/>
        </w:rPr>
        <w:t>how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5CB046DB">
        <w:rPr>
          <w:rFonts w:cs="Times New Roman"/>
          <w:color w:val="000000" w:themeColor="text1"/>
          <w:szCs w:val="24"/>
        </w:rPr>
        <w:t>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5CB046DB">
        <w:rPr>
          <w:rFonts w:cs="Times New Roman"/>
          <w:color w:val="000000" w:themeColor="text1"/>
          <w:szCs w:val="24"/>
        </w:rPr>
        <w:t>could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5CB046DB">
        <w:rPr>
          <w:rFonts w:cs="Times New Roman"/>
          <w:color w:val="000000" w:themeColor="text1"/>
          <w:szCs w:val="24"/>
        </w:rPr>
        <w:t>exercise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5CB046DB">
        <w:rPr>
          <w:rFonts w:cs="Times New Roman"/>
          <w:color w:val="000000" w:themeColor="text1"/>
          <w:szCs w:val="24"/>
        </w:rPr>
        <w:t>its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388">
        <w:rPr>
          <w:rFonts w:cs="Times New Roman"/>
          <w:color w:val="000000" w:themeColor="text1"/>
          <w:szCs w:val="24"/>
        </w:rPr>
        <w:t>authority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388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388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388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388">
        <w:rPr>
          <w:rFonts w:cs="Times New Roman"/>
          <w:color w:val="000000" w:themeColor="text1"/>
          <w:szCs w:val="24"/>
        </w:rPr>
        <w:t>regulate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388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388">
        <w:rPr>
          <w:rFonts w:cs="Times New Roman"/>
          <w:color w:val="000000" w:themeColor="text1"/>
          <w:szCs w:val="24"/>
        </w:rPr>
        <w:t>manufacturing,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388">
        <w:rPr>
          <w:rFonts w:cs="Times New Roman"/>
          <w:color w:val="000000" w:themeColor="text1"/>
          <w:szCs w:val="24"/>
        </w:rPr>
        <w:t>processing,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388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388">
        <w:rPr>
          <w:rFonts w:cs="Times New Roman"/>
          <w:color w:val="000000" w:themeColor="text1"/>
          <w:szCs w:val="24"/>
        </w:rPr>
        <w:t>distribution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388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388">
        <w:rPr>
          <w:rFonts w:cs="Times New Roman"/>
          <w:color w:val="000000" w:themeColor="text1"/>
          <w:szCs w:val="24"/>
        </w:rPr>
        <w:t>commer</w:t>
      </w:r>
      <w:r w:rsidRPr="00C317BB" w:rsidR="682E0AAD">
        <w:rPr>
          <w:rFonts w:cs="Times New Roman"/>
          <w:color w:val="000000" w:themeColor="text1"/>
          <w:szCs w:val="24"/>
        </w:rPr>
        <w:t>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5FEE4091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5FEE4091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5FEE4091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5FEE4091">
        <w:rPr>
          <w:rFonts w:cs="Times New Roman"/>
          <w:color w:val="000000" w:themeColor="text1"/>
          <w:szCs w:val="24"/>
        </w:rPr>
        <w:t>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388">
        <w:rPr>
          <w:rFonts w:cs="Times New Roman"/>
          <w:color w:val="000000" w:themeColor="text1"/>
          <w:szCs w:val="24"/>
        </w:rPr>
        <w:t>different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388">
        <w:rPr>
          <w:rFonts w:cs="Times New Roman"/>
          <w:color w:val="000000" w:themeColor="text1"/>
          <w:szCs w:val="24"/>
        </w:rPr>
        <w:t>levels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388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388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388">
        <w:rPr>
          <w:rFonts w:cs="Times New Roman"/>
          <w:color w:val="000000" w:themeColor="text1"/>
          <w:szCs w:val="24"/>
        </w:rPr>
        <w:t>supply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388">
        <w:rPr>
          <w:rFonts w:cs="Times New Roman"/>
          <w:color w:val="000000" w:themeColor="text1"/>
          <w:szCs w:val="24"/>
        </w:rPr>
        <w:t>chain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388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388">
        <w:rPr>
          <w:rFonts w:cs="Times New Roman"/>
          <w:color w:val="000000" w:themeColor="text1"/>
          <w:szCs w:val="24"/>
        </w:rPr>
        <w:t>eliminate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388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388">
        <w:rPr>
          <w:rFonts w:cs="Times New Roman"/>
          <w:color w:val="000000" w:themeColor="text1"/>
          <w:szCs w:val="24"/>
        </w:rPr>
        <w:t>restrict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388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388">
        <w:rPr>
          <w:rFonts w:cs="Times New Roman"/>
          <w:color w:val="000000" w:themeColor="text1"/>
          <w:szCs w:val="24"/>
        </w:rPr>
        <w:t>availability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388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7D0CA06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23FCB329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388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4E74F614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1102C283">
        <w:rPr>
          <w:rFonts w:cs="Times New Roman"/>
          <w:color w:val="000000" w:themeColor="text1"/>
          <w:szCs w:val="24"/>
        </w:rPr>
        <w:t>asbestos</w:t>
      </w:r>
      <w:r w:rsidRPr="00C317BB" w:rsidR="00D57388">
        <w:rPr>
          <w:rFonts w:cs="Times New Roman"/>
          <w:color w:val="000000" w:themeColor="text1"/>
          <w:szCs w:val="24"/>
        </w:rPr>
        <w:t>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388">
        <w:rPr>
          <w:rFonts w:cs="Times New Roman"/>
          <w:color w:val="000000" w:themeColor="text1"/>
          <w:szCs w:val="24"/>
        </w:rPr>
        <w:t>products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388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388">
        <w:rPr>
          <w:rFonts w:cs="Times New Roman"/>
          <w:color w:val="000000" w:themeColor="text1"/>
          <w:szCs w:val="24"/>
        </w:rPr>
        <w:t>consumer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388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388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388">
        <w:rPr>
          <w:rFonts w:cs="Times New Roman"/>
          <w:color w:val="000000" w:themeColor="text1"/>
          <w:szCs w:val="24"/>
        </w:rPr>
        <w:t>effectively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388">
        <w:rPr>
          <w:rFonts w:cs="Times New Roman"/>
          <w:color w:val="000000" w:themeColor="text1"/>
          <w:szCs w:val="24"/>
        </w:rPr>
        <w:t>address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388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388">
        <w:rPr>
          <w:rFonts w:cs="Times New Roman"/>
          <w:color w:val="000000" w:themeColor="text1"/>
          <w:szCs w:val="24"/>
        </w:rPr>
        <w:t>unreasonable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388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388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388">
        <w:rPr>
          <w:rFonts w:cs="Times New Roman"/>
          <w:color w:val="000000" w:themeColor="text1"/>
          <w:szCs w:val="24"/>
        </w:rPr>
        <w:t>consumers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388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388">
        <w:rPr>
          <w:rFonts w:cs="Times New Roman"/>
          <w:color w:val="000000" w:themeColor="text1"/>
          <w:szCs w:val="24"/>
        </w:rPr>
        <w:t>bystanders.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388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388">
        <w:rPr>
          <w:rFonts w:cs="Times New Roman"/>
          <w:color w:val="000000" w:themeColor="text1"/>
          <w:szCs w:val="24"/>
        </w:rPr>
        <w:t>also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388">
        <w:rPr>
          <w:rFonts w:cs="Times New Roman"/>
          <w:color w:val="000000" w:themeColor="text1"/>
          <w:szCs w:val="24"/>
        </w:rPr>
        <w:t>considered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388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388">
        <w:rPr>
          <w:rFonts w:cs="Times New Roman"/>
          <w:color w:val="000000" w:themeColor="text1"/>
          <w:szCs w:val="24"/>
        </w:rPr>
        <w:t>regulatory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388">
        <w:rPr>
          <w:rFonts w:cs="Times New Roman"/>
          <w:color w:val="000000" w:themeColor="text1"/>
          <w:szCs w:val="24"/>
        </w:rPr>
        <w:t>authority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388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388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388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388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388">
        <w:rPr>
          <w:rFonts w:cs="Times New Roman"/>
          <w:color w:val="000000" w:themeColor="text1"/>
          <w:szCs w:val="24"/>
        </w:rPr>
        <w:t>statutes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388">
        <w:rPr>
          <w:rFonts w:cs="Times New Roman"/>
          <w:color w:val="000000" w:themeColor="text1"/>
          <w:szCs w:val="24"/>
        </w:rPr>
        <w:t>such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388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388">
        <w:rPr>
          <w:rFonts w:cs="Times New Roman"/>
          <w:color w:val="000000" w:themeColor="text1"/>
          <w:szCs w:val="24"/>
        </w:rPr>
        <w:t>OSHA,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388">
        <w:rPr>
          <w:rFonts w:cs="Times New Roman"/>
          <w:color w:val="000000" w:themeColor="text1"/>
          <w:szCs w:val="24"/>
        </w:rPr>
        <w:t>CPSA,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388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388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388">
        <w:rPr>
          <w:rFonts w:cs="Times New Roman"/>
          <w:color w:val="000000" w:themeColor="text1"/>
          <w:szCs w:val="24"/>
        </w:rPr>
        <w:t>EPA-administered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388">
        <w:rPr>
          <w:rFonts w:cs="Times New Roman"/>
          <w:color w:val="000000" w:themeColor="text1"/>
          <w:szCs w:val="24"/>
        </w:rPr>
        <w:t>statutes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388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388">
        <w:rPr>
          <w:rFonts w:cs="Times New Roman"/>
          <w:color w:val="000000" w:themeColor="text1"/>
          <w:szCs w:val="24"/>
        </w:rPr>
        <w:t>examine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17EE">
        <w:rPr>
          <w:rFonts w:cs="Times New Roman"/>
          <w:color w:val="000000" w:themeColor="text1"/>
          <w:szCs w:val="24"/>
        </w:rPr>
        <w:t>(1)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388">
        <w:rPr>
          <w:rFonts w:cs="Times New Roman"/>
          <w:color w:val="000000" w:themeColor="text1"/>
          <w:szCs w:val="24"/>
        </w:rPr>
        <w:t>whether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388">
        <w:rPr>
          <w:rFonts w:cs="Times New Roman"/>
          <w:color w:val="000000" w:themeColor="text1"/>
          <w:szCs w:val="24"/>
        </w:rPr>
        <w:t>there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388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388">
        <w:rPr>
          <w:rFonts w:cs="Times New Roman"/>
          <w:color w:val="000000" w:themeColor="text1"/>
          <w:szCs w:val="24"/>
        </w:rPr>
        <w:t>opportunities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388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17EE">
        <w:rPr>
          <w:rFonts w:cs="Times New Roman"/>
          <w:color w:val="000000" w:themeColor="text1"/>
          <w:szCs w:val="24"/>
        </w:rPr>
        <w:t>identified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388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B4290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B4290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B4290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388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388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388">
        <w:rPr>
          <w:rFonts w:cs="Times New Roman"/>
          <w:color w:val="000000" w:themeColor="text1"/>
          <w:szCs w:val="24"/>
        </w:rPr>
        <w:t>addressed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388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388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388">
        <w:rPr>
          <w:rFonts w:cs="Times New Roman"/>
          <w:color w:val="000000" w:themeColor="text1"/>
          <w:szCs w:val="24"/>
        </w:rPr>
        <w:t>statutes</w:t>
      </w:r>
      <w:r w:rsidRPr="00C317BB" w:rsidR="001603C2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603C2">
        <w:rPr>
          <w:rFonts w:cs="Times New Roman"/>
          <w:color w:val="000000" w:themeColor="text1"/>
          <w:szCs w:val="24"/>
        </w:rPr>
        <w:t>such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Del="001603C2" w:rsidR="00D57388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388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388">
        <w:rPr>
          <w:rFonts w:cs="Times New Roman"/>
          <w:color w:val="000000" w:themeColor="text1"/>
          <w:szCs w:val="24"/>
        </w:rPr>
        <w:t>referral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2356">
        <w:rPr>
          <w:rFonts w:cs="Times New Roman"/>
          <w:color w:val="000000" w:themeColor="text1"/>
          <w:szCs w:val="24"/>
        </w:rPr>
        <w:t>may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2356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2356">
        <w:rPr>
          <w:rFonts w:cs="Times New Roman"/>
          <w:color w:val="000000" w:themeColor="text1"/>
          <w:szCs w:val="24"/>
        </w:rPr>
        <w:t>warr</w:t>
      </w:r>
      <w:r w:rsidRPr="00C317BB" w:rsidR="00BB568E">
        <w:rPr>
          <w:rFonts w:cs="Times New Roman"/>
          <w:color w:val="000000" w:themeColor="text1"/>
          <w:szCs w:val="24"/>
        </w:rPr>
        <w:t>anted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388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388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388">
        <w:rPr>
          <w:rFonts w:cs="Times New Roman"/>
          <w:color w:val="000000" w:themeColor="text1"/>
          <w:szCs w:val="24"/>
        </w:rPr>
        <w:t>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388">
        <w:rPr>
          <w:rFonts w:cs="Times New Roman"/>
          <w:color w:val="000000" w:themeColor="text1"/>
          <w:szCs w:val="24"/>
        </w:rPr>
        <w:t>9(a)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388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388">
        <w:rPr>
          <w:rFonts w:cs="Times New Roman"/>
          <w:color w:val="000000" w:themeColor="text1"/>
          <w:szCs w:val="24"/>
        </w:rPr>
        <w:t>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388">
        <w:rPr>
          <w:rFonts w:cs="Times New Roman"/>
          <w:color w:val="000000" w:themeColor="text1"/>
          <w:szCs w:val="24"/>
        </w:rPr>
        <w:t>9(b),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388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261EB">
        <w:rPr>
          <w:rFonts w:cs="Times New Roman"/>
          <w:color w:val="000000" w:themeColor="text1"/>
          <w:szCs w:val="24"/>
        </w:rPr>
        <w:t>(2)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34F93">
        <w:rPr>
          <w:rFonts w:cs="Times New Roman"/>
          <w:color w:val="000000" w:themeColor="text1"/>
          <w:szCs w:val="24"/>
        </w:rPr>
        <w:t>whether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388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388">
        <w:rPr>
          <w:rFonts w:cs="Times New Roman"/>
          <w:color w:val="000000" w:themeColor="text1"/>
          <w:szCs w:val="24"/>
        </w:rPr>
        <w:t>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388">
        <w:rPr>
          <w:rFonts w:cs="Times New Roman"/>
          <w:color w:val="000000" w:themeColor="text1"/>
          <w:szCs w:val="24"/>
        </w:rPr>
        <w:t>6(a)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34F93">
        <w:rPr>
          <w:rFonts w:cs="Times New Roman"/>
          <w:color w:val="000000" w:themeColor="text1"/>
          <w:szCs w:val="24"/>
        </w:rPr>
        <w:t>regulation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45711">
        <w:rPr>
          <w:rFonts w:cs="Times New Roman"/>
          <w:color w:val="000000" w:themeColor="text1"/>
          <w:szCs w:val="24"/>
        </w:rPr>
        <w:t>c</w:t>
      </w:r>
      <w:r w:rsidRPr="00C317BB" w:rsidR="00D57388">
        <w:rPr>
          <w:rFonts w:cs="Times New Roman"/>
          <w:color w:val="000000" w:themeColor="text1"/>
          <w:szCs w:val="24"/>
        </w:rPr>
        <w:t>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26D88">
        <w:rPr>
          <w:rFonts w:cs="Times New Roman"/>
          <w:color w:val="000000" w:themeColor="text1"/>
          <w:szCs w:val="24"/>
        </w:rPr>
        <w:t>include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388">
        <w:rPr>
          <w:rFonts w:cs="Times New Roman"/>
          <w:color w:val="000000" w:themeColor="text1"/>
          <w:szCs w:val="24"/>
        </w:rPr>
        <w:t>alignment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388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388">
        <w:rPr>
          <w:rFonts w:cs="Times New Roman"/>
          <w:color w:val="000000" w:themeColor="text1"/>
          <w:szCs w:val="24"/>
        </w:rPr>
        <w:t>requirements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388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388">
        <w:rPr>
          <w:rFonts w:cs="Times New Roman"/>
          <w:color w:val="000000" w:themeColor="text1"/>
          <w:szCs w:val="24"/>
        </w:rPr>
        <w:t>definitions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388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388">
        <w:rPr>
          <w:rFonts w:cs="Times New Roman"/>
          <w:color w:val="000000" w:themeColor="text1"/>
          <w:szCs w:val="24"/>
        </w:rPr>
        <w:t>minimize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388">
        <w:rPr>
          <w:rFonts w:cs="Times New Roman"/>
          <w:color w:val="000000" w:themeColor="text1"/>
          <w:szCs w:val="24"/>
        </w:rPr>
        <w:t>confusion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388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388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388">
        <w:rPr>
          <w:rFonts w:cs="Times New Roman"/>
          <w:color w:val="000000" w:themeColor="text1"/>
          <w:szCs w:val="24"/>
        </w:rPr>
        <w:t>regulated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388">
        <w:rPr>
          <w:rFonts w:cs="Times New Roman"/>
          <w:color w:val="000000" w:themeColor="text1"/>
          <w:szCs w:val="24"/>
        </w:rPr>
        <w:t>entities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388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388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388">
        <w:rPr>
          <w:rFonts w:cs="Times New Roman"/>
          <w:color w:val="000000" w:themeColor="text1"/>
          <w:szCs w:val="24"/>
        </w:rPr>
        <w:t>general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388">
        <w:rPr>
          <w:rFonts w:cs="Times New Roman"/>
          <w:color w:val="000000" w:themeColor="text1"/>
          <w:szCs w:val="24"/>
        </w:rPr>
        <w:t>public.</w:t>
      </w:r>
    </w:p>
    <w:p w:rsidRPr="00C317BB" w:rsidR="00D57388" w:rsidP="00F27167" w:rsidRDefault="00D57388" w14:paraId="48B418A1" w14:textId="15F9EA60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addition,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considered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requirements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such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consideration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alternatives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when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recommending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prohibition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substantial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restriction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(TSCA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6(c)(2)(C),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outlined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III.B.4.),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requirements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6(d)(1)(B)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E493F">
        <w:rPr>
          <w:rFonts w:cs="Times New Roman"/>
          <w:color w:val="000000" w:themeColor="text1"/>
          <w:szCs w:val="24"/>
        </w:rPr>
        <w:t>compliance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dates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(described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24B70">
        <w:rPr>
          <w:rFonts w:cs="Times New Roman"/>
          <w:color w:val="000000" w:themeColor="text1"/>
          <w:szCs w:val="24"/>
        </w:rPr>
        <w:t>primary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alternative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regulatory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actions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IV.).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D57388" w:rsidP="00F27167" w:rsidRDefault="00D57388" w14:paraId="0A53CE67" w14:textId="29607F97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extent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information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reasonably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available,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when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selecting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regulatory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actions,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considered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pollution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prevention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17F14">
        <w:rPr>
          <w:rFonts w:cs="Times New Roman"/>
          <w:color w:val="000000" w:themeColor="text1"/>
          <w:szCs w:val="24"/>
        </w:rPr>
        <w:t>actions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hierarchy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controls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adopted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OSHA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NIOSH,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goal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identifying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management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control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methods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permanent,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feasible,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effective.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also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considered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how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address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unreasonable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while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providing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flexibility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regulated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entities,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given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functionality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performance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efficacy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considered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information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presented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evaluation,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additional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input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stakeholders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(as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described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III.A.)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anticipated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compliance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strategies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regulated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entities.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F426FE" w:rsidP="00F27167" w:rsidRDefault="000F1460" w14:paraId="43369F39" w14:textId="4405C9AE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evaluated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regulatory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options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6(a)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address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unreasonable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found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presented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conditions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evaluated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Evaluation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Part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1: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proposing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A64AF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A64AF">
        <w:rPr>
          <w:rFonts w:cs="Times New Roman"/>
          <w:color w:val="000000" w:themeColor="text1"/>
          <w:szCs w:val="24"/>
        </w:rPr>
        <w:t>prohibition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55A57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55A57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64FC1">
        <w:rPr>
          <w:rFonts w:cs="Times New Roman"/>
          <w:color w:val="000000" w:themeColor="text1"/>
          <w:szCs w:val="24"/>
        </w:rPr>
        <w:t>manufacture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55A57">
        <w:rPr>
          <w:rFonts w:cs="Times New Roman"/>
          <w:color w:val="000000" w:themeColor="text1"/>
          <w:szCs w:val="24"/>
        </w:rPr>
        <w:t>(including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55A57">
        <w:rPr>
          <w:rFonts w:cs="Times New Roman"/>
          <w:color w:val="000000" w:themeColor="text1"/>
          <w:szCs w:val="24"/>
        </w:rPr>
        <w:t>import)</w:t>
      </w:r>
      <w:r w:rsidRPr="00C317BB" w:rsidR="00864FC1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64FC1">
        <w:rPr>
          <w:rFonts w:cs="Times New Roman"/>
          <w:color w:val="000000" w:themeColor="text1"/>
          <w:szCs w:val="24"/>
        </w:rPr>
        <w:t>processing,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64FC1">
        <w:rPr>
          <w:rFonts w:cs="Times New Roman"/>
          <w:color w:val="000000" w:themeColor="text1"/>
          <w:szCs w:val="24"/>
        </w:rPr>
        <w:t>distribution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64FC1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64FC1">
        <w:rPr>
          <w:rFonts w:cs="Times New Roman"/>
          <w:color w:val="000000" w:themeColor="text1"/>
          <w:szCs w:val="24"/>
        </w:rPr>
        <w:t>commerce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64FC1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64FC1">
        <w:rPr>
          <w:rFonts w:cs="Times New Roman"/>
          <w:color w:val="000000" w:themeColor="text1"/>
          <w:szCs w:val="24"/>
        </w:rPr>
        <w:t>commercial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64FC1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55A57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55A57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55A57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2660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2660B">
        <w:rPr>
          <w:rFonts w:cs="Times New Roman"/>
          <w:color w:val="000000" w:themeColor="text1"/>
          <w:szCs w:val="24"/>
        </w:rPr>
        <w:t>bulk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2660B">
        <w:rPr>
          <w:rFonts w:cs="Times New Roman"/>
          <w:color w:val="000000" w:themeColor="text1"/>
          <w:szCs w:val="24"/>
        </w:rPr>
        <w:t>form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B0BD3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44C62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B0BD3">
        <w:rPr>
          <w:rFonts w:cs="Times New Roman"/>
          <w:color w:val="000000" w:themeColor="text1"/>
          <w:szCs w:val="24"/>
        </w:rPr>
        <w:t>part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B0BD3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32ED7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32ED7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32ED7">
        <w:rPr>
          <w:rFonts w:cs="Times New Roman"/>
          <w:color w:val="000000" w:themeColor="text1"/>
          <w:szCs w:val="24"/>
        </w:rPr>
        <w:t>diaphragms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111B8">
        <w:rPr>
          <w:rFonts w:cs="Times New Roman"/>
          <w:color w:val="000000" w:themeColor="text1"/>
          <w:szCs w:val="24"/>
        </w:rPr>
        <w:t>used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32ED7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32ED7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32ED7">
        <w:rPr>
          <w:rFonts w:cs="Times New Roman"/>
          <w:color w:val="000000" w:themeColor="text1"/>
          <w:szCs w:val="24"/>
        </w:rPr>
        <w:t>chlor-alkali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32ED7">
        <w:rPr>
          <w:rFonts w:cs="Times New Roman"/>
          <w:color w:val="000000" w:themeColor="text1"/>
          <w:szCs w:val="24"/>
        </w:rPr>
        <w:t>industry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96269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32ED7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32ED7">
        <w:rPr>
          <w:rFonts w:cs="Times New Roman"/>
          <w:color w:val="000000" w:themeColor="text1"/>
          <w:szCs w:val="24"/>
        </w:rPr>
        <w:t>asbestos-containing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96269">
        <w:rPr>
          <w:rFonts w:cs="Times New Roman"/>
          <w:color w:val="000000" w:themeColor="text1"/>
          <w:szCs w:val="24"/>
        </w:rPr>
        <w:t>sheet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96269">
        <w:rPr>
          <w:rFonts w:cs="Times New Roman"/>
          <w:color w:val="000000" w:themeColor="text1"/>
          <w:szCs w:val="24"/>
        </w:rPr>
        <w:t>gasket</w:t>
      </w:r>
      <w:r w:rsidRPr="00C317BB" w:rsidR="00C5455B">
        <w:rPr>
          <w:rFonts w:cs="Times New Roman"/>
          <w:color w:val="000000" w:themeColor="text1"/>
          <w:szCs w:val="24"/>
        </w:rPr>
        <w:t>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95339">
        <w:rPr>
          <w:rFonts w:cs="Times New Roman"/>
          <w:color w:val="000000" w:themeColor="text1"/>
          <w:szCs w:val="24"/>
        </w:rPr>
        <w:t>used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32ED7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32ED7">
        <w:rPr>
          <w:rFonts w:cs="Times New Roman"/>
          <w:color w:val="000000" w:themeColor="text1"/>
          <w:szCs w:val="24"/>
        </w:rPr>
        <w:t>chemical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32ED7">
        <w:rPr>
          <w:rFonts w:cs="Times New Roman"/>
          <w:color w:val="000000" w:themeColor="text1"/>
          <w:szCs w:val="24"/>
        </w:rPr>
        <w:t>production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6DF5">
        <w:rPr>
          <w:rFonts w:cs="Times New Roman"/>
          <w:color w:val="000000" w:themeColor="text1"/>
          <w:szCs w:val="24"/>
        </w:rPr>
        <w:t>(</w:t>
      </w:r>
      <w:r w:rsidRPr="00C317BB" w:rsidR="00A32ED7">
        <w:rPr>
          <w:rFonts w:cs="Times New Roman"/>
          <w:color w:val="000000" w:themeColor="text1"/>
          <w:szCs w:val="24"/>
        </w:rPr>
        <w:t>descriptions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32ED7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32ED7">
        <w:rPr>
          <w:rFonts w:cs="Times New Roman"/>
          <w:color w:val="000000" w:themeColor="text1"/>
          <w:szCs w:val="24"/>
        </w:rPr>
        <w:t>these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32ED7">
        <w:rPr>
          <w:rFonts w:cs="Times New Roman"/>
          <w:color w:val="000000" w:themeColor="text1"/>
          <w:szCs w:val="24"/>
        </w:rPr>
        <w:t>conditions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32ED7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7C1930C4">
        <w:rPr>
          <w:rFonts w:cs="Times New Roman"/>
          <w:color w:val="000000" w:themeColor="text1"/>
          <w:szCs w:val="24"/>
        </w:rPr>
        <w:t>us</w:t>
      </w:r>
      <w:r w:rsidRPr="00C317BB" w:rsidR="6F042251">
        <w:rPr>
          <w:rFonts w:cs="Times New Roman"/>
          <w:color w:val="000000" w:themeColor="text1"/>
          <w:szCs w:val="24"/>
        </w:rPr>
        <w:t>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32ED7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32ED7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6DF5">
        <w:rPr>
          <w:rFonts w:cs="Times New Roman"/>
          <w:color w:val="000000" w:themeColor="text1"/>
          <w:szCs w:val="24"/>
        </w:rPr>
        <w:t>Unit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32ED7">
        <w:rPr>
          <w:rFonts w:cs="Times New Roman"/>
          <w:color w:val="000000" w:themeColor="text1"/>
          <w:szCs w:val="24"/>
        </w:rPr>
        <w:t>III.B.2</w:t>
      </w:r>
      <w:r w:rsidRPr="00C317BB" w:rsidR="004E6DF5">
        <w:rPr>
          <w:rFonts w:cs="Times New Roman"/>
          <w:color w:val="000000" w:themeColor="text1"/>
          <w:szCs w:val="24"/>
        </w:rPr>
        <w:t>.)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F1545">
        <w:rPr>
          <w:rFonts w:cs="Times New Roman"/>
          <w:color w:val="000000" w:themeColor="text1"/>
          <w:szCs w:val="24"/>
        </w:rPr>
        <w:t>two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F1545">
        <w:rPr>
          <w:rFonts w:cs="Times New Roman"/>
          <w:color w:val="000000" w:themeColor="text1"/>
          <w:szCs w:val="24"/>
        </w:rPr>
        <w:t>year</w:t>
      </w:r>
      <w:r w:rsidRPr="00C317BB" w:rsidR="00844C62">
        <w:rPr>
          <w:rFonts w:cs="Times New Roman"/>
          <w:color w:val="000000" w:themeColor="text1"/>
          <w:szCs w:val="24"/>
        </w:rPr>
        <w:t>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F1545">
        <w:rPr>
          <w:rFonts w:cs="Times New Roman"/>
          <w:color w:val="000000" w:themeColor="text1"/>
          <w:szCs w:val="24"/>
        </w:rPr>
        <w:t>following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F1545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F1545">
        <w:rPr>
          <w:rFonts w:cs="Times New Roman"/>
          <w:color w:val="000000" w:themeColor="text1"/>
          <w:szCs w:val="24"/>
        </w:rPr>
        <w:t>effective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F1545">
        <w:rPr>
          <w:rFonts w:cs="Times New Roman"/>
          <w:color w:val="000000" w:themeColor="text1"/>
          <w:szCs w:val="24"/>
        </w:rPr>
        <w:t>date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03CF1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F1545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F1545">
        <w:rPr>
          <w:rFonts w:cs="Times New Roman"/>
          <w:color w:val="000000" w:themeColor="text1"/>
          <w:szCs w:val="24"/>
        </w:rPr>
        <w:t>final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F1545">
        <w:rPr>
          <w:rFonts w:cs="Times New Roman"/>
          <w:color w:val="000000" w:themeColor="text1"/>
          <w:szCs w:val="24"/>
        </w:rPr>
        <w:t>rule</w:t>
      </w:r>
      <w:r w:rsidRPr="00C317BB" w:rsidR="00466524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6524">
        <w:rPr>
          <w:rFonts w:cs="Times New Roman"/>
          <w:color w:val="000000" w:themeColor="text1"/>
          <w:szCs w:val="24"/>
        </w:rPr>
        <w:t>which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6524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6524">
        <w:rPr>
          <w:rFonts w:cs="Times New Roman"/>
          <w:color w:val="000000" w:themeColor="text1"/>
          <w:szCs w:val="24"/>
        </w:rPr>
        <w:t>60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6524">
        <w:rPr>
          <w:rFonts w:cs="Times New Roman"/>
          <w:color w:val="000000" w:themeColor="text1"/>
          <w:szCs w:val="24"/>
        </w:rPr>
        <w:t>days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6524">
        <w:rPr>
          <w:rFonts w:cs="Times New Roman"/>
          <w:color w:val="000000" w:themeColor="text1"/>
          <w:szCs w:val="24"/>
        </w:rPr>
        <w:t>after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6524">
        <w:rPr>
          <w:rFonts w:cs="Times New Roman"/>
          <w:color w:val="000000" w:themeColor="text1"/>
          <w:szCs w:val="24"/>
        </w:rPr>
        <w:t>final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6524">
        <w:rPr>
          <w:rFonts w:cs="Times New Roman"/>
          <w:color w:val="000000" w:themeColor="text1"/>
          <w:szCs w:val="24"/>
        </w:rPr>
        <w:t>rule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6524">
        <w:rPr>
          <w:rFonts w:cs="Times New Roman"/>
          <w:color w:val="000000" w:themeColor="text1"/>
          <w:szCs w:val="24"/>
        </w:rPr>
        <w:t>promulgation</w:t>
      </w:r>
      <w:r w:rsidRPr="00C317BB" w:rsidR="007A64AF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C41AC">
        <w:rPr>
          <w:rFonts w:cs="Times New Roman"/>
          <w:color w:val="000000" w:themeColor="text1"/>
          <w:szCs w:val="24"/>
        </w:rPr>
        <w:t>Associated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C41AC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C41AC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C41AC">
        <w:rPr>
          <w:rFonts w:cs="Times New Roman"/>
          <w:color w:val="000000" w:themeColor="text1"/>
          <w:szCs w:val="24"/>
        </w:rPr>
        <w:t>prohibition,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C41AC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C41AC">
        <w:rPr>
          <w:rFonts w:cs="Times New Roman"/>
          <w:color w:val="000000" w:themeColor="text1"/>
          <w:szCs w:val="24"/>
        </w:rPr>
        <w:t>considered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C41AC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C41AC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C41AC">
        <w:rPr>
          <w:rFonts w:cs="Times New Roman"/>
          <w:color w:val="000000" w:themeColor="text1"/>
          <w:szCs w:val="24"/>
        </w:rPr>
        <w:t>proposing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C41AC">
        <w:rPr>
          <w:rFonts w:cs="Times New Roman"/>
          <w:color w:val="000000" w:themeColor="text1"/>
          <w:szCs w:val="24"/>
        </w:rPr>
        <w:t>interim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C41AC">
        <w:rPr>
          <w:rFonts w:cs="Times New Roman"/>
          <w:color w:val="000000" w:themeColor="text1"/>
          <w:szCs w:val="24"/>
        </w:rPr>
        <w:t>recordkeeping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D7D8F">
        <w:rPr>
          <w:rFonts w:cs="Times New Roman"/>
          <w:color w:val="000000" w:themeColor="text1"/>
          <w:szCs w:val="24"/>
        </w:rPr>
        <w:t>requirements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C41AC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96269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D7D8F">
        <w:rPr>
          <w:rFonts w:cs="Times New Roman"/>
          <w:color w:val="000000" w:themeColor="text1"/>
          <w:szCs w:val="24"/>
        </w:rPr>
        <w:t>proposing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D7D8F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654A5">
        <w:rPr>
          <w:rFonts w:cs="Times New Roman"/>
          <w:color w:val="000000" w:themeColor="text1"/>
          <w:szCs w:val="24"/>
        </w:rPr>
        <w:t>cross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654A5">
        <w:rPr>
          <w:rFonts w:cs="Times New Roman"/>
          <w:color w:val="000000" w:themeColor="text1"/>
          <w:szCs w:val="24"/>
        </w:rPr>
        <w:t>referenc</w:t>
      </w:r>
      <w:r w:rsidRPr="00C317BB" w:rsidR="00733729">
        <w:rPr>
          <w:rFonts w:cs="Times New Roman"/>
          <w:color w:val="000000" w:themeColor="text1"/>
          <w:szCs w:val="24"/>
        </w:rPr>
        <w:t>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96269">
        <w:rPr>
          <w:rFonts w:cs="Times New Roman"/>
          <w:color w:val="000000" w:themeColor="text1"/>
          <w:szCs w:val="24"/>
        </w:rPr>
        <w:t>existing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C41AC">
        <w:rPr>
          <w:rFonts w:cs="Times New Roman"/>
          <w:color w:val="000000" w:themeColor="text1"/>
          <w:szCs w:val="24"/>
        </w:rPr>
        <w:t>disposal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96269">
        <w:rPr>
          <w:rFonts w:cs="Times New Roman"/>
          <w:color w:val="000000" w:themeColor="text1"/>
          <w:szCs w:val="24"/>
        </w:rPr>
        <w:t>regulations</w:t>
      </w:r>
      <w:r w:rsidRPr="00C317BB" w:rsidR="00A32ED7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A32ED7">
        <w:rPr>
          <w:rFonts w:cs="Times New Roman"/>
          <w:color w:val="000000" w:themeColor="text1"/>
          <w:szCs w:val="24"/>
          <w:lang w:val="en"/>
        </w:rPr>
        <w:t>The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A32ED7">
        <w:rPr>
          <w:rFonts w:cs="Times New Roman"/>
          <w:color w:val="000000" w:themeColor="text1"/>
          <w:szCs w:val="24"/>
          <w:lang w:val="en"/>
        </w:rPr>
        <w:t>proposed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A32ED7">
        <w:rPr>
          <w:rFonts w:cs="Times New Roman"/>
          <w:color w:val="000000" w:themeColor="text1"/>
          <w:szCs w:val="24"/>
          <w:lang w:val="en"/>
        </w:rPr>
        <w:t>prohibition,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A32ED7">
        <w:rPr>
          <w:rFonts w:cs="Times New Roman"/>
          <w:color w:val="000000" w:themeColor="text1"/>
          <w:szCs w:val="24"/>
          <w:lang w:val="en"/>
        </w:rPr>
        <w:t>recordkeeping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A32ED7">
        <w:rPr>
          <w:rFonts w:cs="Times New Roman"/>
          <w:color w:val="000000" w:themeColor="text1"/>
          <w:szCs w:val="24"/>
          <w:lang w:val="en"/>
        </w:rPr>
        <w:t>requirements,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A32ED7">
        <w:rPr>
          <w:rFonts w:cs="Times New Roman"/>
          <w:color w:val="000000" w:themeColor="text1"/>
          <w:szCs w:val="24"/>
          <w:lang w:val="en"/>
        </w:rPr>
        <w:t>and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A32ED7">
        <w:rPr>
          <w:rFonts w:cs="Times New Roman"/>
          <w:color w:val="000000" w:themeColor="text1"/>
          <w:szCs w:val="24"/>
          <w:lang w:val="en"/>
        </w:rPr>
        <w:t>cross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A32ED7">
        <w:rPr>
          <w:rFonts w:cs="Times New Roman"/>
          <w:color w:val="000000" w:themeColor="text1"/>
          <w:szCs w:val="24"/>
          <w:lang w:val="en"/>
        </w:rPr>
        <w:t>referencing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DC41AC">
        <w:rPr>
          <w:rFonts w:cs="Times New Roman"/>
          <w:color w:val="000000" w:themeColor="text1"/>
          <w:szCs w:val="24"/>
          <w:lang w:val="en"/>
        </w:rPr>
        <w:t>are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DC41AC">
        <w:rPr>
          <w:rFonts w:cs="Times New Roman"/>
          <w:color w:val="000000" w:themeColor="text1"/>
          <w:szCs w:val="24"/>
          <w:lang w:val="en"/>
        </w:rPr>
        <w:t>described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DC41AC">
        <w:rPr>
          <w:rFonts w:cs="Times New Roman"/>
          <w:color w:val="000000" w:themeColor="text1"/>
          <w:szCs w:val="24"/>
          <w:lang w:val="en"/>
        </w:rPr>
        <w:t>in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DC41AC">
        <w:rPr>
          <w:rFonts w:cs="Times New Roman"/>
          <w:color w:val="000000" w:themeColor="text1"/>
          <w:szCs w:val="24"/>
          <w:lang w:val="en"/>
        </w:rPr>
        <w:t>more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DC41AC">
        <w:rPr>
          <w:rFonts w:cs="Times New Roman"/>
          <w:color w:val="000000" w:themeColor="text1"/>
          <w:szCs w:val="24"/>
          <w:lang w:val="en"/>
        </w:rPr>
        <w:t>detail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DC41AC">
        <w:rPr>
          <w:rFonts w:cs="Times New Roman"/>
          <w:color w:val="000000" w:themeColor="text1"/>
          <w:szCs w:val="24"/>
          <w:lang w:val="en"/>
        </w:rPr>
        <w:t>in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DC41AC">
        <w:rPr>
          <w:rFonts w:cs="Times New Roman"/>
          <w:color w:val="000000" w:themeColor="text1"/>
          <w:szCs w:val="24"/>
          <w:lang w:val="en"/>
        </w:rPr>
        <w:t>Unit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DC41AC">
        <w:rPr>
          <w:rFonts w:cs="Times New Roman"/>
          <w:color w:val="000000" w:themeColor="text1"/>
          <w:szCs w:val="24"/>
          <w:lang w:val="en"/>
        </w:rPr>
        <w:t>IV.A</w:t>
      </w:r>
      <w:r w:rsidRPr="00C317BB" w:rsidR="00DC41AC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76887">
        <w:rPr>
          <w:rFonts w:cs="Times New Roman"/>
          <w:color w:val="000000" w:themeColor="text1"/>
          <w:szCs w:val="24"/>
        </w:rPr>
        <w:t>Similarly,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2ED3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D0AF5">
        <w:rPr>
          <w:rFonts w:cs="Times New Roman"/>
          <w:color w:val="000000" w:themeColor="text1"/>
          <w:szCs w:val="24"/>
        </w:rPr>
        <w:t>evaluated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2ED3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2ED3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2ED3">
        <w:rPr>
          <w:rFonts w:cs="Times New Roman"/>
          <w:color w:val="000000" w:themeColor="text1"/>
          <w:szCs w:val="24"/>
        </w:rPr>
        <w:t>proposing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2ED3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2ED3">
        <w:rPr>
          <w:rFonts w:cs="Times New Roman"/>
          <w:color w:val="000000" w:themeColor="text1"/>
          <w:szCs w:val="24"/>
        </w:rPr>
        <w:t>prohibition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55A57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55A57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64FC1">
        <w:rPr>
          <w:rFonts w:cs="Times New Roman"/>
          <w:color w:val="000000" w:themeColor="text1"/>
          <w:szCs w:val="24"/>
        </w:rPr>
        <w:t>manufacture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55A57">
        <w:rPr>
          <w:rFonts w:cs="Times New Roman"/>
          <w:color w:val="000000" w:themeColor="text1"/>
          <w:szCs w:val="24"/>
        </w:rPr>
        <w:t>(including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55A57">
        <w:rPr>
          <w:rFonts w:cs="Times New Roman"/>
          <w:color w:val="000000" w:themeColor="text1"/>
          <w:szCs w:val="24"/>
        </w:rPr>
        <w:t>import)</w:t>
      </w:r>
      <w:r w:rsidRPr="00C317BB" w:rsidR="00864FC1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64FC1">
        <w:rPr>
          <w:rFonts w:cs="Times New Roman"/>
          <w:color w:val="000000" w:themeColor="text1"/>
          <w:szCs w:val="24"/>
        </w:rPr>
        <w:t>processing,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64FC1">
        <w:rPr>
          <w:rFonts w:cs="Times New Roman"/>
          <w:color w:val="000000" w:themeColor="text1"/>
          <w:szCs w:val="24"/>
        </w:rPr>
        <w:t>distribution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64FC1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64FC1">
        <w:rPr>
          <w:rFonts w:cs="Times New Roman"/>
          <w:color w:val="000000" w:themeColor="text1"/>
          <w:szCs w:val="24"/>
        </w:rPr>
        <w:t>commerce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64FC1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76887">
        <w:rPr>
          <w:rFonts w:cs="Times New Roman"/>
          <w:color w:val="000000" w:themeColor="text1"/>
          <w:szCs w:val="24"/>
        </w:rPr>
        <w:t>industrial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D2D1A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D2D1A">
        <w:rPr>
          <w:rFonts w:cs="Times New Roman"/>
          <w:color w:val="000000" w:themeColor="text1"/>
          <w:szCs w:val="24"/>
        </w:rPr>
        <w:t>commercial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76887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76887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426FE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426FE">
        <w:rPr>
          <w:rFonts w:cs="Times New Roman"/>
          <w:color w:val="000000" w:themeColor="text1"/>
          <w:szCs w:val="24"/>
        </w:rPr>
        <w:t>asbestos-containing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426FE">
        <w:rPr>
          <w:rFonts w:cs="Times New Roman"/>
          <w:color w:val="000000" w:themeColor="text1"/>
          <w:szCs w:val="24"/>
        </w:rPr>
        <w:t>brake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426FE">
        <w:rPr>
          <w:rFonts w:cs="Times New Roman"/>
          <w:color w:val="000000" w:themeColor="text1"/>
          <w:szCs w:val="24"/>
        </w:rPr>
        <w:t>blocks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426FE">
        <w:rPr>
          <w:rFonts w:cs="Times New Roman"/>
          <w:color w:val="000000" w:themeColor="text1"/>
          <w:szCs w:val="24"/>
        </w:rPr>
        <w:t>used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426FE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426FE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426FE">
        <w:rPr>
          <w:rFonts w:cs="Times New Roman"/>
          <w:color w:val="000000" w:themeColor="text1"/>
          <w:szCs w:val="24"/>
        </w:rPr>
        <w:t>oil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426FE">
        <w:rPr>
          <w:rFonts w:cs="Times New Roman"/>
          <w:color w:val="000000" w:themeColor="text1"/>
          <w:szCs w:val="24"/>
        </w:rPr>
        <w:t>industry;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426FE">
        <w:rPr>
          <w:rFonts w:cs="Times New Roman"/>
          <w:color w:val="000000" w:themeColor="text1"/>
          <w:szCs w:val="24"/>
        </w:rPr>
        <w:t>aftermarket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426FE">
        <w:rPr>
          <w:rFonts w:cs="Times New Roman"/>
          <w:color w:val="000000" w:themeColor="text1"/>
          <w:szCs w:val="24"/>
        </w:rPr>
        <w:t>automotive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426FE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426FE">
        <w:rPr>
          <w:rFonts w:cs="Times New Roman"/>
          <w:color w:val="000000" w:themeColor="text1"/>
          <w:szCs w:val="24"/>
        </w:rPr>
        <w:t>asbestos-containing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426FE">
        <w:rPr>
          <w:rFonts w:cs="Times New Roman"/>
          <w:color w:val="000000" w:themeColor="text1"/>
          <w:szCs w:val="24"/>
        </w:rPr>
        <w:t>brakes/linings;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426FE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426FE">
        <w:rPr>
          <w:rFonts w:cs="Times New Roman"/>
          <w:color w:val="000000" w:themeColor="text1"/>
          <w:szCs w:val="24"/>
        </w:rPr>
        <w:t>vehicle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426FE">
        <w:rPr>
          <w:rFonts w:cs="Times New Roman"/>
          <w:color w:val="000000" w:themeColor="text1"/>
          <w:szCs w:val="24"/>
        </w:rPr>
        <w:t>friction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426FE">
        <w:rPr>
          <w:rFonts w:cs="Times New Roman"/>
          <w:color w:val="000000" w:themeColor="text1"/>
          <w:szCs w:val="24"/>
        </w:rPr>
        <w:t>products;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426FE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426FE">
        <w:rPr>
          <w:rFonts w:cs="Times New Roman"/>
          <w:color w:val="000000" w:themeColor="text1"/>
          <w:szCs w:val="24"/>
        </w:rPr>
        <w:t>asbestos-containing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426FE">
        <w:rPr>
          <w:rFonts w:cs="Times New Roman"/>
          <w:color w:val="000000" w:themeColor="text1"/>
          <w:szCs w:val="24"/>
        </w:rPr>
        <w:t>gaskets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3238E">
        <w:rPr>
          <w:rFonts w:cs="Times New Roman"/>
          <w:color w:val="000000" w:themeColor="text1"/>
          <w:szCs w:val="24"/>
        </w:rPr>
        <w:t>180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3238E">
        <w:rPr>
          <w:rFonts w:cs="Times New Roman"/>
          <w:color w:val="000000" w:themeColor="text1"/>
          <w:szCs w:val="24"/>
        </w:rPr>
        <w:t>days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3238E">
        <w:rPr>
          <w:rFonts w:cs="Times New Roman"/>
          <w:color w:val="000000" w:themeColor="text1"/>
          <w:szCs w:val="24"/>
        </w:rPr>
        <w:t>after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3238E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3238E">
        <w:rPr>
          <w:rFonts w:cs="Times New Roman"/>
          <w:color w:val="000000" w:themeColor="text1"/>
          <w:szCs w:val="24"/>
        </w:rPr>
        <w:t>effective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3238E">
        <w:rPr>
          <w:rFonts w:cs="Times New Roman"/>
          <w:color w:val="000000" w:themeColor="text1"/>
          <w:szCs w:val="24"/>
        </w:rPr>
        <w:t>date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3238E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3238E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3238E">
        <w:rPr>
          <w:rFonts w:cs="Times New Roman"/>
          <w:color w:val="000000" w:themeColor="text1"/>
          <w:szCs w:val="24"/>
        </w:rPr>
        <w:t>final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3238E">
        <w:rPr>
          <w:rFonts w:cs="Times New Roman"/>
          <w:color w:val="000000" w:themeColor="text1"/>
          <w:szCs w:val="24"/>
        </w:rPr>
        <w:t>rule</w:t>
      </w:r>
      <w:r w:rsidRPr="00C317BB" w:rsidR="00F426FE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5DAE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5DAE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5DAE">
        <w:rPr>
          <w:rFonts w:cs="Times New Roman"/>
          <w:color w:val="000000" w:themeColor="text1"/>
          <w:szCs w:val="24"/>
        </w:rPr>
        <w:t>further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5DAE">
        <w:rPr>
          <w:rFonts w:cs="Times New Roman"/>
          <w:color w:val="000000" w:themeColor="text1"/>
          <w:szCs w:val="24"/>
        </w:rPr>
        <w:t>proposing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5DAE">
        <w:rPr>
          <w:rFonts w:cs="Times New Roman"/>
          <w:color w:val="000000" w:themeColor="text1"/>
          <w:szCs w:val="24"/>
        </w:rPr>
        <w:t>pursuant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5DAE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5DAE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5DAE">
        <w:rPr>
          <w:rFonts w:cs="Times New Roman"/>
          <w:color w:val="000000" w:themeColor="text1"/>
          <w:szCs w:val="24"/>
        </w:rPr>
        <w:t>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5DAE">
        <w:rPr>
          <w:rFonts w:cs="Times New Roman"/>
          <w:color w:val="000000" w:themeColor="text1"/>
          <w:szCs w:val="24"/>
        </w:rPr>
        <w:t>6(a)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5DAE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5DAE">
        <w:rPr>
          <w:rFonts w:cs="Times New Roman"/>
          <w:color w:val="000000" w:themeColor="text1"/>
          <w:szCs w:val="24"/>
        </w:rPr>
        <w:t>prohibit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5DAE">
        <w:rPr>
          <w:rFonts w:cs="Times New Roman"/>
          <w:color w:val="000000" w:themeColor="text1"/>
          <w:szCs w:val="24"/>
        </w:rPr>
        <w:t>manufacture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2CB9">
        <w:rPr>
          <w:rFonts w:cs="Times New Roman"/>
          <w:color w:val="000000" w:themeColor="text1"/>
          <w:szCs w:val="24"/>
        </w:rPr>
        <w:t>(including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2CB9">
        <w:rPr>
          <w:rFonts w:cs="Times New Roman"/>
          <w:color w:val="000000" w:themeColor="text1"/>
          <w:szCs w:val="24"/>
        </w:rPr>
        <w:t>import)</w:t>
      </w:r>
      <w:r w:rsidRPr="00C317BB" w:rsidR="000F5DAE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5DAE">
        <w:rPr>
          <w:rFonts w:cs="Times New Roman"/>
          <w:color w:val="000000" w:themeColor="text1"/>
          <w:szCs w:val="24"/>
        </w:rPr>
        <w:t>processing,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5DAE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5DAE">
        <w:rPr>
          <w:rFonts w:cs="Times New Roman"/>
          <w:color w:val="000000" w:themeColor="text1"/>
          <w:szCs w:val="24"/>
        </w:rPr>
        <w:t>distribution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5DAE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5DAE">
        <w:rPr>
          <w:rFonts w:cs="Times New Roman"/>
          <w:color w:val="000000" w:themeColor="text1"/>
          <w:szCs w:val="24"/>
        </w:rPr>
        <w:t>commerce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5DAE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5DAE">
        <w:rPr>
          <w:rFonts w:cs="Times New Roman"/>
          <w:color w:val="000000" w:themeColor="text1"/>
          <w:szCs w:val="24"/>
        </w:rPr>
        <w:t>aftermarket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5DAE">
        <w:rPr>
          <w:rFonts w:cs="Times New Roman"/>
          <w:color w:val="000000" w:themeColor="text1"/>
          <w:szCs w:val="24"/>
        </w:rPr>
        <w:t>automotive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5DAE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5DAE">
        <w:rPr>
          <w:rFonts w:cs="Times New Roman"/>
          <w:color w:val="000000" w:themeColor="text1"/>
          <w:szCs w:val="24"/>
        </w:rPr>
        <w:t>asbestos-containing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5DAE">
        <w:rPr>
          <w:rFonts w:cs="Times New Roman"/>
          <w:color w:val="000000" w:themeColor="text1"/>
          <w:szCs w:val="24"/>
        </w:rPr>
        <w:t>brakes/linings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36EF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36EF">
        <w:rPr>
          <w:rFonts w:cs="Times New Roman"/>
          <w:color w:val="000000" w:themeColor="text1"/>
          <w:szCs w:val="24"/>
        </w:rPr>
        <w:t>consumer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36EF">
        <w:rPr>
          <w:rFonts w:cs="Times New Roman"/>
          <w:color w:val="000000" w:themeColor="text1"/>
          <w:szCs w:val="24"/>
        </w:rPr>
        <w:t>use</w:t>
      </w:r>
      <w:r w:rsidRPr="00C317BB" w:rsidR="000F5DAE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5DAE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5DAE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5DAE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5DAE">
        <w:rPr>
          <w:rFonts w:cs="Times New Roman"/>
          <w:color w:val="000000" w:themeColor="text1"/>
          <w:szCs w:val="24"/>
        </w:rPr>
        <w:t>asbestos-containing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5DAE">
        <w:rPr>
          <w:rFonts w:cs="Times New Roman"/>
          <w:color w:val="000000" w:themeColor="text1"/>
          <w:szCs w:val="24"/>
        </w:rPr>
        <w:t>gaskets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36EF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36EF">
        <w:rPr>
          <w:rFonts w:cs="Times New Roman"/>
          <w:color w:val="000000" w:themeColor="text1"/>
          <w:szCs w:val="24"/>
        </w:rPr>
        <w:t>consumer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36EF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02295">
        <w:rPr>
          <w:rFonts w:cs="Times New Roman"/>
          <w:color w:val="000000" w:themeColor="text1"/>
          <w:szCs w:val="24"/>
        </w:rPr>
        <w:t>180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02295">
        <w:rPr>
          <w:rFonts w:cs="Times New Roman"/>
          <w:color w:val="000000" w:themeColor="text1"/>
          <w:szCs w:val="24"/>
        </w:rPr>
        <w:t>days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02295">
        <w:rPr>
          <w:rFonts w:cs="Times New Roman"/>
          <w:color w:val="000000" w:themeColor="text1"/>
          <w:szCs w:val="24"/>
        </w:rPr>
        <w:t>after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02295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02295">
        <w:rPr>
          <w:rFonts w:cs="Times New Roman"/>
          <w:color w:val="000000" w:themeColor="text1"/>
          <w:szCs w:val="24"/>
        </w:rPr>
        <w:t>effective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02295">
        <w:rPr>
          <w:rFonts w:cs="Times New Roman"/>
          <w:color w:val="000000" w:themeColor="text1"/>
          <w:szCs w:val="24"/>
        </w:rPr>
        <w:t>date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02295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02295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02295">
        <w:rPr>
          <w:rFonts w:cs="Times New Roman"/>
          <w:color w:val="000000" w:themeColor="text1"/>
          <w:szCs w:val="24"/>
        </w:rPr>
        <w:t>final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02295">
        <w:rPr>
          <w:rFonts w:cs="Times New Roman"/>
          <w:color w:val="000000" w:themeColor="text1"/>
          <w:szCs w:val="24"/>
        </w:rPr>
        <w:t>rule</w:t>
      </w:r>
      <w:r w:rsidRPr="00C317BB" w:rsidR="000F5DAE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426FE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426FE">
        <w:rPr>
          <w:rFonts w:cs="Times New Roman"/>
          <w:color w:val="000000" w:themeColor="text1"/>
          <w:szCs w:val="24"/>
        </w:rPr>
        <w:t>also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25C8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426FE">
        <w:rPr>
          <w:rFonts w:cs="Times New Roman"/>
          <w:color w:val="000000" w:themeColor="text1"/>
          <w:szCs w:val="24"/>
        </w:rPr>
        <w:t>proposing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426FE">
        <w:rPr>
          <w:rFonts w:cs="Times New Roman"/>
          <w:color w:val="000000" w:themeColor="text1"/>
          <w:szCs w:val="24"/>
        </w:rPr>
        <w:t>disposal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426FE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426FE">
        <w:rPr>
          <w:rFonts w:cs="Times New Roman"/>
          <w:color w:val="000000" w:themeColor="text1"/>
          <w:szCs w:val="24"/>
        </w:rPr>
        <w:t>recordkeeping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426FE">
        <w:rPr>
          <w:rFonts w:cs="Times New Roman"/>
          <w:color w:val="000000" w:themeColor="text1"/>
          <w:szCs w:val="24"/>
        </w:rPr>
        <w:t>requirements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426FE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426FE">
        <w:rPr>
          <w:rFonts w:cs="Times New Roman"/>
          <w:color w:val="000000" w:themeColor="text1"/>
          <w:szCs w:val="24"/>
        </w:rPr>
        <w:t>these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426FE">
        <w:rPr>
          <w:rFonts w:cs="Times New Roman"/>
          <w:color w:val="000000" w:themeColor="text1"/>
          <w:szCs w:val="24"/>
        </w:rPr>
        <w:t>conditions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426FE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426FE">
        <w:rPr>
          <w:rFonts w:cs="Times New Roman"/>
          <w:color w:val="000000" w:themeColor="text1"/>
          <w:szCs w:val="24"/>
        </w:rPr>
        <w:t>use.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D78C5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D78C5">
        <w:rPr>
          <w:rFonts w:cs="Times New Roman"/>
          <w:color w:val="000000" w:themeColor="text1"/>
          <w:szCs w:val="24"/>
        </w:rPr>
        <w:t>does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D78C5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D78C5">
        <w:rPr>
          <w:rFonts w:cs="Times New Roman"/>
          <w:color w:val="000000" w:themeColor="text1"/>
          <w:szCs w:val="24"/>
        </w:rPr>
        <w:t>intend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D78C5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D78C5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D78C5">
        <w:rPr>
          <w:rFonts w:cs="Times New Roman"/>
          <w:color w:val="000000" w:themeColor="text1"/>
          <w:szCs w:val="24"/>
        </w:rPr>
        <w:t>prohibitions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D78C5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D78C5">
        <w:rPr>
          <w:rFonts w:cs="Times New Roman"/>
          <w:color w:val="000000" w:themeColor="text1"/>
          <w:szCs w:val="24"/>
        </w:rPr>
        <w:t>processing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D78C5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D78C5">
        <w:rPr>
          <w:rFonts w:cs="Times New Roman"/>
          <w:color w:val="000000" w:themeColor="text1"/>
          <w:szCs w:val="24"/>
        </w:rPr>
        <w:t>distribution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D78C5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D78C5">
        <w:rPr>
          <w:rFonts w:cs="Times New Roman"/>
          <w:color w:val="000000" w:themeColor="text1"/>
          <w:szCs w:val="24"/>
        </w:rPr>
        <w:t>commerce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D78C5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D78C5">
        <w:rPr>
          <w:rFonts w:cs="Times New Roman"/>
          <w:color w:val="000000" w:themeColor="text1"/>
          <w:szCs w:val="24"/>
        </w:rPr>
        <w:t>prohibit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D78C5">
        <w:rPr>
          <w:rFonts w:cs="Times New Roman"/>
          <w:color w:val="000000" w:themeColor="text1"/>
          <w:szCs w:val="24"/>
        </w:rPr>
        <w:t>any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D78C5">
        <w:rPr>
          <w:rFonts w:cs="Times New Roman"/>
          <w:color w:val="000000" w:themeColor="text1"/>
          <w:szCs w:val="24"/>
        </w:rPr>
        <w:t>processing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D78C5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D78C5">
        <w:rPr>
          <w:rFonts w:cs="Times New Roman"/>
          <w:color w:val="000000" w:themeColor="text1"/>
          <w:szCs w:val="24"/>
        </w:rPr>
        <w:t>distribution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D78C5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D78C5">
        <w:rPr>
          <w:rFonts w:cs="Times New Roman"/>
          <w:color w:val="000000" w:themeColor="text1"/>
          <w:szCs w:val="24"/>
        </w:rPr>
        <w:t>commerce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D78C5">
        <w:rPr>
          <w:rFonts w:cs="Times New Roman"/>
          <w:color w:val="000000" w:themeColor="text1"/>
          <w:szCs w:val="24"/>
        </w:rPr>
        <w:t>incidental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D78C5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D78C5">
        <w:rPr>
          <w:rFonts w:cs="Times New Roman"/>
          <w:color w:val="000000" w:themeColor="text1"/>
          <w:szCs w:val="24"/>
        </w:rPr>
        <w:t>disposal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D78C5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D78C5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D78C5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D78C5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D78C5">
        <w:rPr>
          <w:rFonts w:cs="Times New Roman"/>
          <w:color w:val="000000" w:themeColor="text1"/>
          <w:szCs w:val="24"/>
        </w:rPr>
        <w:t>waste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D78C5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D78C5">
        <w:rPr>
          <w:rFonts w:cs="Times New Roman"/>
          <w:color w:val="000000" w:themeColor="text1"/>
          <w:szCs w:val="24"/>
        </w:rPr>
        <w:t>accordance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D78C5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D78C5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D78C5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D78C5">
        <w:rPr>
          <w:rFonts w:cs="Times New Roman"/>
          <w:color w:val="000000" w:themeColor="text1"/>
          <w:szCs w:val="24"/>
        </w:rPr>
        <w:t>requirements.</w:t>
      </w:r>
    </w:p>
    <w:p w:rsidRPr="00C317BB" w:rsidR="007A64AF" w:rsidP="00F27167" w:rsidRDefault="005613B2" w14:paraId="29A3CEDC" w14:textId="7BF6D8E4">
      <w:pPr>
        <w:ind w:firstLine="720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 </w:t>
      </w:r>
      <w:r w:rsidRPr="00C317BB" w:rsidR="007A64AF">
        <w:rPr>
          <w:rFonts w:cs="Times New Roman"/>
          <w:color w:val="000000" w:themeColor="text1"/>
          <w:szCs w:val="24"/>
        </w:rPr>
        <w:t>EPA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7A64AF">
        <w:rPr>
          <w:rFonts w:cs="Times New Roman"/>
          <w:color w:val="000000" w:themeColor="text1"/>
          <w:szCs w:val="24"/>
        </w:rPr>
        <w:t>considered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DC41AC">
        <w:rPr>
          <w:rFonts w:cs="Times New Roman"/>
          <w:color w:val="000000" w:themeColor="text1"/>
          <w:szCs w:val="24"/>
        </w:rPr>
        <w:t>alternative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084B13">
        <w:rPr>
          <w:rFonts w:cs="Times New Roman"/>
          <w:color w:val="000000" w:themeColor="text1"/>
          <w:szCs w:val="24"/>
        </w:rPr>
        <w:t>regulatory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7A64AF">
        <w:rPr>
          <w:rFonts w:cs="Times New Roman"/>
          <w:color w:val="000000" w:themeColor="text1"/>
          <w:szCs w:val="24"/>
        </w:rPr>
        <w:t>requirements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4E6DF5">
        <w:rPr>
          <w:rFonts w:cs="Times New Roman"/>
          <w:color w:val="000000" w:themeColor="text1"/>
          <w:szCs w:val="24"/>
        </w:rPr>
        <w:t>that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4E6DF5">
        <w:rPr>
          <w:rFonts w:cs="Times New Roman"/>
          <w:color w:val="000000" w:themeColor="text1"/>
          <w:szCs w:val="24"/>
        </w:rPr>
        <w:t>would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7A64AF">
        <w:rPr>
          <w:rFonts w:cs="Times New Roman"/>
          <w:color w:val="000000" w:themeColor="text1"/>
          <w:szCs w:val="24"/>
        </w:rPr>
        <w:t>reduce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7A64AF">
        <w:rPr>
          <w:rFonts w:cs="Times New Roman"/>
          <w:color w:val="000000" w:themeColor="text1"/>
          <w:szCs w:val="24"/>
        </w:rPr>
        <w:t>exposures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7A64AF">
        <w:rPr>
          <w:rFonts w:cs="Times New Roman"/>
          <w:color w:val="000000" w:themeColor="text1"/>
          <w:szCs w:val="24"/>
        </w:rPr>
        <w:t>in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7A64AF">
        <w:rPr>
          <w:rFonts w:cs="Times New Roman"/>
          <w:color w:val="000000" w:themeColor="text1"/>
          <w:szCs w:val="24"/>
        </w:rPr>
        <w:t>occupational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7A64AF">
        <w:rPr>
          <w:rFonts w:cs="Times New Roman"/>
          <w:color w:val="000000" w:themeColor="text1"/>
          <w:szCs w:val="24"/>
        </w:rPr>
        <w:t>settings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276021">
        <w:rPr>
          <w:rFonts w:cs="Times New Roman"/>
          <w:color w:val="000000" w:themeColor="text1"/>
          <w:szCs w:val="24"/>
        </w:rPr>
        <w:t>and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276021">
        <w:rPr>
          <w:rFonts w:cs="Times New Roman"/>
          <w:color w:val="000000" w:themeColor="text1"/>
          <w:szCs w:val="24"/>
        </w:rPr>
        <w:t>address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276021">
        <w:rPr>
          <w:rFonts w:cs="Times New Roman"/>
          <w:color w:val="000000" w:themeColor="text1"/>
          <w:szCs w:val="24"/>
        </w:rPr>
        <w:t>consumer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276021">
        <w:rPr>
          <w:rFonts w:cs="Times New Roman"/>
          <w:color w:val="000000" w:themeColor="text1"/>
          <w:szCs w:val="24"/>
        </w:rPr>
        <w:t>and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276021">
        <w:rPr>
          <w:rFonts w:cs="Times New Roman"/>
          <w:color w:val="000000" w:themeColor="text1"/>
          <w:szCs w:val="24"/>
        </w:rPr>
        <w:t>bystander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276021">
        <w:rPr>
          <w:rFonts w:cs="Times New Roman"/>
          <w:color w:val="000000" w:themeColor="text1"/>
          <w:szCs w:val="24"/>
        </w:rPr>
        <w:t>exposure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4E6DF5">
        <w:rPr>
          <w:rFonts w:cs="Times New Roman"/>
          <w:color w:val="000000" w:themeColor="text1"/>
          <w:szCs w:val="24"/>
        </w:rPr>
        <w:t>so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4E6DF5">
        <w:rPr>
          <w:rFonts w:cs="Times New Roman"/>
          <w:color w:val="000000" w:themeColor="text1"/>
          <w:szCs w:val="24"/>
        </w:rPr>
        <w:t>that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A96E82">
        <w:rPr>
          <w:rFonts w:cs="Times New Roman"/>
          <w:color w:val="000000" w:themeColor="text1"/>
          <w:szCs w:val="24"/>
        </w:rPr>
        <w:t>chrysotile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A96E82">
        <w:rPr>
          <w:rFonts w:cs="Times New Roman"/>
          <w:color w:val="000000" w:themeColor="text1"/>
          <w:szCs w:val="24"/>
        </w:rPr>
        <w:t>asbestos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4E6DF5">
        <w:rPr>
          <w:rFonts w:cs="Times New Roman"/>
          <w:color w:val="000000" w:themeColor="text1"/>
          <w:szCs w:val="24"/>
        </w:rPr>
        <w:t>no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4E6DF5">
        <w:rPr>
          <w:rFonts w:cs="Times New Roman"/>
          <w:color w:val="000000" w:themeColor="text1"/>
          <w:szCs w:val="24"/>
        </w:rPr>
        <w:t>longer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4E6DF5">
        <w:rPr>
          <w:rFonts w:cs="Times New Roman"/>
          <w:color w:val="000000" w:themeColor="text1"/>
          <w:szCs w:val="24"/>
        </w:rPr>
        <w:t>present</w:t>
      </w:r>
      <w:r w:rsidRPr="00C317BB" w:rsidR="00CD2D1A">
        <w:rPr>
          <w:rFonts w:cs="Times New Roman"/>
          <w:color w:val="000000" w:themeColor="text1"/>
          <w:szCs w:val="24"/>
        </w:rPr>
        <w:t>s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F47F94">
        <w:rPr>
          <w:rFonts w:cs="Times New Roman"/>
          <w:color w:val="000000" w:themeColor="text1"/>
          <w:szCs w:val="24"/>
        </w:rPr>
        <w:t>unreasonable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F47F94">
        <w:rPr>
          <w:rFonts w:cs="Times New Roman"/>
          <w:color w:val="000000" w:themeColor="text1"/>
          <w:szCs w:val="24"/>
        </w:rPr>
        <w:t>risk</w:t>
      </w:r>
      <w:r w:rsidRPr="00C317BB" w:rsidR="007A64AF">
        <w:rPr>
          <w:rFonts w:cs="Times New Roman"/>
          <w:color w:val="000000" w:themeColor="text1"/>
          <w:szCs w:val="24"/>
        </w:rPr>
        <w:t>.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06792F">
        <w:rPr>
          <w:rFonts w:cs="Times New Roman"/>
          <w:color w:val="000000" w:themeColor="text1"/>
          <w:szCs w:val="24"/>
        </w:rPr>
        <w:t>A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06792F">
        <w:rPr>
          <w:rFonts w:cs="Times New Roman"/>
          <w:color w:val="000000" w:themeColor="text1"/>
          <w:szCs w:val="24"/>
        </w:rPr>
        <w:t>possible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06792F">
        <w:rPr>
          <w:rFonts w:cs="Times New Roman"/>
          <w:color w:val="000000" w:themeColor="text1"/>
          <w:szCs w:val="24"/>
        </w:rPr>
        <w:t>requirement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06792F">
        <w:rPr>
          <w:rFonts w:cs="Times New Roman"/>
          <w:color w:val="000000" w:themeColor="text1"/>
          <w:szCs w:val="24"/>
        </w:rPr>
        <w:t>under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06792F">
        <w:rPr>
          <w:rFonts w:cs="Times New Roman"/>
          <w:color w:val="000000" w:themeColor="text1"/>
          <w:szCs w:val="24"/>
        </w:rPr>
        <w:t>TSCA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06792F">
        <w:rPr>
          <w:rFonts w:cs="Times New Roman"/>
          <w:color w:val="000000" w:themeColor="text1"/>
          <w:szCs w:val="24"/>
        </w:rPr>
        <w:t>section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06792F">
        <w:rPr>
          <w:rFonts w:cs="Times New Roman"/>
          <w:color w:val="000000" w:themeColor="text1"/>
          <w:szCs w:val="24"/>
        </w:rPr>
        <w:t>6(a)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06792F">
        <w:rPr>
          <w:rFonts w:cs="Times New Roman"/>
          <w:color w:val="000000" w:themeColor="text1"/>
          <w:szCs w:val="24"/>
        </w:rPr>
        <w:t>that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6843B3">
        <w:rPr>
          <w:rFonts w:cs="Times New Roman"/>
          <w:color w:val="000000" w:themeColor="text1"/>
          <w:szCs w:val="24"/>
        </w:rPr>
        <w:t>EPA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6843B3">
        <w:rPr>
          <w:rFonts w:cs="Times New Roman"/>
          <w:color w:val="000000" w:themeColor="text1"/>
          <w:szCs w:val="24"/>
        </w:rPr>
        <w:t>consider</w:t>
      </w:r>
      <w:r w:rsidRPr="00C317BB" w:rsidR="000F4488">
        <w:rPr>
          <w:rFonts w:cs="Times New Roman"/>
          <w:color w:val="000000" w:themeColor="text1"/>
          <w:szCs w:val="24"/>
        </w:rPr>
        <w:t>ed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06792F">
        <w:rPr>
          <w:rFonts w:cs="Times New Roman"/>
          <w:color w:val="000000" w:themeColor="text1"/>
          <w:szCs w:val="24"/>
        </w:rPr>
        <w:t>was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06792F">
        <w:rPr>
          <w:rFonts w:cs="Times New Roman"/>
          <w:color w:val="000000" w:themeColor="text1"/>
          <w:szCs w:val="24"/>
        </w:rPr>
        <w:t>the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06792F">
        <w:rPr>
          <w:rFonts w:cs="Times New Roman"/>
          <w:color w:val="000000" w:themeColor="text1"/>
          <w:szCs w:val="24"/>
        </w:rPr>
        <w:t>use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06792F">
        <w:rPr>
          <w:rFonts w:cs="Times New Roman"/>
          <w:color w:val="000000" w:themeColor="text1"/>
          <w:szCs w:val="24"/>
        </w:rPr>
        <w:t>of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06792F">
        <w:rPr>
          <w:rFonts w:cs="Times New Roman"/>
          <w:color w:val="000000" w:themeColor="text1"/>
          <w:szCs w:val="24"/>
        </w:rPr>
        <w:t>respirators;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06792F">
        <w:rPr>
          <w:rFonts w:cs="Times New Roman"/>
          <w:color w:val="000000" w:themeColor="text1"/>
          <w:szCs w:val="24"/>
        </w:rPr>
        <w:t>however,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1379EB">
        <w:rPr>
          <w:rFonts w:cs="Times New Roman"/>
          <w:color w:val="000000" w:themeColor="text1"/>
          <w:szCs w:val="24"/>
        </w:rPr>
        <w:t>EPA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B12794">
        <w:rPr>
          <w:rFonts w:cs="Times New Roman"/>
          <w:color w:val="000000" w:themeColor="text1"/>
          <w:szCs w:val="24"/>
        </w:rPr>
        <w:t>de</w:t>
      </w:r>
      <w:r w:rsidRPr="00C317BB" w:rsidR="001379EB">
        <w:rPr>
          <w:rFonts w:cs="Times New Roman"/>
          <w:color w:val="000000" w:themeColor="text1"/>
          <w:szCs w:val="24"/>
        </w:rPr>
        <w:t>termined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B12794">
        <w:rPr>
          <w:rFonts w:cs="Times New Roman"/>
          <w:color w:val="000000" w:themeColor="text1"/>
          <w:szCs w:val="24"/>
        </w:rPr>
        <w:t>that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B56EA2">
        <w:rPr>
          <w:rFonts w:cs="Times New Roman"/>
          <w:color w:val="000000" w:themeColor="text1"/>
          <w:szCs w:val="24"/>
        </w:rPr>
        <w:t>respirators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B56EA2">
        <w:rPr>
          <w:rFonts w:cs="Times New Roman"/>
          <w:color w:val="000000" w:themeColor="text1"/>
          <w:szCs w:val="24"/>
        </w:rPr>
        <w:t>were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B56EA2">
        <w:rPr>
          <w:rFonts w:cs="Times New Roman"/>
          <w:color w:val="000000" w:themeColor="text1"/>
          <w:szCs w:val="24"/>
        </w:rPr>
        <w:t>not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B79C7">
        <w:rPr>
          <w:rFonts w:cs="Times New Roman"/>
          <w:color w:val="000000" w:themeColor="text1"/>
          <w:szCs w:val="24"/>
        </w:rPr>
        <w:t>adequate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B79C7">
        <w:rPr>
          <w:rFonts w:cs="Times New Roman"/>
          <w:color w:val="000000" w:themeColor="text1"/>
          <w:szCs w:val="24"/>
        </w:rPr>
        <w:t>for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B79C7">
        <w:rPr>
          <w:rFonts w:cs="Times New Roman"/>
          <w:color w:val="000000" w:themeColor="text1"/>
          <w:szCs w:val="24"/>
        </w:rPr>
        <w:t>all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B79C7">
        <w:rPr>
          <w:rFonts w:cs="Times New Roman"/>
          <w:color w:val="000000" w:themeColor="text1"/>
          <w:szCs w:val="24"/>
        </w:rPr>
        <w:t>conditions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B79C7">
        <w:rPr>
          <w:rFonts w:cs="Times New Roman"/>
          <w:color w:val="000000" w:themeColor="text1"/>
          <w:szCs w:val="24"/>
        </w:rPr>
        <w:t>of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B79C7">
        <w:rPr>
          <w:rFonts w:cs="Times New Roman"/>
          <w:color w:val="000000" w:themeColor="text1"/>
          <w:szCs w:val="24"/>
        </w:rPr>
        <w:t>use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B79C7">
        <w:rPr>
          <w:rFonts w:cs="Times New Roman"/>
          <w:color w:val="000000" w:themeColor="text1"/>
          <w:szCs w:val="24"/>
        </w:rPr>
        <w:t>that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B79C7">
        <w:rPr>
          <w:rFonts w:cs="Times New Roman"/>
          <w:color w:val="000000" w:themeColor="text1"/>
          <w:szCs w:val="24"/>
        </w:rPr>
        <w:t>are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B79C7">
        <w:rPr>
          <w:rFonts w:cs="Times New Roman"/>
          <w:color w:val="000000" w:themeColor="text1"/>
          <w:szCs w:val="24"/>
        </w:rPr>
        <w:t>driving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B79C7">
        <w:rPr>
          <w:rFonts w:cs="Times New Roman"/>
          <w:color w:val="000000" w:themeColor="text1"/>
          <w:szCs w:val="24"/>
        </w:rPr>
        <w:t>unreasonable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B79C7">
        <w:rPr>
          <w:rFonts w:cs="Times New Roman"/>
          <w:color w:val="000000" w:themeColor="text1"/>
          <w:szCs w:val="24"/>
        </w:rPr>
        <w:t>risk</w:t>
      </w:r>
      <w:r w:rsidRPr="00C317BB" w:rsidR="00B85CFE">
        <w:rPr>
          <w:rFonts w:cs="Times New Roman"/>
          <w:color w:val="000000" w:themeColor="text1"/>
          <w:szCs w:val="24"/>
        </w:rPr>
        <w:t>,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B79C7">
        <w:rPr>
          <w:rFonts w:cs="Times New Roman"/>
          <w:color w:val="000000" w:themeColor="text1"/>
          <w:szCs w:val="24"/>
        </w:rPr>
        <w:t>and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ED3764">
        <w:rPr>
          <w:rFonts w:cs="Times New Roman"/>
          <w:color w:val="000000" w:themeColor="text1"/>
          <w:szCs w:val="24"/>
        </w:rPr>
        <w:t>EPA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ED3764">
        <w:rPr>
          <w:rFonts w:cs="Times New Roman"/>
          <w:color w:val="000000" w:themeColor="text1"/>
          <w:szCs w:val="24"/>
        </w:rPr>
        <w:t>also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ED3764">
        <w:rPr>
          <w:rFonts w:cs="Times New Roman"/>
          <w:color w:val="000000" w:themeColor="text1"/>
          <w:szCs w:val="24"/>
        </w:rPr>
        <w:t>would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ED3764">
        <w:rPr>
          <w:rFonts w:cs="Times New Roman"/>
          <w:color w:val="000000" w:themeColor="text1"/>
          <w:szCs w:val="24"/>
        </w:rPr>
        <w:t>like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ED3764">
        <w:rPr>
          <w:rFonts w:cs="Times New Roman"/>
          <w:color w:val="000000" w:themeColor="text1"/>
          <w:szCs w:val="24"/>
        </w:rPr>
        <w:t>to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E3721C">
        <w:rPr>
          <w:rFonts w:cs="Times New Roman"/>
          <w:color w:val="000000" w:themeColor="text1"/>
          <w:szCs w:val="24"/>
        </w:rPr>
        <w:t>consider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6843B3">
        <w:rPr>
          <w:rFonts w:cs="Times New Roman"/>
          <w:color w:val="000000" w:themeColor="text1"/>
          <w:szCs w:val="24"/>
        </w:rPr>
        <w:t>the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6843B3">
        <w:rPr>
          <w:rFonts w:cs="Times New Roman"/>
          <w:color w:val="000000" w:themeColor="text1"/>
          <w:szCs w:val="24"/>
        </w:rPr>
        <w:t>NIOSH/OSHA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6843B3">
        <w:rPr>
          <w:rFonts w:cs="Times New Roman"/>
          <w:color w:val="000000" w:themeColor="text1"/>
          <w:szCs w:val="24"/>
        </w:rPr>
        <w:t>hierarchy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6843B3">
        <w:rPr>
          <w:rFonts w:cs="Times New Roman"/>
          <w:color w:val="000000" w:themeColor="text1"/>
          <w:szCs w:val="24"/>
        </w:rPr>
        <w:t>of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6843B3">
        <w:rPr>
          <w:rFonts w:cs="Times New Roman"/>
          <w:color w:val="000000" w:themeColor="text1"/>
          <w:szCs w:val="24"/>
        </w:rPr>
        <w:t>controls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D31F4E">
        <w:rPr>
          <w:rFonts w:cs="Times New Roman"/>
          <w:color w:val="000000" w:themeColor="text1"/>
          <w:szCs w:val="24"/>
        </w:rPr>
        <w:t>instead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664109">
        <w:rPr>
          <w:rFonts w:cs="Times New Roman"/>
          <w:color w:val="000000" w:themeColor="text1"/>
          <w:szCs w:val="24"/>
        </w:rPr>
        <w:t>of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BC52AD">
        <w:rPr>
          <w:rFonts w:cs="Times New Roman"/>
          <w:color w:val="000000" w:themeColor="text1"/>
          <w:szCs w:val="24"/>
        </w:rPr>
        <w:t>consider</w:t>
      </w:r>
      <w:r w:rsidRPr="00C317BB" w:rsidR="001379EB">
        <w:rPr>
          <w:rFonts w:cs="Times New Roman"/>
          <w:color w:val="000000" w:themeColor="text1"/>
          <w:szCs w:val="24"/>
        </w:rPr>
        <w:t>ingly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1379EB">
        <w:rPr>
          <w:rFonts w:cs="Times New Roman"/>
          <w:color w:val="000000" w:themeColor="text1"/>
          <w:szCs w:val="24"/>
        </w:rPr>
        <w:t>only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D66539">
        <w:rPr>
          <w:rFonts w:cs="Times New Roman"/>
          <w:color w:val="000000" w:themeColor="text1"/>
          <w:szCs w:val="24"/>
        </w:rPr>
        <w:t>respirators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2A581C">
        <w:rPr>
          <w:rFonts w:cs="Times New Roman"/>
          <w:color w:val="000000" w:themeColor="text1"/>
          <w:szCs w:val="24"/>
        </w:rPr>
        <w:t>as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2A581C">
        <w:rPr>
          <w:rFonts w:cs="Times New Roman"/>
          <w:color w:val="000000" w:themeColor="text1"/>
          <w:szCs w:val="24"/>
        </w:rPr>
        <w:t>part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2A581C">
        <w:rPr>
          <w:rFonts w:cs="Times New Roman"/>
          <w:color w:val="000000" w:themeColor="text1"/>
          <w:szCs w:val="24"/>
        </w:rPr>
        <w:t>of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AC5E47">
        <w:rPr>
          <w:rFonts w:cs="Times New Roman"/>
          <w:color w:val="000000" w:themeColor="text1"/>
          <w:szCs w:val="24"/>
        </w:rPr>
        <w:t>management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AC5E47">
        <w:rPr>
          <w:rFonts w:cs="Times New Roman"/>
          <w:color w:val="000000" w:themeColor="text1"/>
          <w:szCs w:val="24"/>
        </w:rPr>
        <w:t>of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C14F67">
        <w:rPr>
          <w:rFonts w:cs="Times New Roman"/>
          <w:color w:val="000000" w:themeColor="text1"/>
          <w:szCs w:val="24"/>
        </w:rPr>
        <w:t>occupational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AC5E47">
        <w:rPr>
          <w:rFonts w:cs="Times New Roman"/>
          <w:color w:val="000000" w:themeColor="text1"/>
          <w:szCs w:val="24"/>
        </w:rPr>
        <w:t>exposures</w:t>
      </w:r>
      <w:r w:rsidRPr="00C317BB" w:rsidR="006843B3">
        <w:rPr>
          <w:rFonts w:cs="Times New Roman"/>
          <w:color w:val="000000" w:themeColor="text1"/>
          <w:szCs w:val="24"/>
        </w:rPr>
        <w:t>.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6843B3">
        <w:rPr>
          <w:rFonts w:cs="Times New Roman"/>
          <w:color w:val="000000" w:themeColor="text1"/>
          <w:szCs w:val="24"/>
        </w:rPr>
        <w:t>Other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6843B3">
        <w:rPr>
          <w:rFonts w:cs="Times New Roman"/>
          <w:color w:val="000000" w:themeColor="text1"/>
          <w:szCs w:val="24"/>
        </w:rPr>
        <w:t>possible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6843B3">
        <w:rPr>
          <w:rFonts w:cs="Times New Roman"/>
          <w:color w:val="000000" w:themeColor="text1"/>
          <w:szCs w:val="24"/>
        </w:rPr>
        <w:t>requirements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6843B3">
        <w:rPr>
          <w:rFonts w:cs="Times New Roman"/>
          <w:color w:val="000000" w:themeColor="text1"/>
          <w:szCs w:val="24"/>
        </w:rPr>
        <w:t>under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6843B3">
        <w:rPr>
          <w:rFonts w:cs="Times New Roman"/>
          <w:color w:val="000000" w:themeColor="text1"/>
          <w:szCs w:val="24"/>
        </w:rPr>
        <w:t>TSCA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6843B3">
        <w:rPr>
          <w:rFonts w:cs="Times New Roman"/>
          <w:color w:val="000000" w:themeColor="text1"/>
          <w:szCs w:val="24"/>
        </w:rPr>
        <w:t>section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6843B3">
        <w:rPr>
          <w:rFonts w:cs="Times New Roman"/>
          <w:color w:val="000000" w:themeColor="text1"/>
          <w:szCs w:val="24"/>
        </w:rPr>
        <w:t>6(a)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6843B3">
        <w:rPr>
          <w:rFonts w:cs="Times New Roman"/>
          <w:color w:val="000000" w:themeColor="text1"/>
          <w:szCs w:val="24"/>
        </w:rPr>
        <w:t>such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6843B3">
        <w:rPr>
          <w:rFonts w:cs="Times New Roman"/>
          <w:color w:val="000000" w:themeColor="text1"/>
          <w:szCs w:val="24"/>
        </w:rPr>
        <w:t>as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6843B3">
        <w:rPr>
          <w:rFonts w:cs="Times New Roman"/>
          <w:color w:val="000000" w:themeColor="text1"/>
          <w:szCs w:val="24"/>
        </w:rPr>
        <w:t>limiting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6843B3">
        <w:rPr>
          <w:rFonts w:cs="Times New Roman"/>
          <w:color w:val="000000" w:themeColor="text1"/>
          <w:szCs w:val="24"/>
        </w:rPr>
        <w:t>the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6843B3">
        <w:rPr>
          <w:rFonts w:cs="Times New Roman"/>
          <w:color w:val="000000" w:themeColor="text1"/>
          <w:szCs w:val="24"/>
        </w:rPr>
        <w:t>weight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6843B3">
        <w:rPr>
          <w:rFonts w:cs="Times New Roman"/>
          <w:color w:val="000000" w:themeColor="text1"/>
          <w:szCs w:val="24"/>
        </w:rPr>
        <w:t>fraction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6843B3">
        <w:rPr>
          <w:rFonts w:cs="Times New Roman"/>
          <w:color w:val="000000" w:themeColor="text1"/>
          <w:szCs w:val="24"/>
        </w:rPr>
        <w:t>or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6843B3">
        <w:rPr>
          <w:rFonts w:cs="Times New Roman"/>
          <w:color w:val="000000" w:themeColor="text1"/>
          <w:szCs w:val="24"/>
        </w:rPr>
        <w:t>size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6843B3">
        <w:rPr>
          <w:rFonts w:cs="Times New Roman"/>
          <w:color w:val="000000" w:themeColor="text1"/>
          <w:szCs w:val="24"/>
        </w:rPr>
        <w:t>of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6843B3">
        <w:rPr>
          <w:rFonts w:cs="Times New Roman"/>
          <w:color w:val="000000" w:themeColor="text1"/>
          <w:szCs w:val="24"/>
        </w:rPr>
        <w:t>the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6843B3">
        <w:rPr>
          <w:rFonts w:cs="Times New Roman"/>
          <w:color w:val="000000" w:themeColor="text1"/>
          <w:szCs w:val="24"/>
        </w:rPr>
        <w:t>items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6843B3">
        <w:rPr>
          <w:rFonts w:cs="Times New Roman"/>
          <w:color w:val="000000" w:themeColor="text1"/>
          <w:szCs w:val="24"/>
        </w:rPr>
        <w:t>containing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6843B3">
        <w:rPr>
          <w:rFonts w:cs="Times New Roman"/>
          <w:color w:val="000000" w:themeColor="text1"/>
          <w:szCs w:val="24"/>
        </w:rPr>
        <w:t>chrysotile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6843B3">
        <w:rPr>
          <w:rFonts w:cs="Times New Roman"/>
          <w:color w:val="000000" w:themeColor="text1"/>
          <w:szCs w:val="24"/>
        </w:rPr>
        <w:t>asbestos,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6843B3">
        <w:rPr>
          <w:rFonts w:cs="Times New Roman"/>
          <w:color w:val="000000" w:themeColor="text1"/>
          <w:szCs w:val="24"/>
        </w:rPr>
        <w:t>were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6843B3">
        <w:rPr>
          <w:rFonts w:cs="Times New Roman"/>
          <w:color w:val="000000" w:themeColor="text1"/>
          <w:szCs w:val="24"/>
        </w:rPr>
        <w:t>not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6843B3">
        <w:rPr>
          <w:rFonts w:cs="Times New Roman"/>
          <w:color w:val="000000" w:themeColor="text1"/>
          <w:szCs w:val="24"/>
        </w:rPr>
        <w:t>considered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6843B3">
        <w:rPr>
          <w:rFonts w:cs="Times New Roman"/>
          <w:color w:val="000000" w:themeColor="text1"/>
          <w:szCs w:val="24"/>
        </w:rPr>
        <w:t>since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6843B3">
        <w:rPr>
          <w:rFonts w:cs="Times New Roman"/>
          <w:color w:val="000000" w:themeColor="text1"/>
          <w:szCs w:val="24"/>
        </w:rPr>
        <w:t>those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6843B3">
        <w:rPr>
          <w:rFonts w:cs="Times New Roman"/>
          <w:color w:val="000000" w:themeColor="text1"/>
          <w:szCs w:val="24"/>
        </w:rPr>
        <w:t>seemed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6843B3">
        <w:rPr>
          <w:rFonts w:cs="Times New Roman"/>
          <w:color w:val="000000" w:themeColor="text1"/>
          <w:szCs w:val="24"/>
        </w:rPr>
        <w:t>impracticable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6843B3">
        <w:rPr>
          <w:rFonts w:cs="Times New Roman"/>
          <w:color w:val="000000" w:themeColor="text1"/>
          <w:szCs w:val="24"/>
        </w:rPr>
        <w:t>for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6843B3">
        <w:rPr>
          <w:rFonts w:cs="Times New Roman"/>
          <w:color w:val="000000" w:themeColor="text1"/>
          <w:szCs w:val="24"/>
        </w:rPr>
        <w:t>the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6843B3">
        <w:rPr>
          <w:rFonts w:cs="Times New Roman"/>
          <w:color w:val="000000" w:themeColor="text1"/>
          <w:szCs w:val="24"/>
        </w:rPr>
        <w:t>conditions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6843B3">
        <w:rPr>
          <w:rFonts w:cs="Times New Roman"/>
          <w:color w:val="000000" w:themeColor="text1"/>
          <w:szCs w:val="24"/>
        </w:rPr>
        <w:t>of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6843B3">
        <w:rPr>
          <w:rFonts w:cs="Times New Roman"/>
          <w:color w:val="000000" w:themeColor="text1"/>
          <w:szCs w:val="24"/>
        </w:rPr>
        <w:t>use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6843B3">
        <w:rPr>
          <w:rFonts w:cs="Times New Roman"/>
          <w:color w:val="000000" w:themeColor="text1"/>
          <w:szCs w:val="24"/>
        </w:rPr>
        <w:t>under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6843B3">
        <w:rPr>
          <w:rFonts w:cs="Times New Roman"/>
          <w:color w:val="000000" w:themeColor="text1"/>
          <w:szCs w:val="24"/>
        </w:rPr>
        <w:t>consideration.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6843B3">
        <w:rPr>
          <w:rFonts w:cs="Times New Roman"/>
          <w:color w:val="000000" w:themeColor="text1"/>
          <w:szCs w:val="24"/>
        </w:rPr>
        <w:t>Other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6843B3">
        <w:rPr>
          <w:rFonts w:cs="Times New Roman"/>
          <w:color w:val="000000" w:themeColor="text1"/>
          <w:szCs w:val="24"/>
        </w:rPr>
        <w:t>possible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6843B3">
        <w:rPr>
          <w:rFonts w:cs="Times New Roman"/>
          <w:color w:val="000000" w:themeColor="text1"/>
          <w:szCs w:val="24"/>
        </w:rPr>
        <w:t>requirements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6843B3">
        <w:rPr>
          <w:rFonts w:cs="Times New Roman"/>
          <w:color w:val="000000" w:themeColor="text1"/>
          <w:szCs w:val="24"/>
        </w:rPr>
        <w:t>under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6843B3">
        <w:rPr>
          <w:rFonts w:cs="Times New Roman"/>
          <w:color w:val="000000" w:themeColor="text1"/>
          <w:szCs w:val="24"/>
        </w:rPr>
        <w:t>TSCA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6843B3">
        <w:rPr>
          <w:rFonts w:cs="Times New Roman"/>
          <w:color w:val="000000" w:themeColor="text1"/>
          <w:szCs w:val="24"/>
        </w:rPr>
        <w:t>section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6843B3">
        <w:rPr>
          <w:rFonts w:cs="Times New Roman"/>
          <w:color w:val="000000" w:themeColor="text1"/>
          <w:szCs w:val="24"/>
        </w:rPr>
        <w:t>6(a)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6843B3">
        <w:rPr>
          <w:rFonts w:cs="Times New Roman"/>
          <w:color w:val="000000" w:themeColor="text1"/>
          <w:szCs w:val="24"/>
        </w:rPr>
        <w:t>that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6843B3">
        <w:rPr>
          <w:rFonts w:cs="Times New Roman"/>
          <w:color w:val="000000" w:themeColor="text1"/>
          <w:szCs w:val="24"/>
        </w:rPr>
        <w:t>EPA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6843B3">
        <w:rPr>
          <w:rFonts w:cs="Times New Roman"/>
          <w:color w:val="000000" w:themeColor="text1"/>
          <w:szCs w:val="24"/>
        </w:rPr>
        <w:t>considered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6843B3">
        <w:rPr>
          <w:rFonts w:cs="Times New Roman"/>
          <w:color w:val="000000" w:themeColor="text1"/>
          <w:szCs w:val="24"/>
        </w:rPr>
        <w:t>in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6843B3">
        <w:rPr>
          <w:rFonts w:cs="Times New Roman"/>
          <w:color w:val="000000" w:themeColor="text1"/>
          <w:szCs w:val="24"/>
        </w:rPr>
        <w:t>combination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6843B3">
        <w:rPr>
          <w:rFonts w:cs="Times New Roman"/>
          <w:color w:val="000000" w:themeColor="text1"/>
          <w:szCs w:val="24"/>
        </w:rPr>
        <w:t>under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6843B3">
        <w:rPr>
          <w:rFonts w:cs="Times New Roman"/>
          <w:color w:val="000000" w:themeColor="text1"/>
          <w:szCs w:val="24"/>
        </w:rPr>
        <w:t>the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6843B3">
        <w:rPr>
          <w:rFonts w:cs="Times New Roman"/>
          <w:color w:val="000000" w:themeColor="text1"/>
          <w:szCs w:val="24"/>
        </w:rPr>
        <w:t>primary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6843B3">
        <w:rPr>
          <w:rFonts w:cs="Times New Roman"/>
          <w:color w:val="000000" w:themeColor="text1"/>
          <w:szCs w:val="24"/>
        </w:rPr>
        <w:t>alternative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6843B3">
        <w:rPr>
          <w:rFonts w:cs="Times New Roman"/>
          <w:color w:val="000000" w:themeColor="text1"/>
          <w:szCs w:val="24"/>
        </w:rPr>
        <w:t>regulatory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6843B3">
        <w:rPr>
          <w:rFonts w:cs="Times New Roman"/>
          <w:color w:val="000000" w:themeColor="text1"/>
          <w:szCs w:val="24"/>
        </w:rPr>
        <w:t>action,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6843B3">
        <w:rPr>
          <w:rFonts w:cs="Times New Roman"/>
          <w:color w:val="000000" w:themeColor="text1"/>
          <w:szCs w:val="24"/>
        </w:rPr>
        <w:t>such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6843B3">
        <w:rPr>
          <w:rFonts w:cs="Times New Roman"/>
          <w:color w:val="000000" w:themeColor="text1"/>
          <w:szCs w:val="24"/>
        </w:rPr>
        <w:t>as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6843B3">
        <w:rPr>
          <w:rFonts w:cs="Times New Roman"/>
          <w:color w:val="000000" w:themeColor="text1"/>
          <w:szCs w:val="24"/>
        </w:rPr>
        <w:t>labels,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6843B3">
        <w:rPr>
          <w:rFonts w:cs="Times New Roman"/>
          <w:color w:val="000000" w:themeColor="text1"/>
          <w:szCs w:val="24"/>
        </w:rPr>
        <w:t>warning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6843B3">
        <w:rPr>
          <w:rFonts w:cs="Times New Roman"/>
          <w:color w:val="000000" w:themeColor="text1"/>
          <w:szCs w:val="24"/>
        </w:rPr>
        <w:t>signs,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6843B3">
        <w:rPr>
          <w:rFonts w:cs="Times New Roman"/>
          <w:color w:val="000000" w:themeColor="text1"/>
          <w:szCs w:val="24"/>
        </w:rPr>
        <w:t>and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6843B3">
        <w:rPr>
          <w:rFonts w:cs="Times New Roman"/>
          <w:color w:val="000000" w:themeColor="text1"/>
          <w:szCs w:val="24"/>
        </w:rPr>
        <w:t>recordkeeping,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6843B3">
        <w:rPr>
          <w:rFonts w:cs="Times New Roman"/>
          <w:color w:val="000000" w:themeColor="text1"/>
          <w:szCs w:val="24"/>
        </w:rPr>
        <w:t>are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6843B3">
        <w:rPr>
          <w:rFonts w:cs="Times New Roman"/>
          <w:color w:val="000000" w:themeColor="text1"/>
          <w:szCs w:val="24"/>
        </w:rPr>
        <w:t>discussed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6843B3">
        <w:rPr>
          <w:rFonts w:cs="Times New Roman"/>
          <w:color w:val="000000" w:themeColor="text1"/>
          <w:szCs w:val="24"/>
        </w:rPr>
        <w:t>in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6843B3">
        <w:rPr>
          <w:rFonts w:cs="Times New Roman"/>
          <w:color w:val="000000" w:themeColor="text1"/>
          <w:szCs w:val="24"/>
        </w:rPr>
        <w:t>Unit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6843B3">
        <w:rPr>
          <w:rFonts w:cs="Times New Roman"/>
          <w:color w:val="000000" w:themeColor="text1"/>
          <w:szCs w:val="24"/>
        </w:rPr>
        <w:t>IV.B.</w:t>
      </w:r>
      <w:r>
        <w:rPr>
          <w:rFonts w:cs="Times New Roman"/>
          <w:color w:val="000000" w:themeColor="text1"/>
          <w:szCs w:val="24"/>
        </w:rPr>
        <w:t xml:space="preserve"> </w:t>
      </w:r>
    </w:p>
    <w:p w:rsidRPr="00C317BB" w:rsidR="00D76625" w:rsidP="00F27167" w:rsidRDefault="00A275C6" w14:paraId="0B3ECACD" w14:textId="7838503F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07A16">
        <w:rPr>
          <w:rFonts w:cs="Times New Roman"/>
          <w:color w:val="000000" w:themeColor="text1"/>
          <w:szCs w:val="24"/>
        </w:rPr>
        <w:t>primary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alternative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A64AF">
        <w:rPr>
          <w:rFonts w:cs="Times New Roman"/>
          <w:color w:val="000000" w:themeColor="text1"/>
          <w:szCs w:val="24"/>
        </w:rPr>
        <w:t>option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631F1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A64AF">
        <w:rPr>
          <w:rFonts w:cs="Times New Roman"/>
          <w:color w:val="000000" w:themeColor="text1"/>
          <w:szCs w:val="24"/>
        </w:rPr>
        <w:t>considered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07A16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07A16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07A16">
        <w:rPr>
          <w:rFonts w:cs="Times New Roman"/>
          <w:color w:val="000000" w:themeColor="text1"/>
          <w:szCs w:val="24"/>
        </w:rPr>
        <w:t>chlor-alkali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144AA">
        <w:rPr>
          <w:rFonts w:cs="Times New Roman"/>
          <w:color w:val="000000" w:themeColor="text1"/>
          <w:szCs w:val="24"/>
        </w:rPr>
        <w:t>diaphragm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07A16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07A16">
        <w:rPr>
          <w:rFonts w:cs="Times New Roman"/>
          <w:color w:val="000000" w:themeColor="text1"/>
          <w:szCs w:val="24"/>
        </w:rPr>
        <w:t>sheet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07A16">
        <w:rPr>
          <w:rFonts w:cs="Times New Roman"/>
          <w:color w:val="000000" w:themeColor="text1"/>
          <w:szCs w:val="24"/>
        </w:rPr>
        <w:t>gasket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42A67">
        <w:rPr>
          <w:rFonts w:cs="Times New Roman"/>
          <w:color w:val="000000" w:themeColor="text1"/>
          <w:szCs w:val="24"/>
        </w:rPr>
        <w:t>categories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A64AF">
        <w:rPr>
          <w:rFonts w:cs="Times New Roman"/>
          <w:color w:val="000000" w:themeColor="text1"/>
          <w:szCs w:val="24"/>
        </w:rPr>
        <w:t>was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84AC0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07A16">
        <w:rPr>
          <w:rFonts w:cs="Times New Roman"/>
          <w:color w:val="000000" w:themeColor="text1"/>
          <w:szCs w:val="24"/>
        </w:rPr>
        <w:t>prohibition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07A16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07A16">
        <w:rPr>
          <w:rFonts w:cs="Times New Roman"/>
          <w:color w:val="000000" w:themeColor="text1"/>
          <w:szCs w:val="24"/>
        </w:rPr>
        <w:t>take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07A16">
        <w:rPr>
          <w:rFonts w:cs="Times New Roman"/>
          <w:color w:val="000000" w:themeColor="text1"/>
          <w:szCs w:val="24"/>
        </w:rPr>
        <w:t>effect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07A16">
        <w:rPr>
          <w:rFonts w:cs="Times New Roman"/>
          <w:color w:val="000000" w:themeColor="text1"/>
          <w:szCs w:val="24"/>
        </w:rPr>
        <w:t>over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07A16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longer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208EA">
        <w:rPr>
          <w:rFonts w:cs="Times New Roman"/>
          <w:color w:val="000000" w:themeColor="text1"/>
          <w:szCs w:val="24"/>
        </w:rPr>
        <w:t>time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07A16">
        <w:rPr>
          <w:rFonts w:cs="Times New Roman"/>
          <w:color w:val="000000" w:themeColor="text1"/>
          <w:szCs w:val="24"/>
        </w:rPr>
        <w:t>(</w:t>
      </w:r>
      <w:r w:rsidRPr="00C317BB" w:rsidR="001F136F">
        <w:rPr>
          <w:rFonts w:cs="Times New Roman"/>
          <w:color w:val="000000" w:themeColor="text1"/>
          <w:szCs w:val="24"/>
        </w:rPr>
        <w:t>five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07A16">
        <w:rPr>
          <w:rFonts w:cs="Times New Roman"/>
          <w:color w:val="000000" w:themeColor="text1"/>
          <w:szCs w:val="24"/>
        </w:rPr>
        <w:t>years),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07A16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1301D827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07A16">
        <w:rPr>
          <w:rFonts w:cs="Times New Roman"/>
          <w:color w:val="000000" w:themeColor="text1"/>
          <w:szCs w:val="24"/>
        </w:rPr>
        <w:t>establishment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07A16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07A16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07A16">
        <w:rPr>
          <w:rFonts w:cs="Times New Roman"/>
          <w:color w:val="000000" w:themeColor="text1"/>
          <w:szCs w:val="24"/>
        </w:rPr>
        <w:t>risk-based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07A16">
        <w:rPr>
          <w:rFonts w:cs="Times New Roman"/>
          <w:color w:val="000000" w:themeColor="text1"/>
          <w:szCs w:val="24"/>
        </w:rPr>
        <w:t>performance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07A16">
        <w:rPr>
          <w:rFonts w:cs="Times New Roman"/>
          <w:color w:val="000000" w:themeColor="text1"/>
          <w:szCs w:val="24"/>
        </w:rPr>
        <w:t>standard,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07A16">
        <w:rPr>
          <w:rFonts w:cs="Times New Roman"/>
          <w:color w:val="000000" w:themeColor="text1"/>
          <w:szCs w:val="24"/>
        </w:rPr>
        <w:t>known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07A16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07A16">
        <w:rPr>
          <w:rFonts w:cs="Times New Roman"/>
          <w:color w:val="000000" w:themeColor="text1"/>
          <w:szCs w:val="24"/>
        </w:rPr>
        <w:t>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60565">
        <w:rPr>
          <w:rFonts w:cs="Times New Roman"/>
          <w:color w:val="000000" w:themeColor="text1"/>
          <w:szCs w:val="24"/>
        </w:rPr>
        <w:t>e</w:t>
      </w:r>
      <w:r w:rsidRPr="00C317BB" w:rsidR="007A64AF">
        <w:rPr>
          <w:rFonts w:cs="Times New Roman"/>
          <w:color w:val="000000" w:themeColor="text1"/>
          <w:szCs w:val="24"/>
        </w:rPr>
        <w:t>xisting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60565">
        <w:rPr>
          <w:rFonts w:cs="Times New Roman"/>
          <w:color w:val="000000" w:themeColor="text1"/>
          <w:szCs w:val="24"/>
        </w:rPr>
        <w:t>c</w:t>
      </w:r>
      <w:r w:rsidRPr="00C317BB" w:rsidR="007A64AF">
        <w:rPr>
          <w:rFonts w:cs="Times New Roman"/>
          <w:color w:val="000000" w:themeColor="text1"/>
          <w:szCs w:val="24"/>
        </w:rPr>
        <w:t>hemical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60565">
        <w:rPr>
          <w:rFonts w:cs="Times New Roman"/>
          <w:color w:val="000000" w:themeColor="text1"/>
          <w:szCs w:val="24"/>
        </w:rPr>
        <w:t>e</w:t>
      </w:r>
      <w:r w:rsidRPr="00C317BB" w:rsidR="007A64AF">
        <w:rPr>
          <w:rFonts w:cs="Times New Roman"/>
          <w:color w:val="000000" w:themeColor="text1"/>
          <w:szCs w:val="24"/>
        </w:rPr>
        <w:t>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60565">
        <w:rPr>
          <w:rFonts w:cs="Times New Roman"/>
          <w:color w:val="000000" w:themeColor="text1"/>
          <w:szCs w:val="24"/>
        </w:rPr>
        <w:t>l</w:t>
      </w:r>
      <w:r w:rsidRPr="00C317BB" w:rsidR="007A64AF">
        <w:rPr>
          <w:rFonts w:cs="Times New Roman"/>
          <w:color w:val="000000" w:themeColor="text1"/>
          <w:szCs w:val="24"/>
        </w:rPr>
        <w:t>imit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A64AF">
        <w:rPr>
          <w:rFonts w:cs="Times New Roman"/>
          <w:color w:val="000000" w:themeColor="text1"/>
          <w:szCs w:val="24"/>
        </w:rPr>
        <w:t>(ECEL)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C778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307C7">
        <w:rPr>
          <w:rFonts w:cs="Times New Roman"/>
          <w:color w:val="000000" w:themeColor="text1"/>
          <w:szCs w:val="24"/>
        </w:rPr>
        <w:t>reduce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307C7">
        <w:rPr>
          <w:rFonts w:cs="Times New Roman"/>
          <w:color w:val="000000" w:themeColor="text1"/>
          <w:szCs w:val="24"/>
        </w:rPr>
        <w:t>inhalation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307C7">
        <w:rPr>
          <w:rFonts w:cs="Times New Roman"/>
          <w:color w:val="000000" w:themeColor="text1"/>
          <w:szCs w:val="24"/>
        </w:rPr>
        <w:t>exposures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307C7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C778B">
        <w:rPr>
          <w:rFonts w:cs="Times New Roman"/>
          <w:color w:val="000000" w:themeColor="text1"/>
          <w:szCs w:val="24"/>
        </w:rPr>
        <w:t>workers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C778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C778B">
        <w:rPr>
          <w:rFonts w:cs="Times New Roman"/>
          <w:color w:val="000000" w:themeColor="text1"/>
          <w:szCs w:val="24"/>
        </w:rPr>
        <w:t>occupational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C778B">
        <w:rPr>
          <w:rFonts w:cs="Times New Roman"/>
          <w:color w:val="000000" w:themeColor="text1"/>
          <w:szCs w:val="24"/>
        </w:rPr>
        <w:t>non-users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D14B4">
        <w:rPr>
          <w:rFonts w:cs="Times New Roman"/>
          <w:color w:val="000000" w:themeColor="text1"/>
          <w:szCs w:val="24"/>
        </w:rPr>
        <w:t>during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D14B4">
        <w:rPr>
          <w:rFonts w:cs="Times New Roman"/>
          <w:color w:val="000000" w:themeColor="text1"/>
          <w:szCs w:val="24"/>
        </w:rPr>
        <w:t>th</w:t>
      </w:r>
      <w:r w:rsidRPr="00C317BB" w:rsidR="00E208EA">
        <w:rPr>
          <w:rFonts w:cs="Times New Roman"/>
          <w:color w:val="000000" w:themeColor="text1"/>
          <w:szCs w:val="24"/>
        </w:rPr>
        <w:t>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D14B4">
        <w:rPr>
          <w:rFonts w:cs="Times New Roman"/>
          <w:color w:val="000000" w:themeColor="text1"/>
          <w:szCs w:val="24"/>
        </w:rPr>
        <w:t>period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D14B4">
        <w:rPr>
          <w:rFonts w:cs="Times New Roman"/>
          <w:color w:val="000000" w:themeColor="text1"/>
          <w:szCs w:val="24"/>
        </w:rPr>
        <w:t>prior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D14B4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D14B4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D14B4">
        <w:rPr>
          <w:rFonts w:cs="Times New Roman"/>
          <w:color w:val="000000" w:themeColor="text1"/>
          <w:szCs w:val="24"/>
        </w:rPr>
        <w:t>prohibition</w:t>
      </w:r>
      <w:r w:rsidRPr="00C317BB" w:rsidR="007A64AF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06229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06229">
        <w:rPr>
          <w:rFonts w:cs="Times New Roman"/>
          <w:color w:val="000000" w:themeColor="text1"/>
          <w:szCs w:val="24"/>
        </w:rPr>
        <w:t>developed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06229">
        <w:rPr>
          <w:rFonts w:cs="Times New Roman"/>
          <w:color w:val="000000" w:themeColor="text1"/>
          <w:szCs w:val="24"/>
        </w:rPr>
        <w:t>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06229">
        <w:rPr>
          <w:rFonts w:cs="Times New Roman"/>
          <w:color w:val="000000" w:themeColor="text1"/>
          <w:szCs w:val="24"/>
        </w:rPr>
        <w:t>8-hour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B38F1">
        <w:rPr>
          <w:rFonts w:cs="Times New Roman"/>
          <w:color w:val="000000" w:themeColor="text1"/>
          <w:szCs w:val="24"/>
        </w:rPr>
        <w:t>time-weigh</w:t>
      </w:r>
      <w:r w:rsidRPr="00C317BB" w:rsidR="002D78C5">
        <w:rPr>
          <w:rFonts w:cs="Times New Roman"/>
          <w:color w:val="000000" w:themeColor="text1"/>
          <w:szCs w:val="24"/>
        </w:rPr>
        <w:t>t</w:t>
      </w:r>
      <w:r w:rsidRPr="00C317BB" w:rsidR="002B38F1">
        <w:rPr>
          <w:rFonts w:cs="Times New Roman"/>
          <w:color w:val="000000" w:themeColor="text1"/>
          <w:szCs w:val="24"/>
        </w:rPr>
        <w:t>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B38F1">
        <w:rPr>
          <w:rFonts w:cs="Times New Roman"/>
          <w:color w:val="000000" w:themeColor="text1"/>
          <w:szCs w:val="24"/>
        </w:rPr>
        <w:t>average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B38F1">
        <w:rPr>
          <w:rFonts w:cs="Times New Roman"/>
          <w:color w:val="000000" w:themeColor="text1"/>
          <w:szCs w:val="24"/>
        </w:rPr>
        <w:t>(</w:t>
      </w:r>
      <w:r w:rsidRPr="00C317BB" w:rsidR="00A25E53">
        <w:rPr>
          <w:rFonts w:cs="Times New Roman"/>
          <w:color w:val="000000" w:themeColor="text1"/>
          <w:szCs w:val="24"/>
        </w:rPr>
        <w:t>TWA</w:t>
      </w:r>
      <w:r w:rsidRPr="00C317BB" w:rsidR="002B38F1">
        <w:rPr>
          <w:rFonts w:cs="Times New Roman"/>
          <w:color w:val="000000" w:themeColor="text1"/>
          <w:szCs w:val="24"/>
        </w:rPr>
        <w:t>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06229">
        <w:rPr>
          <w:rFonts w:cs="Times New Roman"/>
          <w:color w:val="000000" w:themeColor="text1"/>
          <w:szCs w:val="24"/>
        </w:rPr>
        <w:t>ECEL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06229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06229">
        <w:rPr>
          <w:rFonts w:cs="Times New Roman"/>
          <w:color w:val="000000" w:themeColor="text1"/>
          <w:szCs w:val="24"/>
        </w:rPr>
        <w:t>support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06229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06229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06229">
        <w:rPr>
          <w:rFonts w:cs="Times New Roman"/>
          <w:color w:val="000000" w:themeColor="text1"/>
          <w:szCs w:val="24"/>
        </w:rPr>
        <w:t>management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06229">
        <w:rPr>
          <w:rFonts w:cs="Times New Roman"/>
          <w:color w:val="000000" w:themeColor="text1"/>
          <w:szCs w:val="24"/>
        </w:rPr>
        <w:t>efforts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06229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37A32">
        <w:rPr>
          <w:rFonts w:cs="Times New Roman"/>
          <w:color w:val="000000" w:themeColor="text1"/>
          <w:szCs w:val="24"/>
        </w:rPr>
        <w:t>c</w:t>
      </w:r>
      <w:r w:rsidRPr="00C317BB" w:rsidR="00F70F6F">
        <w:rPr>
          <w:rFonts w:cs="Times New Roman"/>
          <w:color w:val="000000" w:themeColor="text1"/>
          <w:szCs w:val="24"/>
        </w:rPr>
        <w:t>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37A32">
        <w:rPr>
          <w:rFonts w:cs="Times New Roman"/>
          <w:color w:val="000000" w:themeColor="text1"/>
          <w:szCs w:val="24"/>
        </w:rPr>
        <w:t>a</w:t>
      </w:r>
      <w:r w:rsidRPr="00C317BB" w:rsidR="00F70F6F">
        <w:rPr>
          <w:rFonts w:cs="Times New Roman"/>
          <w:color w:val="000000" w:themeColor="text1"/>
          <w:szCs w:val="24"/>
        </w:rPr>
        <w:t>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06229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06229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06229">
        <w:rPr>
          <w:rFonts w:cs="Times New Roman"/>
          <w:color w:val="000000" w:themeColor="text1"/>
          <w:szCs w:val="24"/>
        </w:rPr>
        <w:t>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06229">
        <w:rPr>
          <w:rFonts w:cs="Times New Roman"/>
          <w:color w:val="000000" w:themeColor="text1"/>
          <w:szCs w:val="24"/>
        </w:rPr>
        <w:t>6(a).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06229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06229">
        <w:rPr>
          <w:rFonts w:cs="Times New Roman"/>
          <w:color w:val="000000" w:themeColor="text1"/>
          <w:szCs w:val="24"/>
        </w:rPr>
        <w:t>calculated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06229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06229">
        <w:rPr>
          <w:rFonts w:cs="Times New Roman"/>
          <w:color w:val="000000" w:themeColor="text1"/>
          <w:szCs w:val="24"/>
        </w:rPr>
        <w:t>ECEL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06229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06229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06229">
        <w:rPr>
          <w:rFonts w:cs="Times New Roman"/>
          <w:color w:val="000000" w:themeColor="text1"/>
          <w:szCs w:val="24"/>
        </w:rPr>
        <w:t>0.0</w:t>
      </w:r>
      <w:r w:rsidRPr="00C317BB" w:rsidR="00C47EBD">
        <w:rPr>
          <w:rFonts w:cs="Times New Roman"/>
          <w:color w:val="000000" w:themeColor="text1"/>
          <w:szCs w:val="24"/>
        </w:rPr>
        <w:t>0</w:t>
      </w:r>
      <w:r w:rsidRPr="00C317BB" w:rsidR="00906229">
        <w:rPr>
          <w:rFonts w:cs="Times New Roman"/>
          <w:color w:val="000000" w:themeColor="text1"/>
          <w:szCs w:val="24"/>
        </w:rPr>
        <w:t>5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47EBD">
        <w:rPr>
          <w:rFonts w:cs="Times New Roman"/>
          <w:color w:val="000000" w:themeColor="text1"/>
          <w:szCs w:val="24"/>
        </w:rPr>
        <w:t>fiber</w:t>
      </w:r>
      <w:r w:rsidRPr="00C317BB" w:rsidR="00307C1B">
        <w:rPr>
          <w:rFonts w:cs="Times New Roman"/>
          <w:color w:val="000000" w:themeColor="text1"/>
          <w:szCs w:val="24"/>
        </w:rPr>
        <w:t>s</w:t>
      </w:r>
      <w:r w:rsidRPr="00C317BB" w:rsidR="00C47EBD">
        <w:rPr>
          <w:rFonts w:cs="Times New Roman"/>
          <w:color w:val="000000" w:themeColor="text1"/>
          <w:szCs w:val="24"/>
        </w:rPr>
        <w:t>/cc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06229">
        <w:rPr>
          <w:rFonts w:cs="Times New Roman"/>
          <w:color w:val="000000" w:themeColor="text1"/>
          <w:szCs w:val="24"/>
        </w:rPr>
        <w:t>(</w:t>
      </w:r>
      <w:r w:rsidRPr="00C317BB" w:rsidR="00C47EBD">
        <w:rPr>
          <w:rFonts w:cs="Times New Roman"/>
          <w:color w:val="000000" w:themeColor="text1"/>
          <w:szCs w:val="24"/>
        </w:rPr>
        <w:t>f/cc</w:t>
      </w:r>
      <w:r w:rsidRPr="00C317BB" w:rsidR="00906229">
        <w:rPr>
          <w:rFonts w:cs="Times New Roman"/>
          <w:color w:val="000000" w:themeColor="text1"/>
          <w:szCs w:val="24"/>
        </w:rPr>
        <w:t>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06229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06229">
        <w:rPr>
          <w:rFonts w:cs="Times New Roman"/>
          <w:color w:val="000000" w:themeColor="text1"/>
          <w:szCs w:val="24"/>
        </w:rPr>
        <w:t>inhalation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06229">
        <w:rPr>
          <w:rFonts w:cs="Times New Roman"/>
          <w:color w:val="000000" w:themeColor="text1"/>
          <w:szCs w:val="24"/>
        </w:rPr>
        <w:t>exposures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06229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37A32">
        <w:rPr>
          <w:rFonts w:cs="Times New Roman"/>
          <w:color w:val="000000" w:themeColor="text1"/>
          <w:szCs w:val="24"/>
        </w:rPr>
        <w:t>c</w:t>
      </w:r>
      <w:r w:rsidRPr="00C317BB" w:rsidR="00F70F6F">
        <w:rPr>
          <w:rFonts w:cs="Times New Roman"/>
          <w:color w:val="000000" w:themeColor="text1"/>
          <w:szCs w:val="24"/>
        </w:rPr>
        <w:t>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37A32">
        <w:rPr>
          <w:rFonts w:cs="Times New Roman"/>
          <w:color w:val="000000" w:themeColor="text1"/>
          <w:szCs w:val="24"/>
        </w:rPr>
        <w:t>a</w:t>
      </w:r>
      <w:r w:rsidRPr="00C317BB" w:rsidR="00F70F6F">
        <w:rPr>
          <w:rFonts w:cs="Times New Roman"/>
          <w:color w:val="000000" w:themeColor="text1"/>
          <w:szCs w:val="24"/>
        </w:rPr>
        <w:t>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06229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06229">
        <w:rPr>
          <w:rFonts w:cs="Times New Roman"/>
          <w:color w:val="000000" w:themeColor="text1"/>
          <w:szCs w:val="24"/>
        </w:rPr>
        <w:t>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06229">
        <w:rPr>
          <w:rFonts w:cs="Times New Roman"/>
          <w:color w:val="000000" w:themeColor="text1"/>
          <w:szCs w:val="24"/>
        </w:rPr>
        <w:t>8-hour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06229">
        <w:rPr>
          <w:rFonts w:cs="Times New Roman"/>
          <w:color w:val="000000" w:themeColor="text1"/>
          <w:szCs w:val="24"/>
        </w:rPr>
        <w:t>TWA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33FB">
        <w:rPr>
          <w:rFonts w:cs="Times New Roman"/>
          <w:color w:val="000000" w:themeColor="text1"/>
          <w:szCs w:val="24"/>
        </w:rPr>
        <w:t>(Ref.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9571A">
        <w:rPr>
          <w:rFonts w:cs="Times New Roman"/>
          <w:color w:val="000000" w:themeColor="text1"/>
          <w:szCs w:val="24"/>
        </w:rPr>
        <w:t>1</w:t>
      </w:r>
      <w:r w:rsidRPr="00C317BB" w:rsidR="008C56A6">
        <w:rPr>
          <w:rFonts w:cs="Times New Roman"/>
          <w:color w:val="000000" w:themeColor="text1"/>
          <w:szCs w:val="24"/>
        </w:rPr>
        <w:t>3</w:t>
      </w:r>
      <w:r w:rsidRPr="00C317BB" w:rsidR="005533FB">
        <w:rPr>
          <w:rFonts w:cs="Times New Roman"/>
          <w:color w:val="000000" w:themeColor="text1"/>
          <w:szCs w:val="24"/>
        </w:rPr>
        <w:t>)</w:t>
      </w:r>
      <w:r w:rsidRPr="00C317BB" w:rsidR="008E1EED">
        <w:rPr>
          <w:rFonts w:cs="Times New Roman"/>
          <w:color w:val="000000" w:themeColor="text1"/>
          <w:szCs w:val="24"/>
        </w:rPr>
        <w:t>.</w:t>
      </w:r>
    </w:p>
    <w:p w:rsidRPr="00C317BB" w:rsidR="003C5999" w:rsidP="00F27167" w:rsidRDefault="00CD03DF" w14:paraId="695E6A1F" w14:textId="48DB6B0C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Requirements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meet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A64AF">
        <w:rPr>
          <w:rFonts w:cs="Times New Roman"/>
          <w:color w:val="000000" w:themeColor="text1"/>
          <w:szCs w:val="24"/>
        </w:rPr>
        <w:t>ECEL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A64AF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include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A64AF">
        <w:rPr>
          <w:rFonts w:cs="Times New Roman"/>
          <w:color w:val="000000" w:themeColor="text1"/>
          <w:szCs w:val="24"/>
        </w:rPr>
        <w:t>require</w:t>
      </w:r>
      <w:r w:rsidRPr="00C317BB">
        <w:rPr>
          <w:rFonts w:cs="Times New Roman"/>
          <w:color w:val="000000" w:themeColor="text1"/>
          <w:szCs w:val="24"/>
        </w:rPr>
        <w:t>ments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76BB2">
        <w:rPr>
          <w:rFonts w:cs="Times New Roman"/>
          <w:color w:val="000000" w:themeColor="text1"/>
          <w:szCs w:val="24"/>
        </w:rPr>
        <w:t>specific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4463F">
        <w:rPr>
          <w:rFonts w:cs="Times New Roman"/>
          <w:color w:val="000000" w:themeColor="text1"/>
          <w:szCs w:val="24"/>
        </w:rPr>
        <w:t>engineering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4463F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76BB2">
        <w:rPr>
          <w:rFonts w:cs="Times New Roman"/>
          <w:color w:val="000000" w:themeColor="text1"/>
          <w:szCs w:val="24"/>
        </w:rPr>
        <w:t>administrative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A64AF">
        <w:rPr>
          <w:rFonts w:cs="Times New Roman"/>
          <w:color w:val="000000" w:themeColor="text1"/>
          <w:szCs w:val="24"/>
        </w:rPr>
        <w:t>control</w:t>
      </w:r>
      <w:r w:rsidRPr="00C317BB" w:rsidR="00376BB2">
        <w:rPr>
          <w:rFonts w:cs="Times New Roman"/>
          <w:color w:val="000000" w:themeColor="text1"/>
          <w:szCs w:val="24"/>
        </w:rPr>
        <w:t>s</w:t>
      </w:r>
      <w:r w:rsidRPr="00C317BB" w:rsidR="007A64AF">
        <w:rPr>
          <w:rFonts w:cs="Times New Roman"/>
          <w:color w:val="000000" w:themeColor="text1"/>
          <w:szCs w:val="24"/>
        </w:rPr>
        <w:t>;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A64AF">
        <w:rPr>
          <w:rFonts w:cs="Times New Roman"/>
          <w:color w:val="000000" w:themeColor="text1"/>
          <w:szCs w:val="24"/>
        </w:rPr>
        <w:t>rather</w:t>
      </w:r>
      <w:r w:rsidRPr="00C317BB" w:rsidR="00B10DB2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96ABE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96ABE">
        <w:rPr>
          <w:rFonts w:cs="Times New Roman"/>
          <w:color w:val="000000" w:themeColor="text1"/>
          <w:szCs w:val="24"/>
        </w:rPr>
        <w:t>ECEL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A64AF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A64AF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A64AF">
        <w:rPr>
          <w:rFonts w:cs="Times New Roman"/>
          <w:color w:val="000000" w:themeColor="text1"/>
          <w:szCs w:val="24"/>
        </w:rPr>
        <w:t>performance-based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A64AF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26BEF">
        <w:rPr>
          <w:rFonts w:cs="Times New Roman"/>
          <w:color w:val="000000" w:themeColor="text1"/>
          <w:szCs w:val="24"/>
        </w:rPr>
        <w:t>limit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26BEF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14694">
        <w:rPr>
          <w:rFonts w:cs="Times New Roman"/>
          <w:color w:val="000000" w:themeColor="text1"/>
          <w:szCs w:val="24"/>
        </w:rPr>
        <w:t>would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A41E7">
        <w:rPr>
          <w:rFonts w:cs="Times New Roman"/>
          <w:color w:val="000000" w:themeColor="text1"/>
          <w:szCs w:val="24"/>
        </w:rPr>
        <w:t>allow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26BEF">
        <w:rPr>
          <w:rFonts w:cs="Times New Roman"/>
          <w:color w:val="000000" w:themeColor="text1"/>
          <w:szCs w:val="24"/>
        </w:rPr>
        <w:t>regulated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26BEF">
        <w:rPr>
          <w:rFonts w:cs="Times New Roman"/>
          <w:color w:val="000000" w:themeColor="text1"/>
          <w:szCs w:val="24"/>
        </w:rPr>
        <w:t>entities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A64AF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A64AF">
        <w:rPr>
          <w:rFonts w:cs="Times New Roman"/>
          <w:color w:val="000000" w:themeColor="text1"/>
          <w:szCs w:val="24"/>
        </w:rPr>
        <w:t>determine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A64AF">
        <w:rPr>
          <w:rFonts w:cs="Times New Roman"/>
          <w:color w:val="000000" w:themeColor="text1"/>
          <w:szCs w:val="24"/>
        </w:rPr>
        <w:t>how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A64AF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A64AF">
        <w:rPr>
          <w:rFonts w:cs="Times New Roman"/>
          <w:color w:val="000000" w:themeColor="text1"/>
          <w:szCs w:val="24"/>
        </w:rPr>
        <w:t>most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A64AF">
        <w:rPr>
          <w:rFonts w:cs="Times New Roman"/>
          <w:color w:val="000000" w:themeColor="text1"/>
          <w:szCs w:val="24"/>
        </w:rPr>
        <w:t>effectively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A64AF">
        <w:rPr>
          <w:rFonts w:cs="Times New Roman"/>
          <w:color w:val="000000" w:themeColor="text1"/>
          <w:szCs w:val="24"/>
        </w:rPr>
        <w:t>meet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A64AF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A64AF">
        <w:rPr>
          <w:rFonts w:cs="Times New Roman"/>
          <w:color w:val="000000" w:themeColor="text1"/>
          <w:szCs w:val="24"/>
        </w:rPr>
        <w:t>ECEL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A64AF">
        <w:rPr>
          <w:rFonts w:cs="Times New Roman"/>
          <w:color w:val="000000" w:themeColor="text1"/>
          <w:szCs w:val="24"/>
        </w:rPr>
        <w:t>based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A64AF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A64AF">
        <w:rPr>
          <w:rFonts w:cs="Times New Roman"/>
          <w:color w:val="000000" w:themeColor="text1"/>
          <w:szCs w:val="24"/>
        </w:rPr>
        <w:t>what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A64AF">
        <w:rPr>
          <w:rFonts w:cs="Times New Roman"/>
          <w:color w:val="000000" w:themeColor="text1"/>
          <w:szCs w:val="24"/>
        </w:rPr>
        <w:t>works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A64AF">
        <w:rPr>
          <w:rFonts w:cs="Times New Roman"/>
          <w:color w:val="000000" w:themeColor="text1"/>
          <w:szCs w:val="24"/>
        </w:rPr>
        <w:t>best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A64AF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A64AF">
        <w:rPr>
          <w:rFonts w:cs="Times New Roman"/>
          <w:color w:val="000000" w:themeColor="text1"/>
          <w:szCs w:val="24"/>
        </w:rPr>
        <w:t>their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A64AF">
        <w:rPr>
          <w:rFonts w:cs="Times New Roman"/>
          <w:color w:val="000000" w:themeColor="text1"/>
          <w:szCs w:val="24"/>
        </w:rPr>
        <w:t>workplace</w:t>
      </w:r>
      <w:r w:rsidRPr="00C317BB" w:rsidR="003C5999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5999">
        <w:rPr>
          <w:rFonts w:cs="Times New Roman"/>
          <w:color w:val="000000" w:themeColor="text1"/>
          <w:szCs w:val="24"/>
        </w:rPr>
        <w:t>while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5999">
        <w:rPr>
          <w:rFonts w:cs="Times New Roman"/>
          <w:color w:val="000000" w:themeColor="text1"/>
          <w:szCs w:val="24"/>
        </w:rPr>
        <w:t>following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5999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5999">
        <w:rPr>
          <w:rFonts w:cs="Times New Roman"/>
          <w:color w:val="000000" w:themeColor="text1"/>
          <w:szCs w:val="24"/>
        </w:rPr>
        <w:t>hierarchy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5999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5999">
        <w:rPr>
          <w:rFonts w:cs="Times New Roman"/>
          <w:color w:val="000000" w:themeColor="text1"/>
          <w:szCs w:val="24"/>
        </w:rPr>
        <w:t>controls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5999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5999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5999">
        <w:rPr>
          <w:rFonts w:cs="Times New Roman"/>
          <w:color w:val="000000" w:themeColor="text1"/>
          <w:szCs w:val="24"/>
        </w:rPr>
        <w:t>extent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5999">
        <w:rPr>
          <w:rFonts w:cs="Times New Roman"/>
          <w:color w:val="000000" w:themeColor="text1"/>
          <w:szCs w:val="24"/>
        </w:rPr>
        <w:t>feasible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5999">
        <w:rPr>
          <w:rFonts w:cs="Times New Roman"/>
          <w:color w:val="000000" w:themeColor="text1"/>
          <w:szCs w:val="24"/>
        </w:rPr>
        <w:t>(e.g.,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5999">
        <w:rPr>
          <w:rFonts w:cs="Times New Roman"/>
          <w:color w:val="000000" w:themeColor="text1"/>
          <w:szCs w:val="24"/>
        </w:rPr>
        <w:t>preferential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5999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5999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5999">
        <w:rPr>
          <w:rFonts w:cs="Times New Roman"/>
          <w:color w:val="000000" w:themeColor="text1"/>
          <w:szCs w:val="24"/>
        </w:rPr>
        <w:t>methods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5999">
        <w:rPr>
          <w:rFonts w:cs="Times New Roman"/>
          <w:color w:val="000000" w:themeColor="text1"/>
          <w:szCs w:val="24"/>
        </w:rPr>
        <w:t>which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5999">
        <w:rPr>
          <w:rFonts w:cs="Times New Roman"/>
          <w:color w:val="000000" w:themeColor="text1"/>
          <w:szCs w:val="24"/>
        </w:rPr>
        <w:t>prevent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5999">
        <w:rPr>
          <w:rFonts w:cs="Times New Roman"/>
          <w:color w:val="000000" w:themeColor="text1"/>
          <w:szCs w:val="24"/>
        </w:rPr>
        <w:t>generation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5999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5999">
        <w:rPr>
          <w:rFonts w:cs="Times New Roman"/>
          <w:color w:val="000000" w:themeColor="text1"/>
          <w:szCs w:val="24"/>
        </w:rPr>
        <w:t>release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5999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5999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5999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5999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5999">
        <w:rPr>
          <w:rFonts w:cs="Times New Roman"/>
          <w:color w:val="000000" w:themeColor="text1"/>
          <w:szCs w:val="24"/>
        </w:rPr>
        <w:t>workplace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5999">
        <w:rPr>
          <w:rFonts w:cs="Times New Roman"/>
          <w:color w:val="000000" w:themeColor="text1"/>
          <w:szCs w:val="24"/>
        </w:rPr>
        <w:t>rather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5999">
        <w:rPr>
          <w:rFonts w:cs="Times New Roman"/>
          <w:color w:val="000000" w:themeColor="text1"/>
          <w:szCs w:val="24"/>
        </w:rPr>
        <w:t>than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5999">
        <w:rPr>
          <w:rFonts w:cs="Times New Roman"/>
          <w:color w:val="000000" w:themeColor="text1"/>
          <w:szCs w:val="24"/>
        </w:rPr>
        <w:t>relying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5999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5999">
        <w:rPr>
          <w:rFonts w:cs="Times New Roman"/>
          <w:color w:val="000000" w:themeColor="text1"/>
          <w:szCs w:val="24"/>
        </w:rPr>
        <w:t>respiratory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5999">
        <w:rPr>
          <w:rFonts w:cs="Times New Roman"/>
          <w:color w:val="000000" w:themeColor="text1"/>
          <w:szCs w:val="24"/>
        </w:rPr>
        <w:t>protection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5999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5999">
        <w:rPr>
          <w:rFonts w:cs="Times New Roman"/>
          <w:color w:val="000000" w:themeColor="text1"/>
          <w:szCs w:val="24"/>
        </w:rPr>
        <w:t>meet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5999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5999">
        <w:rPr>
          <w:rFonts w:cs="Times New Roman"/>
          <w:color w:val="000000" w:themeColor="text1"/>
          <w:szCs w:val="24"/>
        </w:rPr>
        <w:t>ECEL;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5999">
        <w:rPr>
          <w:rFonts w:cs="Times New Roman"/>
          <w:color w:val="000000" w:themeColor="text1"/>
          <w:szCs w:val="24"/>
        </w:rPr>
        <w:t>see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5999">
        <w:rPr>
          <w:rFonts w:cs="Times New Roman"/>
          <w:color w:val="000000" w:themeColor="text1"/>
          <w:szCs w:val="24"/>
        </w:rPr>
        <w:t>Unit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5999">
        <w:rPr>
          <w:rFonts w:cs="Times New Roman"/>
          <w:color w:val="000000" w:themeColor="text1"/>
          <w:szCs w:val="24"/>
        </w:rPr>
        <w:t>IV.B.1,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5999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5999">
        <w:rPr>
          <w:rFonts w:cs="Times New Roman"/>
          <w:color w:val="000000" w:themeColor="text1"/>
          <w:szCs w:val="24"/>
        </w:rPr>
        <w:t>Controls)</w:t>
      </w:r>
      <w:r w:rsidRPr="00C317BB" w:rsidR="007A64AF">
        <w:rPr>
          <w:rFonts w:cs="Times New Roman"/>
          <w:color w:val="000000" w:themeColor="text1"/>
          <w:szCs w:val="24"/>
        </w:rPr>
        <w:t>.</w:t>
      </w:r>
    </w:p>
    <w:p w:rsidRPr="00C317BB" w:rsidR="007A64AF" w:rsidP="00F27167" w:rsidRDefault="007A64AF" w14:paraId="0C438EAA" w14:textId="43B816CE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general,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industrial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commercial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facilities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already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familiar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14694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14694">
        <w:rPr>
          <w:rFonts w:cs="Times New Roman"/>
          <w:color w:val="000000" w:themeColor="text1"/>
          <w:szCs w:val="24"/>
        </w:rPr>
        <w:t>concept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14694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permissible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limits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(PELs)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14694">
        <w:rPr>
          <w:rFonts w:cs="Times New Roman"/>
          <w:color w:val="000000" w:themeColor="text1"/>
          <w:szCs w:val="24"/>
        </w:rPr>
        <w:t>required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14694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14694">
        <w:rPr>
          <w:rFonts w:cs="Times New Roman"/>
          <w:color w:val="000000" w:themeColor="text1"/>
          <w:szCs w:val="24"/>
        </w:rPr>
        <w:t>OSHA.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14694">
        <w:rPr>
          <w:rFonts w:cs="Times New Roman"/>
          <w:color w:val="000000" w:themeColor="text1"/>
          <w:szCs w:val="24"/>
        </w:rPr>
        <w:t>Based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14694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14694">
        <w:rPr>
          <w:rFonts w:cs="Times New Roman"/>
          <w:color w:val="000000" w:themeColor="text1"/>
          <w:szCs w:val="24"/>
        </w:rPr>
        <w:t>th</w:t>
      </w:r>
      <w:r w:rsidRPr="00C317BB" w:rsidR="00926251">
        <w:rPr>
          <w:rFonts w:cs="Times New Roman"/>
          <w:color w:val="000000" w:themeColor="text1"/>
          <w:szCs w:val="24"/>
        </w:rPr>
        <w:t>eir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14694">
        <w:rPr>
          <w:rFonts w:cs="Times New Roman"/>
          <w:color w:val="000000" w:themeColor="text1"/>
          <w:szCs w:val="24"/>
        </w:rPr>
        <w:t>familiarity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14694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14694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14694">
        <w:rPr>
          <w:rFonts w:cs="Times New Roman"/>
          <w:color w:val="000000" w:themeColor="text1"/>
          <w:szCs w:val="24"/>
        </w:rPr>
        <w:t>PELs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14694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14694">
        <w:rPr>
          <w:rFonts w:cs="Times New Roman"/>
          <w:color w:val="000000" w:themeColor="text1"/>
          <w:szCs w:val="24"/>
        </w:rPr>
        <w:t>corresponding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methods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compliance</w:t>
      </w:r>
      <w:r w:rsidRPr="00C317BB" w:rsidR="00214694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14694">
        <w:rPr>
          <w:rFonts w:cs="Times New Roman"/>
          <w:color w:val="000000" w:themeColor="text1"/>
          <w:szCs w:val="24"/>
        </w:rPr>
        <w:t>some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14694">
        <w:rPr>
          <w:rFonts w:cs="Times New Roman"/>
          <w:color w:val="000000" w:themeColor="text1"/>
          <w:szCs w:val="24"/>
        </w:rPr>
        <w:t>industrial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14694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14694">
        <w:rPr>
          <w:rFonts w:cs="Times New Roman"/>
          <w:color w:val="000000" w:themeColor="text1"/>
          <w:szCs w:val="24"/>
        </w:rPr>
        <w:t>commercial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14694">
        <w:rPr>
          <w:rFonts w:cs="Times New Roman"/>
          <w:color w:val="000000" w:themeColor="text1"/>
          <w:szCs w:val="24"/>
        </w:rPr>
        <w:t>facilities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61E6">
        <w:rPr>
          <w:rFonts w:cs="Times New Roman"/>
          <w:color w:val="000000" w:themeColor="text1"/>
          <w:szCs w:val="24"/>
        </w:rPr>
        <w:t>may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1382F">
        <w:rPr>
          <w:rFonts w:cs="Times New Roman"/>
          <w:color w:val="000000" w:themeColor="text1"/>
          <w:szCs w:val="24"/>
        </w:rPr>
        <w:t>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implement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ECEL.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5999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5999">
        <w:rPr>
          <w:rFonts w:cs="Times New Roman"/>
          <w:color w:val="000000" w:themeColor="text1"/>
          <w:szCs w:val="24"/>
        </w:rPr>
        <w:t>recognizes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5999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5999">
        <w:rPr>
          <w:rFonts w:cs="Times New Roman"/>
          <w:color w:val="000000" w:themeColor="text1"/>
          <w:szCs w:val="24"/>
        </w:rPr>
        <w:t>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5999">
        <w:rPr>
          <w:rFonts w:cs="Times New Roman"/>
          <w:color w:val="000000" w:themeColor="text1"/>
          <w:szCs w:val="24"/>
        </w:rPr>
        <w:t>ECEL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5999">
        <w:rPr>
          <w:rFonts w:cs="Times New Roman"/>
          <w:color w:val="000000" w:themeColor="text1"/>
          <w:szCs w:val="24"/>
        </w:rPr>
        <w:t>will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5999">
        <w:rPr>
          <w:rFonts w:cs="Times New Roman"/>
          <w:color w:val="000000" w:themeColor="text1"/>
          <w:szCs w:val="24"/>
        </w:rPr>
        <w:t>require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5999">
        <w:rPr>
          <w:rFonts w:cs="Times New Roman"/>
          <w:color w:val="000000" w:themeColor="text1"/>
          <w:szCs w:val="24"/>
        </w:rPr>
        <w:t>time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5999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5999">
        <w:rPr>
          <w:rFonts w:cs="Times New Roman"/>
          <w:color w:val="000000" w:themeColor="text1"/>
          <w:szCs w:val="24"/>
        </w:rPr>
        <w:t>resources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5999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5999">
        <w:rPr>
          <w:rFonts w:cs="Times New Roman"/>
          <w:color w:val="000000" w:themeColor="text1"/>
          <w:szCs w:val="24"/>
        </w:rPr>
        <w:t>prepare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5999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5999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5999">
        <w:rPr>
          <w:rFonts w:cs="Times New Roman"/>
          <w:color w:val="000000" w:themeColor="text1"/>
          <w:szCs w:val="24"/>
        </w:rPr>
        <w:t>therefore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5999">
        <w:rPr>
          <w:rFonts w:cs="Times New Roman"/>
          <w:color w:val="000000" w:themeColor="text1"/>
          <w:szCs w:val="24"/>
        </w:rPr>
        <w:t>did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5999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5999">
        <w:rPr>
          <w:rFonts w:cs="Times New Roman"/>
          <w:color w:val="000000" w:themeColor="text1"/>
          <w:szCs w:val="24"/>
        </w:rPr>
        <w:t>propose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5999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5999">
        <w:rPr>
          <w:rFonts w:cs="Times New Roman"/>
          <w:color w:val="000000" w:themeColor="text1"/>
          <w:szCs w:val="24"/>
        </w:rPr>
        <w:t>include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5999">
        <w:rPr>
          <w:rFonts w:cs="Times New Roman"/>
          <w:color w:val="000000" w:themeColor="text1"/>
          <w:szCs w:val="24"/>
        </w:rPr>
        <w:t>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5999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5999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5999">
        <w:rPr>
          <w:rFonts w:cs="Times New Roman"/>
          <w:color w:val="000000" w:themeColor="text1"/>
          <w:szCs w:val="24"/>
        </w:rPr>
        <w:t>two-year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5999">
        <w:rPr>
          <w:rFonts w:cs="Times New Roman"/>
          <w:color w:val="000000" w:themeColor="text1"/>
          <w:szCs w:val="24"/>
        </w:rPr>
        <w:t>interim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5999">
        <w:rPr>
          <w:rFonts w:cs="Times New Roman"/>
          <w:color w:val="000000" w:themeColor="text1"/>
          <w:szCs w:val="24"/>
        </w:rPr>
        <w:t>period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5999">
        <w:rPr>
          <w:rFonts w:cs="Times New Roman"/>
          <w:color w:val="000000" w:themeColor="text1"/>
          <w:szCs w:val="24"/>
        </w:rPr>
        <w:t>prior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5999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5999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5999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5999">
        <w:rPr>
          <w:rFonts w:cs="Times New Roman"/>
          <w:color w:val="000000" w:themeColor="text1"/>
          <w:szCs w:val="24"/>
        </w:rPr>
        <w:t>prohibition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5999">
        <w:rPr>
          <w:rFonts w:cs="Times New Roman"/>
          <w:color w:val="000000" w:themeColor="text1"/>
          <w:szCs w:val="24"/>
        </w:rPr>
        <w:t>date.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171A">
        <w:rPr>
          <w:rFonts w:cs="Times New Roman"/>
          <w:color w:val="000000" w:themeColor="text1"/>
          <w:szCs w:val="24"/>
        </w:rPr>
        <w:t>I</w:t>
      </w:r>
      <w:r w:rsidRPr="00C317BB" w:rsidR="007B306F">
        <w:rPr>
          <w:rFonts w:cs="Times New Roman"/>
          <w:color w:val="000000" w:themeColor="text1"/>
          <w:szCs w:val="24"/>
        </w:rPr>
        <w:t>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B306F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B306F">
        <w:rPr>
          <w:rFonts w:cs="Times New Roman"/>
          <w:color w:val="000000" w:themeColor="text1"/>
          <w:szCs w:val="24"/>
        </w:rPr>
        <w:t>also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B306F">
        <w:rPr>
          <w:rFonts w:cs="Times New Roman"/>
          <w:color w:val="000000" w:themeColor="text1"/>
          <w:szCs w:val="24"/>
        </w:rPr>
        <w:t>unknown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B306F">
        <w:rPr>
          <w:rFonts w:cs="Times New Roman"/>
          <w:color w:val="000000" w:themeColor="text1"/>
          <w:szCs w:val="24"/>
        </w:rPr>
        <w:t>whether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B306F">
        <w:rPr>
          <w:rFonts w:cs="Times New Roman"/>
          <w:color w:val="000000" w:themeColor="text1"/>
          <w:szCs w:val="24"/>
        </w:rPr>
        <w:t>facilities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171A">
        <w:rPr>
          <w:rFonts w:cs="Times New Roman"/>
          <w:color w:val="000000" w:themeColor="text1"/>
          <w:szCs w:val="24"/>
        </w:rPr>
        <w:t>could,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C0B5B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C0B5B">
        <w:rPr>
          <w:rFonts w:cs="Times New Roman"/>
          <w:color w:val="000000" w:themeColor="text1"/>
          <w:szCs w:val="24"/>
        </w:rPr>
        <w:t>th</w:t>
      </w:r>
      <w:r w:rsidRPr="00C317BB" w:rsidR="00AB171A">
        <w:rPr>
          <w:rFonts w:cs="Times New Roman"/>
          <w:color w:val="000000" w:themeColor="text1"/>
          <w:szCs w:val="24"/>
        </w:rPr>
        <w:t>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171A">
        <w:rPr>
          <w:rFonts w:cs="Times New Roman"/>
          <w:color w:val="000000" w:themeColor="text1"/>
          <w:szCs w:val="24"/>
        </w:rPr>
        <w:t>ECEL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C0B5B">
        <w:rPr>
          <w:rFonts w:cs="Times New Roman"/>
          <w:color w:val="000000" w:themeColor="text1"/>
          <w:szCs w:val="24"/>
        </w:rPr>
        <w:t>provision</w:t>
      </w:r>
      <w:r w:rsidRPr="00C317BB" w:rsidR="00AB171A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B306F">
        <w:rPr>
          <w:rFonts w:cs="Times New Roman"/>
          <w:color w:val="000000" w:themeColor="text1"/>
          <w:szCs w:val="24"/>
        </w:rPr>
        <w:t>routinely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B306F">
        <w:rPr>
          <w:rFonts w:cs="Times New Roman"/>
          <w:color w:val="000000" w:themeColor="text1"/>
          <w:szCs w:val="24"/>
        </w:rPr>
        <w:t>monitor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B306F">
        <w:rPr>
          <w:rFonts w:cs="Times New Roman"/>
          <w:color w:val="000000" w:themeColor="text1"/>
          <w:szCs w:val="24"/>
        </w:rPr>
        <w:t>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B306F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B306F">
        <w:rPr>
          <w:rFonts w:cs="Times New Roman"/>
          <w:color w:val="000000" w:themeColor="text1"/>
          <w:szCs w:val="24"/>
        </w:rPr>
        <w:t>below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B306F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171A">
        <w:rPr>
          <w:rFonts w:cs="Times New Roman"/>
          <w:color w:val="000000" w:themeColor="text1"/>
          <w:szCs w:val="24"/>
        </w:rPr>
        <w:t>ECEL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171A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B306F">
        <w:rPr>
          <w:rFonts w:cs="Times New Roman"/>
          <w:color w:val="000000" w:themeColor="text1"/>
          <w:szCs w:val="24"/>
        </w:rPr>
        <w:t>ECEL-action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B306F">
        <w:rPr>
          <w:rFonts w:cs="Times New Roman"/>
          <w:color w:val="000000" w:themeColor="text1"/>
          <w:szCs w:val="24"/>
        </w:rPr>
        <w:t>level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B306F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B306F">
        <w:rPr>
          <w:rFonts w:cs="Times New Roman"/>
          <w:color w:val="000000" w:themeColor="text1"/>
          <w:szCs w:val="24"/>
        </w:rPr>
        <w:t>reasonable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B306F">
        <w:rPr>
          <w:rFonts w:cs="Times New Roman"/>
          <w:color w:val="000000" w:themeColor="text1"/>
          <w:szCs w:val="24"/>
        </w:rPr>
        <w:t>certainty.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B306F">
        <w:rPr>
          <w:rFonts w:cs="Times New Roman"/>
          <w:color w:val="000000" w:themeColor="text1"/>
          <w:szCs w:val="24"/>
        </w:rPr>
        <w:t>Additionally,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B306F">
        <w:rPr>
          <w:rFonts w:cs="Times New Roman"/>
          <w:color w:val="000000" w:themeColor="text1"/>
          <w:szCs w:val="24"/>
        </w:rPr>
        <w:t>there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B306F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B306F">
        <w:rPr>
          <w:rFonts w:cs="Times New Roman"/>
          <w:color w:val="000000" w:themeColor="text1"/>
          <w:szCs w:val="24"/>
        </w:rPr>
        <w:t>uncertainties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B306F">
        <w:rPr>
          <w:rFonts w:cs="Times New Roman"/>
          <w:color w:val="000000" w:themeColor="text1"/>
          <w:szCs w:val="24"/>
        </w:rPr>
        <w:t>r</w:t>
      </w:r>
      <w:r w:rsidRPr="00C317BB" w:rsidR="00372CA3">
        <w:rPr>
          <w:rFonts w:cs="Times New Roman"/>
          <w:color w:val="000000" w:themeColor="text1"/>
          <w:szCs w:val="24"/>
        </w:rPr>
        <w:t>egarding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B306F">
        <w:rPr>
          <w:rFonts w:cs="Times New Roman"/>
          <w:color w:val="000000" w:themeColor="text1"/>
          <w:szCs w:val="24"/>
        </w:rPr>
        <w:t>whether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B306F">
        <w:rPr>
          <w:rFonts w:cs="Times New Roman"/>
          <w:color w:val="000000" w:themeColor="text1"/>
          <w:szCs w:val="24"/>
        </w:rPr>
        <w:t>facilities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C3FD0">
        <w:rPr>
          <w:rFonts w:cs="Times New Roman"/>
          <w:color w:val="000000" w:themeColor="text1"/>
          <w:szCs w:val="24"/>
        </w:rPr>
        <w:t>would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B306F">
        <w:rPr>
          <w:rFonts w:cs="Times New Roman"/>
          <w:color w:val="000000" w:themeColor="text1"/>
          <w:szCs w:val="24"/>
        </w:rPr>
        <w:t>need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B306F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C3FD0">
        <w:rPr>
          <w:rFonts w:cs="Times New Roman"/>
          <w:color w:val="000000" w:themeColor="text1"/>
          <w:szCs w:val="24"/>
        </w:rPr>
        <w:t>routinely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B306F">
        <w:rPr>
          <w:rFonts w:cs="Times New Roman"/>
          <w:color w:val="000000" w:themeColor="text1"/>
          <w:szCs w:val="24"/>
        </w:rPr>
        <w:t>rely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B306F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B306F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B306F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B306F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B306F">
        <w:rPr>
          <w:rFonts w:cs="Times New Roman"/>
          <w:color w:val="000000" w:themeColor="text1"/>
          <w:szCs w:val="24"/>
        </w:rPr>
        <w:t>respiratory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C24C1">
        <w:rPr>
          <w:rFonts w:cs="Times New Roman"/>
          <w:color w:val="000000" w:themeColor="text1"/>
          <w:szCs w:val="24"/>
        </w:rPr>
        <w:t>protection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D260C">
        <w:rPr>
          <w:rFonts w:cs="Times New Roman"/>
          <w:color w:val="000000" w:themeColor="text1"/>
          <w:szCs w:val="24"/>
        </w:rPr>
        <w:t>considering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D260C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D260C">
        <w:rPr>
          <w:rFonts w:cs="Times New Roman"/>
          <w:color w:val="000000" w:themeColor="text1"/>
          <w:szCs w:val="24"/>
        </w:rPr>
        <w:t>engineering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D260C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D260C">
        <w:rPr>
          <w:rFonts w:cs="Times New Roman"/>
          <w:color w:val="000000" w:themeColor="text1"/>
          <w:szCs w:val="24"/>
        </w:rPr>
        <w:t>administrative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D260C">
        <w:rPr>
          <w:rFonts w:cs="Times New Roman"/>
          <w:color w:val="000000" w:themeColor="text1"/>
          <w:szCs w:val="24"/>
        </w:rPr>
        <w:t>controls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D260C">
        <w:rPr>
          <w:rFonts w:cs="Times New Roman"/>
          <w:color w:val="000000" w:themeColor="text1"/>
          <w:szCs w:val="24"/>
        </w:rPr>
        <w:t>already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D260C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D260C">
        <w:rPr>
          <w:rFonts w:cs="Times New Roman"/>
          <w:color w:val="000000" w:themeColor="text1"/>
          <w:szCs w:val="24"/>
        </w:rPr>
        <w:t>place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C0B5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6D6C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6D6C">
        <w:rPr>
          <w:rFonts w:cs="Times New Roman"/>
          <w:color w:val="000000" w:themeColor="text1"/>
          <w:szCs w:val="24"/>
        </w:rPr>
        <w:t>effectiveness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6D6C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B306F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6D6C">
        <w:rPr>
          <w:rFonts w:cs="Times New Roman"/>
          <w:color w:val="000000" w:themeColor="text1"/>
          <w:szCs w:val="24"/>
        </w:rPr>
        <w:t>respiratory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6D6C">
        <w:rPr>
          <w:rFonts w:cs="Times New Roman"/>
          <w:color w:val="000000" w:themeColor="text1"/>
          <w:szCs w:val="24"/>
        </w:rPr>
        <w:t>protection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B306F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B306F">
        <w:rPr>
          <w:rFonts w:cs="Times New Roman"/>
          <w:color w:val="000000" w:themeColor="text1"/>
          <w:szCs w:val="24"/>
        </w:rPr>
        <w:t>ensure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B306F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B306F">
        <w:rPr>
          <w:rFonts w:cs="Times New Roman"/>
          <w:color w:val="000000" w:themeColor="text1"/>
          <w:szCs w:val="24"/>
        </w:rPr>
        <w:t>air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B306F">
        <w:rPr>
          <w:rFonts w:cs="Times New Roman"/>
          <w:color w:val="000000" w:themeColor="text1"/>
          <w:szCs w:val="24"/>
        </w:rPr>
        <w:t>concentrations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B306F">
        <w:rPr>
          <w:rFonts w:cs="Times New Roman"/>
          <w:color w:val="000000" w:themeColor="text1"/>
          <w:szCs w:val="24"/>
        </w:rPr>
        <w:t>above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B306F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B306F">
        <w:rPr>
          <w:rFonts w:cs="Times New Roman"/>
          <w:color w:val="000000" w:themeColor="text1"/>
          <w:szCs w:val="24"/>
        </w:rPr>
        <w:t>ECEL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B306F">
        <w:rPr>
          <w:rFonts w:cs="Times New Roman"/>
          <w:color w:val="000000" w:themeColor="text1"/>
          <w:szCs w:val="24"/>
        </w:rPr>
        <w:t>do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B306F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B306F">
        <w:rPr>
          <w:rFonts w:cs="Times New Roman"/>
          <w:color w:val="000000" w:themeColor="text1"/>
          <w:szCs w:val="24"/>
        </w:rPr>
        <w:t>result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B306F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B306F">
        <w:rPr>
          <w:rFonts w:cs="Times New Roman"/>
          <w:color w:val="000000" w:themeColor="text1"/>
          <w:szCs w:val="24"/>
        </w:rPr>
        <w:t>unreasonable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B306F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B306F">
        <w:rPr>
          <w:rFonts w:cs="Times New Roman"/>
          <w:color w:val="000000" w:themeColor="text1"/>
          <w:szCs w:val="24"/>
        </w:rPr>
        <w:t>(</w:t>
      </w:r>
      <w:r w:rsidRPr="00C317BB" w:rsidR="00C73985">
        <w:rPr>
          <w:rFonts w:cs="Times New Roman"/>
          <w:color w:val="000000" w:themeColor="text1"/>
          <w:szCs w:val="24"/>
        </w:rPr>
        <w:t>see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73985">
        <w:rPr>
          <w:rFonts w:cs="Times New Roman"/>
          <w:color w:val="000000" w:themeColor="text1"/>
          <w:szCs w:val="24"/>
        </w:rPr>
        <w:t>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73985">
        <w:rPr>
          <w:rFonts w:cs="Times New Roman"/>
          <w:color w:val="000000" w:themeColor="text1"/>
          <w:szCs w:val="24"/>
        </w:rPr>
        <w:t>2.3.1.2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73985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73985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73985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73985">
        <w:rPr>
          <w:rFonts w:cs="Times New Roman"/>
          <w:color w:val="000000" w:themeColor="text1"/>
          <w:szCs w:val="24"/>
        </w:rPr>
        <w:t>Evaluation)</w:t>
      </w:r>
      <w:r w:rsidRPr="00C317BB" w:rsidR="007B306F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B306F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B306F">
        <w:rPr>
          <w:rFonts w:cs="Times New Roman"/>
          <w:color w:val="000000" w:themeColor="text1"/>
          <w:szCs w:val="24"/>
        </w:rPr>
        <w:t>these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B306F">
        <w:rPr>
          <w:rFonts w:cs="Times New Roman"/>
          <w:color w:val="000000" w:themeColor="text1"/>
          <w:szCs w:val="24"/>
        </w:rPr>
        <w:t>reasons,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B306F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B306F">
        <w:rPr>
          <w:rFonts w:cs="Times New Roman"/>
          <w:color w:val="000000" w:themeColor="text1"/>
          <w:szCs w:val="24"/>
        </w:rPr>
        <w:t>did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B306F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B306F">
        <w:rPr>
          <w:rFonts w:cs="Times New Roman"/>
          <w:color w:val="000000" w:themeColor="text1"/>
          <w:szCs w:val="24"/>
        </w:rPr>
        <w:t>include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B306F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B306F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B306F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B306F">
        <w:rPr>
          <w:rFonts w:cs="Times New Roman"/>
          <w:color w:val="000000" w:themeColor="text1"/>
          <w:szCs w:val="24"/>
        </w:rPr>
        <w:t>regulation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B306F">
        <w:rPr>
          <w:rFonts w:cs="Times New Roman"/>
          <w:color w:val="000000" w:themeColor="text1"/>
          <w:szCs w:val="24"/>
        </w:rPr>
        <w:t>requirements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B306F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B306F">
        <w:rPr>
          <w:rFonts w:cs="Times New Roman"/>
          <w:color w:val="000000" w:themeColor="text1"/>
          <w:szCs w:val="24"/>
        </w:rPr>
        <w:t>meet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B306F">
        <w:rPr>
          <w:rFonts w:cs="Times New Roman"/>
          <w:color w:val="000000" w:themeColor="text1"/>
          <w:szCs w:val="24"/>
        </w:rPr>
        <w:t>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B306F">
        <w:rPr>
          <w:rFonts w:cs="Times New Roman"/>
          <w:color w:val="000000" w:themeColor="text1"/>
          <w:szCs w:val="24"/>
        </w:rPr>
        <w:t>ECEL.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13FB">
        <w:rPr>
          <w:rFonts w:cs="Times New Roman"/>
          <w:color w:val="000000" w:themeColor="text1"/>
          <w:szCs w:val="24"/>
        </w:rPr>
        <w:t>However,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C6013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C6013">
        <w:rPr>
          <w:rFonts w:cs="Times New Roman"/>
          <w:color w:val="000000" w:themeColor="text1"/>
          <w:szCs w:val="24"/>
        </w:rPr>
        <w:t>ECEL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13FB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13FB">
        <w:rPr>
          <w:rFonts w:cs="Times New Roman"/>
          <w:color w:val="000000" w:themeColor="text1"/>
          <w:szCs w:val="24"/>
        </w:rPr>
        <w:t>included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13FB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13FB">
        <w:rPr>
          <w:rFonts w:cs="Times New Roman"/>
          <w:color w:val="000000" w:themeColor="text1"/>
          <w:szCs w:val="24"/>
        </w:rPr>
        <w:t>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13FB">
        <w:rPr>
          <w:rFonts w:cs="Times New Roman"/>
          <w:color w:val="000000" w:themeColor="text1"/>
          <w:szCs w:val="24"/>
        </w:rPr>
        <w:t>interim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13FB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13FB">
        <w:rPr>
          <w:rFonts w:cs="Times New Roman"/>
          <w:color w:val="000000" w:themeColor="text1"/>
          <w:szCs w:val="24"/>
        </w:rPr>
        <w:t>reduction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13FB">
        <w:rPr>
          <w:rFonts w:cs="Times New Roman"/>
          <w:color w:val="000000" w:themeColor="text1"/>
          <w:szCs w:val="24"/>
        </w:rPr>
        <w:t>measure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13F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13F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F2EA9">
        <w:rPr>
          <w:rFonts w:cs="Times New Roman"/>
          <w:color w:val="000000" w:themeColor="text1"/>
          <w:szCs w:val="24"/>
        </w:rPr>
        <w:t>primary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13FB">
        <w:rPr>
          <w:rFonts w:cs="Times New Roman"/>
          <w:color w:val="000000" w:themeColor="text1"/>
          <w:szCs w:val="24"/>
        </w:rPr>
        <w:t>alternative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13FB">
        <w:rPr>
          <w:rFonts w:cs="Times New Roman"/>
          <w:color w:val="000000" w:themeColor="text1"/>
          <w:szCs w:val="24"/>
        </w:rPr>
        <w:t>regulatory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13FB">
        <w:rPr>
          <w:rFonts w:cs="Times New Roman"/>
          <w:color w:val="000000" w:themeColor="text1"/>
          <w:szCs w:val="24"/>
        </w:rPr>
        <w:t>action</w:t>
      </w:r>
      <w:r w:rsidRPr="00C317BB" w:rsidR="003C5999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833F6">
        <w:rPr>
          <w:rFonts w:cs="Times New Roman"/>
          <w:color w:val="000000" w:themeColor="text1"/>
          <w:szCs w:val="24"/>
        </w:rPr>
        <w:t>based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833F6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833F6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72B97">
        <w:rPr>
          <w:rFonts w:cs="Times New Roman"/>
          <w:color w:val="000000" w:themeColor="text1"/>
          <w:szCs w:val="24"/>
        </w:rPr>
        <w:t>longer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72B97">
        <w:rPr>
          <w:rFonts w:cs="Times New Roman"/>
          <w:color w:val="000000" w:themeColor="text1"/>
          <w:szCs w:val="24"/>
        </w:rPr>
        <w:t>interim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72B97">
        <w:rPr>
          <w:rFonts w:cs="Times New Roman"/>
          <w:color w:val="000000" w:themeColor="text1"/>
          <w:szCs w:val="24"/>
        </w:rPr>
        <w:t>period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72B97">
        <w:rPr>
          <w:rFonts w:cs="Times New Roman"/>
          <w:color w:val="000000" w:themeColor="text1"/>
          <w:szCs w:val="24"/>
        </w:rPr>
        <w:t>prior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72B97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72B97">
        <w:rPr>
          <w:rFonts w:cs="Times New Roman"/>
          <w:color w:val="000000" w:themeColor="text1"/>
          <w:szCs w:val="24"/>
        </w:rPr>
        <w:t>prohibition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72B97">
        <w:rPr>
          <w:rFonts w:cs="Times New Roman"/>
          <w:color w:val="000000" w:themeColor="text1"/>
          <w:szCs w:val="24"/>
        </w:rPr>
        <w:t>considered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72B97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72B97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72B97">
        <w:rPr>
          <w:rFonts w:cs="Times New Roman"/>
          <w:color w:val="000000" w:themeColor="text1"/>
          <w:szCs w:val="24"/>
        </w:rPr>
        <w:t>primary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72B97">
        <w:rPr>
          <w:rFonts w:cs="Times New Roman"/>
          <w:color w:val="000000" w:themeColor="text1"/>
          <w:szCs w:val="24"/>
        </w:rPr>
        <w:t>alternative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72B97">
        <w:rPr>
          <w:rFonts w:cs="Times New Roman"/>
          <w:color w:val="000000" w:themeColor="text1"/>
          <w:szCs w:val="24"/>
        </w:rPr>
        <w:t>regulatory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72B97">
        <w:rPr>
          <w:rFonts w:cs="Times New Roman"/>
          <w:color w:val="000000" w:themeColor="text1"/>
          <w:szCs w:val="24"/>
        </w:rPr>
        <w:t>action</w:t>
      </w:r>
      <w:r w:rsidRPr="00C317BB" w:rsidR="005C13FB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6DF5">
        <w:rPr>
          <w:rFonts w:cs="Times New Roman"/>
          <w:color w:val="000000" w:themeColor="text1"/>
          <w:szCs w:val="24"/>
        </w:rPr>
        <w:t>Details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6DF5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6DF5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14694">
        <w:rPr>
          <w:rFonts w:cs="Times New Roman"/>
          <w:color w:val="000000" w:themeColor="text1"/>
          <w:szCs w:val="24"/>
        </w:rPr>
        <w:t>ECEL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6DF5">
        <w:rPr>
          <w:rFonts w:cs="Times New Roman"/>
          <w:color w:val="000000" w:themeColor="text1"/>
          <w:szCs w:val="24"/>
        </w:rPr>
        <w:t>requirement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D03DF">
        <w:rPr>
          <w:rFonts w:cs="Times New Roman"/>
          <w:color w:val="000000" w:themeColor="text1"/>
          <w:szCs w:val="24"/>
        </w:rPr>
        <w:t>included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D03DF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D03DF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F2EA9">
        <w:rPr>
          <w:rFonts w:cs="Times New Roman"/>
          <w:color w:val="000000" w:themeColor="text1"/>
          <w:szCs w:val="24"/>
        </w:rPr>
        <w:t>primary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D03DF">
        <w:rPr>
          <w:rFonts w:cs="Times New Roman"/>
          <w:color w:val="000000" w:themeColor="text1"/>
          <w:szCs w:val="24"/>
        </w:rPr>
        <w:t>alternative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D03DF">
        <w:rPr>
          <w:rFonts w:cs="Times New Roman"/>
          <w:color w:val="000000" w:themeColor="text1"/>
          <w:szCs w:val="24"/>
        </w:rPr>
        <w:t>regulatory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D03DF">
        <w:rPr>
          <w:rFonts w:cs="Times New Roman"/>
          <w:color w:val="000000" w:themeColor="text1"/>
          <w:szCs w:val="24"/>
        </w:rPr>
        <w:t>action</w:t>
      </w:r>
      <w:r w:rsidRPr="00C317BB" w:rsidR="00214694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14694">
        <w:rPr>
          <w:rFonts w:cs="Times New Roman"/>
          <w:color w:val="000000" w:themeColor="text1"/>
          <w:szCs w:val="24"/>
        </w:rPr>
        <w:t>including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14694">
        <w:rPr>
          <w:rFonts w:cs="Times New Roman"/>
          <w:color w:val="000000" w:themeColor="text1"/>
          <w:szCs w:val="24"/>
        </w:rPr>
        <w:t>how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14694">
        <w:rPr>
          <w:rFonts w:cs="Times New Roman"/>
          <w:color w:val="000000" w:themeColor="text1"/>
          <w:szCs w:val="24"/>
        </w:rPr>
        <w:t>facilities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D03DF">
        <w:rPr>
          <w:rFonts w:cs="Times New Roman"/>
          <w:color w:val="000000" w:themeColor="text1"/>
          <w:szCs w:val="24"/>
        </w:rPr>
        <w:t>could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14694">
        <w:rPr>
          <w:rFonts w:cs="Times New Roman"/>
          <w:color w:val="000000" w:themeColor="text1"/>
          <w:szCs w:val="24"/>
        </w:rPr>
        <w:t>demonstrate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14694">
        <w:rPr>
          <w:rFonts w:cs="Times New Roman"/>
          <w:color w:val="000000" w:themeColor="text1"/>
          <w:szCs w:val="24"/>
        </w:rPr>
        <w:t>compliance,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14694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14694">
        <w:rPr>
          <w:rFonts w:cs="Times New Roman"/>
          <w:color w:val="000000" w:themeColor="text1"/>
          <w:szCs w:val="24"/>
        </w:rPr>
        <w:t>described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14694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14694">
        <w:rPr>
          <w:rFonts w:cs="Times New Roman"/>
          <w:color w:val="000000" w:themeColor="text1"/>
          <w:szCs w:val="24"/>
        </w:rPr>
        <w:t>Unit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6DF5">
        <w:rPr>
          <w:rFonts w:cs="Times New Roman"/>
          <w:color w:val="000000" w:themeColor="text1"/>
          <w:szCs w:val="24"/>
        </w:rPr>
        <w:t>IV.</w:t>
      </w:r>
      <w:r w:rsidRPr="00C317BB" w:rsidR="00FC56F1">
        <w:rPr>
          <w:rFonts w:cs="Times New Roman"/>
          <w:color w:val="000000" w:themeColor="text1"/>
          <w:szCs w:val="24"/>
        </w:rPr>
        <w:t>B</w:t>
      </w:r>
      <w:r w:rsidRPr="00C317BB" w:rsidR="00214694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7A64AF" w:rsidP="00F27167" w:rsidRDefault="007A64AF" w14:paraId="5175E548" w14:textId="18FC2904">
      <w:pPr>
        <w:ind w:firstLine="720"/>
        <w:rPr>
          <w:rFonts w:cs="Times New Roman"/>
          <w:color w:val="000000" w:themeColor="text1"/>
          <w:szCs w:val="24"/>
          <w:lang w:val="en"/>
        </w:rPr>
      </w:pPr>
      <w:r w:rsidRPr="00C317BB">
        <w:rPr>
          <w:rFonts w:cs="Times New Roman"/>
          <w:color w:val="000000" w:themeColor="text1"/>
          <w:szCs w:val="24"/>
          <w:lang w:val="en"/>
        </w:rPr>
        <w:t>In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addition,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EPA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considered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other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requirements,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such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as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requiring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monitoring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and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recordkeeping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D4037E">
        <w:rPr>
          <w:rFonts w:cs="Times New Roman"/>
          <w:color w:val="000000" w:themeColor="text1"/>
          <w:szCs w:val="24"/>
          <w:lang w:val="en"/>
        </w:rPr>
        <w:t>to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D4037E">
        <w:rPr>
          <w:rFonts w:cs="Times New Roman"/>
          <w:color w:val="000000" w:themeColor="text1"/>
          <w:szCs w:val="24"/>
          <w:lang w:val="en"/>
        </w:rPr>
        <w:t>demonstrate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D4037E">
        <w:rPr>
          <w:rFonts w:cs="Times New Roman"/>
          <w:color w:val="000000" w:themeColor="text1"/>
          <w:szCs w:val="24"/>
          <w:lang w:val="en"/>
        </w:rPr>
        <w:t>compliance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C83234">
        <w:rPr>
          <w:rFonts w:cs="Times New Roman"/>
          <w:color w:val="000000" w:themeColor="text1"/>
          <w:szCs w:val="24"/>
          <w:lang w:val="en"/>
        </w:rPr>
        <w:t>with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C83234">
        <w:rPr>
          <w:rFonts w:cs="Times New Roman"/>
          <w:color w:val="000000" w:themeColor="text1"/>
          <w:szCs w:val="24"/>
          <w:lang w:val="en"/>
        </w:rPr>
        <w:t>the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C83234">
        <w:rPr>
          <w:rFonts w:cs="Times New Roman"/>
          <w:color w:val="000000" w:themeColor="text1"/>
          <w:szCs w:val="24"/>
          <w:lang w:val="en"/>
        </w:rPr>
        <w:t>ECEL</w:t>
      </w:r>
      <w:r w:rsidRPr="00C317BB">
        <w:rPr>
          <w:rFonts w:cs="Times New Roman"/>
          <w:color w:val="000000" w:themeColor="text1"/>
          <w:szCs w:val="24"/>
          <w:lang w:val="en"/>
        </w:rPr>
        <w:t>,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or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downstream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notification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372D16">
        <w:rPr>
          <w:rFonts w:cs="Times New Roman"/>
          <w:color w:val="000000" w:themeColor="text1"/>
          <w:szCs w:val="24"/>
          <w:lang w:val="en"/>
        </w:rPr>
        <w:t>to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372D16">
        <w:rPr>
          <w:rFonts w:cs="Times New Roman"/>
          <w:color w:val="000000" w:themeColor="text1"/>
          <w:szCs w:val="24"/>
          <w:lang w:val="en"/>
        </w:rPr>
        <w:t>communicate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the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372D16">
        <w:rPr>
          <w:rFonts w:cs="Times New Roman"/>
          <w:color w:val="000000" w:themeColor="text1"/>
          <w:szCs w:val="24"/>
          <w:lang w:val="en"/>
        </w:rPr>
        <w:t>date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372D16">
        <w:rPr>
          <w:rFonts w:cs="Times New Roman"/>
          <w:color w:val="000000" w:themeColor="text1"/>
          <w:szCs w:val="24"/>
          <w:lang w:val="en"/>
        </w:rPr>
        <w:t>of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prohibition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372D16">
        <w:rPr>
          <w:rFonts w:cs="Times New Roman"/>
          <w:color w:val="000000" w:themeColor="text1"/>
          <w:szCs w:val="24"/>
          <w:lang w:val="en"/>
        </w:rPr>
        <w:t>for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manufacturing,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processing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and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distribution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in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372D16">
        <w:rPr>
          <w:rFonts w:cs="Times New Roman"/>
          <w:color w:val="000000" w:themeColor="text1"/>
          <w:szCs w:val="24"/>
          <w:lang w:val="en"/>
        </w:rPr>
        <w:t>commerce</w:t>
      </w:r>
      <w:r w:rsidRPr="00C317BB">
        <w:rPr>
          <w:rFonts w:cs="Times New Roman"/>
          <w:color w:val="000000" w:themeColor="text1"/>
          <w:szCs w:val="24"/>
          <w:lang w:val="en"/>
        </w:rPr>
        <w:t>.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4E6DF5">
        <w:rPr>
          <w:rFonts w:cs="Times New Roman"/>
          <w:color w:val="000000" w:themeColor="text1"/>
          <w:szCs w:val="24"/>
          <w:lang w:val="en"/>
        </w:rPr>
        <w:t>These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4E6DF5">
        <w:rPr>
          <w:rFonts w:cs="Times New Roman"/>
          <w:color w:val="000000" w:themeColor="text1"/>
          <w:szCs w:val="24"/>
          <w:lang w:val="en"/>
        </w:rPr>
        <w:t>requirements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4E6DF5">
        <w:rPr>
          <w:rFonts w:cs="Times New Roman"/>
          <w:color w:val="000000" w:themeColor="text1"/>
          <w:szCs w:val="24"/>
          <w:lang w:val="en"/>
        </w:rPr>
        <w:t>are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4E6DF5">
        <w:rPr>
          <w:rFonts w:cs="Times New Roman"/>
          <w:color w:val="000000" w:themeColor="text1"/>
          <w:szCs w:val="24"/>
          <w:lang w:val="en"/>
        </w:rPr>
        <w:t>described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4E6DF5">
        <w:rPr>
          <w:rFonts w:cs="Times New Roman"/>
          <w:color w:val="000000" w:themeColor="text1"/>
          <w:szCs w:val="24"/>
          <w:lang w:val="en"/>
        </w:rPr>
        <w:t>in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4E6DF5">
        <w:rPr>
          <w:rFonts w:cs="Times New Roman"/>
          <w:color w:val="000000" w:themeColor="text1"/>
          <w:szCs w:val="24"/>
          <w:lang w:val="en"/>
        </w:rPr>
        <w:t>Unit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4E6DF5">
        <w:rPr>
          <w:rFonts w:cs="Times New Roman"/>
          <w:color w:val="000000" w:themeColor="text1"/>
          <w:szCs w:val="24"/>
          <w:lang w:val="en"/>
        </w:rPr>
        <w:t>IV.</w:t>
      </w:r>
      <w:r w:rsidRPr="00C317BB" w:rsidR="00DC41AC">
        <w:rPr>
          <w:rFonts w:cs="Times New Roman"/>
          <w:color w:val="000000" w:themeColor="text1"/>
          <w:szCs w:val="24"/>
          <w:lang w:val="en"/>
        </w:rPr>
        <w:t>B.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</w:p>
    <w:p w:rsidRPr="00C317BB" w:rsidR="009A7376" w:rsidP="00F27167" w:rsidRDefault="009A7376" w14:paraId="66C9DB8E" w14:textId="1CBE50A7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required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6(d),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rule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6(a)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must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specify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dat</w:t>
      </w:r>
      <w:r w:rsidRPr="00C317BB" w:rsidR="00277766">
        <w:rPr>
          <w:rFonts w:cs="Times New Roman"/>
          <w:color w:val="000000" w:themeColor="text1"/>
          <w:szCs w:val="24"/>
        </w:rPr>
        <w:t>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compliance,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which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shall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soon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practicable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reasonable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transition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period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but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B48CC">
        <w:rPr>
          <w:rFonts w:cs="Times New Roman"/>
          <w:color w:val="000000" w:themeColor="text1"/>
          <w:szCs w:val="24"/>
        </w:rPr>
        <w:t>begin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later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11622">
        <w:rPr>
          <w:rFonts w:cs="Times New Roman"/>
          <w:color w:val="000000" w:themeColor="text1"/>
          <w:szCs w:val="24"/>
        </w:rPr>
        <w:t>five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years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after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promulgation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rule.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6DF5">
        <w:rPr>
          <w:rFonts w:cs="Times New Roman"/>
          <w:color w:val="000000" w:themeColor="text1"/>
          <w:szCs w:val="24"/>
        </w:rPr>
        <w:t>These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4543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6DF5">
        <w:rPr>
          <w:rFonts w:cs="Times New Roman"/>
          <w:color w:val="000000" w:themeColor="text1"/>
          <w:szCs w:val="24"/>
        </w:rPr>
        <w:t>compliance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6DF5">
        <w:rPr>
          <w:rFonts w:cs="Times New Roman"/>
          <w:color w:val="000000" w:themeColor="text1"/>
          <w:szCs w:val="24"/>
        </w:rPr>
        <w:t>dates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6DF5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6DF5">
        <w:rPr>
          <w:rFonts w:cs="Times New Roman"/>
          <w:color w:val="000000" w:themeColor="text1"/>
          <w:szCs w:val="24"/>
        </w:rPr>
        <w:t>detailed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6DF5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6DF5">
        <w:rPr>
          <w:rFonts w:cs="Times New Roman"/>
          <w:color w:val="000000" w:themeColor="text1"/>
          <w:szCs w:val="24"/>
        </w:rPr>
        <w:t>Unit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6DF5">
        <w:rPr>
          <w:rFonts w:cs="Times New Roman"/>
          <w:color w:val="000000" w:themeColor="text1"/>
          <w:szCs w:val="24"/>
        </w:rPr>
        <w:t>IV.A.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807C05" w:rsidP="00F27167" w:rsidRDefault="00807C05" w14:paraId="0528B45C" w14:textId="400AC14B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Because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determination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made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Del="00AB4543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4543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4543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presents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unreasonable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health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within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United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States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environment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United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States,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pursuant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12(a)(2),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rule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apply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B0D10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B0D10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even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manufactured,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processed,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distributed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commerce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solely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export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United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States.</w:t>
      </w:r>
    </w:p>
    <w:p w:rsidRPr="00C317BB" w:rsidR="00C0526B" w:rsidP="00F27167" w:rsidRDefault="007A64AF" w14:paraId="1D63E7A2" w14:textId="463D51F4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After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considering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different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regulatory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requirements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33FB">
        <w:rPr>
          <w:rFonts w:cs="Times New Roman"/>
          <w:color w:val="000000" w:themeColor="text1"/>
          <w:szCs w:val="24"/>
        </w:rPr>
        <w:t>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6(a)</w:t>
      </w:r>
      <w:r w:rsidRPr="00C317BB" w:rsidR="009A7376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F7E51">
        <w:rPr>
          <w:rFonts w:cs="Times New Roman"/>
          <w:color w:val="000000" w:themeColor="text1"/>
          <w:szCs w:val="24"/>
        </w:rPr>
        <w:t>consideration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F7E51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F7E51">
        <w:rPr>
          <w:rFonts w:cs="Times New Roman"/>
          <w:color w:val="000000" w:themeColor="text1"/>
          <w:szCs w:val="24"/>
        </w:rPr>
        <w:t>alternatives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6DF5">
        <w:rPr>
          <w:rFonts w:cs="Times New Roman"/>
          <w:color w:val="000000" w:themeColor="text1"/>
          <w:szCs w:val="24"/>
        </w:rPr>
        <w:t>(</w:t>
      </w:r>
      <w:r w:rsidRPr="00C317BB" w:rsidR="00DF7E51">
        <w:rPr>
          <w:rFonts w:cs="Times New Roman"/>
          <w:color w:val="000000" w:themeColor="text1"/>
          <w:szCs w:val="24"/>
        </w:rPr>
        <w:t>described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F7E51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F7E51">
        <w:rPr>
          <w:rFonts w:cs="Times New Roman"/>
          <w:color w:val="000000" w:themeColor="text1"/>
          <w:szCs w:val="24"/>
        </w:rPr>
        <w:t>Unit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F7E51">
        <w:rPr>
          <w:rFonts w:cs="Times New Roman"/>
          <w:color w:val="000000" w:themeColor="text1"/>
          <w:szCs w:val="24"/>
        </w:rPr>
        <w:t>III.B.</w:t>
      </w:r>
      <w:r w:rsidRPr="00C317BB" w:rsidR="00603FA4">
        <w:rPr>
          <w:rFonts w:cs="Times New Roman"/>
          <w:color w:val="000000" w:themeColor="text1"/>
          <w:szCs w:val="24"/>
        </w:rPr>
        <w:t>4</w:t>
      </w:r>
      <w:r w:rsidRPr="00C317BB" w:rsidR="00DF7E51">
        <w:rPr>
          <w:rFonts w:cs="Times New Roman"/>
          <w:color w:val="000000" w:themeColor="text1"/>
          <w:szCs w:val="24"/>
        </w:rPr>
        <w:t>.</w:t>
      </w:r>
      <w:r w:rsidRPr="00C317BB" w:rsidR="004E6DF5">
        <w:rPr>
          <w:rFonts w:cs="Times New Roman"/>
          <w:color w:val="000000" w:themeColor="text1"/>
          <w:szCs w:val="24"/>
        </w:rPr>
        <w:t>)</w:t>
      </w:r>
      <w:r w:rsidRPr="00C317BB" w:rsidR="00DF7E51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A7376">
        <w:rPr>
          <w:rFonts w:cs="Times New Roman"/>
          <w:color w:val="000000" w:themeColor="text1"/>
          <w:szCs w:val="24"/>
        </w:rPr>
        <w:t>compliance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A7376">
        <w:rPr>
          <w:rFonts w:cs="Times New Roman"/>
          <w:color w:val="000000" w:themeColor="text1"/>
          <w:szCs w:val="24"/>
        </w:rPr>
        <w:t>dates,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6DF5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6DF5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6DF5">
        <w:rPr>
          <w:rFonts w:cs="Times New Roman"/>
          <w:color w:val="000000" w:themeColor="text1"/>
          <w:szCs w:val="24"/>
        </w:rPr>
        <w:t>requirements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6DF5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6DF5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6DF5">
        <w:rPr>
          <w:rFonts w:cs="Times New Roman"/>
          <w:color w:val="000000" w:themeColor="text1"/>
          <w:szCs w:val="24"/>
        </w:rPr>
        <w:t>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6DF5">
        <w:rPr>
          <w:rFonts w:cs="Times New Roman"/>
          <w:color w:val="000000" w:themeColor="text1"/>
          <w:szCs w:val="24"/>
        </w:rPr>
        <w:t>6(c),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32761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32761">
        <w:rPr>
          <w:rFonts w:cs="Times New Roman"/>
          <w:color w:val="000000" w:themeColor="text1"/>
          <w:szCs w:val="24"/>
        </w:rPr>
        <w:t>developed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F7E51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F7E51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F7E51">
        <w:rPr>
          <w:rFonts w:cs="Times New Roman"/>
          <w:color w:val="000000" w:themeColor="text1"/>
          <w:szCs w:val="24"/>
        </w:rPr>
        <w:t>regulatory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F7E51">
        <w:rPr>
          <w:rFonts w:cs="Times New Roman"/>
          <w:color w:val="000000" w:themeColor="text1"/>
          <w:szCs w:val="24"/>
        </w:rPr>
        <w:t>action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F7E51">
        <w:rPr>
          <w:rFonts w:cs="Times New Roman"/>
          <w:color w:val="000000" w:themeColor="text1"/>
          <w:szCs w:val="24"/>
        </w:rPr>
        <w:t>described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F7E51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IV.A</w:t>
      </w:r>
      <w:r w:rsidRPr="00C317BB" w:rsidR="00B32761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669E7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737D3">
        <w:rPr>
          <w:rFonts w:cs="Times New Roman"/>
          <w:color w:val="000000" w:themeColor="text1"/>
          <w:szCs w:val="24"/>
        </w:rPr>
        <w:t>primary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F7E51">
        <w:rPr>
          <w:rFonts w:cs="Times New Roman"/>
          <w:color w:val="000000" w:themeColor="text1"/>
          <w:szCs w:val="24"/>
        </w:rPr>
        <w:t>alternative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F7E51">
        <w:rPr>
          <w:rFonts w:cs="Times New Roman"/>
          <w:color w:val="000000" w:themeColor="text1"/>
          <w:szCs w:val="24"/>
        </w:rPr>
        <w:t>regulatory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F7E51">
        <w:rPr>
          <w:rFonts w:cs="Times New Roman"/>
          <w:color w:val="000000" w:themeColor="text1"/>
          <w:szCs w:val="24"/>
        </w:rPr>
        <w:t>action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F7E51">
        <w:rPr>
          <w:rFonts w:cs="Times New Roman"/>
          <w:color w:val="000000" w:themeColor="text1"/>
          <w:szCs w:val="24"/>
        </w:rPr>
        <w:t>described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F7E51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F7E51">
        <w:rPr>
          <w:rFonts w:cs="Times New Roman"/>
          <w:color w:val="000000" w:themeColor="text1"/>
          <w:szCs w:val="24"/>
        </w:rPr>
        <w:t>Unit</w:t>
      </w:r>
      <w:r w:rsidRPr="00C317BB" w:rsidR="00B32761">
        <w:rPr>
          <w:rFonts w:cs="Times New Roman"/>
          <w:color w:val="000000" w:themeColor="text1"/>
          <w:szCs w:val="24"/>
        </w:rPr>
        <w:t>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IV.B.1</w:t>
      </w:r>
      <w:r w:rsidRPr="00C317BB" w:rsidR="00B32761">
        <w:rPr>
          <w:rFonts w:cs="Times New Roman"/>
          <w:color w:val="000000" w:themeColor="text1"/>
          <w:szCs w:val="24"/>
        </w:rPr>
        <w:t>.</w:t>
      </w:r>
      <w:r w:rsidRPr="00C317BB" w:rsidR="00DA043D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IV.B.</w:t>
      </w:r>
      <w:r w:rsidRPr="00C317BB" w:rsidR="00B718A7">
        <w:rPr>
          <w:rFonts w:cs="Times New Roman"/>
          <w:color w:val="000000" w:themeColor="text1"/>
          <w:szCs w:val="24"/>
        </w:rPr>
        <w:t>5</w:t>
      </w:r>
      <w:r w:rsidRPr="00C317BB" w:rsidR="00DA043D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A043D">
        <w:rPr>
          <w:rFonts w:cs="Times New Roman"/>
          <w:color w:val="000000" w:themeColor="text1"/>
          <w:szCs w:val="24"/>
        </w:rPr>
        <w:t>IV.B.6,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A043D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A043D">
        <w:rPr>
          <w:rFonts w:cs="Times New Roman"/>
          <w:color w:val="000000" w:themeColor="text1"/>
          <w:szCs w:val="24"/>
        </w:rPr>
        <w:t>IV.B.7</w:t>
      </w:r>
      <w:r w:rsidRPr="00C317BB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3628FB" w:rsidP="00F27167" w:rsidRDefault="003628FB" w14:paraId="2DD5DEC1" w14:textId="1D706B0D">
      <w:pPr>
        <w:pStyle w:val="Heading3"/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4.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bookmarkStart w:name="_Hlk83738650" w:id="24"/>
      <w:r w:rsidRPr="00C317BB">
        <w:rPr>
          <w:rFonts w:cs="Times New Roman"/>
          <w:color w:val="000000" w:themeColor="text1"/>
          <w:szCs w:val="24"/>
        </w:rPr>
        <w:t>Consideration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alternatives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deciding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whether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prohibit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substantially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restrict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</w:t>
      </w:r>
      <w:r w:rsidRPr="00C317BB" w:rsidR="0043463F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bookmarkEnd w:id="24"/>
    </w:p>
    <w:p w:rsidRPr="00C317BB" w:rsidR="008B4D62" w:rsidP="00F27167" w:rsidRDefault="008B4D62" w14:paraId="6E48E70B" w14:textId="2473FC31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selecting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among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prohibitions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restrictions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available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B132A">
        <w:rPr>
          <w:rFonts w:cs="Times New Roman"/>
          <w:color w:val="000000" w:themeColor="text1"/>
          <w:szCs w:val="24"/>
        </w:rPr>
        <w:t>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6(a),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must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07A83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07A83">
        <w:rPr>
          <w:rFonts w:cs="Times New Roman"/>
          <w:color w:val="000000" w:themeColor="text1"/>
          <w:szCs w:val="24"/>
        </w:rPr>
        <w:t>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07A83">
        <w:rPr>
          <w:rFonts w:cs="Times New Roman"/>
          <w:color w:val="000000" w:themeColor="text1"/>
          <w:szCs w:val="24"/>
        </w:rPr>
        <w:t>6(c)(2)(</w:t>
      </w:r>
      <w:r w:rsidRPr="00C317BB" w:rsidR="00F66C2A">
        <w:rPr>
          <w:rFonts w:cs="Times New Roman"/>
          <w:color w:val="000000" w:themeColor="text1"/>
          <w:szCs w:val="24"/>
        </w:rPr>
        <w:t>A)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07A83">
        <w:rPr>
          <w:rFonts w:cs="Times New Roman"/>
          <w:color w:val="000000" w:themeColor="text1"/>
          <w:szCs w:val="24"/>
        </w:rPr>
        <w:t>(B)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A5452">
        <w:rPr>
          <w:rFonts w:cs="Times New Roman"/>
          <w:color w:val="000000" w:themeColor="text1"/>
          <w:szCs w:val="24"/>
        </w:rPr>
        <w:t>consider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A5452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factor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extent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practicable,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health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environmental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effects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D7B5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D7B5B">
        <w:rPr>
          <w:rFonts w:cs="Times New Roman"/>
          <w:color w:val="000000" w:themeColor="text1"/>
          <w:szCs w:val="24"/>
        </w:rPr>
        <w:t>exposures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chemical,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benefits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chemical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various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reasonably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ascertainable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economic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consequences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rule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(described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V</w:t>
      </w:r>
      <w:r w:rsidRPr="00C317BB" w:rsidR="004E6DF5">
        <w:rPr>
          <w:rFonts w:cs="Times New Roman"/>
          <w:color w:val="000000" w:themeColor="text1"/>
          <w:szCs w:val="24"/>
        </w:rPr>
        <w:t>.</w:t>
      </w:r>
      <w:r w:rsidRPr="00C317BB">
        <w:rPr>
          <w:rFonts w:cs="Times New Roman"/>
          <w:color w:val="000000" w:themeColor="text1"/>
          <w:szCs w:val="24"/>
        </w:rPr>
        <w:t>).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71A40">
        <w:rPr>
          <w:rFonts w:cs="Times New Roman"/>
          <w:color w:val="000000" w:themeColor="text1"/>
          <w:szCs w:val="24"/>
        </w:rPr>
        <w:t>Further,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71A40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71A40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71A40">
        <w:rPr>
          <w:rFonts w:cs="Times New Roman"/>
          <w:color w:val="000000" w:themeColor="text1"/>
          <w:szCs w:val="24"/>
        </w:rPr>
        <w:t>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71A40">
        <w:rPr>
          <w:rFonts w:cs="Times New Roman"/>
          <w:color w:val="000000" w:themeColor="text1"/>
          <w:szCs w:val="24"/>
        </w:rPr>
        <w:t>6(c)(2)(C)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71A40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71A40">
        <w:rPr>
          <w:rFonts w:cs="Times New Roman"/>
          <w:color w:val="000000" w:themeColor="text1"/>
          <w:szCs w:val="24"/>
        </w:rPr>
        <w:t>based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71A40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71A40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71A40">
        <w:rPr>
          <w:rFonts w:cs="Times New Roman"/>
          <w:color w:val="000000" w:themeColor="text1"/>
          <w:szCs w:val="24"/>
        </w:rPr>
        <w:t>information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71A40">
        <w:rPr>
          <w:rFonts w:cs="Times New Roman"/>
          <w:color w:val="000000" w:themeColor="text1"/>
          <w:szCs w:val="24"/>
        </w:rPr>
        <w:t>published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71A40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71A40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71A40">
        <w:rPr>
          <w:rFonts w:cs="Times New Roman"/>
          <w:color w:val="000000" w:themeColor="text1"/>
          <w:szCs w:val="24"/>
        </w:rPr>
        <w:t>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71A40">
        <w:rPr>
          <w:rFonts w:cs="Times New Roman"/>
          <w:color w:val="000000" w:themeColor="text1"/>
          <w:szCs w:val="24"/>
        </w:rPr>
        <w:t>6(c)(2)(A),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deciding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whether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prohibit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restrict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manner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substantially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prevents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specific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condition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chemical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substance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mixture,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setting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appropriate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transition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period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such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action,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must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also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consider,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extent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practicable,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whether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technically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economically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feasible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alternatives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benefit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health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environment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will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reasonably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available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substitute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when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prohibition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restriction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takes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effect.</w:t>
      </w:r>
    </w:p>
    <w:p w:rsidRPr="00C317BB" w:rsidR="00013942" w:rsidP="00F27167" w:rsidRDefault="00013942" w14:paraId="5A5B459C" w14:textId="7629AA73">
      <w:pPr>
        <w:pStyle w:val="Heading4"/>
        <w:keepNext w:val="0"/>
        <w:keepLines w:val="0"/>
        <w:spacing w:before="0"/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a.</w:t>
      </w:r>
      <w:bookmarkStart w:name="_Hlk94083377" w:id="25"/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Health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environmental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effects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chemical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alternatives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substitute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methods</w:t>
      </w:r>
      <w:bookmarkEnd w:id="25"/>
      <w:r w:rsidRPr="00C317BB" w:rsidR="00C070B9">
        <w:rPr>
          <w:rFonts w:cs="Times New Roman"/>
          <w:color w:val="000000" w:themeColor="text1"/>
          <w:szCs w:val="24"/>
        </w:rPr>
        <w:t>:</w:t>
      </w:r>
    </w:p>
    <w:p w:rsidRPr="00C317BB" w:rsidR="00974454" w:rsidP="00F27167" w:rsidRDefault="00C943C8" w14:paraId="518A7F93" w14:textId="3FA794D1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considering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potential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chemical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alternatives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substitute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methods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E4C42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conditions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E4C42">
        <w:rPr>
          <w:rFonts w:cs="Times New Roman"/>
          <w:color w:val="000000" w:themeColor="text1"/>
          <w:szCs w:val="24"/>
        </w:rPr>
        <w:t>evaluated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evaluation,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notes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currently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primary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substance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most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commonly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conditions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last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decade.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Chlor-alkali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diaphragms,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sheet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gaskets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chemical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production,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aftermarket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automotive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breaks,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oilfield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brake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blocks,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gaskets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friction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products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96772">
        <w:rPr>
          <w:rFonts w:cs="Times New Roman"/>
          <w:color w:val="000000" w:themeColor="text1"/>
          <w:szCs w:val="24"/>
        </w:rPr>
        <w:t>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96772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96772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relatively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uncommon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market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space,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described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evaluation.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number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alternatives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conditions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make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up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majority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market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share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have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preferentially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some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time</w:t>
      </w:r>
      <w:r w:rsidRPr="00C317BB" w:rsidR="009D14E9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D14E9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D14E9">
        <w:rPr>
          <w:rFonts w:cs="Times New Roman"/>
          <w:color w:val="000000" w:themeColor="text1"/>
          <w:szCs w:val="24"/>
        </w:rPr>
        <w:t>part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result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known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severe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adverse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health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effects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related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exposure.</w:t>
      </w:r>
      <w:r w:rsidR="005613B2">
        <w:rPr>
          <w:rFonts w:cs="Times New Roman"/>
          <w:szCs w:val="24"/>
        </w:rPr>
        <w:t xml:space="preserve"> </w:t>
      </w:r>
      <w:r w:rsidRPr="00C317BB" w:rsidR="00066922">
        <w:rPr>
          <w:rFonts w:cs="Times New Roman"/>
          <w:color w:val="000000" w:themeColor="text1"/>
          <w:szCs w:val="24"/>
        </w:rPr>
        <w:t>Based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66922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66922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66922">
        <w:rPr>
          <w:rFonts w:cs="Times New Roman"/>
          <w:color w:val="000000" w:themeColor="text1"/>
          <w:szCs w:val="24"/>
        </w:rPr>
        <w:t>information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66922">
        <w:rPr>
          <w:rFonts w:cs="Times New Roman"/>
          <w:color w:val="000000" w:themeColor="text1"/>
          <w:szCs w:val="24"/>
        </w:rPr>
        <w:t>published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66922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66922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66922">
        <w:rPr>
          <w:rFonts w:cs="Times New Roman"/>
          <w:color w:val="000000" w:themeColor="text1"/>
          <w:szCs w:val="24"/>
        </w:rPr>
        <w:t>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66922">
        <w:rPr>
          <w:rFonts w:cs="Times New Roman"/>
          <w:color w:val="000000" w:themeColor="text1"/>
          <w:szCs w:val="24"/>
        </w:rPr>
        <w:t>6(c)(2)(A),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66922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66922">
        <w:rPr>
          <w:rFonts w:cs="Times New Roman"/>
          <w:color w:val="000000" w:themeColor="text1"/>
          <w:szCs w:val="24"/>
        </w:rPr>
        <w:t>does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66922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66922">
        <w:rPr>
          <w:rFonts w:cs="Times New Roman"/>
          <w:color w:val="000000" w:themeColor="text1"/>
          <w:szCs w:val="24"/>
        </w:rPr>
        <w:t>expect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66922">
        <w:rPr>
          <w:rFonts w:cs="Times New Roman"/>
          <w:color w:val="000000" w:themeColor="text1"/>
          <w:szCs w:val="24"/>
        </w:rPr>
        <w:t>any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66922">
        <w:rPr>
          <w:rFonts w:cs="Times New Roman"/>
          <w:color w:val="000000" w:themeColor="text1"/>
          <w:szCs w:val="24"/>
        </w:rPr>
        <w:t>adverse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66922">
        <w:rPr>
          <w:rFonts w:cs="Times New Roman"/>
          <w:color w:val="000000" w:themeColor="text1"/>
          <w:szCs w:val="24"/>
        </w:rPr>
        <w:t>impacts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66922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66922">
        <w:rPr>
          <w:rFonts w:cs="Times New Roman"/>
          <w:color w:val="000000" w:themeColor="text1"/>
          <w:szCs w:val="24"/>
        </w:rPr>
        <w:t>human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66922">
        <w:rPr>
          <w:rFonts w:cs="Times New Roman"/>
          <w:color w:val="000000" w:themeColor="text1"/>
          <w:szCs w:val="24"/>
        </w:rPr>
        <w:t>health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66922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66922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66922">
        <w:rPr>
          <w:rFonts w:cs="Times New Roman"/>
          <w:color w:val="000000" w:themeColor="text1"/>
          <w:szCs w:val="24"/>
        </w:rPr>
        <w:t>environment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66922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66922">
        <w:rPr>
          <w:rFonts w:cs="Times New Roman"/>
          <w:color w:val="000000" w:themeColor="text1"/>
          <w:szCs w:val="24"/>
        </w:rPr>
        <w:t>result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66922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66922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66922">
        <w:rPr>
          <w:rFonts w:cs="Times New Roman"/>
          <w:color w:val="000000" w:themeColor="text1"/>
          <w:szCs w:val="24"/>
        </w:rPr>
        <w:t>further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66922">
        <w:rPr>
          <w:rFonts w:cs="Times New Roman"/>
          <w:color w:val="000000" w:themeColor="text1"/>
          <w:szCs w:val="24"/>
        </w:rPr>
        <w:t>reduction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66922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66922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66922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66922">
        <w:rPr>
          <w:rFonts w:cs="Times New Roman"/>
          <w:color w:val="000000" w:themeColor="text1"/>
          <w:szCs w:val="24"/>
        </w:rPr>
        <w:t>these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66922">
        <w:rPr>
          <w:rFonts w:cs="Times New Roman"/>
          <w:color w:val="000000" w:themeColor="text1"/>
          <w:szCs w:val="24"/>
        </w:rPr>
        <w:t>conditions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66922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66922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66922">
        <w:rPr>
          <w:rFonts w:cs="Times New Roman"/>
          <w:color w:val="000000" w:themeColor="text1"/>
          <w:szCs w:val="24"/>
        </w:rPr>
        <w:t>when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66922">
        <w:rPr>
          <w:rFonts w:cs="Times New Roman"/>
          <w:color w:val="000000" w:themeColor="text1"/>
          <w:szCs w:val="24"/>
        </w:rPr>
        <w:t>compared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66922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66922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66922">
        <w:rPr>
          <w:rFonts w:cs="Times New Roman"/>
          <w:color w:val="000000" w:themeColor="text1"/>
          <w:szCs w:val="24"/>
        </w:rPr>
        <w:t>continued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66922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66922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66922">
        <w:rPr>
          <w:rFonts w:cs="Times New Roman"/>
          <w:color w:val="000000" w:themeColor="text1"/>
          <w:szCs w:val="24"/>
        </w:rPr>
        <w:t>asbestos.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8D6577" w:rsidP="00C317BB" w:rsidRDefault="00974454" w14:paraId="259AAB06" w14:textId="3B98D984">
      <w:pPr>
        <w:ind w:firstLine="720"/>
        <w:rPr>
          <w:rFonts w:eastAsia="Times New Roman" w:cs="Times New Roman"/>
          <w:szCs w:val="24"/>
        </w:rPr>
      </w:pP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acknowledges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substitute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technologies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diaphragms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chlor-alkali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production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increased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concentration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per</w:t>
      </w:r>
      <w:r w:rsidRPr="00C317BB" w:rsidR="003628FB">
        <w:rPr>
          <w:rFonts w:cs="Times New Roman"/>
          <w:color w:val="000000" w:themeColor="text1"/>
          <w:szCs w:val="24"/>
        </w:rPr>
        <w:t>-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28F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28FB">
        <w:rPr>
          <w:rFonts w:cs="Times New Roman"/>
          <w:color w:val="000000" w:themeColor="text1"/>
          <w:szCs w:val="24"/>
        </w:rPr>
        <w:t>poly</w:t>
      </w:r>
      <w:r w:rsidRPr="00C317BB">
        <w:rPr>
          <w:rFonts w:cs="Times New Roman"/>
          <w:color w:val="000000" w:themeColor="text1"/>
          <w:szCs w:val="24"/>
        </w:rPr>
        <w:t>fluor</w:t>
      </w:r>
      <w:r w:rsidRPr="00C317BB" w:rsidR="00932864">
        <w:rPr>
          <w:rFonts w:cs="Times New Roman"/>
          <w:color w:val="000000" w:themeColor="text1"/>
          <w:szCs w:val="24"/>
        </w:rPr>
        <w:t>oalkyl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28FB">
        <w:rPr>
          <w:rFonts w:cs="Times New Roman"/>
          <w:color w:val="000000" w:themeColor="text1"/>
          <w:szCs w:val="24"/>
        </w:rPr>
        <w:t>substances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28FB">
        <w:rPr>
          <w:rFonts w:cs="Times New Roman"/>
          <w:color w:val="000000" w:themeColor="text1"/>
          <w:szCs w:val="24"/>
        </w:rPr>
        <w:t>(PFAS)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03979">
        <w:rPr>
          <w:rFonts w:cs="Times New Roman"/>
          <w:color w:val="000000" w:themeColor="text1"/>
          <w:szCs w:val="24"/>
        </w:rPr>
        <w:t>relative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03979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03979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03979">
        <w:rPr>
          <w:rFonts w:cs="Times New Roman"/>
          <w:color w:val="000000" w:themeColor="text1"/>
          <w:szCs w:val="24"/>
        </w:rPr>
        <w:t>amount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03979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D6A77">
        <w:rPr>
          <w:rFonts w:cs="Times New Roman"/>
          <w:color w:val="000000" w:themeColor="text1"/>
          <w:szCs w:val="24"/>
        </w:rPr>
        <w:t>PFAS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03979">
        <w:rPr>
          <w:rFonts w:cs="Times New Roman"/>
          <w:color w:val="000000" w:themeColor="text1"/>
          <w:szCs w:val="24"/>
        </w:rPr>
        <w:t>compounds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03979">
        <w:rPr>
          <w:rFonts w:cs="Times New Roman"/>
          <w:color w:val="000000" w:themeColor="text1"/>
          <w:szCs w:val="24"/>
        </w:rPr>
        <w:t>contained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03979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03979">
        <w:rPr>
          <w:rFonts w:cs="Times New Roman"/>
          <w:color w:val="000000" w:themeColor="text1"/>
          <w:szCs w:val="24"/>
        </w:rPr>
        <w:t>asbestos-containing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03979">
        <w:rPr>
          <w:rFonts w:cs="Times New Roman"/>
          <w:color w:val="000000" w:themeColor="text1"/>
          <w:szCs w:val="24"/>
        </w:rPr>
        <w:t>diaphragms</w:t>
      </w:r>
      <w:r w:rsidRPr="00C317BB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discussed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Economic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Analysis,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three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types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chlor-alkali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production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technologies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commonly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United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States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vary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their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D6A77">
        <w:rPr>
          <w:rFonts w:cs="Times New Roman"/>
          <w:color w:val="000000" w:themeColor="text1"/>
          <w:szCs w:val="24"/>
        </w:rPr>
        <w:t>PFAS</w:t>
      </w:r>
      <w:r w:rsidRPr="00C317BB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Non-asbestos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diaphragms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have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higher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concentration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polytetrafluoroethylene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(PTFE</w:t>
      </w:r>
      <w:r w:rsidRPr="00C317BB" w:rsidR="003628FB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28F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28FB">
        <w:rPr>
          <w:rFonts w:cs="Times New Roman"/>
          <w:color w:val="000000" w:themeColor="text1"/>
          <w:szCs w:val="24"/>
        </w:rPr>
        <w:t>polymeric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28FB">
        <w:rPr>
          <w:rFonts w:cs="Times New Roman"/>
          <w:color w:val="000000" w:themeColor="text1"/>
          <w:szCs w:val="24"/>
        </w:rPr>
        <w:t>perfluorinated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28FB">
        <w:rPr>
          <w:rFonts w:cs="Times New Roman"/>
          <w:color w:val="000000" w:themeColor="text1"/>
          <w:szCs w:val="24"/>
        </w:rPr>
        <w:t>substance</w:t>
      </w:r>
      <w:r w:rsidRPr="00C317BB">
        <w:rPr>
          <w:rFonts w:cs="Times New Roman"/>
          <w:color w:val="000000" w:themeColor="text1"/>
          <w:szCs w:val="24"/>
        </w:rPr>
        <w:t>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diaphragms,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non-asbestos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membranes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made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PTFE,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perfluorinated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carboxylic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acids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C317BB">
        <w:rPr>
          <w:rFonts w:cs="Times New Roman"/>
          <w:color w:val="000000" w:themeColor="text1"/>
          <w:szCs w:val="24"/>
        </w:rPr>
        <w:t>perfluorosulfonic</w:t>
      </w:r>
      <w:proofErr w:type="spellEnd"/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acids.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Therefore,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transition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away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diaphragms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result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greater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usage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release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28FB">
        <w:rPr>
          <w:rFonts w:cs="Times New Roman"/>
          <w:color w:val="000000" w:themeColor="text1"/>
          <w:szCs w:val="24"/>
        </w:rPr>
        <w:t>PFAS.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lacks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information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determine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whether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increased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usage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likely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cause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increased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release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28FB">
        <w:rPr>
          <w:rFonts w:cs="Times New Roman"/>
          <w:color w:val="000000" w:themeColor="text1"/>
          <w:szCs w:val="24"/>
        </w:rPr>
        <w:t>PFAS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chlor-alkali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facilities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currently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diaphragms,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chlor-alkali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facilities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currently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diaphragms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expand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their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production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result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regulation,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upstream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facilities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produce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membranes,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upstream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facilities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produce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perfluorinated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fibers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non-asbestos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diaphragms.</w:t>
      </w:r>
      <w:r w:rsidR="005613B2">
        <w:rPr>
          <w:rFonts w:cs="Times New Roman"/>
          <w:szCs w:val="24"/>
        </w:rPr>
        <w:t xml:space="preserve"> </w:t>
      </w:r>
      <w:r w:rsidRPr="00C317BB" w:rsidR="00C56E59">
        <w:rPr>
          <w:rFonts w:cs="Times New Roman"/>
          <w:szCs w:val="24"/>
        </w:rPr>
        <w:t>EPA</w:t>
      </w:r>
      <w:r w:rsidR="005613B2">
        <w:rPr>
          <w:rFonts w:cs="Times New Roman"/>
          <w:szCs w:val="24"/>
        </w:rPr>
        <w:t xml:space="preserve"> </w:t>
      </w:r>
      <w:r w:rsidRPr="00C317BB" w:rsidR="00C56E59">
        <w:rPr>
          <w:rFonts w:cs="Times New Roman"/>
          <w:szCs w:val="24"/>
        </w:rPr>
        <w:t>requests</w:t>
      </w:r>
      <w:r w:rsidR="005613B2">
        <w:rPr>
          <w:rFonts w:cs="Times New Roman"/>
          <w:szCs w:val="24"/>
        </w:rPr>
        <w:t xml:space="preserve"> </w:t>
      </w:r>
      <w:r w:rsidRPr="00C317BB" w:rsidR="00506EE4">
        <w:rPr>
          <w:rFonts w:cs="Times New Roman"/>
          <w:szCs w:val="24"/>
        </w:rPr>
        <w:t>public</w:t>
      </w:r>
      <w:r w:rsidR="005613B2">
        <w:rPr>
          <w:rFonts w:cs="Times New Roman"/>
          <w:szCs w:val="24"/>
        </w:rPr>
        <w:t xml:space="preserve"> </w:t>
      </w:r>
      <w:r w:rsidRPr="00C317BB" w:rsidR="00506EE4">
        <w:rPr>
          <w:rFonts w:cs="Times New Roman"/>
          <w:szCs w:val="24"/>
        </w:rPr>
        <w:t>comment</w:t>
      </w:r>
      <w:r w:rsidR="005613B2">
        <w:rPr>
          <w:rFonts w:cs="Times New Roman"/>
          <w:szCs w:val="24"/>
        </w:rPr>
        <w:t xml:space="preserve"> </w:t>
      </w:r>
      <w:r w:rsidRPr="00C317BB" w:rsidR="00506EE4">
        <w:rPr>
          <w:rFonts w:cs="Times New Roman"/>
          <w:szCs w:val="24"/>
        </w:rPr>
        <w:t>with</w:t>
      </w:r>
      <w:r w:rsidR="005613B2">
        <w:rPr>
          <w:rFonts w:cs="Times New Roman"/>
          <w:szCs w:val="24"/>
        </w:rPr>
        <w:t xml:space="preserve"> </w:t>
      </w:r>
      <w:r w:rsidRPr="00C317BB" w:rsidR="00C56E59">
        <w:rPr>
          <w:rFonts w:cs="Times New Roman"/>
          <w:szCs w:val="24"/>
        </w:rPr>
        <w:t>monitoring</w:t>
      </w:r>
      <w:r w:rsidR="005613B2">
        <w:rPr>
          <w:rFonts w:cs="Times New Roman"/>
          <w:szCs w:val="24"/>
        </w:rPr>
        <w:t xml:space="preserve"> </w:t>
      </w:r>
      <w:r w:rsidRPr="00C317BB" w:rsidR="00C56E59">
        <w:rPr>
          <w:rFonts w:cs="Times New Roman"/>
          <w:szCs w:val="24"/>
        </w:rPr>
        <w:t>data</w:t>
      </w:r>
      <w:r w:rsidR="005613B2">
        <w:rPr>
          <w:rFonts w:cs="Times New Roman"/>
          <w:szCs w:val="24"/>
        </w:rPr>
        <w:t xml:space="preserve"> </w:t>
      </w:r>
      <w:r w:rsidRPr="00C317BB" w:rsidR="00C56E59">
        <w:rPr>
          <w:rFonts w:cs="Times New Roman"/>
          <w:szCs w:val="24"/>
        </w:rPr>
        <w:t>and</w:t>
      </w:r>
      <w:r w:rsidR="005613B2">
        <w:rPr>
          <w:rFonts w:cs="Times New Roman"/>
          <w:szCs w:val="24"/>
        </w:rPr>
        <w:t xml:space="preserve"> </w:t>
      </w:r>
      <w:r w:rsidRPr="00C317BB" w:rsidR="00C56E59">
        <w:rPr>
          <w:rFonts w:cs="Times New Roman"/>
          <w:szCs w:val="24"/>
        </w:rPr>
        <w:t>other</w:t>
      </w:r>
      <w:r w:rsidR="005613B2">
        <w:rPr>
          <w:rFonts w:cs="Times New Roman"/>
          <w:szCs w:val="24"/>
        </w:rPr>
        <w:t xml:space="preserve"> </w:t>
      </w:r>
      <w:r w:rsidRPr="00C317BB" w:rsidR="00C56E59">
        <w:rPr>
          <w:rFonts w:cs="Times New Roman"/>
          <w:szCs w:val="24"/>
        </w:rPr>
        <w:t>information</w:t>
      </w:r>
      <w:r w:rsidR="005613B2">
        <w:rPr>
          <w:rFonts w:cs="Times New Roman"/>
          <w:szCs w:val="24"/>
        </w:rPr>
        <w:t xml:space="preserve"> </w:t>
      </w:r>
      <w:r w:rsidRPr="00C317BB" w:rsidR="00C56E59">
        <w:rPr>
          <w:rFonts w:cs="Times New Roman"/>
          <w:szCs w:val="24"/>
        </w:rPr>
        <w:t>that</w:t>
      </w:r>
      <w:r w:rsidR="005613B2">
        <w:rPr>
          <w:rFonts w:cs="Times New Roman"/>
          <w:szCs w:val="24"/>
        </w:rPr>
        <w:t xml:space="preserve"> </w:t>
      </w:r>
      <w:r w:rsidRPr="00C317BB" w:rsidR="00C56E59">
        <w:rPr>
          <w:rFonts w:cs="Times New Roman"/>
          <w:szCs w:val="24"/>
        </w:rPr>
        <w:t>would</w:t>
      </w:r>
      <w:r w:rsidR="005613B2">
        <w:rPr>
          <w:rFonts w:cs="Times New Roman"/>
          <w:szCs w:val="24"/>
        </w:rPr>
        <w:t xml:space="preserve"> </w:t>
      </w:r>
      <w:r w:rsidRPr="00C317BB" w:rsidR="00C56E59">
        <w:rPr>
          <w:rFonts w:cs="Times New Roman"/>
          <w:szCs w:val="24"/>
        </w:rPr>
        <w:t>allow</w:t>
      </w:r>
      <w:r w:rsidR="005613B2">
        <w:rPr>
          <w:rFonts w:cs="Times New Roman"/>
          <w:szCs w:val="24"/>
        </w:rPr>
        <w:t xml:space="preserve"> </w:t>
      </w:r>
      <w:r w:rsidRPr="00C317BB" w:rsidR="00C56E59">
        <w:rPr>
          <w:rFonts w:cs="Times New Roman"/>
          <w:szCs w:val="24"/>
        </w:rPr>
        <w:t>the</w:t>
      </w:r>
      <w:r w:rsidR="005613B2">
        <w:rPr>
          <w:rFonts w:cs="Times New Roman"/>
          <w:szCs w:val="24"/>
        </w:rPr>
        <w:t xml:space="preserve"> </w:t>
      </w:r>
      <w:r w:rsidRPr="00C317BB" w:rsidR="00C56E59">
        <w:rPr>
          <w:rFonts w:cs="Times New Roman"/>
          <w:szCs w:val="24"/>
        </w:rPr>
        <w:t>Agency</w:t>
      </w:r>
      <w:r w:rsidR="005613B2">
        <w:rPr>
          <w:rFonts w:cs="Times New Roman"/>
          <w:szCs w:val="24"/>
        </w:rPr>
        <w:t xml:space="preserve"> </w:t>
      </w:r>
      <w:r w:rsidRPr="00C317BB" w:rsidR="00C56E59">
        <w:rPr>
          <w:rFonts w:cs="Times New Roman"/>
          <w:szCs w:val="24"/>
        </w:rPr>
        <w:t>to</w:t>
      </w:r>
      <w:r w:rsidR="005613B2">
        <w:rPr>
          <w:rFonts w:cs="Times New Roman"/>
          <w:szCs w:val="24"/>
        </w:rPr>
        <w:t xml:space="preserve"> </w:t>
      </w:r>
      <w:r w:rsidRPr="00C317BB" w:rsidR="00C56E59">
        <w:rPr>
          <w:rFonts w:cs="Times New Roman"/>
          <w:szCs w:val="24"/>
        </w:rPr>
        <w:t>assess</w:t>
      </w:r>
      <w:r w:rsidR="005613B2">
        <w:rPr>
          <w:rFonts w:cs="Times New Roman"/>
          <w:szCs w:val="24"/>
        </w:rPr>
        <w:t xml:space="preserve"> </w:t>
      </w:r>
      <w:r w:rsidRPr="00C317BB" w:rsidR="00C56E59">
        <w:rPr>
          <w:rFonts w:cs="Times New Roman"/>
          <w:szCs w:val="24"/>
        </w:rPr>
        <w:t>how</w:t>
      </w:r>
      <w:r w:rsidR="005613B2">
        <w:rPr>
          <w:rFonts w:cs="Times New Roman"/>
          <w:szCs w:val="24"/>
        </w:rPr>
        <w:t xml:space="preserve"> </w:t>
      </w:r>
      <w:r w:rsidRPr="00C317BB" w:rsidR="00C56E59">
        <w:rPr>
          <w:rFonts w:cs="Times New Roman"/>
          <w:szCs w:val="24"/>
        </w:rPr>
        <w:t>a</w:t>
      </w:r>
      <w:r w:rsidR="005613B2">
        <w:rPr>
          <w:rFonts w:cs="Times New Roman"/>
          <w:szCs w:val="24"/>
        </w:rPr>
        <w:t xml:space="preserve"> </w:t>
      </w:r>
      <w:r w:rsidRPr="00C317BB" w:rsidR="00C56E59">
        <w:rPr>
          <w:rFonts w:cs="Times New Roman"/>
          <w:szCs w:val="24"/>
        </w:rPr>
        <w:t>transition</w:t>
      </w:r>
      <w:r w:rsidR="005613B2">
        <w:rPr>
          <w:rFonts w:cs="Times New Roman"/>
          <w:szCs w:val="24"/>
        </w:rPr>
        <w:t xml:space="preserve"> </w:t>
      </w:r>
      <w:r w:rsidRPr="00C317BB" w:rsidR="00C56E59">
        <w:rPr>
          <w:rFonts w:cs="Times New Roman"/>
          <w:szCs w:val="24"/>
        </w:rPr>
        <w:t>away</w:t>
      </w:r>
      <w:r w:rsidR="005613B2">
        <w:rPr>
          <w:rFonts w:cs="Times New Roman"/>
          <w:szCs w:val="24"/>
        </w:rPr>
        <w:t xml:space="preserve"> </w:t>
      </w:r>
      <w:r w:rsidRPr="00C317BB" w:rsidR="00C56E59">
        <w:rPr>
          <w:rFonts w:cs="Times New Roman"/>
          <w:szCs w:val="24"/>
        </w:rPr>
        <w:t>from</w:t>
      </w:r>
      <w:r w:rsidR="005613B2">
        <w:rPr>
          <w:rFonts w:cs="Times New Roman"/>
          <w:szCs w:val="24"/>
        </w:rPr>
        <w:t xml:space="preserve"> </w:t>
      </w:r>
      <w:r w:rsidRPr="00C317BB" w:rsidR="00C56E59">
        <w:rPr>
          <w:rFonts w:cs="Times New Roman"/>
          <w:szCs w:val="24"/>
        </w:rPr>
        <w:t>asbestos</w:t>
      </w:r>
      <w:r w:rsidR="005613B2">
        <w:rPr>
          <w:rFonts w:cs="Times New Roman"/>
          <w:szCs w:val="24"/>
        </w:rPr>
        <w:t xml:space="preserve"> </w:t>
      </w:r>
      <w:r w:rsidRPr="00C317BB" w:rsidR="00C56E59">
        <w:rPr>
          <w:rFonts w:cs="Times New Roman"/>
          <w:szCs w:val="24"/>
        </w:rPr>
        <w:t>containing</w:t>
      </w:r>
      <w:r w:rsidR="005613B2">
        <w:rPr>
          <w:rFonts w:cs="Times New Roman"/>
          <w:szCs w:val="24"/>
        </w:rPr>
        <w:t xml:space="preserve"> </w:t>
      </w:r>
      <w:r w:rsidRPr="00C317BB" w:rsidR="00C56E59">
        <w:rPr>
          <w:rFonts w:cs="Times New Roman"/>
          <w:szCs w:val="24"/>
        </w:rPr>
        <w:t>diaphragms</w:t>
      </w:r>
      <w:r w:rsidR="005613B2">
        <w:rPr>
          <w:rFonts w:cs="Times New Roman"/>
          <w:szCs w:val="24"/>
        </w:rPr>
        <w:t xml:space="preserve"> </w:t>
      </w:r>
      <w:r w:rsidRPr="00C317BB" w:rsidR="00C56E59">
        <w:rPr>
          <w:rFonts w:cs="Times New Roman"/>
          <w:szCs w:val="24"/>
        </w:rPr>
        <w:t>may</w:t>
      </w:r>
      <w:r w:rsidR="005613B2">
        <w:rPr>
          <w:rFonts w:cs="Times New Roman"/>
          <w:szCs w:val="24"/>
        </w:rPr>
        <w:t xml:space="preserve"> </w:t>
      </w:r>
      <w:r w:rsidRPr="00C317BB" w:rsidR="00C56E59">
        <w:rPr>
          <w:rFonts w:cs="Times New Roman"/>
          <w:szCs w:val="24"/>
        </w:rPr>
        <w:t>affect</w:t>
      </w:r>
      <w:r w:rsidR="005613B2">
        <w:rPr>
          <w:rFonts w:cs="Times New Roman"/>
          <w:szCs w:val="24"/>
        </w:rPr>
        <w:t xml:space="preserve"> </w:t>
      </w:r>
      <w:r w:rsidRPr="00C317BB" w:rsidR="00C56E59">
        <w:rPr>
          <w:rFonts w:cs="Times New Roman"/>
          <w:szCs w:val="24"/>
        </w:rPr>
        <w:t>exposures</w:t>
      </w:r>
      <w:r w:rsidR="005613B2">
        <w:rPr>
          <w:rFonts w:cs="Times New Roman"/>
          <w:szCs w:val="24"/>
        </w:rPr>
        <w:t xml:space="preserve"> </w:t>
      </w:r>
      <w:r w:rsidRPr="00C317BB" w:rsidR="00C56E59">
        <w:rPr>
          <w:rFonts w:cs="Times New Roman"/>
          <w:szCs w:val="24"/>
        </w:rPr>
        <w:t>to</w:t>
      </w:r>
      <w:r w:rsidR="005613B2">
        <w:rPr>
          <w:rFonts w:cs="Times New Roman"/>
          <w:szCs w:val="24"/>
        </w:rPr>
        <w:t xml:space="preserve"> </w:t>
      </w:r>
      <w:r w:rsidRPr="00C317BB" w:rsidR="00C56E59">
        <w:rPr>
          <w:rFonts w:cs="Times New Roman"/>
          <w:szCs w:val="24"/>
        </w:rPr>
        <w:t>PFAS</w:t>
      </w:r>
      <w:r w:rsidR="005613B2">
        <w:rPr>
          <w:rFonts w:cs="Times New Roman"/>
          <w:szCs w:val="24"/>
        </w:rPr>
        <w:t xml:space="preserve"> </w:t>
      </w:r>
      <w:r w:rsidRPr="00C317BB" w:rsidR="00C56E59">
        <w:rPr>
          <w:rFonts w:cs="Times New Roman"/>
          <w:szCs w:val="24"/>
        </w:rPr>
        <w:t>released</w:t>
      </w:r>
      <w:r w:rsidR="005613B2">
        <w:rPr>
          <w:rFonts w:cs="Times New Roman"/>
          <w:szCs w:val="24"/>
        </w:rPr>
        <w:t xml:space="preserve"> </w:t>
      </w:r>
      <w:r w:rsidRPr="00C317BB" w:rsidR="00C56E59">
        <w:rPr>
          <w:rFonts w:cs="Times New Roman"/>
          <w:szCs w:val="24"/>
        </w:rPr>
        <w:t>by</w:t>
      </w:r>
      <w:r w:rsidR="005613B2">
        <w:rPr>
          <w:rFonts w:cs="Times New Roman"/>
          <w:szCs w:val="24"/>
        </w:rPr>
        <w:t xml:space="preserve"> </w:t>
      </w:r>
      <w:r w:rsidRPr="00C317BB" w:rsidR="00C56E59">
        <w:rPr>
          <w:rFonts w:cs="Times New Roman"/>
          <w:szCs w:val="24"/>
        </w:rPr>
        <w:t>chlor-alkali</w:t>
      </w:r>
      <w:r w:rsidR="005613B2">
        <w:rPr>
          <w:rFonts w:cs="Times New Roman"/>
          <w:szCs w:val="24"/>
        </w:rPr>
        <w:t xml:space="preserve"> </w:t>
      </w:r>
      <w:r w:rsidRPr="00C317BB" w:rsidR="00C56E59">
        <w:rPr>
          <w:rFonts w:cs="Times New Roman"/>
          <w:szCs w:val="24"/>
        </w:rPr>
        <w:t>facilities.</w:t>
      </w:r>
      <w:r w:rsidR="005613B2">
        <w:rPr>
          <w:rFonts w:cs="Times New Roman"/>
          <w:szCs w:val="24"/>
        </w:rPr>
        <w:t xml:space="preserve"> </w:t>
      </w:r>
      <w:r w:rsidRPr="00C317BB" w:rsidR="009E23D8">
        <w:rPr>
          <w:rFonts w:cs="Times New Roman"/>
          <w:color w:val="000000" w:themeColor="text1"/>
          <w:szCs w:val="24"/>
        </w:rPr>
        <w:t>Despite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E23D8">
        <w:rPr>
          <w:rFonts w:cs="Times New Roman"/>
          <w:color w:val="000000" w:themeColor="text1"/>
          <w:szCs w:val="24"/>
        </w:rPr>
        <w:t>these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E23D8">
        <w:rPr>
          <w:rFonts w:cs="Times New Roman"/>
          <w:color w:val="000000" w:themeColor="text1"/>
          <w:szCs w:val="24"/>
        </w:rPr>
        <w:t>uncertainties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E23D8">
        <w:rPr>
          <w:rFonts w:cs="Times New Roman"/>
          <w:color w:val="000000" w:themeColor="text1"/>
          <w:szCs w:val="24"/>
        </w:rPr>
        <w:t>about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E23D8">
        <w:rPr>
          <w:rFonts w:cs="Times New Roman"/>
          <w:color w:val="000000" w:themeColor="text1"/>
          <w:szCs w:val="24"/>
        </w:rPr>
        <w:t>possible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E23D8">
        <w:rPr>
          <w:rFonts w:cs="Times New Roman"/>
          <w:color w:val="000000" w:themeColor="text1"/>
          <w:szCs w:val="24"/>
        </w:rPr>
        <w:t>greater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E23D8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E23D8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E23D8">
        <w:rPr>
          <w:rFonts w:cs="Times New Roman"/>
          <w:color w:val="000000" w:themeColor="text1"/>
          <w:szCs w:val="24"/>
        </w:rPr>
        <w:t>release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E23D8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E23D8">
        <w:rPr>
          <w:rFonts w:cs="Times New Roman"/>
          <w:color w:val="000000" w:themeColor="text1"/>
          <w:szCs w:val="24"/>
        </w:rPr>
        <w:t>PFAS,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E23D8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E23D8">
        <w:rPr>
          <w:rFonts w:cs="Times New Roman"/>
          <w:color w:val="000000" w:themeColor="text1"/>
          <w:szCs w:val="24"/>
        </w:rPr>
        <w:t>believes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E23D8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E23D8">
        <w:rPr>
          <w:rFonts w:cs="Times New Roman"/>
          <w:color w:val="000000" w:themeColor="text1"/>
          <w:szCs w:val="24"/>
        </w:rPr>
        <w:t>benefits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E23D8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E23D8">
        <w:rPr>
          <w:rFonts w:cs="Times New Roman"/>
          <w:color w:val="000000" w:themeColor="text1"/>
          <w:szCs w:val="24"/>
        </w:rPr>
        <w:t>removing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E23D8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E23D8">
        <w:rPr>
          <w:rFonts w:cs="Times New Roman"/>
          <w:color w:val="000000" w:themeColor="text1"/>
          <w:szCs w:val="24"/>
        </w:rPr>
        <w:t>asbestos,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87DF2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87DF2">
        <w:rPr>
          <w:rFonts w:cs="Times New Roman"/>
          <w:color w:val="000000" w:themeColor="text1"/>
          <w:szCs w:val="24"/>
        </w:rPr>
        <w:t>known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87DF2">
        <w:rPr>
          <w:rFonts w:cs="Times New Roman"/>
          <w:color w:val="000000" w:themeColor="text1"/>
          <w:szCs w:val="24"/>
        </w:rPr>
        <w:t>human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87DF2">
        <w:rPr>
          <w:rFonts w:cs="Times New Roman"/>
          <w:color w:val="000000" w:themeColor="text1"/>
          <w:szCs w:val="24"/>
        </w:rPr>
        <w:t>carcinogen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87DF2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87DF2">
        <w:rPr>
          <w:rFonts w:cs="Times New Roman"/>
          <w:color w:val="000000" w:themeColor="text1"/>
          <w:szCs w:val="24"/>
        </w:rPr>
        <w:t>causes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0161">
        <w:rPr>
          <w:rFonts w:cs="Times New Roman"/>
          <w:color w:val="000000" w:themeColor="text1"/>
          <w:szCs w:val="24"/>
        </w:rPr>
        <w:t>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0161">
        <w:rPr>
          <w:rFonts w:cs="Times New Roman"/>
          <w:color w:val="000000" w:themeColor="text1"/>
          <w:szCs w:val="24"/>
        </w:rPr>
        <w:t>aggressive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0161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0161">
        <w:rPr>
          <w:rFonts w:cs="Times New Roman"/>
          <w:color w:val="000000" w:themeColor="text1"/>
          <w:szCs w:val="24"/>
        </w:rPr>
        <w:t>deadly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0161">
        <w:rPr>
          <w:rFonts w:cs="Times New Roman"/>
          <w:color w:val="000000" w:themeColor="text1"/>
          <w:szCs w:val="24"/>
        </w:rPr>
        <w:t>cancer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0161">
        <w:rPr>
          <w:rFonts w:cs="Times New Roman"/>
          <w:color w:val="000000" w:themeColor="text1"/>
          <w:szCs w:val="24"/>
        </w:rPr>
        <w:t>(mesothel</w:t>
      </w:r>
      <w:r w:rsidRPr="00C317BB" w:rsidR="003A3878">
        <w:rPr>
          <w:rFonts w:cs="Times New Roman"/>
          <w:color w:val="000000" w:themeColor="text1"/>
          <w:szCs w:val="24"/>
        </w:rPr>
        <w:t>ioma)</w:t>
      </w:r>
      <w:r w:rsidRPr="00C317BB" w:rsidR="009E23D8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E23D8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E23D8">
        <w:rPr>
          <w:rFonts w:cs="Times New Roman"/>
          <w:color w:val="000000" w:themeColor="text1"/>
          <w:szCs w:val="24"/>
        </w:rPr>
        <w:t>continued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E23D8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E23D8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E23D8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E23D8">
        <w:rPr>
          <w:rFonts w:cs="Times New Roman"/>
          <w:color w:val="000000" w:themeColor="text1"/>
          <w:szCs w:val="24"/>
        </w:rPr>
        <w:t>United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E23D8">
        <w:rPr>
          <w:rFonts w:cs="Times New Roman"/>
          <w:color w:val="000000" w:themeColor="text1"/>
          <w:szCs w:val="24"/>
        </w:rPr>
        <w:t>States,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E23D8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E23D8">
        <w:rPr>
          <w:rFonts w:cs="Times New Roman"/>
          <w:color w:val="000000" w:themeColor="text1"/>
          <w:szCs w:val="24"/>
        </w:rPr>
        <w:t>significant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D6577">
        <w:rPr>
          <w:rFonts w:cs="Times New Roman"/>
          <w:color w:val="000000" w:themeColor="text1"/>
          <w:szCs w:val="24"/>
        </w:rPr>
        <w:t>even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D6577">
        <w:rPr>
          <w:rFonts w:cs="Times New Roman"/>
          <w:color w:val="000000" w:themeColor="text1"/>
          <w:szCs w:val="24"/>
        </w:rPr>
        <w:t>though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D6577">
        <w:rPr>
          <w:rFonts w:cs="Times New Roman"/>
          <w:color w:val="000000" w:themeColor="text1"/>
          <w:szCs w:val="24"/>
        </w:rPr>
        <w:t>there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D6577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D6577">
        <w:rPr>
          <w:rFonts w:cs="Times New Roman"/>
          <w:color w:val="000000" w:themeColor="text1"/>
          <w:szCs w:val="24"/>
        </w:rPr>
        <w:t>uncertainties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D6577">
        <w:rPr>
          <w:rFonts w:cs="Times New Roman"/>
          <w:color w:val="000000" w:themeColor="text1"/>
          <w:szCs w:val="24"/>
        </w:rPr>
        <w:t>regarding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E23D8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E23D8">
        <w:rPr>
          <w:rFonts w:cs="Times New Roman"/>
          <w:color w:val="000000" w:themeColor="text1"/>
          <w:szCs w:val="24"/>
        </w:rPr>
        <w:t>potential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E23D8">
        <w:rPr>
          <w:rFonts w:cs="Times New Roman"/>
          <w:color w:val="000000" w:themeColor="text1"/>
          <w:szCs w:val="24"/>
        </w:rPr>
        <w:t>additional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E23D8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E23D8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E23D8">
        <w:rPr>
          <w:rFonts w:cs="Times New Roman"/>
          <w:color w:val="000000" w:themeColor="text1"/>
          <w:szCs w:val="24"/>
        </w:rPr>
        <w:t>PFAS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E23D8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E23D8">
        <w:rPr>
          <w:rFonts w:cs="Times New Roman"/>
          <w:color w:val="000000" w:themeColor="text1"/>
          <w:szCs w:val="24"/>
        </w:rPr>
        <w:t>might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E23D8">
        <w:rPr>
          <w:rFonts w:cs="Times New Roman"/>
          <w:color w:val="000000" w:themeColor="text1"/>
          <w:szCs w:val="24"/>
        </w:rPr>
        <w:t>result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E23D8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E23D8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E23D8">
        <w:rPr>
          <w:rFonts w:cs="Times New Roman"/>
          <w:color w:val="000000" w:themeColor="text1"/>
          <w:szCs w:val="24"/>
        </w:rPr>
        <w:t>action.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D677D4" w:rsidP="007B14ED" w:rsidRDefault="00D677D4" w14:paraId="456968F1" w14:textId="6D21529D">
      <w:pPr>
        <w:rPr>
          <w:rFonts w:cs="Times New Roman"/>
          <w:color w:val="000000" w:themeColor="text1"/>
          <w:szCs w:val="24"/>
        </w:rPr>
      </w:pPr>
    </w:p>
    <w:p w:rsidRPr="00C317BB" w:rsidR="00013942" w:rsidP="00F27167" w:rsidRDefault="00013942" w14:paraId="3BABD341" w14:textId="157C7FBA">
      <w:pPr>
        <w:pStyle w:val="Heading4"/>
        <w:keepNext w:val="0"/>
        <w:keepLines w:val="0"/>
        <w:spacing w:before="0"/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b.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Technical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feasibility,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economic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feasibility,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reasonable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availability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chemical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alternatives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substitute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methods</w:t>
      </w:r>
      <w:r w:rsidRPr="00C317BB" w:rsidR="00C070B9">
        <w:rPr>
          <w:rFonts w:cs="Times New Roman"/>
          <w:color w:val="000000" w:themeColor="text1"/>
          <w:szCs w:val="24"/>
        </w:rPr>
        <w:t>:</w:t>
      </w:r>
    </w:p>
    <w:p w:rsidRPr="00C317BB" w:rsidR="00326844" w:rsidP="00F27167" w:rsidRDefault="00AB23A6" w14:paraId="00005B99" w14:textId="6F6F13A6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mentioned</w:t>
      </w:r>
      <w:r w:rsidRPr="00C317BB" w:rsidR="005165E2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65E2">
        <w:rPr>
          <w:rFonts w:cs="Times New Roman"/>
          <w:color w:val="000000" w:themeColor="text1"/>
          <w:szCs w:val="24"/>
        </w:rPr>
        <w:t>t</w:t>
      </w:r>
      <w:r w:rsidRPr="00C317BB">
        <w:rPr>
          <w:rFonts w:cs="Times New Roman"/>
          <w:color w:val="000000" w:themeColor="text1"/>
          <w:szCs w:val="24"/>
        </w:rPr>
        <w:t>here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number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alternatives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conditions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make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up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majority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market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share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have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preferentially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some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time</w:t>
      </w:r>
      <w:r w:rsidRPr="00C317BB" w:rsidR="007D5410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E5639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E5639">
        <w:rPr>
          <w:rFonts w:cs="Times New Roman"/>
          <w:color w:val="000000" w:themeColor="text1"/>
          <w:szCs w:val="24"/>
        </w:rPr>
        <w:t>received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E5639">
        <w:rPr>
          <w:rFonts w:cs="Times New Roman"/>
          <w:color w:val="000000" w:themeColor="text1"/>
          <w:szCs w:val="24"/>
        </w:rPr>
        <w:t>input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E5639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E5639">
        <w:rPr>
          <w:rFonts w:cs="Times New Roman"/>
          <w:color w:val="000000" w:themeColor="text1"/>
          <w:szCs w:val="24"/>
        </w:rPr>
        <w:t>stakeholders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E5639">
        <w:rPr>
          <w:rFonts w:cs="Times New Roman"/>
          <w:color w:val="000000" w:themeColor="text1"/>
          <w:szCs w:val="24"/>
        </w:rPr>
        <w:t>regarding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D5410">
        <w:rPr>
          <w:rFonts w:cs="Times New Roman"/>
          <w:color w:val="000000" w:themeColor="text1"/>
          <w:szCs w:val="24"/>
        </w:rPr>
        <w:t>their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D5410">
        <w:rPr>
          <w:rFonts w:cs="Times New Roman"/>
          <w:color w:val="000000" w:themeColor="text1"/>
          <w:szCs w:val="24"/>
        </w:rPr>
        <w:t>concerns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C14DE">
        <w:rPr>
          <w:rFonts w:cs="Times New Roman"/>
          <w:color w:val="000000" w:themeColor="text1"/>
          <w:szCs w:val="24"/>
        </w:rPr>
        <w:t>about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E5639">
        <w:rPr>
          <w:rFonts w:cs="Times New Roman"/>
          <w:color w:val="000000" w:themeColor="text1"/>
          <w:szCs w:val="24"/>
        </w:rPr>
        <w:t>alternatives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E5639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C6219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C6219">
        <w:rPr>
          <w:rFonts w:cs="Times New Roman"/>
          <w:color w:val="000000" w:themeColor="text1"/>
          <w:szCs w:val="24"/>
        </w:rPr>
        <w:t>asbestos</w:t>
      </w:r>
      <w:r w:rsidRPr="00C317BB" w:rsidR="009E5639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b/>
          <w:color w:val="000000" w:themeColor="text1"/>
          <w:szCs w:val="24"/>
        </w:rPr>
        <w:t xml:space="preserve"> </w:t>
      </w:r>
      <w:r w:rsidRPr="00C317BB" w:rsidR="00C05339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D15A7">
        <w:rPr>
          <w:rFonts w:cs="Times New Roman"/>
          <w:color w:val="000000" w:themeColor="text1"/>
          <w:szCs w:val="24"/>
        </w:rPr>
        <w:t>expects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D15A7">
        <w:rPr>
          <w:rFonts w:cs="Times New Roman"/>
          <w:color w:val="000000" w:themeColor="text1"/>
          <w:szCs w:val="24"/>
        </w:rPr>
        <w:t>non-asbestos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D15A7">
        <w:rPr>
          <w:rFonts w:cs="Times New Roman"/>
          <w:color w:val="000000" w:themeColor="text1"/>
          <w:szCs w:val="24"/>
        </w:rPr>
        <w:t>diaphragms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D15A7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D15A7">
        <w:rPr>
          <w:rFonts w:cs="Times New Roman"/>
          <w:color w:val="000000" w:themeColor="text1"/>
          <w:szCs w:val="24"/>
        </w:rPr>
        <w:t>membrane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D15A7">
        <w:rPr>
          <w:rFonts w:cs="Times New Roman"/>
          <w:color w:val="000000" w:themeColor="text1"/>
          <w:szCs w:val="24"/>
        </w:rPr>
        <w:t>cells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D15A7">
        <w:rPr>
          <w:rFonts w:cs="Times New Roman"/>
          <w:color w:val="000000" w:themeColor="text1"/>
          <w:szCs w:val="24"/>
        </w:rPr>
        <w:t>will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D15A7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D15A7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D15A7">
        <w:rPr>
          <w:rFonts w:cs="Times New Roman"/>
          <w:color w:val="000000" w:themeColor="text1"/>
          <w:szCs w:val="24"/>
        </w:rPr>
        <w:t>likely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D15A7">
        <w:rPr>
          <w:rFonts w:cs="Times New Roman"/>
          <w:color w:val="000000" w:themeColor="text1"/>
          <w:szCs w:val="24"/>
        </w:rPr>
        <w:t>substitutes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D15A7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D15A7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D15A7">
        <w:rPr>
          <w:rFonts w:cs="Times New Roman"/>
          <w:color w:val="000000" w:themeColor="text1"/>
          <w:szCs w:val="24"/>
        </w:rPr>
        <w:t>diaphragms.</w:t>
      </w:r>
      <w:r w:rsidR="005613B2">
        <w:rPr>
          <w:rFonts w:cs="Times New Roman"/>
          <w:b/>
          <w:color w:val="000000" w:themeColor="text1"/>
          <w:szCs w:val="24"/>
        </w:rPr>
        <w:t xml:space="preserve"> </w:t>
      </w:r>
      <w:r w:rsidRPr="00C317BB" w:rsidR="000C292C">
        <w:rPr>
          <w:rFonts w:cs="Times New Roman"/>
          <w:color w:val="000000" w:themeColor="text1"/>
          <w:szCs w:val="24"/>
        </w:rPr>
        <w:t>Each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C292C">
        <w:rPr>
          <w:rFonts w:cs="Times New Roman"/>
          <w:color w:val="000000" w:themeColor="text1"/>
          <w:szCs w:val="24"/>
        </w:rPr>
        <w:t>chlor-alkali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C292C">
        <w:rPr>
          <w:rFonts w:cs="Times New Roman"/>
          <w:color w:val="000000" w:themeColor="text1"/>
          <w:szCs w:val="24"/>
        </w:rPr>
        <w:t>industry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C292C">
        <w:rPr>
          <w:rFonts w:cs="Times New Roman"/>
          <w:color w:val="000000" w:themeColor="text1"/>
          <w:szCs w:val="24"/>
        </w:rPr>
        <w:t>member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C292C">
        <w:rPr>
          <w:rFonts w:cs="Times New Roman"/>
          <w:color w:val="000000" w:themeColor="text1"/>
          <w:szCs w:val="24"/>
        </w:rPr>
        <w:t>consulted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C292C">
        <w:rPr>
          <w:rFonts w:cs="Times New Roman"/>
          <w:color w:val="000000" w:themeColor="text1"/>
          <w:szCs w:val="24"/>
        </w:rPr>
        <w:t>expressed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C292C">
        <w:rPr>
          <w:rFonts w:cs="Times New Roman"/>
          <w:color w:val="000000" w:themeColor="text1"/>
          <w:szCs w:val="24"/>
        </w:rPr>
        <w:t>concerns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C292C">
        <w:rPr>
          <w:rFonts w:cs="Times New Roman"/>
          <w:color w:val="000000" w:themeColor="text1"/>
          <w:szCs w:val="24"/>
        </w:rPr>
        <w:t>about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C292C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C292C">
        <w:rPr>
          <w:rFonts w:cs="Times New Roman"/>
          <w:color w:val="000000" w:themeColor="text1"/>
          <w:szCs w:val="24"/>
        </w:rPr>
        <w:t>economic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C292C">
        <w:rPr>
          <w:rFonts w:cs="Times New Roman"/>
          <w:color w:val="000000" w:themeColor="text1"/>
          <w:szCs w:val="24"/>
        </w:rPr>
        <w:t>feasibility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C292C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C292C">
        <w:rPr>
          <w:rFonts w:cs="Times New Roman"/>
          <w:color w:val="000000" w:themeColor="text1"/>
          <w:szCs w:val="24"/>
        </w:rPr>
        <w:t>transitioning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C292C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C292C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C292C">
        <w:rPr>
          <w:rFonts w:cs="Times New Roman"/>
          <w:color w:val="000000" w:themeColor="text1"/>
          <w:szCs w:val="24"/>
        </w:rPr>
        <w:t>free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C292C">
        <w:rPr>
          <w:rFonts w:cs="Times New Roman"/>
          <w:color w:val="000000" w:themeColor="text1"/>
          <w:szCs w:val="24"/>
        </w:rPr>
        <w:t>technology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C292C">
        <w:rPr>
          <w:rFonts w:cs="Times New Roman"/>
          <w:color w:val="000000" w:themeColor="text1"/>
          <w:szCs w:val="24"/>
        </w:rPr>
        <w:t>(Refs.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C292C">
        <w:rPr>
          <w:rFonts w:cs="Times New Roman"/>
          <w:color w:val="000000" w:themeColor="text1"/>
          <w:szCs w:val="24"/>
        </w:rPr>
        <w:t>14,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C292C">
        <w:rPr>
          <w:rFonts w:cs="Times New Roman"/>
          <w:color w:val="000000" w:themeColor="text1"/>
          <w:szCs w:val="24"/>
        </w:rPr>
        <w:t>15,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C292C">
        <w:rPr>
          <w:rFonts w:cs="Times New Roman"/>
          <w:color w:val="000000" w:themeColor="text1"/>
          <w:szCs w:val="24"/>
        </w:rPr>
        <w:t>16,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C292C">
        <w:rPr>
          <w:rFonts w:cs="Times New Roman"/>
          <w:color w:val="000000" w:themeColor="text1"/>
          <w:szCs w:val="24"/>
        </w:rPr>
        <w:t>17,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C292C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C292C">
        <w:rPr>
          <w:rFonts w:cs="Times New Roman"/>
          <w:color w:val="000000" w:themeColor="text1"/>
          <w:szCs w:val="24"/>
        </w:rPr>
        <w:t>20)</w:t>
      </w:r>
      <w:r w:rsidRPr="00C317BB" w:rsidR="00E875B6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875B6">
        <w:rPr>
          <w:rFonts w:cs="Times New Roman"/>
          <w:color w:val="000000" w:themeColor="text1"/>
          <w:szCs w:val="24"/>
        </w:rPr>
        <w:t>indicating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875B6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875B6">
        <w:rPr>
          <w:rFonts w:cs="Times New Roman"/>
          <w:color w:val="000000" w:themeColor="text1"/>
          <w:szCs w:val="24"/>
        </w:rPr>
        <w:t>would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875B6">
        <w:rPr>
          <w:rFonts w:cs="Times New Roman"/>
          <w:color w:val="000000" w:themeColor="text1"/>
          <w:szCs w:val="24"/>
        </w:rPr>
        <w:t>take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875B6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875B6">
        <w:rPr>
          <w:rFonts w:cs="Times New Roman"/>
          <w:color w:val="000000" w:themeColor="text1"/>
          <w:szCs w:val="24"/>
        </w:rPr>
        <w:t>significant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875B6">
        <w:rPr>
          <w:rFonts w:cs="Times New Roman"/>
          <w:color w:val="000000" w:themeColor="text1"/>
          <w:szCs w:val="24"/>
        </w:rPr>
        <w:t>amount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875B6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875B6">
        <w:rPr>
          <w:rFonts w:cs="Times New Roman"/>
          <w:color w:val="000000" w:themeColor="text1"/>
          <w:szCs w:val="24"/>
        </w:rPr>
        <w:t>time</w:t>
      </w:r>
      <w:r w:rsidRPr="00C317BB" w:rsidR="000C292C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57503">
        <w:rPr>
          <w:rFonts w:cs="Times New Roman"/>
          <w:color w:val="000000" w:themeColor="text1"/>
          <w:szCs w:val="24"/>
        </w:rPr>
        <w:t>Several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57503">
        <w:rPr>
          <w:rFonts w:cs="Times New Roman"/>
          <w:color w:val="000000" w:themeColor="text1"/>
          <w:szCs w:val="24"/>
        </w:rPr>
        <w:t>stakeholders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57503">
        <w:rPr>
          <w:rFonts w:cs="Times New Roman"/>
          <w:color w:val="000000" w:themeColor="text1"/>
          <w:szCs w:val="24"/>
        </w:rPr>
        <w:t>provided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57503">
        <w:rPr>
          <w:rFonts w:cs="Times New Roman"/>
          <w:color w:val="000000" w:themeColor="text1"/>
          <w:szCs w:val="24"/>
        </w:rPr>
        <w:t>feedback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57503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57503">
        <w:rPr>
          <w:rFonts w:cs="Times New Roman"/>
          <w:color w:val="000000" w:themeColor="text1"/>
          <w:szCs w:val="24"/>
        </w:rPr>
        <w:t>alternatives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57503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57503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57503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C3D7C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C3D7C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C3D7C">
        <w:rPr>
          <w:rFonts w:cs="Times New Roman"/>
          <w:color w:val="000000" w:themeColor="text1"/>
          <w:szCs w:val="24"/>
        </w:rPr>
        <w:t>sheet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C3D7C">
        <w:rPr>
          <w:rFonts w:cs="Times New Roman"/>
          <w:color w:val="000000" w:themeColor="text1"/>
          <w:szCs w:val="24"/>
        </w:rPr>
        <w:t>gasket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95F26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73EA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73EA">
        <w:rPr>
          <w:rFonts w:cs="Times New Roman"/>
          <w:color w:val="000000" w:themeColor="text1"/>
          <w:szCs w:val="24"/>
        </w:rPr>
        <w:t>chemical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73EA">
        <w:rPr>
          <w:rFonts w:cs="Times New Roman"/>
          <w:color w:val="000000" w:themeColor="text1"/>
          <w:szCs w:val="24"/>
        </w:rPr>
        <w:t>production</w:t>
      </w:r>
      <w:r w:rsidRPr="00C317BB" w:rsidR="00CC3D7C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C3D7C">
        <w:rPr>
          <w:rFonts w:cs="Times New Roman"/>
          <w:color w:val="000000" w:themeColor="text1"/>
          <w:szCs w:val="24"/>
        </w:rPr>
        <w:t>Generally,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579C">
        <w:rPr>
          <w:rFonts w:cs="Times New Roman"/>
          <w:color w:val="000000" w:themeColor="text1"/>
          <w:szCs w:val="24"/>
        </w:rPr>
        <w:t>these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D1B6B">
        <w:rPr>
          <w:rFonts w:cs="Times New Roman"/>
          <w:color w:val="000000" w:themeColor="text1"/>
          <w:szCs w:val="24"/>
        </w:rPr>
        <w:t>stakeholders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307C7">
        <w:rPr>
          <w:rFonts w:cs="Times New Roman"/>
          <w:color w:val="000000" w:themeColor="text1"/>
          <w:szCs w:val="24"/>
        </w:rPr>
        <w:t>described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307C7">
        <w:rPr>
          <w:rFonts w:cs="Times New Roman"/>
          <w:color w:val="000000" w:themeColor="text1"/>
          <w:szCs w:val="24"/>
        </w:rPr>
        <w:t>how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C3D7C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C3D7C">
        <w:rPr>
          <w:rFonts w:cs="Times New Roman"/>
          <w:color w:val="000000" w:themeColor="text1"/>
          <w:szCs w:val="24"/>
        </w:rPr>
        <w:t>transition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C3D7C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C3D7C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C3D7C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579C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579C">
        <w:rPr>
          <w:rFonts w:cs="Times New Roman"/>
          <w:color w:val="000000" w:themeColor="text1"/>
          <w:szCs w:val="24"/>
        </w:rPr>
        <w:t>ti</w:t>
      </w:r>
      <w:r w:rsidRPr="00C317BB" w:rsidR="00F85768">
        <w:rPr>
          <w:rFonts w:cs="Times New Roman"/>
          <w:color w:val="000000" w:themeColor="text1"/>
          <w:szCs w:val="24"/>
        </w:rPr>
        <w:t>tanium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579C">
        <w:rPr>
          <w:rFonts w:cs="Times New Roman"/>
          <w:color w:val="000000" w:themeColor="text1"/>
          <w:szCs w:val="24"/>
        </w:rPr>
        <w:t>dioxide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85768">
        <w:rPr>
          <w:rFonts w:cs="Times New Roman"/>
          <w:color w:val="000000" w:themeColor="text1"/>
          <w:szCs w:val="24"/>
        </w:rPr>
        <w:t>production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86F72">
        <w:rPr>
          <w:rFonts w:cs="Times New Roman"/>
          <w:color w:val="000000" w:themeColor="text1"/>
          <w:szCs w:val="24"/>
        </w:rPr>
        <w:t>would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C3D7C">
        <w:rPr>
          <w:rFonts w:cs="Times New Roman"/>
          <w:color w:val="000000" w:themeColor="text1"/>
          <w:szCs w:val="24"/>
        </w:rPr>
        <w:t>require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C3D7C">
        <w:rPr>
          <w:rFonts w:cs="Times New Roman"/>
          <w:color w:val="000000" w:themeColor="text1"/>
          <w:szCs w:val="24"/>
        </w:rPr>
        <w:t>significant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C3D7C">
        <w:rPr>
          <w:rFonts w:cs="Times New Roman"/>
          <w:color w:val="000000" w:themeColor="text1"/>
          <w:szCs w:val="24"/>
        </w:rPr>
        <w:t>capital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C3D7C">
        <w:rPr>
          <w:rFonts w:cs="Times New Roman"/>
          <w:color w:val="000000" w:themeColor="text1"/>
          <w:szCs w:val="24"/>
        </w:rPr>
        <w:t>investment.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94416">
        <w:rPr>
          <w:rFonts w:cs="Times New Roman"/>
          <w:color w:val="000000" w:themeColor="text1"/>
          <w:szCs w:val="24"/>
        </w:rPr>
        <w:t>O</w:t>
      </w:r>
      <w:r w:rsidRPr="00C317BB" w:rsidR="00CC3D7C">
        <w:rPr>
          <w:rFonts w:cs="Times New Roman"/>
          <w:color w:val="000000" w:themeColor="text1"/>
          <w:szCs w:val="24"/>
        </w:rPr>
        <w:t>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C3D7C">
        <w:rPr>
          <w:rFonts w:cs="Times New Roman"/>
          <w:color w:val="000000" w:themeColor="text1"/>
          <w:szCs w:val="24"/>
        </w:rPr>
        <w:t>stakeholder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30B59">
        <w:rPr>
          <w:rFonts w:cs="Times New Roman"/>
          <w:color w:val="000000" w:themeColor="text1"/>
          <w:szCs w:val="24"/>
        </w:rPr>
        <w:t>note</w:t>
      </w:r>
      <w:r w:rsidRPr="00C317BB" w:rsidR="00BD16AE">
        <w:rPr>
          <w:rFonts w:cs="Times New Roman"/>
          <w:color w:val="000000" w:themeColor="text1"/>
          <w:szCs w:val="24"/>
        </w:rPr>
        <w:t>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30B59">
        <w:rPr>
          <w:rFonts w:cs="Times New Roman"/>
          <w:color w:val="000000" w:themeColor="text1"/>
          <w:szCs w:val="24"/>
        </w:rPr>
        <w:t>they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30B59">
        <w:rPr>
          <w:rFonts w:cs="Times New Roman"/>
          <w:color w:val="000000" w:themeColor="text1"/>
          <w:szCs w:val="24"/>
        </w:rPr>
        <w:t>have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C3D7C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335FD">
        <w:rPr>
          <w:rFonts w:cs="Times New Roman"/>
          <w:color w:val="000000" w:themeColor="text1"/>
          <w:szCs w:val="24"/>
        </w:rPr>
        <w:t>titanium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335FD">
        <w:rPr>
          <w:rFonts w:cs="Times New Roman"/>
          <w:color w:val="000000" w:themeColor="text1"/>
          <w:szCs w:val="24"/>
        </w:rPr>
        <w:t>dioxide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335FD">
        <w:rPr>
          <w:rFonts w:cs="Times New Roman"/>
          <w:color w:val="000000" w:themeColor="text1"/>
          <w:szCs w:val="24"/>
        </w:rPr>
        <w:t>production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335FD">
        <w:rPr>
          <w:rFonts w:cs="Times New Roman"/>
          <w:color w:val="000000" w:themeColor="text1"/>
          <w:szCs w:val="24"/>
        </w:rPr>
        <w:t>facility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12320">
        <w:rPr>
          <w:rFonts w:cs="Times New Roman"/>
          <w:color w:val="000000" w:themeColor="text1"/>
          <w:szCs w:val="24"/>
        </w:rPr>
        <w:t>located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12320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12320">
        <w:rPr>
          <w:rFonts w:cs="Times New Roman"/>
          <w:color w:val="000000" w:themeColor="text1"/>
          <w:szCs w:val="24"/>
        </w:rPr>
        <w:t>Taiwan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335FD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335FD">
        <w:rPr>
          <w:rFonts w:cs="Times New Roman"/>
          <w:color w:val="000000" w:themeColor="text1"/>
          <w:szCs w:val="24"/>
        </w:rPr>
        <w:t>uses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C3D7C">
        <w:rPr>
          <w:rFonts w:cs="Times New Roman"/>
          <w:color w:val="000000" w:themeColor="text1"/>
          <w:szCs w:val="24"/>
        </w:rPr>
        <w:t>asbestos</w:t>
      </w:r>
      <w:r w:rsidRPr="00C317BB" w:rsidR="003E54CF">
        <w:rPr>
          <w:rFonts w:cs="Times New Roman"/>
          <w:color w:val="000000" w:themeColor="text1"/>
          <w:szCs w:val="24"/>
        </w:rPr>
        <w:t>-</w:t>
      </w:r>
      <w:r w:rsidRPr="00C317BB" w:rsidR="00CC3D7C">
        <w:rPr>
          <w:rFonts w:cs="Times New Roman"/>
          <w:color w:val="000000" w:themeColor="text1"/>
          <w:szCs w:val="24"/>
        </w:rPr>
        <w:t>free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335FD">
        <w:rPr>
          <w:rFonts w:cs="Times New Roman"/>
          <w:color w:val="000000" w:themeColor="text1"/>
          <w:szCs w:val="24"/>
        </w:rPr>
        <w:t>gaskets</w:t>
      </w:r>
      <w:r w:rsidRPr="00C317BB" w:rsidR="00CC3D7C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A3BD6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A3BD6">
        <w:rPr>
          <w:rFonts w:cs="Times New Roman"/>
          <w:color w:val="000000" w:themeColor="text1"/>
          <w:szCs w:val="24"/>
        </w:rPr>
        <w:t>stakeholder</w:t>
      </w:r>
      <w:r w:rsidRPr="00C317BB" w:rsidR="00BD16AE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D16AE">
        <w:rPr>
          <w:rFonts w:cs="Times New Roman"/>
          <w:color w:val="000000" w:themeColor="text1"/>
          <w:szCs w:val="24"/>
        </w:rPr>
        <w:t>however,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5109">
        <w:rPr>
          <w:rFonts w:cs="Times New Roman"/>
          <w:color w:val="000000" w:themeColor="text1"/>
          <w:szCs w:val="24"/>
        </w:rPr>
        <w:t>stated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A3BD6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A3BD6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51E9C">
        <w:rPr>
          <w:rFonts w:cs="Times New Roman"/>
          <w:color w:val="000000" w:themeColor="text1"/>
          <w:szCs w:val="24"/>
        </w:rPr>
        <w:t>technology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41A3C">
        <w:rPr>
          <w:rFonts w:cs="Times New Roman"/>
          <w:color w:val="000000" w:themeColor="text1"/>
          <w:szCs w:val="24"/>
        </w:rPr>
        <w:t>used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41A3C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E06AC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41A3C">
        <w:rPr>
          <w:rFonts w:cs="Times New Roman"/>
          <w:color w:val="000000" w:themeColor="text1"/>
          <w:szCs w:val="24"/>
        </w:rPr>
        <w:t>Taiwan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C79F1">
        <w:rPr>
          <w:rFonts w:cs="Times New Roman"/>
          <w:color w:val="000000" w:themeColor="text1"/>
          <w:szCs w:val="24"/>
        </w:rPr>
        <w:t>facility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D16AE">
        <w:rPr>
          <w:rFonts w:cs="Times New Roman"/>
          <w:color w:val="000000" w:themeColor="text1"/>
          <w:szCs w:val="24"/>
        </w:rPr>
        <w:t>would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E06AC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51E9C">
        <w:rPr>
          <w:rFonts w:cs="Times New Roman"/>
          <w:color w:val="000000" w:themeColor="text1"/>
          <w:szCs w:val="24"/>
        </w:rPr>
        <w:t>suit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D16AE">
        <w:rPr>
          <w:rFonts w:cs="Times New Roman"/>
          <w:color w:val="000000" w:themeColor="text1"/>
          <w:szCs w:val="24"/>
        </w:rPr>
        <w:t>certain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6024">
        <w:rPr>
          <w:rFonts w:cs="Times New Roman"/>
          <w:color w:val="000000" w:themeColor="text1"/>
          <w:szCs w:val="24"/>
        </w:rPr>
        <w:t>domestic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6024">
        <w:rPr>
          <w:rFonts w:cs="Times New Roman"/>
          <w:color w:val="000000" w:themeColor="text1"/>
          <w:szCs w:val="24"/>
        </w:rPr>
        <w:t>ti</w:t>
      </w:r>
      <w:r w:rsidRPr="00C317BB" w:rsidR="00C97ED3">
        <w:rPr>
          <w:rFonts w:cs="Times New Roman"/>
          <w:color w:val="000000" w:themeColor="text1"/>
          <w:szCs w:val="24"/>
        </w:rPr>
        <w:t>tanium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97ED3">
        <w:rPr>
          <w:rFonts w:cs="Times New Roman"/>
          <w:color w:val="000000" w:themeColor="text1"/>
          <w:szCs w:val="24"/>
        </w:rPr>
        <w:t>di</w:t>
      </w:r>
      <w:r w:rsidRPr="00C317BB" w:rsidR="007E06AC">
        <w:rPr>
          <w:rFonts w:cs="Times New Roman"/>
          <w:color w:val="000000" w:themeColor="text1"/>
          <w:szCs w:val="24"/>
        </w:rPr>
        <w:t>oxide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E06AC">
        <w:rPr>
          <w:rFonts w:cs="Times New Roman"/>
          <w:color w:val="000000" w:themeColor="text1"/>
          <w:szCs w:val="24"/>
        </w:rPr>
        <w:t>plants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57E7B">
        <w:rPr>
          <w:rFonts w:cs="Times New Roman"/>
          <w:color w:val="000000" w:themeColor="text1"/>
          <w:szCs w:val="24"/>
        </w:rPr>
        <w:t>because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57E7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64A40">
        <w:rPr>
          <w:rFonts w:cs="Times New Roman"/>
          <w:color w:val="000000" w:themeColor="text1"/>
          <w:szCs w:val="24"/>
        </w:rPr>
        <w:t>larg</w:t>
      </w:r>
      <w:r w:rsidRPr="00C317BB" w:rsidR="00F51D9C">
        <w:rPr>
          <w:rFonts w:cs="Times New Roman"/>
          <w:color w:val="000000" w:themeColor="text1"/>
          <w:szCs w:val="24"/>
        </w:rPr>
        <w:t>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64A40">
        <w:rPr>
          <w:rFonts w:cs="Times New Roman"/>
          <w:color w:val="000000" w:themeColor="text1"/>
          <w:szCs w:val="24"/>
        </w:rPr>
        <w:t>diameter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51D9C">
        <w:rPr>
          <w:rFonts w:cs="Times New Roman"/>
          <w:color w:val="000000" w:themeColor="text1"/>
          <w:szCs w:val="24"/>
        </w:rPr>
        <w:t>flanges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51D9C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64A40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64A40">
        <w:rPr>
          <w:rFonts w:cs="Times New Roman"/>
          <w:color w:val="000000" w:themeColor="text1"/>
          <w:szCs w:val="24"/>
        </w:rPr>
        <w:t>domestic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64A40">
        <w:rPr>
          <w:rFonts w:cs="Times New Roman"/>
          <w:color w:val="000000" w:themeColor="text1"/>
          <w:szCs w:val="24"/>
        </w:rPr>
        <w:t>plants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42FB4">
        <w:rPr>
          <w:rFonts w:cs="Times New Roman"/>
          <w:color w:val="000000" w:themeColor="text1"/>
          <w:szCs w:val="24"/>
        </w:rPr>
        <w:t>result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42FB4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82F86">
        <w:rPr>
          <w:rFonts w:cs="Times New Roman"/>
          <w:color w:val="000000" w:themeColor="text1"/>
          <w:szCs w:val="24"/>
        </w:rPr>
        <w:t>performance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82F86">
        <w:rPr>
          <w:rFonts w:cs="Times New Roman"/>
          <w:color w:val="000000" w:themeColor="text1"/>
          <w:szCs w:val="24"/>
        </w:rPr>
        <w:t>issues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82F86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64A40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51D9C">
        <w:rPr>
          <w:rFonts w:cs="Times New Roman"/>
          <w:color w:val="000000" w:themeColor="text1"/>
          <w:szCs w:val="24"/>
        </w:rPr>
        <w:t>asbestos-free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609F2">
        <w:rPr>
          <w:rFonts w:cs="Times New Roman"/>
          <w:color w:val="000000" w:themeColor="text1"/>
          <w:szCs w:val="24"/>
        </w:rPr>
        <w:t>gaskets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00178">
        <w:rPr>
          <w:rFonts w:cs="Times New Roman"/>
          <w:color w:val="000000" w:themeColor="text1"/>
          <w:szCs w:val="24"/>
        </w:rPr>
        <w:t>(Ref</w:t>
      </w:r>
      <w:r w:rsidRPr="00C317BB" w:rsidR="00C06C38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93042">
        <w:rPr>
          <w:rFonts w:cs="Times New Roman"/>
          <w:color w:val="000000" w:themeColor="text1"/>
          <w:szCs w:val="24"/>
        </w:rPr>
        <w:t>1</w:t>
      </w:r>
      <w:r w:rsidRPr="00C317BB" w:rsidR="008C56A6">
        <w:rPr>
          <w:rFonts w:cs="Times New Roman"/>
          <w:color w:val="000000" w:themeColor="text1"/>
          <w:szCs w:val="24"/>
        </w:rPr>
        <w:t>4</w:t>
      </w:r>
      <w:r w:rsidRPr="00C317BB" w:rsidR="00900178">
        <w:rPr>
          <w:rFonts w:cs="Times New Roman"/>
          <w:color w:val="000000" w:themeColor="text1"/>
          <w:szCs w:val="24"/>
        </w:rPr>
        <w:t>)</w:t>
      </w:r>
      <w:r w:rsidRPr="00C317BB" w:rsidR="00BE0A6C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D1D35">
        <w:rPr>
          <w:rFonts w:cs="Times New Roman"/>
          <w:color w:val="000000" w:themeColor="text1"/>
          <w:szCs w:val="24"/>
        </w:rPr>
        <w:t>Non-asbestos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D1D35">
        <w:rPr>
          <w:rFonts w:cs="Times New Roman"/>
          <w:color w:val="000000" w:themeColor="text1"/>
          <w:szCs w:val="24"/>
        </w:rPr>
        <w:t>technologies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D1D35">
        <w:rPr>
          <w:rFonts w:cs="Times New Roman"/>
          <w:color w:val="000000" w:themeColor="text1"/>
          <w:szCs w:val="24"/>
        </w:rPr>
        <w:t>already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D1D35">
        <w:rPr>
          <w:rFonts w:cs="Times New Roman"/>
          <w:color w:val="000000" w:themeColor="text1"/>
          <w:szCs w:val="24"/>
        </w:rPr>
        <w:t>dominate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D1D35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D1D35">
        <w:rPr>
          <w:rFonts w:cs="Times New Roman"/>
          <w:color w:val="000000" w:themeColor="text1"/>
          <w:szCs w:val="24"/>
        </w:rPr>
        <w:t>market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D1D35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D1D35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D1D35">
        <w:rPr>
          <w:rFonts w:cs="Times New Roman"/>
          <w:color w:val="000000" w:themeColor="text1"/>
          <w:szCs w:val="24"/>
        </w:rPr>
        <w:t>gaskets,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D1D35">
        <w:rPr>
          <w:rFonts w:cs="Times New Roman"/>
          <w:color w:val="000000" w:themeColor="text1"/>
          <w:szCs w:val="24"/>
        </w:rPr>
        <w:t>oilfield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D1D35">
        <w:rPr>
          <w:rFonts w:cs="Times New Roman"/>
          <w:color w:val="000000" w:themeColor="text1"/>
          <w:szCs w:val="24"/>
        </w:rPr>
        <w:t>brake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D1D35">
        <w:rPr>
          <w:rFonts w:cs="Times New Roman"/>
          <w:color w:val="000000" w:themeColor="text1"/>
          <w:szCs w:val="24"/>
        </w:rPr>
        <w:t>blocks,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D1D35">
        <w:rPr>
          <w:rFonts w:cs="Times New Roman"/>
          <w:color w:val="000000" w:themeColor="text1"/>
          <w:szCs w:val="24"/>
        </w:rPr>
        <w:t>brakes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D1D35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D1D35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D1D35">
        <w:rPr>
          <w:rFonts w:cs="Times New Roman"/>
          <w:color w:val="000000" w:themeColor="text1"/>
          <w:szCs w:val="24"/>
        </w:rPr>
        <w:t>friction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D1D35">
        <w:rPr>
          <w:rFonts w:cs="Times New Roman"/>
          <w:color w:val="000000" w:themeColor="text1"/>
          <w:szCs w:val="24"/>
        </w:rPr>
        <w:t>products.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92E79">
        <w:rPr>
          <w:rFonts w:cs="Times New Roman"/>
          <w:color w:val="000000" w:themeColor="text1"/>
          <w:szCs w:val="24"/>
        </w:rPr>
        <w:t>Although,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92E79">
        <w:rPr>
          <w:rFonts w:cs="Times New Roman"/>
          <w:color w:val="000000" w:themeColor="text1"/>
          <w:szCs w:val="24"/>
        </w:rPr>
        <w:t>s</w:t>
      </w:r>
      <w:r w:rsidRPr="00C317BB" w:rsidR="00595EE3">
        <w:rPr>
          <w:rFonts w:cs="Times New Roman"/>
          <w:color w:val="000000" w:themeColor="text1"/>
          <w:szCs w:val="24"/>
        </w:rPr>
        <w:t>takeholders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95EE3">
        <w:rPr>
          <w:rFonts w:cs="Times New Roman"/>
          <w:color w:val="000000" w:themeColor="text1"/>
          <w:szCs w:val="24"/>
        </w:rPr>
        <w:t>indicated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92E79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92E79">
        <w:rPr>
          <w:rFonts w:cs="Times New Roman"/>
          <w:color w:val="000000" w:themeColor="text1"/>
          <w:szCs w:val="24"/>
        </w:rPr>
        <w:t>a</w:t>
      </w:r>
      <w:r w:rsidRPr="00C317BB" w:rsidR="00B6294A">
        <w:rPr>
          <w:rFonts w:cs="Times New Roman"/>
          <w:color w:val="000000" w:themeColor="text1"/>
          <w:szCs w:val="24"/>
        </w:rPr>
        <w:t>dvantages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6294A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6294A">
        <w:rPr>
          <w:rFonts w:cs="Times New Roman"/>
          <w:color w:val="000000" w:themeColor="text1"/>
          <w:szCs w:val="24"/>
        </w:rPr>
        <w:t>using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6294A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34093">
        <w:rPr>
          <w:rFonts w:cs="Times New Roman"/>
          <w:color w:val="000000" w:themeColor="text1"/>
          <w:szCs w:val="24"/>
        </w:rPr>
        <w:t>(e.g.,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96847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96847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96847">
        <w:rPr>
          <w:rFonts w:cs="Times New Roman"/>
          <w:color w:val="000000" w:themeColor="text1"/>
          <w:szCs w:val="24"/>
        </w:rPr>
        <w:t>automotive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96847">
        <w:rPr>
          <w:rFonts w:cs="Times New Roman"/>
          <w:color w:val="000000" w:themeColor="text1"/>
          <w:szCs w:val="24"/>
        </w:rPr>
        <w:t>d</w:t>
      </w:r>
      <w:r w:rsidRPr="00C317BB" w:rsidR="008573DA">
        <w:rPr>
          <w:rFonts w:cs="Times New Roman"/>
          <w:color w:val="000000" w:themeColor="text1"/>
          <w:szCs w:val="24"/>
        </w:rPr>
        <w:t>rum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573DA">
        <w:rPr>
          <w:rFonts w:cs="Times New Roman"/>
          <w:color w:val="000000" w:themeColor="text1"/>
          <w:szCs w:val="24"/>
        </w:rPr>
        <w:t>brakes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96E93">
        <w:rPr>
          <w:rFonts w:cs="Times New Roman"/>
          <w:color w:val="000000" w:themeColor="text1"/>
          <w:szCs w:val="24"/>
        </w:rPr>
        <w:t>advantages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96E93">
        <w:rPr>
          <w:rFonts w:cs="Times New Roman"/>
          <w:color w:val="000000" w:themeColor="text1"/>
          <w:szCs w:val="24"/>
        </w:rPr>
        <w:t>include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B76D6">
        <w:rPr>
          <w:rFonts w:cs="Times New Roman"/>
          <w:color w:val="000000" w:themeColor="text1"/>
          <w:szCs w:val="24"/>
        </w:rPr>
        <w:t>thermal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B76D6">
        <w:rPr>
          <w:rFonts w:cs="Times New Roman"/>
          <w:color w:val="000000" w:themeColor="text1"/>
          <w:szCs w:val="24"/>
        </w:rPr>
        <w:t>stability,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B76D6">
        <w:rPr>
          <w:rFonts w:cs="Times New Roman"/>
          <w:color w:val="000000" w:themeColor="text1"/>
          <w:szCs w:val="24"/>
        </w:rPr>
        <w:t>f</w:t>
      </w:r>
      <w:r w:rsidRPr="00C317BB" w:rsidR="00496E93">
        <w:rPr>
          <w:rFonts w:cs="Times New Roman"/>
          <w:color w:val="000000" w:themeColor="text1"/>
          <w:szCs w:val="24"/>
        </w:rPr>
        <w:t>l</w:t>
      </w:r>
      <w:r w:rsidRPr="00C317BB" w:rsidR="002B76D6">
        <w:rPr>
          <w:rFonts w:cs="Times New Roman"/>
          <w:color w:val="000000" w:themeColor="text1"/>
          <w:szCs w:val="24"/>
        </w:rPr>
        <w:t>exi</w:t>
      </w:r>
      <w:r w:rsidRPr="00C317BB" w:rsidR="00496E93">
        <w:rPr>
          <w:rFonts w:cs="Times New Roman"/>
          <w:color w:val="000000" w:themeColor="text1"/>
          <w:szCs w:val="24"/>
        </w:rPr>
        <w:t>b</w:t>
      </w:r>
      <w:r w:rsidRPr="00C317BB" w:rsidR="002B76D6">
        <w:rPr>
          <w:rFonts w:cs="Times New Roman"/>
          <w:color w:val="000000" w:themeColor="text1"/>
          <w:szCs w:val="24"/>
        </w:rPr>
        <w:t>ility,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B76D6">
        <w:rPr>
          <w:rFonts w:cs="Times New Roman"/>
          <w:color w:val="000000" w:themeColor="text1"/>
          <w:szCs w:val="24"/>
        </w:rPr>
        <w:t>resistance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B76D6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B76D6">
        <w:rPr>
          <w:rFonts w:cs="Times New Roman"/>
          <w:color w:val="000000" w:themeColor="text1"/>
          <w:szCs w:val="24"/>
        </w:rPr>
        <w:t>wear</w:t>
      </w:r>
      <w:r w:rsidRPr="00C317BB" w:rsidR="00496E93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B76D6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B76D6">
        <w:rPr>
          <w:rFonts w:cs="Times New Roman"/>
          <w:color w:val="000000" w:themeColor="text1"/>
          <w:szCs w:val="24"/>
        </w:rPr>
        <w:t>low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B76D6">
        <w:rPr>
          <w:rFonts w:cs="Times New Roman"/>
          <w:color w:val="000000" w:themeColor="text1"/>
          <w:szCs w:val="24"/>
        </w:rPr>
        <w:t>cost),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B76D6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B76D6">
        <w:rPr>
          <w:rFonts w:cs="Times New Roman"/>
          <w:color w:val="000000" w:themeColor="text1"/>
          <w:szCs w:val="24"/>
        </w:rPr>
        <w:t>limitations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B76D6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B76D6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95EE3">
        <w:rPr>
          <w:rFonts w:cs="Times New Roman"/>
          <w:color w:val="000000" w:themeColor="text1"/>
          <w:szCs w:val="24"/>
        </w:rPr>
        <w:t>non-as</w:t>
      </w:r>
      <w:r w:rsidRPr="00C317BB" w:rsidR="000762BE">
        <w:rPr>
          <w:rFonts w:cs="Times New Roman"/>
          <w:color w:val="000000" w:themeColor="text1"/>
          <w:szCs w:val="24"/>
        </w:rPr>
        <w:t>b</w:t>
      </w:r>
      <w:r w:rsidRPr="00C317BB" w:rsidR="00595EE3">
        <w:rPr>
          <w:rFonts w:cs="Times New Roman"/>
          <w:color w:val="000000" w:themeColor="text1"/>
          <w:szCs w:val="24"/>
        </w:rPr>
        <w:t>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95EE3">
        <w:rPr>
          <w:rFonts w:cs="Times New Roman"/>
          <w:color w:val="000000" w:themeColor="text1"/>
          <w:szCs w:val="24"/>
        </w:rPr>
        <w:t>replacements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B76D6">
        <w:rPr>
          <w:rFonts w:cs="Times New Roman"/>
          <w:color w:val="000000" w:themeColor="text1"/>
          <w:szCs w:val="24"/>
        </w:rPr>
        <w:t>(e.g.,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97444">
        <w:rPr>
          <w:rFonts w:cs="Times New Roman"/>
          <w:color w:val="000000" w:themeColor="text1"/>
          <w:szCs w:val="24"/>
        </w:rPr>
        <w:t>non-asbestos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97444">
        <w:rPr>
          <w:rFonts w:cs="Times New Roman"/>
          <w:color w:val="000000" w:themeColor="text1"/>
          <w:szCs w:val="24"/>
        </w:rPr>
        <w:t>replace</w:t>
      </w:r>
      <w:r w:rsidRPr="00C317BB" w:rsidR="000B09E6">
        <w:rPr>
          <w:rFonts w:cs="Times New Roman"/>
          <w:color w:val="000000" w:themeColor="text1"/>
          <w:szCs w:val="24"/>
        </w:rPr>
        <w:t>ments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B09E6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B09E6">
        <w:rPr>
          <w:rFonts w:cs="Times New Roman"/>
          <w:color w:val="000000" w:themeColor="text1"/>
          <w:szCs w:val="24"/>
        </w:rPr>
        <w:t>brake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B09E6">
        <w:rPr>
          <w:rFonts w:cs="Times New Roman"/>
          <w:color w:val="000000" w:themeColor="text1"/>
          <w:szCs w:val="24"/>
        </w:rPr>
        <w:t>blocks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95EE3">
        <w:rPr>
          <w:rFonts w:cs="Times New Roman"/>
          <w:color w:val="000000" w:themeColor="text1"/>
          <w:szCs w:val="24"/>
        </w:rPr>
        <w:t>have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95EE3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95EE3">
        <w:rPr>
          <w:rFonts w:cs="Times New Roman"/>
          <w:color w:val="000000" w:themeColor="text1"/>
          <w:szCs w:val="24"/>
        </w:rPr>
        <w:t>useful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95EE3">
        <w:rPr>
          <w:rFonts w:cs="Times New Roman"/>
          <w:color w:val="000000" w:themeColor="text1"/>
          <w:szCs w:val="24"/>
        </w:rPr>
        <w:t>life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95EE3">
        <w:rPr>
          <w:rFonts w:cs="Times New Roman"/>
          <w:color w:val="000000" w:themeColor="text1"/>
          <w:szCs w:val="24"/>
        </w:rPr>
        <w:t>half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95EE3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95EE3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95EE3">
        <w:rPr>
          <w:rFonts w:cs="Times New Roman"/>
          <w:color w:val="000000" w:themeColor="text1"/>
          <w:szCs w:val="24"/>
        </w:rPr>
        <w:t>products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95EE3">
        <w:rPr>
          <w:rFonts w:cs="Times New Roman"/>
          <w:color w:val="000000" w:themeColor="text1"/>
          <w:szCs w:val="24"/>
        </w:rPr>
        <w:t>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95EE3">
        <w:rPr>
          <w:rFonts w:cs="Times New Roman"/>
          <w:color w:val="000000" w:themeColor="text1"/>
          <w:szCs w:val="24"/>
        </w:rPr>
        <w:t>asbestos</w:t>
      </w:r>
      <w:r w:rsidRPr="00C317BB" w:rsidR="00DC028E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C028E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00A70">
        <w:rPr>
          <w:rFonts w:cs="Times New Roman"/>
          <w:color w:val="000000" w:themeColor="text1"/>
          <w:szCs w:val="24"/>
        </w:rPr>
        <w:t>more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C028E">
        <w:rPr>
          <w:rFonts w:cs="Times New Roman"/>
          <w:color w:val="000000" w:themeColor="text1"/>
          <w:szCs w:val="24"/>
        </w:rPr>
        <w:t>expensive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60D63">
        <w:rPr>
          <w:rFonts w:cs="Times New Roman"/>
          <w:color w:val="000000" w:themeColor="text1"/>
          <w:szCs w:val="24"/>
        </w:rPr>
        <w:t>than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60D63">
        <w:rPr>
          <w:rFonts w:cs="Times New Roman"/>
          <w:color w:val="000000" w:themeColor="text1"/>
          <w:szCs w:val="24"/>
        </w:rPr>
        <w:t>asbestos-containing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60D63">
        <w:rPr>
          <w:rFonts w:cs="Times New Roman"/>
          <w:color w:val="000000" w:themeColor="text1"/>
          <w:szCs w:val="24"/>
        </w:rPr>
        <w:t>products</w:t>
      </w:r>
      <w:r w:rsidRPr="00C317BB" w:rsidR="00DC028E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C028E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C028E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C028E">
        <w:rPr>
          <w:rFonts w:cs="Times New Roman"/>
          <w:color w:val="000000" w:themeColor="text1"/>
          <w:szCs w:val="24"/>
        </w:rPr>
        <w:t>subject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C028E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C028E">
        <w:rPr>
          <w:rFonts w:cs="Times New Roman"/>
          <w:color w:val="000000" w:themeColor="text1"/>
          <w:szCs w:val="24"/>
        </w:rPr>
        <w:t>sudden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C028E">
        <w:rPr>
          <w:rFonts w:cs="Times New Roman"/>
          <w:color w:val="000000" w:themeColor="text1"/>
          <w:szCs w:val="24"/>
        </w:rPr>
        <w:t>failure</w:t>
      </w:r>
      <w:r w:rsidRPr="00C317BB" w:rsidR="00552CFD">
        <w:rPr>
          <w:rFonts w:cs="Times New Roman"/>
          <w:color w:val="000000" w:themeColor="text1"/>
          <w:szCs w:val="24"/>
        </w:rPr>
        <w:t>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C028E">
        <w:rPr>
          <w:rFonts w:cs="Times New Roman"/>
          <w:color w:val="000000" w:themeColor="text1"/>
          <w:szCs w:val="24"/>
        </w:rPr>
        <w:t>(Ref</w:t>
      </w:r>
      <w:r w:rsidRPr="00C317BB" w:rsidR="007D6626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C028E">
        <w:rPr>
          <w:rFonts w:cs="Times New Roman"/>
          <w:color w:val="000000" w:themeColor="text1"/>
          <w:szCs w:val="24"/>
        </w:rPr>
        <w:t>2)</w:t>
      </w:r>
      <w:r w:rsidRPr="00C317BB" w:rsidR="007D6626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4F95">
        <w:rPr>
          <w:rFonts w:cs="Times New Roman"/>
          <w:color w:val="000000" w:themeColor="text1"/>
          <w:szCs w:val="24"/>
        </w:rPr>
        <w:t>Non-asbestos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4F95">
        <w:rPr>
          <w:rFonts w:cs="Times New Roman"/>
          <w:color w:val="000000" w:themeColor="text1"/>
          <w:szCs w:val="24"/>
        </w:rPr>
        <w:t>aftermarket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4F95">
        <w:rPr>
          <w:rFonts w:cs="Times New Roman"/>
          <w:color w:val="000000" w:themeColor="text1"/>
          <w:szCs w:val="24"/>
        </w:rPr>
        <w:t>automotive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4F95">
        <w:rPr>
          <w:rFonts w:cs="Times New Roman"/>
          <w:color w:val="000000" w:themeColor="text1"/>
          <w:szCs w:val="24"/>
        </w:rPr>
        <w:t>brakes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4F95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4F95">
        <w:rPr>
          <w:rFonts w:cs="Times New Roman"/>
          <w:color w:val="000000" w:themeColor="text1"/>
          <w:szCs w:val="24"/>
        </w:rPr>
        <w:t>estimated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4F95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4F95">
        <w:rPr>
          <w:rFonts w:cs="Times New Roman"/>
          <w:color w:val="000000" w:themeColor="text1"/>
          <w:szCs w:val="24"/>
        </w:rPr>
        <w:t>cost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4F95">
        <w:rPr>
          <w:rFonts w:cs="Times New Roman"/>
          <w:color w:val="000000" w:themeColor="text1"/>
          <w:szCs w:val="24"/>
        </w:rPr>
        <w:t>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4F95">
        <w:rPr>
          <w:rFonts w:cs="Times New Roman"/>
          <w:color w:val="000000" w:themeColor="text1"/>
          <w:szCs w:val="24"/>
        </w:rPr>
        <w:t>average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4F95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4F95">
        <w:rPr>
          <w:rFonts w:cs="Times New Roman"/>
          <w:color w:val="000000" w:themeColor="text1"/>
          <w:szCs w:val="24"/>
        </w:rPr>
        <w:t>$4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4F95">
        <w:rPr>
          <w:rFonts w:cs="Times New Roman"/>
          <w:color w:val="000000" w:themeColor="text1"/>
          <w:szCs w:val="24"/>
        </w:rPr>
        <w:t>more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4F95">
        <w:rPr>
          <w:rFonts w:cs="Times New Roman"/>
          <w:color w:val="000000" w:themeColor="text1"/>
          <w:szCs w:val="24"/>
        </w:rPr>
        <w:t>than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4F95">
        <w:rPr>
          <w:rFonts w:cs="Times New Roman"/>
          <w:color w:val="000000" w:themeColor="text1"/>
          <w:szCs w:val="24"/>
        </w:rPr>
        <w:t>brakes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4F95">
        <w:rPr>
          <w:rFonts w:cs="Times New Roman"/>
          <w:color w:val="000000" w:themeColor="text1"/>
          <w:szCs w:val="24"/>
        </w:rPr>
        <w:t>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4F95">
        <w:rPr>
          <w:rFonts w:cs="Times New Roman"/>
          <w:color w:val="000000" w:themeColor="text1"/>
          <w:szCs w:val="24"/>
        </w:rPr>
        <w:t>asbestos.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4F95">
        <w:rPr>
          <w:rFonts w:cs="Times New Roman"/>
          <w:color w:val="000000" w:themeColor="text1"/>
          <w:szCs w:val="24"/>
        </w:rPr>
        <w:t>Asbestos-free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4F95">
        <w:rPr>
          <w:rFonts w:cs="Times New Roman"/>
          <w:color w:val="000000" w:themeColor="text1"/>
          <w:szCs w:val="24"/>
        </w:rPr>
        <w:t>brake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4F95">
        <w:rPr>
          <w:rFonts w:cs="Times New Roman"/>
          <w:color w:val="000000" w:themeColor="text1"/>
          <w:szCs w:val="24"/>
        </w:rPr>
        <w:t>blocks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4F95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4F95">
        <w:rPr>
          <w:rFonts w:cs="Times New Roman"/>
          <w:color w:val="000000" w:themeColor="text1"/>
          <w:szCs w:val="24"/>
        </w:rPr>
        <w:t>also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4F95">
        <w:rPr>
          <w:rFonts w:cs="Times New Roman"/>
          <w:color w:val="000000" w:themeColor="text1"/>
          <w:szCs w:val="24"/>
        </w:rPr>
        <w:t>more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4F95">
        <w:rPr>
          <w:rFonts w:cs="Times New Roman"/>
          <w:color w:val="000000" w:themeColor="text1"/>
          <w:szCs w:val="24"/>
        </w:rPr>
        <w:t>expensive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4F95">
        <w:rPr>
          <w:rFonts w:cs="Times New Roman"/>
          <w:color w:val="000000" w:themeColor="text1"/>
          <w:szCs w:val="24"/>
        </w:rPr>
        <w:t>than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4F95">
        <w:rPr>
          <w:rFonts w:cs="Times New Roman"/>
          <w:color w:val="000000" w:themeColor="text1"/>
          <w:szCs w:val="24"/>
        </w:rPr>
        <w:t>those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4F95">
        <w:rPr>
          <w:rFonts w:cs="Times New Roman"/>
          <w:color w:val="000000" w:themeColor="text1"/>
          <w:szCs w:val="24"/>
        </w:rPr>
        <w:t>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4F95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4F95">
        <w:rPr>
          <w:rFonts w:cs="Times New Roman"/>
          <w:color w:val="000000" w:themeColor="text1"/>
          <w:szCs w:val="24"/>
        </w:rPr>
        <w:t>according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4F95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4F95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4F95">
        <w:rPr>
          <w:rFonts w:cs="Times New Roman"/>
          <w:color w:val="000000" w:themeColor="text1"/>
          <w:szCs w:val="24"/>
        </w:rPr>
        <w:t>company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4F95">
        <w:rPr>
          <w:rFonts w:cs="Times New Roman"/>
          <w:color w:val="000000" w:themeColor="text1"/>
          <w:szCs w:val="24"/>
        </w:rPr>
        <w:t>importing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4F95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4F95">
        <w:rPr>
          <w:rFonts w:cs="Times New Roman"/>
          <w:color w:val="000000" w:themeColor="text1"/>
          <w:szCs w:val="24"/>
        </w:rPr>
        <w:t>brake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4F95">
        <w:rPr>
          <w:rFonts w:cs="Times New Roman"/>
          <w:color w:val="000000" w:themeColor="text1"/>
          <w:szCs w:val="24"/>
        </w:rPr>
        <w:t>blocks.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4F95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4F95">
        <w:rPr>
          <w:rFonts w:cs="Times New Roman"/>
          <w:color w:val="000000" w:themeColor="text1"/>
          <w:szCs w:val="24"/>
        </w:rPr>
        <w:t>was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4F95">
        <w:rPr>
          <w:rFonts w:cs="Times New Roman"/>
          <w:color w:val="000000" w:themeColor="text1"/>
          <w:szCs w:val="24"/>
        </w:rPr>
        <w:t>unable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4F95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4F95">
        <w:rPr>
          <w:rFonts w:cs="Times New Roman"/>
          <w:color w:val="000000" w:themeColor="text1"/>
          <w:szCs w:val="24"/>
        </w:rPr>
        <w:t>identify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4F95">
        <w:rPr>
          <w:rFonts w:cs="Times New Roman"/>
          <w:color w:val="000000" w:themeColor="text1"/>
          <w:szCs w:val="24"/>
        </w:rPr>
        <w:t>any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4F95">
        <w:rPr>
          <w:rFonts w:cs="Times New Roman"/>
          <w:color w:val="000000" w:themeColor="text1"/>
          <w:szCs w:val="24"/>
        </w:rPr>
        <w:t>companies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4F95">
        <w:rPr>
          <w:rFonts w:cs="Times New Roman"/>
          <w:color w:val="000000" w:themeColor="text1"/>
          <w:szCs w:val="24"/>
        </w:rPr>
        <w:t>currently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4F95">
        <w:rPr>
          <w:rFonts w:cs="Times New Roman"/>
          <w:color w:val="000000" w:themeColor="text1"/>
          <w:szCs w:val="24"/>
        </w:rPr>
        <w:t>supplying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4F95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4F95">
        <w:rPr>
          <w:rFonts w:cs="Times New Roman"/>
          <w:color w:val="000000" w:themeColor="text1"/>
          <w:szCs w:val="24"/>
        </w:rPr>
        <w:t>using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4F95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4F95">
        <w:rPr>
          <w:rFonts w:cs="Times New Roman"/>
          <w:color w:val="000000" w:themeColor="text1"/>
          <w:szCs w:val="24"/>
        </w:rPr>
        <w:t>gaskets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4F95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4F95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4F95">
        <w:rPr>
          <w:rFonts w:cs="Times New Roman"/>
          <w:color w:val="000000" w:themeColor="text1"/>
          <w:szCs w:val="24"/>
        </w:rPr>
        <w:t>friction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4F95">
        <w:rPr>
          <w:rFonts w:cs="Times New Roman"/>
          <w:color w:val="000000" w:themeColor="text1"/>
          <w:szCs w:val="24"/>
        </w:rPr>
        <w:t>products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4F95">
        <w:rPr>
          <w:rFonts w:cs="Times New Roman"/>
          <w:color w:val="000000" w:themeColor="text1"/>
          <w:szCs w:val="24"/>
        </w:rPr>
        <w:t>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4F95">
        <w:rPr>
          <w:rFonts w:cs="Times New Roman"/>
          <w:color w:val="000000" w:themeColor="text1"/>
          <w:szCs w:val="24"/>
        </w:rPr>
        <w:t>asbestos,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4F95">
        <w:rPr>
          <w:rFonts w:cs="Times New Roman"/>
          <w:color w:val="000000" w:themeColor="text1"/>
          <w:szCs w:val="24"/>
        </w:rPr>
        <w:t>so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4F95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4F95">
        <w:rPr>
          <w:rFonts w:cs="Times New Roman"/>
          <w:color w:val="000000" w:themeColor="text1"/>
          <w:szCs w:val="24"/>
        </w:rPr>
        <w:t>Agency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4F95">
        <w:rPr>
          <w:rFonts w:cs="Times New Roman"/>
          <w:color w:val="000000" w:themeColor="text1"/>
          <w:szCs w:val="24"/>
        </w:rPr>
        <w:t>does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4F95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4F95">
        <w:rPr>
          <w:rFonts w:cs="Times New Roman"/>
          <w:color w:val="000000" w:themeColor="text1"/>
          <w:szCs w:val="24"/>
        </w:rPr>
        <w:t>have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4F95">
        <w:rPr>
          <w:rFonts w:cs="Times New Roman"/>
          <w:color w:val="000000" w:themeColor="text1"/>
          <w:szCs w:val="24"/>
        </w:rPr>
        <w:t>information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4F95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4F95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4F95">
        <w:rPr>
          <w:rFonts w:cs="Times New Roman"/>
          <w:color w:val="000000" w:themeColor="text1"/>
          <w:szCs w:val="24"/>
        </w:rPr>
        <w:t>cost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4F95">
        <w:rPr>
          <w:rFonts w:cs="Times New Roman"/>
          <w:color w:val="000000" w:themeColor="text1"/>
          <w:szCs w:val="24"/>
        </w:rPr>
        <w:t>differentials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4F95">
        <w:rPr>
          <w:rFonts w:cs="Times New Roman"/>
          <w:color w:val="000000" w:themeColor="text1"/>
          <w:szCs w:val="24"/>
        </w:rPr>
        <w:t>between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4F95">
        <w:rPr>
          <w:rFonts w:cs="Times New Roman"/>
          <w:color w:val="000000" w:themeColor="text1"/>
          <w:szCs w:val="24"/>
        </w:rPr>
        <w:t>products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4F95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4F95">
        <w:rPr>
          <w:rFonts w:cs="Times New Roman"/>
          <w:color w:val="000000" w:themeColor="text1"/>
          <w:szCs w:val="24"/>
        </w:rPr>
        <w:t>contain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4F95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4F95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4F95">
        <w:rPr>
          <w:rFonts w:cs="Times New Roman"/>
          <w:color w:val="000000" w:themeColor="text1"/>
          <w:szCs w:val="24"/>
        </w:rPr>
        <w:t>those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4F95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4F95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4F95">
        <w:rPr>
          <w:rFonts w:cs="Times New Roman"/>
          <w:color w:val="000000" w:themeColor="text1"/>
          <w:szCs w:val="24"/>
        </w:rPr>
        <w:t>asbestos-free.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D1D35">
        <w:rPr>
          <w:rFonts w:cs="Times New Roman"/>
          <w:color w:val="000000" w:themeColor="text1"/>
          <w:szCs w:val="24"/>
        </w:rPr>
        <w:t>Additional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D1D35">
        <w:rPr>
          <w:rFonts w:cs="Times New Roman"/>
          <w:color w:val="000000" w:themeColor="text1"/>
          <w:szCs w:val="24"/>
        </w:rPr>
        <w:t>information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D1D35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D1D35">
        <w:rPr>
          <w:rFonts w:cs="Times New Roman"/>
          <w:color w:val="000000" w:themeColor="text1"/>
          <w:szCs w:val="24"/>
        </w:rPr>
        <w:t>available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D1D35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D1D35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D1D35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D1D35">
        <w:rPr>
          <w:rFonts w:cs="Times New Roman"/>
          <w:color w:val="000000" w:themeColor="text1"/>
          <w:szCs w:val="24"/>
        </w:rPr>
        <w:t>evaluation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D1D35">
        <w:rPr>
          <w:rFonts w:cs="Times New Roman"/>
          <w:color w:val="000000" w:themeColor="text1"/>
          <w:szCs w:val="24"/>
        </w:rPr>
        <w:t>(Ref.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D1D35">
        <w:rPr>
          <w:rFonts w:cs="Times New Roman"/>
          <w:color w:val="000000" w:themeColor="text1"/>
          <w:szCs w:val="24"/>
        </w:rPr>
        <w:t>1)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D1D35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D1D35">
        <w:rPr>
          <w:rFonts w:cs="Times New Roman"/>
          <w:color w:val="000000" w:themeColor="text1"/>
          <w:szCs w:val="24"/>
        </w:rPr>
        <w:t>economic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D1D35">
        <w:rPr>
          <w:rFonts w:cs="Times New Roman"/>
          <w:color w:val="000000" w:themeColor="text1"/>
          <w:szCs w:val="24"/>
        </w:rPr>
        <w:t>analysis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D1D35">
        <w:rPr>
          <w:rFonts w:cs="Times New Roman"/>
          <w:color w:val="000000" w:themeColor="text1"/>
          <w:szCs w:val="24"/>
        </w:rPr>
        <w:t>(Ref.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D1D35">
        <w:rPr>
          <w:rFonts w:cs="Times New Roman"/>
          <w:color w:val="000000" w:themeColor="text1"/>
          <w:szCs w:val="24"/>
        </w:rPr>
        <w:t>2)</w:t>
      </w:r>
      <w:r w:rsidRPr="00C317BB" w:rsidR="003C5999">
        <w:rPr>
          <w:rFonts w:cs="Times New Roman"/>
          <w:color w:val="000000" w:themeColor="text1"/>
          <w:szCs w:val="24"/>
        </w:rPr>
        <w:t>.</w:t>
      </w:r>
    </w:p>
    <w:p w:rsidRPr="00C317BB" w:rsidR="00733384" w:rsidP="00F27167" w:rsidRDefault="008F1B3E" w14:paraId="1F903FC2" w14:textId="73616F12">
      <w:pPr>
        <w:pStyle w:val="Heading1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IV</w:t>
      </w:r>
      <w:r w:rsidRPr="00C317BB" w:rsidR="008A2BE9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2BE9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B4276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24B70">
        <w:rPr>
          <w:rFonts w:cs="Times New Roman"/>
          <w:color w:val="000000" w:themeColor="text1"/>
          <w:szCs w:val="24"/>
        </w:rPr>
        <w:t>Primary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B4276">
        <w:rPr>
          <w:rFonts w:cs="Times New Roman"/>
          <w:color w:val="000000" w:themeColor="text1"/>
          <w:szCs w:val="24"/>
        </w:rPr>
        <w:t>Alternative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2BE9">
        <w:rPr>
          <w:rFonts w:cs="Times New Roman"/>
          <w:color w:val="000000" w:themeColor="text1"/>
          <w:szCs w:val="24"/>
        </w:rPr>
        <w:t>Regulatory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2BE9">
        <w:rPr>
          <w:rFonts w:cs="Times New Roman"/>
          <w:color w:val="000000" w:themeColor="text1"/>
          <w:szCs w:val="24"/>
        </w:rPr>
        <w:t>Action</w:t>
      </w:r>
      <w:r w:rsidRPr="00C317BB" w:rsidR="009B4276">
        <w:rPr>
          <w:rFonts w:cs="Times New Roman"/>
          <w:color w:val="000000" w:themeColor="text1"/>
          <w:szCs w:val="24"/>
        </w:rPr>
        <w:t>s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9B4276" w:rsidP="00F27167" w:rsidRDefault="00FF49E4" w14:paraId="58FA0657" w14:textId="5D386995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describes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EPA’s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regulatory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address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unreasonable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identified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355E">
        <w:rPr>
          <w:rFonts w:cs="Times New Roman"/>
          <w:color w:val="000000" w:themeColor="text1"/>
          <w:szCs w:val="24"/>
        </w:rPr>
        <w:t>c</w:t>
      </w:r>
      <w:r w:rsidRPr="00C317BB">
        <w:rPr>
          <w:rFonts w:cs="Times New Roman"/>
          <w:color w:val="000000" w:themeColor="text1"/>
          <w:szCs w:val="24"/>
        </w:rPr>
        <w:t>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355E">
        <w:rPr>
          <w:rFonts w:cs="Times New Roman"/>
          <w:color w:val="000000" w:themeColor="text1"/>
          <w:szCs w:val="24"/>
        </w:rPr>
        <w:t>a</w:t>
      </w:r>
      <w:r w:rsidRPr="00C317BB">
        <w:rPr>
          <w:rFonts w:cs="Times New Roman"/>
          <w:color w:val="000000" w:themeColor="text1"/>
          <w:szCs w:val="24"/>
        </w:rPr>
        <w:t>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355E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355E">
        <w:rPr>
          <w:rFonts w:cs="Times New Roman"/>
          <w:color w:val="000000" w:themeColor="text1"/>
          <w:szCs w:val="24"/>
        </w:rPr>
        <w:t>certain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355E">
        <w:rPr>
          <w:rFonts w:cs="Times New Roman"/>
          <w:color w:val="000000" w:themeColor="text1"/>
          <w:szCs w:val="24"/>
        </w:rPr>
        <w:t>conditions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355E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355E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355E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355E">
        <w:rPr>
          <w:rFonts w:cs="Times New Roman"/>
          <w:color w:val="000000" w:themeColor="text1"/>
          <w:szCs w:val="24"/>
        </w:rPr>
        <w:t>EPA’s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355E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355E">
        <w:rPr>
          <w:rFonts w:cs="Times New Roman"/>
          <w:color w:val="000000" w:themeColor="text1"/>
          <w:szCs w:val="24"/>
        </w:rPr>
        <w:t>Evaluation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355E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355E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355E">
        <w:rPr>
          <w:rFonts w:cs="Times New Roman"/>
          <w:color w:val="000000" w:themeColor="text1"/>
          <w:szCs w:val="24"/>
        </w:rPr>
        <w:t>Part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355E">
        <w:rPr>
          <w:rFonts w:cs="Times New Roman"/>
          <w:color w:val="000000" w:themeColor="text1"/>
          <w:szCs w:val="24"/>
        </w:rPr>
        <w:t>1</w:t>
      </w:r>
      <w:r w:rsidRPr="00C317BB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355E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355E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longer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present</w:t>
      </w:r>
      <w:r w:rsidRPr="00C317BB" w:rsidR="00BC7B79">
        <w:rPr>
          <w:rFonts w:cs="Times New Roman"/>
          <w:color w:val="000000" w:themeColor="text1"/>
          <w:szCs w:val="24"/>
        </w:rPr>
        <w:t>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804A5">
        <w:rPr>
          <w:rFonts w:cs="Times New Roman"/>
          <w:color w:val="000000" w:themeColor="text1"/>
          <w:szCs w:val="24"/>
        </w:rPr>
        <w:t>such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BC6642">
        <w:rPr>
          <w:rFonts w:cs="Times New Roman"/>
          <w:color w:val="000000" w:themeColor="text1"/>
          <w:szCs w:val="24"/>
          <w:shd w:val="clear" w:color="auto" w:fill="FFFFFF"/>
        </w:rPr>
        <w:t>(Ref.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BC6642">
        <w:rPr>
          <w:rFonts w:cs="Times New Roman"/>
          <w:color w:val="000000" w:themeColor="text1"/>
          <w:szCs w:val="24"/>
          <w:shd w:val="clear" w:color="auto" w:fill="FFFFFF"/>
        </w:rPr>
        <w:t>1).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9B4276">
        <w:rPr>
          <w:rFonts w:cs="Times New Roman"/>
          <w:color w:val="000000" w:themeColor="text1"/>
          <w:szCs w:val="24"/>
          <w:shd w:val="clear" w:color="auto" w:fill="FFFFFF"/>
        </w:rPr>
        <w:t>In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9B4276">
        <w:rPr>
          <w:rFonts w:cs="Times New Roman"/>
          <w:color w:val="000000" w:themeColor="text1"/>
          <w:szCs w:val="24"/>
          <w:shd w:val="clear" w:color="auto" w:fill="FFFFFF"/>
        </w:rPr>
        <w:t>addition,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9B4276">
        <w:rPr>
          <w:rFonts w:cs="Times New Roman"/>
          <w:color w:val="000000" w:themeColor="text1"/>
          <w:szCs w:val="24"/>
          <w:shd w:val="clear" w:color="auto" w:fill="FFFFFF"/>
        </w:rPr>
        <w:t>as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A94657">
        <w:rPr>
          <w:rFonts w:cs="Times New Roman"/>
          <w:color w:val="000000" w:themeColor="text1"/>
          <w:szCs w:val="24"/>
          <w:shd w:val="clear" w:color="auto" w:fill="FFFFFF"/>
        </w:rPr>
        <w:t>indicated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A94657">
        <w:rPr>
          <w:rFonts w:cs="Times New Roman"/>
          <w:color w:val="000000" w:themeColor="text1"/>
          <w:szCs w:val="24"/>
          <w:shd w:val="clear" w:color="auto" w:fill="FFFFFF"/>
        </w:rPr>
        <w:t>by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A94657">
        <w:rPr>
          <w:rFonts w:cs="Times New Roman"/>
          <w:color w:val="000000" w:themeColor="text1"/>
          <w:szCs w:val="24"/>
          <w:shd w:val="clear" w:color="auto" w:fill="FFFFFF"/>
        </w:rPr>
        <w:t>TSCA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A94657">
        <w:rPr>
          <w:rFonts w:cs="Times New Roman"/>
          <w:color w:val="000000" w:themeColor="text1"/>
          <w:szCs w:val="24"/>
          <w:shd w:val="clear" w:color="auto" w:fill="FFFFFF"/>
        </w:rPr>
        <w:t>section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A94657">
        <w:rPr>
          <w:rFonts w:cs="Times New Roman"/>
          <w:color w:val="000000" w:themeColor="text1"/>
          <w:szCs w:val="24"/>
          <w:shd w:val="clear" w:color="auto" w:fill="FFFFFF"/>
        </w:rPr>
        <w:t>6(c)(2)(A),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A94657">
        <w:rPr>
          <w:rFonts w:cs="Times New Roman"/>
          <w:color w:val="000000" w:themeColor="text1"/>
          <w:szCs w:val="24"/>
          <w:shd w:val="clear" w:color="auto" w:fill="FFFFFF"/>
        </w:rPr>
        <w:t>EPA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A94657">
        <w:rPr>
          <w:rFonts w:cs="Times New Roman"/>
          <w:color w:val="000000" w:themeColor="text1"/>
          <w:szCs w:val="24"/>
          <w:shd w:val="clear" w:color="auto" w:fill="FFFFFF"/>
        </w:rPr>
        <w:t>must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A94657">
        <w:rPr>
          <w:rFonts w:cs="Times New Roman"/>
          <w:color w:val="000000" w:themeColor="text1"/>
          <w:szCs w:val="24"/>
          <w:shd w:val="clear" w:color="auto" w:fill="FFFFFF"/>
        </w:rPr>
        <w:t>consider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A94657">
        <w:rPr>
          <w:rFonts w:cs="Times New Roman"/>
          <w:color w:val="000000" w:themeColor="text1"/>
          <w:szCs w:val="24"/>
          <w:shd w:val="clear" w:color="auto" w:fill="FFFFFF"/>
        </w:rPr>
        <w:t>the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A94657">
        <w:rPr>
          <w:rFonts w:cs="Times New Roman"/>
          <w:color w:val="000000" w:themeColor="text1"/>
          <w:szCs w:val="24"/>
          <w:shd w:val="clear" w:color="auto" w:fill="FFFFFF"/>
        </w:rPr>
        <w:t>cost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A94657">
        <w:rPr>
          <w:rFonts w:cs="Times New Roman"/>
          <w:color w:val="000000" w:themeColor="text1"/>
          <w:szCs w:val="24"/>
          <w:shd w:val="clear" w:color="auto" w:fill="FFFFFF"/>
        </w:rPr>
        <w:t>and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A94657">
        <w:rPr>
          <w:rFonts w:cs="Times New Roman"/>
          <w:color w:val="000000" w:themeColor="text1"/>
          <w:szCs w:val="24"/>
          <w:shd w:val="clear" w:color="auto" w:fill="FFFFFF"/>
        </w:rPr>
        <w:t>benefits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A94657">
        <w:rPr>
          <w:rFonts w:cs="Times New Roman"/>
          <w:color w:val="000000" w:themeColor="text1"/>
          <w:szCs w:val="24"/>
          <w:shd w:val="clear" w:color="auto" w:fill="FFFFFF"/>
        </w:rPr>
        <w:t>and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A94657">
        <w:rPr>
          <w:rFonts w:cs="Times New Roman"/>
          <w:color w:val="000000" w:themeColor="text1"/>
          <w:szCs w:val="24"/>
          <w:shd w:val="clear" w:color="auto" w:fill="FFFFFF"/>
        </w:rPr>
        <w:t>the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A94657">
        <w:rPr>
          <w:rFonts w:cs="Times New Roman"/>
          <w:color w:val="000000" w:themeColor="text1"/>
          <w:szCs w:val="24"/>
          <w:shd w:val="clear" w:color="auto" w:fill="FFFFFF"/>
        </w:rPr>
        <w:t>cost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A94657">
        <w:rPr>
          <w:rFonts w:cs="Times New Roman"/>
          <w:color w:val="000000" w:themeColor="text1"/>
          <w:szCs w:val="24"/>
          <w:shd w:val="clear" w:color="auto" w:fill="FFFFFF"/>
        </w:rPr>
        <w:t>effectiveness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A94657">
        <w:rPr>
          <w:rFonts w:cs="Times New Roman"/>
          <w:color w:val="000000" w:themeColor="text1"/>
          <w:szCs w:val="24"/>
          <w:shd w:val="clear" w:color="auto" w:fill="FFFFFF"/>
        </w:rPr>
        <w:t>of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A94657">
        <w:rPr>
          <w:rFonts w:cs="Times New Roman"/>
          <w:color w:val="000000" w:themeColor="text1"/>
          <w:szCs w:val="24"/>
          <w:shd w:val="clear" w:color="auto" w:fill="FFFFFF"/>
        </w:rPr>
        <w:t>the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A94657">
        <w:rPr>
          <w:rFonts w:cs="Times New Roman"/>
          <w:color w:val="000000" w:themeColor="text1"/>
          <w:szCs w:val="24"/>
          <w:shd w:val="clear" w:color="auto" w:fill="FFFFFF"/>
        </w:rPr>
        <w:t>proposed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A94657">
        <w:rPr>
          <w:rFonts w:cs="Times New Roman"/>
          <w:color w:val="000000" w:themeColor="text1"/>
          <w:szCs w:val="24"/>
          <w:shd w:val="clear" w:color="auto" w:fill="FFFFFF"/>
        </w:rPr>
        <w:t>regulatory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A94657">
        <w:rPr>
          <w:rFonts w:cs="Times New Roman"/>
          <w:color w:val="000000" w:themeColor="text1"/>
          <w:szCs w:val="24"/>
          <w:shd w:val="clear" w:color="auto" w:fill="FFFFFF"/>
        </w:rPr>
        <w:t>action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A94657">
        <w:rPr>
          <w:rFonts w:cs="Times New Roman"/>
          <w:color w:val="000000" w:themeColor="text1"/>
          <w:szCs w:val="24"/>
          <w:shd w:val="clear" w:color="auto" w:fill="FFFFFF"/>
        </w:rPr>
        <w:t>and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A94657">
        <w:rPr>
          <w:rFonts w:cs="Times New Roman"/>
          <w:color w:val="000000" w:themeColor="text1"/>
          <w:szCs w:val="24"/>
          <w:shd w:val="clear" w:color="auto" w:fill="FFFFFF"/>
        </w:rPr>
        <w:t>one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A94657">
        <w:rPr>
          <w:rFonts w:cs="Times New Roman"/>
          <w:color w:val="000000" w:themeColor="text1"/>
          <w:szCs w:val="24"/>
          <w:shd w:val="clear" w:color="auto" w:fill="FFFFFF"/>
        </w:rPr>
        <w:t>or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A94657">
        <w:rPr>
          <w:rFonts w:cs="Times New Roman"/>
          <w:color w:val="000000" w:themeColor="text1"/>
          <w:szCs w:val="24"/>
          <w:shd w:val="clear" w:color="auto" w:fill="FFFFFF"/>
        </w:rPr>
        <w:t>more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A94657">
        <w:rPr>
          <w:rFonts w:cs="Times New Roman"/>
          <w:color w:val="000000" w:themeColor="text1"/>
          <w:szCs w:val="24"/>
          <w:shd w:val="clear" w:color="auto" w:fill="FFFFFF"/>
        </w:rPr>
        <w:t>primary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A94657">
        <w:rPr>
          <w:rFonts w:cs="Times New Roman"/>
          <w:color w:val="000000" w:themeColor="text1"/>
          <w:szCs w:val="24"/>
          <w:shd w:val="clear" w:color="auto" w:fill="FFFFFF"/>
        </w:rPr>
        <w:t>alternative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A94657">
        <w:rPr>
          <w:rFonts w:cs="Times New Roman"/>
          <w:color w:val="000000" w:themeColor="text1"/>
          <w:szCs w:val="24"/>
          <w:shd w:val="clear" w:color="auto" w:fill="FFFFFF"/>
        </w:rPr>
        <w:t>regulatory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A94657">
        <w:rPr>
          <w:rFonts w:cs="Times New Roman"/>
          <w:color w:val="000000" w:themeColor="text1"/>
          <w:szCs w:val="24"/>
          <w:shd w:val="clear" w:color="auto" w:fill="FFFFFF"/>
        </w:rPr>
        <w:t>actions.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A94657">
        <w:rPr>
          <w:rFonts w:cs="Times New Roman"/>
          <w:color w:val="000000" w:themeColor="text1"/>
          <w:szCs w:val="24"/>
          <w:shd w:val="clear" w:color="auto" w:fill="FFFFFF"/>
        </w:rPr>
        <w:t>In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A94657">
        <w:rPr>
          <w:rFonts w:cs="Times New Roman"/>
          <w:color w:val="000000" w:themeColor="text1"/>
          <w:szCs w:val="24"/>
          <w:shd w:val="clear" w:color="auto" w:fill="FFFFFF"/>
        </w:rPr>
        <w:t>the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A94657">
        <w:rPr>
          <w:rFonts w:cs="Times New Roman"/>
          <w:color w:val="000000" w:themeColor="text1"/>
          <w:szCs w:val="24"/>
          <w:shd w:val="clear" w:color="auto" w:fill="FFFFFF"/>
        </w:rPr>
        <w:t>case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A94657">
        <w:rPr>
          <w:rFonts w:cs="Times New Roman"/>
          <w:color w:val="000000" w:themeColor="text1"/>
          <w:szCs w:val="24"/>
          <w:shd w:val="clear" w:color="auto" w:fill="FFFFFF"/>
        </w:rPr>
        <w:t>of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F04956">
        <w:rPr>
          <w:rFonts w:cs="Times New Roman"/>
          <w:color w:val="000000" w:themeColor="text1"/>
          <w:szCs w:val="24"/>
          <w:shd w:val="clear" w:color="auto" w:fill="FFFFFF"/>
        </w:rPr>
        <w:t>chrysotile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F04956">
        <w:rPr>
          <w:rFonts w:cs="Times New Roman"/>
          <w:color w:val="000000" w:themeColor="text1"/>
          <w:szCs w:val="24"/>
          <w:shd w:val="clear" w:color="auto" w:fill="FFFFFF"/>
        </w:rPr>
        <w:t>asbestos</w:t>
      </w:r>
      <w:r w:rsidRPr="00C317BB" w:rsidR="00A94657">
        <w:rPr>
          <w:rFonts w:cs="Times New Roman"/>
          <w:color w:val="000000" w:themeColor="text1"/>
          <w:szCs w:val="24"/>
          <w:shd w:val="clear" w:color="auto" w:fill="FFFFFF"/>
        </w:rPr>
        <w:t>,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A94657">
        <w:rPr>
          <w:rFonts w:cs="Times New Roman"/>
          <w:color w:val="000000" w:themeColor="text1"/>
          <w:szCs w:val="24"/>
          <w:shd w:val="clear" w:color="auto" w:fill="FFFFFF"/>
        </w:rPr>
        <w:t>the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A94657">
        <w:rPr>
          <w:rFonts w:cs="Times New Roman"/>
          <w:color w:val="000000" w:themeColor="text1"/>
          <w:szCs w:val="24"/>
          <w:shd w:val="clear" w:color="auto" w:fill="FFFFFF"/>
        </w:rPr>
        <w:t>proposed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A94657">
        <w:rPr>
          <w:rFonts w:cs="Times New Roman"/>
          <w:color w:val="000000" w:themeColor="text1"/>
          <w:szCs w:val="24"/>
          <w:shd w:val="clear" w:color="auto" w:fill="FFFFFF"/>
        </w:rPr>
        <w:t>regulatory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A94657">
        <w:rPr>
          <w:rFonts w:cs="Times New Roman"/>
          <w:color w:val="000000" w:themeColor="text1"/>
          <w:szCs w:val="24"/>
          <w:shd w:val="clear" w:color="auto" w:fill="FFFFFF"/>
        </w:rPr>
        <w:t>option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A94657">
        <w:rPr>
          <w:rFonts w:cs="Times New Roman"/>
          <w:color w:val="000000" w:themeColor="text1"/>
          <w:szCs w:val="24"/>
          <w:shd w:val="clear" w:color="auto" w:fill="FFFFFF"/>
        </w:rPr>
        <w:t>is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A94657">
        <w:rPr>
          <w:rFonts w:cs="Times New Roman"/>
          <w:color w:val="000000" w:themeColor="text1"/>
          <w:szCs w:val="24"/>
          <w:shd w:val="clear" w:color="auto" w:fill="FFFFFF"/>
        </w:rPr>
        <w:t>described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A94657">
        <w:rPr>
          <w:rFonts w:cs="Times New Roman"/>
          <w:color w:val="000000" w:themeColor="text1"/>
          <w:szCs w:val="24"/>
          <w:shd w:val="clear" w:color="auto" w:fill="FFFFFF"/>
        </w:rPr>
        <w:t>in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A94657">
        <w:rPr>
          <w:rFonts w:cs="Times New Roman"/>
          <w:color w:val="000000" w:themeColor="text1"/>
          <w:szCs w:val="24"/>
          <w:shd w:val="clear" w:color="auto" w:fill="FFFFFF"/>
        </w:rPr>
        <w:t>Unit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A94657">
        <w:rPr>
          <w:rFonts w:cs="Times New Roman"/>
          <w:color w:val="000000" w:themeColor="text1"/>
          <w:szCs w:val="24"/>
          <w:shd w:val="clear" w:color="auto" w:fill="FFFFFF"/>
        </w:rPr>
        <w:t>IV.A.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A94657">
        <w:rPr>
          <w:rFonts w:cs="Times New Roman"/>
          <w:color w:val="000000" w:themeColor="text1"/>
          <w:szCs w:val="24"/>
          <w:shd w:val="clear" w:color="auto" w:fill="FFFFFF"/>
        </w:rPr>
        <w:t>and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A94657">
        <w:rPr>
          <w:rFonts w:cs="Times New Roman"/>
          <w:color w:val="000000" w:themeColor="text1"/>
          <w:szCs w:val="24"/>
          <w:shd w:val="clear" w:color="auto" w:fill="FFFFFF"/>
        </w:rPr>
        <w:t>the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EA09D3">
        <w:rPr>
          <w:rFonts w:cs="Times New Roman"/>
          <w:color w:val="000000" w:themeColor="text1"/>
          <w:szCs w:val="24"/>
          <w:shd w:val="clear" w:color="auto" w:fill="FFFFFF"/>
        </w:rPr>
        <w:t>primary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A94657">
        <w:rPr>
          <w:rFonts w:cs="Times New Roman"/>
          <w:color w:val="000000" w:themeColor="text1"/>
          <w:szCs w:val="24"/>
          <w:shd w:val="clear" w:color="auto" w:fill="FFFFFF"/>
        </w:rPr>
        <w:t>alternative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A94657">
        <w:rPr>
          <w:rFonts w:cs="Times New Roman"/>
          <w:color w:val="000000" w:themeColor="text1"/>
          <w:szCs w:val="24"/>
          <w:shd w:val="clear" w:color="auto" w:fill="FFFFFF"/>
        </w:rPr>
        <w:t>regulatory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A94657">
        <w:rPr>
          <w:rFonts w:cs="Times New Roman"/>
          <w:color w:val="000000" w:themeColor="text1"/>
          <w:szCs w:val="24"/>
          <w:shd w:val="clear" w:color="auto" w:fill="FFFFFF"/>
        </w:rPr>
        <w:t>action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24B70">
        <w:rPr>
          <w:rFonts w:cs="Times New Roman"/>
          <w:color w:val="000000" w:themeColor="text1"/>
          <w:szCs w:val="24"/>
          <w:shd w:val="clear" w:color="auto" w:fill="FFFFFF"/>
        </w:rPr>
        <w:t>is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A94657">
        <w:rPr>
          <w:rFonts w:cs="Times New Roman"/>
          <w:color w:val="000000" w:themeColor="text1"/>
          <w:szCs w:val="24"/>
          <w:shd w:val="clear" w:color="auto" w:fill="FFFFFF"/>
        </w:rPr>
        <w:t>described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A94657">
        <w:rPr>
          <w:rFonts w:cs="Times New Roman"/>
          <w:color w:val="000000" w:themeColor="text1"/>
          <w:szCs w:val="24"/>
          <w:shd w:val="clear" w:color="auto" w:fill="FFFFFF"/>
        </w:rPr>
        <w:t>in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A94657">
        <w:rPr>
          <w:rFonts w:cs="Times New Roman"/>
          <w:color w:val="000000" w:themeColor="text1"/>
          <w:szCs w:val="24"/>
          <w:shd w:val="clear" w:color="auto" w:fill="FFFFFF"/>
        </w:rPr>
        <w:t>Unit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A94657">
        <w:rPr>
          <w:rFonts w:cs="Times New Roman"/>
          <w:color w:val="000000" w:themeColor="text1"/>
          <w:szCs w:val="24"/>
          <w:shd w:val="clear" w:color="auto" w:fill="FFFFFF"/>
        </w:rPr>
        <w:t>IV.B.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</w:p>
    <w:p w:rsidRPr="00C317BB" w:rsidR="008B2660" w:rsidP="00F27167" w:rsidRDefault="008F1B3E" w14:paraId="6768069C" w14:textId="79547F27">
      <w:pPr>
        <w:pStyle w:val="Heading2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A</w:t>
      </w:r>
      <w:r w:rsidRPr="00C317BB" w:rsidR="008A2BE9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2BE9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2BE9">
        <w:rPr>
          <w:rFonts w:cs="Times New Roman"/>
          <w:color w:val="000000" w:themeColor="text1"/>
          <w:szCs w:val="24"/>
        </w:rPr>
        <w:t>regulatory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2BE9">
        <w:rPr>
          <w:rFonts w:cs="Times New Roman"/>
          <w:color w:val="000000" w:themeColor="text1"/>
          <w:szCs w:val="24"/>
        </w:rPr>
        <w:t>action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6370CF" w:rsidP="00F27167" w:rsidRDefault="008B2660" w14:paraId="07CA219D" w14:textId="5326DC73">
      <w:pPr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ab/>
      </w:r>
      <w:r w:rsidRPr="00C317BB" w:rsidR="00CF7998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F7998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F7998">
        <w:rPr>
          <w:rFonts w:cs="Times New Roman"/>
          <w:color w:val="000000" w:themeColor="text1"/>
          <w:szCs w:val="24"/>
        </w:rPr>
        <w:t>proposing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F7998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F7998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D6100">
        <w:rPr>
          <w:rFonts w:cs="Times New Roman"/>
          <w:color w:val="000000" w:themeColor="text1"/>
          <w:szCs w:val="24"/>
        </w:rPr>
        <w:t>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F7998">
        <w:rPr>
          <w:rFonts w:cs="Times New Roman"/>
          <w:color w:val="000000" w:themeColor="text1"/>
          <w:szCs w:val="24"/>
        </w:rPr>
        <w:t>6</w:t>
      </w:r>
      <w:r w:rsidRPr="00C317BB" w:rsidR="00BB7D6E">
        <w:rPr>
          <w:rFonts w:cs="Times New Roman"/>
          <w:color w:val="000000" w:themeColor="text1"/>
          <w:szCs w:val="24"/>
        </w:rPr>
        <w:t>(a)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F7998">
        <w:rPr>
          <w:rFonts w:cs="Times New Roman"/>
          <w:color w:val="000000" w:themeColor="text1"/>
          <w:szCs w:val="24"/>
        </w:rPr>
        <w:t>to: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370CF">
        <w:rPr>
          <w:rFonts w:cs="Times New Roman"/>
          <w:color w:val="000000" w:themeColor="text1"/>
          <w:szCs w:val="24"/>
        </w:rPr>
        <w:t>prohibit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370CF">
        <w:rPr>
          <w:rFonts w:cs="Times New Roman"/>
          <w:color w:val="000000" w:themeColor="text1"/>
          <w:szCs w:val="24"/>
        </w:rPr>
        <w:t>manufacture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B24E6">
        <w:rPr>
          <w:rFonts w:cs="Times New Roman"/>
          <w:color w:val="000000" w:themeColor="text1"/>
          <w:szCs w:val="24"/>
        </w:rPr>
        <w:t>(including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B24E6">
        <w:rPr>
          <w:rFonts w:cs="Times New Roman"/>
          <w:color w:val="000000" w:themeColor="text1"/>
          <w:szCs w:val="24"/>
        </w:rPr>
        <w:t>import)</w:t>
      </w:r>
      <w:r w:rsidRPr="00C317BB" w:rsidR="006370CF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370CF">
        <w:rPr>
          <w:rFonts w:cs="Times New Roman"/>
          <w:color w:val="000000" w:themeColor="text1"/>
          <w:szCs w:val="24"/>
        </w:rPr>
        <w:t>processing,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370CF">
        <w:rPr>
          <w:rFonts w:cs="Times New Roman"/>
          <w:color w:val="000000" w:themeColor="text1"/>
          <w:szCs w:val="24"/>
        </w:rPr>
        <w:t>distribution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62A4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62A4">
        <w:rPr>
          <w:rFonts w:cs="Times New Roman"/>
          <w:color w:val="000000" w:themeColor="text1"/>
          <w:szCs w:val="24"/>
        </w:rPr>
        <w:t>commerce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477A0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62A4">
        <w:rPr>
          <w:rFonts w:cs="Times New Roman"/>
          <w:color w:val="000000" w:themeColor="text1"/>
          <w:szCs w:val="24"/>
        </w:rPr>
        <w:t>commercial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477A0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370CF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370CF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370CF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1505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1505B">
        <w:rPr>
          <w:rFonts w:cs="Times New Roman"/>
          <w:color w:val="000000" w:themeColor="text1"/>
          <w:szCs w:val="24"/>
        </w:rPr>
        <w:t>bulk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1505B">
        <w:rPr>
          <w:rFonts w:cs="Times New Roman"/>
          <w:color w:val="000000" w:themeColor="text1"/>
          <w:szCs w:val="24"/>
        </w:rPr>
        <w:t>form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1505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1505B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1505B">
        <w:rPr>
          <w:rFonts w:cs="Times New Roman"/>
          <w:color w:val="000000" w:themeColor="text1"/>
          <w:szCs w:val="24"/>
        </w:rPr>
        <w:t>part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1505B">
        <w:rPr>
          <w:rFonts w:cs="Times New Roman"/>
          <w:color w:val="000000" w:themeColor="text1"/>
          <w:szCs w:val="24"/>
        </w:rPr>
        <w:t>of</w:t>
      </w:r>
      <w:r w:rsidRPr="00C317BB" w:rsidR="006370CF">
        <w:rPr>
          <w:rFonts w:cs="Times New Roman"/>
          <w:color w:val="000000" w:themeColor="text1"/>
          <w:szCs w:val="24"/>
        </w:rPr>
        <w:t>: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70598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70598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70598">
        <w:rPr>
          <w:rFonts w:cs="Times New Roman"/>
          <w:color w:val="000000" w:themeColor="text1"/>
          <w:szCs w:val="24"/>
        </w:rPr>
        <w:t>diaphragms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70598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70598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70598">
        <w:rPr>
          <w:rFonts w:cs="Times New Roman"/>
          <w:color w:val="000000" w:themeColor="text1"/>
          <w:szCs w:val="24"/>
        </w:rPr>
        <w:t>chlor-alkali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70598">
        <w:rPr>
          <w:rFonts w:cs="Times New Roman"/>
          <w:color w:val="000000" w:themeColor="text1"/>
          <w:szCs w:val="24"/>
        </w:rPr>
        <w:t>industry;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70598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70598">
        <w:rPr>
          <w:rFonts w:cs="Times New Roman"/>
          <w:color w:val="000000" w:themeColor="text1"/>
          <w:szCs w:val="24"/>
        </w:rPr>
        <w:t>asbestos-containing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70598">
        <w:rPr>
          <w:rFonts w:cs="Times New Roman"/>
          <w:color w:val="000000" w:themeColor="text1"/>
          <w:szCs w:val="24"/>
        </w:rPr>
        <w:t>sheet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70598">
        <w:rPr>
          <w:rFonts w:cs="Times New Roman"/>
          <w:color w:val="000000" w:themeColor="text1"/>
          <w:szCs w:val="24"/>
        </w:rPr>
        <w:t>gaskets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70598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70598">
        <w:rPr>
          <w:rFonts w:cs="Times New Roman"/>
          <w:color w:val="000000" w:themeColor="text1"/>
          <w:szCs w:val="24"/>
        </w:rPr>
        <w:t>chemical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70598">
        <w:rPr>
          <w:rFonts w:cs="Times New Roman"/>
          <w:color w:val="000000" w:themeColor="text1"/>
          <w:szCs w:val="24"/>
        </w:rPr>
        <w:t>product</w:t>
      </w:r>
      <w:r w:rsidRPr="00C317BB" w:rsidR="00471F99">
        <w:rPr>
          <w:rFonts w:cs="Times New Roman"/>
          <w:color w:val="000000" w:themeColor="text1"/>
          <w:szCs w:val="24"/>
        </w:rPr>
        <w:t>ion</w:t>
      </w:r>
      <w:r w:rsidRPr="00C317BB" w:rsidR="004C6947">
        <w:rPr>
          <w:rFonts w:cs="Times New Roman"/>
          <w:color w:val="000000" w:themeColor="text1"/>
          <w:szCs w:val="24"/>
        </w:rPr>
        <w:t>;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70598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70598">
        <w:rPr>
          <w:rFonts w:cs="Times New Roman"/>
          <w:color w:val="000000" w:themeColor="text1"/>
          <w:szCs w:val="24"/>
        </w:rPr>
        <w:t>asbestos-containing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70598">
        <w:rPr>
          <w:rFonts w:cs="Times New Roman"/>
          <w:color w:val="000000" w:themeColor="text1"/>
          <w:szCs w:val="24"/>
        </w:rPr>
        <w:t>brake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70598">
        <w:rPr>
          <w:rFonts w:cs="Times New Roman"/>
          <w:color w:val="000000" w:themeColor="text1"/>
          <w:szCs w:val="24"/>
        </w:rPr>
        <w:t>blocks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70598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70598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70598">
        <w:rPr>
          <w:rFonts w:cs="Times New Roman"/>
          <w:color w:val="000000" w:themeColor="text1"/>
          <w:szCs w:val="24"/>
        </w:rPr>
        <w:t>oil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70598">
        <w:rPr>
          <w:rFonts w:cs="Times New Roman"/>
          <w:color w:val="000000" w:themeColor="text1"/>
          <w:szCs w:val="24"/>
        </w:rPr>
        <w:t>industry;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70598">
        <w:rPr>
          <w:rFonts w:cs="Times New Roman"/>
          <w:color w:val="000000" w:themeColor="text1"/>
          <w:szCs w:val="24"/>
        </w:rPr>
        <w:t>aftermarket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70598">
        <w:rPr>
          <w:rFonts w:cs="Times New Roman"/>
          <w:color w:val="000000" w:themeColor="text1"/>
          <w:szCs w:val="24"/>
        </w:rPr>
        <w:t>automotive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70598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70598">
        <w:rPr>
          <w:rFonts w:cs="Times New Roman"/>
          <w:color w:val="000000" w:themeColor="text1"/>
          <w:szCs w:val="24"/>
        </w:rPr>
        <w:t>asbestos-containing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70598">
        <w:rPr>
          <w:rFonts w:cs="Times New Roman"/>
          <w:color w:val="000000" w:themeColor="text1"/>
          <w:szCs w:val="24"/>
        </w:rPr>
        <w:t>brakes/linings;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84183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70598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71F99">
        <w:rPr>
          <w:rFonts w:cs="Times New Roman"/>
          <w:color w:val="000000" w:themeColor="text1"/>
          <w:szCs w:val="24"/>
        </w:rPr>
        <w:t>vehicle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71F99">
        <w:rPr>
          <w:rFonts w:cs="Times New Roman"/>
          <w:color w:val="000000" w:themeColor="text1"/>
          <w:szCs w:val="24"/>
        </w:rPr>
        <w:t>friction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71F99">
        <w:rPr>
          <w:rFonts w:cs="Times New Roman"/>
          <w:color w:val="000000" w:themeColor="text1"/>
          <w:szCs w:val="24"/>
        </w:rPr>
        <w:t>products</w:t>
      </w:r>
      <w:r w:rsidRPr="00C317BB" w:rsidR="004C6947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69EE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69EE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69EE">
        <w:rPr>
          <w:rFonts w:cs="Times New Roman"/>
          <w:color w:val="000000" w:themeColor="text1"/>
          <w:szCs w:val="24"/>
        </w:rPr>
        <w:t>also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69EE">
        <w:rPr>
          <w:rFonts w:cs="Times New Roman"/>
          <w:color w:val="000000" w:themeColor="text1"/>
          <w:szCs w:val="24"/>
        </w:rPr>
        <w:t>proposing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69EE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69EE">
        <w:rPr>
          <w:rFonts w:cs="Times New Roman"/>
          <w:color w:val="000000" w:themeColor="text1"/>
          <w:szCs w:val="24"/>
        </w:rPr>
        <w:t>prohibit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69EE">
        <w:rPr>
          <w:rFonts w:cs="Times New Roman"/>
          <w:color w:val="000000" w:themeColor="text1"/>
          <w:szCs w:val="24"/>
        </w:rPr>
        <w:t>manufacture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69EE">
        <w:rPr>
          <w:rFonts w:cs="Times New Roman"/>
          <w:color w:val="000000" w:themeColor="text1"/>
          <w:szCs w:val="24"/>
        </w:rPr>
        <w:t>(including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69EE">
        <w:rPr>
          <w:rFonts w:cs="Times New Roman"/>
          <w:color w:val="000000" w:themeColor="text1"/>
          <w:szCs w:val="24"/>
        </w:rPr>
        <w:t>import),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69EE">
        <w:rPr>
          <w:rFonts w:cs="Times New Roman"/>
          <w:color w:val="000000" w:themeColor="text1"/>
          <w:szCs w:val="24"/>
        </w:rPr>
        <w:t>processing,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69EE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69EE">
        <w:rPr>
          <w:rFonts w:cs="Times New Roman"/>
          <w:color w:val="000000" w:themeColor="text1"/>
          <w:szCs w:val="24"/>
        </w:rPr>
        <w:t>distribution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69EE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69EE">
        <w:rPr>
          <w:rFonts w:cs="Times New Roman"/>
          <w:color w:val="000000" w:themeColor="text1"/>
          <w:szCs w:val="24"/>
        </w:rPr>
        <w:t>commerce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69EE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69EE">
        <w:rPr>
          <w:rFonts w:cs="Times New Roman"/>
          <w:color w:val="000000" w:themeColor="text1"/>
          <w:szCs w:val="24"/>
        </w:rPr>
        <w:t>aftermarket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69EE">
        <w:rPr>
          <w:rFonts w:cs="Times New Roman"/>
          <w:color w:val="000000" w:themeColor="text1"/>
          <w:szCs w:val="24"/>
        </w:rPr>
        <w:t>automotive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69EE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69EE">
        <w:rPr>
          <w:rFonts w:cs="Times New Roman"/>
          <w:color w:val="000000" w:themeColor="text1"/>
          <w:szCs w:val="24"/>
        </w:rPr>
        <w:t>asbestos-containing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69EE">
        <w:rPr>
          <w:rFonts w:cs="Times New Roman"/>
          <w:color w:val="000000" w:themeColor="text1"/>
          <w:szCs w:val="24"/>
        </w:rPr>
        <w:t>brakes/linings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41A3E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41A3E">
        <w:rPr>
          <w:rFonts w:cs="Times New Roman"/>
          <w:color w:val="000000" w:themeColor="text1"/>
          <w:szCs w:val="24"/>
        </w:rPr>
        <w:t>consumer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41A3E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69EE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69EE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69EE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69EE">
        <w:rPr>
          <w:rFonts w:cs="Times New Roman"/>
          <w:color w:val="000000" w:themeColor="text1"/>
          <w:szCs w:val="24"/>
        </w:rPr>
        <w:t>asbestos-containing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69EE">
        <w:rPr>
          <w:rFonts w:cs="Times New Roman"/>
          <w:color w:val="000000" w:themeColor="text1"/>
          <w:szCs w:val="24"/>
        </w:rPr>
        <w:t>gaskets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69EE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69EE">
        <w:rPr>
          <w:rFonts w:cs="Times New Roman"/>
          <w:color w:val="000000" w:themeColor="text1"/>
          <w:szCs w:val="24"/>
        </w:rPr>
        <w:t>consumer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69EE">
        <w:rPr>
          <w:rFonts w:cs="Times New Roman"/>
          <w:color w:val="000000" w:themeColor="text1"/>
          <w:szCs w:val="24"/>
        </w:rPr>
        <w:t>use</w:t>
      </w:r>
      <w:r w:rsidRPr="00C317BB" w:rsidR="004C6947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E3E98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E3E98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E3E98">
        <w:rPr>
          <w:rFonts w:cs="Times New Roman"/>
          <w:color w:val="000000" w:themeColor="text1"/>
          <w:szCs w:val="24"/>
        </w:rPr>
        <w:t>also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E3E98">
        <w:rPr>
          <w:rFonts w:cs="Times New Roman"/>
          <w:color w:val="000000" w:themeColor="text1"/>
          <w:szCs w:val="24"/>
        </w:rPr>
        <w:t>proposing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E3E98">
        <w:rPr>
          <w:rFonts w:cs="Times New Roman"/>
          <w:color w:val="000000" w:themeColor="text1"/>
          <w:szCs w:val="24"/>
        </w:rPr>
        <w:t>disposal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25EE9">
        <w:rPr>
          <w:rFonts w:cs="Times New Roman"/>
          <w:color w:val="000000" w:themeColor="text1"/>
          <w:szCs w:val="24"/>
        </w:rPr>
        <w:t>requirements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E3E98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E3E98">
        <w:rPr>
          <w:rFonts w:cs="Times New Roman"/>
          <w:color w:val="000000" w:themeColor="text1"/>
          <w:szCs w:val="24"/>
        </w:rPr>
        <w:t>recordkeeping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E3E98">
        <w:rPr>
          <w:rFonts w:cs="Times New Roman"/>
          <w:color w:val="000000" w:themeColor="text1"/>
          <w:szCs w:val="24"/>
        </w:rPr>
        <w:t>requirements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E3E98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E3E98">
        <w:rPr>
          <w:rFonts w:cs="Times New Roman"/>
          <w:color w:val="000000" w:themeColor="text1"/>
          <w:szCs w:val="24"/>
        </w:rPr>
        <w:t>which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E3E98">
        <w:rPr>
          <w:rFonts w:cs="Times New Roman"/>
          <w:color w:val="000000" w:themeColor="text1"/>
          <w:szCs w:val="24"/>
        </w:rPr>
        <w:t>regulated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E3E98">
        <w:rPr>
          <w:rFonts w:cs="Times New Roman"/>
          <w:color w:val="000000" w:themeColor="text1"/>
          <w:szCs w:val="24"/>
        </w:rPr>
        <w:t>parties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E3E98">
        <w:rPr>
          <w:rFonts w:cs="Times New Roman"/>
          <w:color w:val="000000" w:themeColor="text1"/>
          <w:szCs w:val="24"/>
        </w:rPr>
        <w:t>would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E3E98">
        <w:rPr>
          <w:rFonts w:cs="Times New Roman"/>
          <w:color w:val="000000" w:themeColor="text1"/>
          <w:szCs w:val="24"/>
        </w:rPr>
        <w:t>document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E3E98">
        <w:rPr>
          <w:rFonts w:cs="Times New Roman"/>
          <w:color w:val="000000" w:themeColor="text1"/>
          <w:szCs w:val="24"/>
        </w:rPr>
        <w:t>compliance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E3E98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E3E98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E3E98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25EE9">
        <w:rPr>
          <w:rFonts w:cs="Times New Roman"/>
          <w:color w:val="000000" w:themeColor="text1"/>
          <w:szCs w:val="24"/>
        </w:rPr>
        <w:t>disposal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25EE9">
        <w:rPr>
          <w:rFonts w:cs="Times New Roman"/>
          <w:color w:val="000000" w:themeColor="text1"/>
          <w:szCs w:val="24"/>
        </w:rPr>
        <w:t>requirements</w:t>
      </w:r>
      <w:r w:rsidRPr="00C317BB" w:rsidR="00A645BB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45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45BB">
        <w:rPr>
          <w:rFonts w:cs="Times New Roman"/>
          <w:color w:val="000000" w:themeColor="text1"/>
          <w:szCs w:val="24"/>
        </w:rPr>
        <w:t>does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45BB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45BB">
        <w:rPr>
          <w:rFonts w:cs="Times New Roman"/>
          <w:color w:val="000000" w:themeColor="text1"/>
          <w:szCs w:val="24"/>
        </w:rPr>
        <w:t>intend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45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45BB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45BB">
        <w:rPr>
          <w:rFonts w:cs="Times New Roman"/>
          <w:color w:val="000000" w:themeColor="text1"/>
          <w:szCs w:val="24"/>
        </w:rPr>
        <w:t>prohibitions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45BB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45BB">
        <w:rPr>
          <w:rFonts w:cs="Times New Roman"/>
          <w:color w:val="000000" w:themeColor="text1"/>
          <w:szCs w:val="24"/>
        </w:rPr>
        <w:t>processing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45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45BB">
        <w:rPr>
          <w:rFonts w:cs="Times New Roman"/>
          <w:color w:val="000000" w:themeColor="text1"/>
          <w:szCs w:val="24"/>
        </w:rPr>
        <w:t>distribution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45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45BB">
        <w:rPr>
          <w:rFonts w:cs="Times New Roman"/>
          <w:color w:val="000000" w:themeColor="text1"/>
          <w:szCs w:val="24"/>
        </w:rPr>
        <w:t>commerce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45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45BB">
        <w:rPr>
          <w:rFonts w:cs="Times New Roman"/>
          <w:color w:val="000000" w:themeColor="text1"/>
          <w:szCs w:val="24"/>
        </w:rPr>
        <w:t>prohibit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45BB">
        <w:rPr>
          <w:rFonts w:cs="Times New Roman"/>
          <w:color w:val="000000" w:themeColor="text1"/>
          <w:szCs w:val="24"/>
        </w:rPr>
        <w:t>any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45BB">
        <w:rPr>
          <w:rFonts w:cs="Times New Roman"/>
          <w:color w:val="000000" w:themeColor="text1"/>
          <w:szCs w:val="24"/>
        </w:rPr>
        <w:t>processing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45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45BB">
        <w:rPr>
          <w:rFonts w:cs="Times New Roman"/>
          <w:color w:val="000000" w:themeColor="text1"/>
          <w:szCs w:val="24"/>
        </w:rPr>
        <w:t>distribution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45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45BB">
        <w:rPr>
          <w:rFonts w:cs="Times New Roman"/>
          <w:color w:val="000000" w:themeColor="text1"/>
          <w:szCs w:val="24"/>
        </w:rPr>
        <w:t>commerce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45BB">
        <w:rPr>
          <w:rFonts w:cs="Times New Roman"/>
          <w:color w:val="000000" w:themeColor="text1"/>
          <w:szCs w:val="24"/>
        </w:rPr>
        <w:t>incidental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45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45BB">
        <w:rPr>
          <w:rFonts w:cs="Times New Roman"/>
          <w:color w:val="000000" w:themeColor="text1"/>
          <w:szCs w:val="24"/>
        </w:rPr>
        <w:t>disposal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45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45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45BB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45BB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45BB">
        <w:rPr>
          <w:rFonts w:cs="Times New Roman"/>
          <w:color w:val="000000" w:themeColor="text1"/>
          <w:szCs w:val="24"/>
        </w:rPr>
        <w:t>waste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45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45BB">
        <w:rPr>
          <w:rFonts w:cs="Times New Roman"/>
          <w:color w:val="000000" w:themeColor="text1"/>
          <w:szCs w:val="24"/>
        </w:rPr>
        <w:t>accordance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45BB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45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45BB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45BB">
        <w:rPr>
          <w:rFonts w:cs="Times New Roman"/>
          <w:color w:val="000000" w:themeColor="text1"/>
          <w:szCs w:val="24"/>
        </w:rPr>
        <w:t>requirements.</w:t>
      </w:r>
    </w:p>
    <w:p w:rsidRPr="00C317BB" w:rsidR="00B57011" w:rsidP="00F27167" w:rsidRDefault="00DB00CD" w14:paraId="586D02B5" w14:textId="7EEC7CEA">
      <w:pPr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ab/>
      </w:r>
      <w:r w:rsidRPr="00C317BB" w:rsidR="004612C3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12C3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12C3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12C3">
        <w:rPr>
          <w:rFonts w:cs="Times New Roman"/>
          <w:color w:val="000000" w:themeColor="text1"/>
          <w:szCs w:val="24"/>
        </w:rPr>
        <w:t>approach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bookmarkStart w:name="_Hlk87453532" w:id="26"/>
      <w:r w:rsidRPr="00C317BB" w:rsidR="004612C3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12C3">
        <w:rPr>
          <w:rFonts w:cs="Times New Roman"/>
          <w:color w:val="000000" w:themeColor="text1"/>
          <w:szCs w:val="24"/>
        </w:rPr>
        <w:t>pursuant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12C3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12C3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12C3">
        <w:rPr>
          <w:rFonts w:cs="Times New Roman"/>
          <w:color w:val="000000" w:themeColor="text1"/>
          <w:szCs w:val="24"/>
        </w:rPr>
        <w:t>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12C3">
        <w:rPr>
          <w:rFonts w:cs="Times New Roman"/>
          <w:color w:val="000000" w:themeColor="text1"/>
          <w:szCs w:val="24"/>
        </w:rPr>
        <w:t>6(d)(1),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bookmarkEnd w:id="26"/>
      <w:r w:rsidRPr="00C317BB" w:rsidR="004612C3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12C3">
        <w:rPr>
          <w:rFonts w:cs="Times New Roman"/>
          <w:color w:val="000000" w:themeColor="text1"/>
          <w:szCs w:val="24"/>
        </w:rPr>
        <w:t>manufacture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12C3">
        <w:rPr>
          <w:rFonts w:cs="Times New Roman"/>
          <w:color w:val="000000" w:themeColor="text1"/>
          <w:szCs w:val="24"/>
        </w:rPr>
        <w:t>(including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12C3">
        <w:rPr>
          <w:rFonts w:cs="Times New Roman"/>
          <w:color w:val="000000" w:themeColor="text1"/>
          <w:szCs w:val="24"/>
        </w:rPr>
        <w:t>import),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12C3">
        <w:rPr>
          <w:rFonts w:cs="Times New Roman"/>
          <w:color w:val="000000" w:themeColor="text1"/>
          <w:szCs w:val="24"/>
        </w:rPr>
        <w:t>processing,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12C3">
        <w:rPr>
          <w:rFonts w:cs="Times New Roman"/>
          <w:color w:val="000000" w:themeColor="text1"/>
          <w:szCs w:val="24"/>
        </w:rPr>
        <w:t>distribution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12C3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12C3">
        <w:rPr>
          <w:rFonts w:cs="Times New Roman"/>
          <w:color w:val="000000" w:themeColor="text1"/>
          <w:szCs w:val="24"/>
        </w:rPr>
        <w:t>commerce,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12C3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12C3">
        <w:rPr>
          <w:rFonts w:cs="Times New Roman"/>
          <w:color w:val="000000" w:themeColor="text1"/>
          <w:szCs w:val="24"/>
        </w:rPr>
        <w:t>commercial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12C3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12C3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12C3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12C3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45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45BB">
        <w:rPr>
          <w:rFonts w:cs="Times New Roman"/>
          <w:color w:val="000000" w:themeColor="text1"/>
          <w:szCs w:val="24"/>
        </w:rPr>
        <w:t>bulk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45BB">
        <w:rPr>
          <w:rFonts w:cs="Times New Roman"/>
          <w:color w:val="000000" w:themeColor="text1"/>
          <w:szCs w:val="24"/>
        </w:rPr>
        <w:t>form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45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45BB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45BB">
        <w:rPr>
          <w:rFonts w:cs="Times New Roman"/>
          <w:color w:val="000000" w:themeColor="text1"/>
          <w:szCs w:val="24"/>
        </w:rPr>
        <w:t>part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A56E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12C3">
        <w:rPr>
          <w:rFonts w:cs="Times New Roman"/>
          <w:color w:val="000000" w:themeColor="text1"/>
          <w:szCs w:val="24"/>
        </w:rPr>
        <w:t>diaphragms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12C3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12C3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12C3">
        <w:rPr>
          <w:rFonts w:cs="Times New Roman"/>
          <w:color w:val="000000" w:themeColor="text1"/>
          <w:szCs w:val="24"/>
        </w:rPr>
        <w:t>chlor-alkali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12C3">
        <w:rPr>
          <w:rFonts w:cs="Times New Roman"/>
          <w:color w:val="000000" w:themeColor="text1"/>
          <w:szCs w:val="24"/>
        </w:rPr>
        <w:t>industry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12C3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674E5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12C3">
        <w:rPr>
          <w:rFonts w:cs="Times New Roman"/>
          <w:color w:val="000000" w:themeColor="text1"/>
          <w:szCs w:val="24"/>
        </w:rPr>
        <w:t>asbestos-containing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12C3">
        <w:rPr>
          <w:rFonts w:cs="Times New Roman"/>
          <w:color w:val="000000" w:themeColor="text1"/>
          <w:szCs w:val="24"/>
        </w:rPr>
        <w:t>sheet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12C3">
        <w:rPr>
          <w:rFonts w:cs="Times New Roman"/>
          <w:color w:val="000000" w:themeColor="text1"/>
          <w:szCs w:val="24"/>
        </w:rPr>
        <w:t>gaskets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12C3">
        <w:rPr>
          <w:rFonts w:cs="Times New Roman"/>
          <w:color w:val="000000" w:themeColor="text1"/>
          <w:szCs w:val="24"/>
        </w:rPr>
        <w:t>used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12C3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12C3">
        <w:rPr>
          <w:rFonts w:cs="Times New Roman"/>
          <w:color w:val="000000" w:themeColor="text1"/>
          <w:szCs w:val="24"/>
        </w:rPr>
        <w:t>chemical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12C3">
        <w:rPr>
          <w:rFonts w:cs="Times New Roman"/>
          <w:color w:val="000000" w:themeColor="text1"/>
          <w:szCs w:val="24"/>
        </w:rPr>
        <w:t>production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12C3">
        <w:rPr>
          <w:rFonts w:cs="Times New Roman"/>
          <w:color w:val="000000" w:themeColor="text1"/>
          <w:szCs w:val="24"/>
        </w:rPr>
        <w:t>would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12C3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12C3">
        <w:rPr>
          <w:rFonts w:cs="Times New Roman"/>
          <w:color w:val="000000" w:themeColor="text1"/>
          <w:szCs w:val="24"/>
        </w:rPr>
        <w:t>prohibited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05957">
        <w:rPr>
          <w:rFonts w:cs="Times New Roman"/>
          <w:color w:val="000000" w:themeColor="text1"/>
          <w:szCs w:val="24"/>
        </w:rPr>
        <w:t>two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12C3">
        <w:rPr>
          <w:rFonts w:cs="Times New Roman"/>
          <w:color w:val="000000" w:themeColor="text1"/>
          <w:szCs w:val="24"/>
        </w:rPr>
        <w:t>years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F4741">
        <w:rPr>
          <w:rFonts w:cs="Times New Roman"/>
          <w:color w:val="000000" w:themeColor="text1"/>
          <w:szCs w:val="24"/>
        </w:rPr>
        <w:t>after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F4741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F4741">
        <w:rPr>
          <w:rFonts w:cs="Times New Roman"/>
          <w:color w:val="000000" w:themeColor="text1"/>
          <w:szCs w:val="24"/>
        </w:rPr>
        <w:t>effective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F4741">
        <w:rPr>
          <w:rFonts w:cs="Times New Roman"/>
          <w:color w:val="000000" w:themeColor="text1"/>
          <w:szCs w:val="24"/>
        </w:rPr>
        <w:t>date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F4741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F4741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D700E">
        <w:rPr>
          <w:rFonts w:cs="Times New Roman"/>
          <w:color w:val="000000" w:themeColor="text1"/>
          <w:szCs w:val="24"/>
        </w:rPr>
        <w:t>f</w:t>
      </w:r>
      <w:r w:rsidRPr="00C317BB" w:rsidR="009F137C">
        <w:rPr>
          <w:rFonts w:cs="Times New Roman"/>
          <w:color w:val="000000" w:themeColor="text1"/>
          <w:szCs w:val="24"/>
        </w:rPr>
        <w:t>inal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F4741">
        <w:rPr>
          <w:rFonts w:cs="Times New Roman"/>
          <w:color w:val="000000" w:themeColor="text1"/>
          <w:szCs w:val="24"/>
        </w:rPr>
        <w:t>rule</w:t>
      </w:r>
      <w:r w:rsidRPr="00C317BB" w:rsidR="004612C3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E3E98">
        <w:rPr>
          <w:rFonts w:cs="Times New Roman"/>
          <w:color w:val="000000" w:themeColor="text1"/>
          <w:szCs w:val="24"/>
        </w:rPr>
        <w:t>M</w:t>
      </w:r>
      <w:r w:rsidRPr="00C317BB" w:rsidR="004612C3">
        <w:rPr>
          <w:rFonts w:cs="Times New Roman"/>
          <w:color w:val="000000" w:themeColor="text1"/>
          <w:szCs w:val="24"/>
        </w:rPr>
        <w:t>anufacture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12C3">
        <w:rPr>
          <w:rFonts w:cs="Times New Roman"/>
          <w:color w:val="000000" w:themeColor="text1"/>
          <w:szCs w:val="24"/>
        </w:rPr>
        <w:t>(including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12C3">
        <w:rPr>
          <w:rFonts w:cs="Times New Roman"/>
          <w:color w:val="000000" w:themeColor="text1"/>
          <w:szCs w:val="24"/>
        </w:rPr>
        <w:t>import),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12C3">
        <w:rPr>
          <w:rFonts w:cs="Times New Roman"/>
          <w:color w:val="000000" w:themeColor="text1"/>
          <w:szCs w:val="24"/>
        </w:rPr>
        <w:t>processing,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12C3">
        <w:rPr>
          <w:rFonts w:cs="Times New Roman"/>
          <w:color w:val="000000" w:themeColor="text1"/>
          <w:szCs w:val="24"/>
        </w:rPr>
        <w:t>distribution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12C3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12C3">
        <w:rPr>
          <w:rFonts w:cs="Times New Roman"/>
          <w:color w:val="000000" w:themeColor="text1"/>
          <w:szCs w:val="24"/>
        </w:rPr>
        <w:t>commerce,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12C3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46748">
        <w:rPr>
          <w:rFonts w:cs="Times New Roman"/>
          <w:color w:val="000000" w:themeColor="text1"/>
          <w:szCs w:val="24"/>
        </w:rPr>
        <w:t>commercial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12C3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12C3">
        <w:rPr>
          <w:rFonts w:cs="Times New Roman"/>
          <w:color w:val="000000" w:themeColor="text1"/>
          <w:szCs w:val="24"/>
        </w:rPr>
        <w:t>of</w:t>
      </w:r>
      <w:r w:rsidRPr="00C317BB" w:rsidR="00346748">
        <w:rPr>
          <w:rFonts w:cs="Times New Roman"/>
          <w:color w:val="000000" w:themeColor="text1"/>
          <w:szCs w:val="24"/>
        </w:rPr>
        <w:t>: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12C3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12C3">
        <w:rPr>
          <w:rFonts w:cs="Times New Roman"/>
          <w:color w:val="000000" w:themeColor="text1"/>
          <w:szCs w:val="24"/>
        </w:rPr>
        <w:t>asbestos-containing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12C3">
        <w:rPr>
          <w:rFonts w:cs="Times New Roman"/>
          <w:color w:val="000000" w:themeColor="text1"/>
          <w:szCs w:val="24"/>
        </w:rPr>
        <w:t>brake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12C3">
        <w:rPr>
          <w:rFonts w:cs="Times New Roman"/>
          <w:color w:val="000000" w:themeColor="text1"/>
          <w:szCs w:val="24"/>
        </w:rPr>
        <w:t>blocks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12C3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27C11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12C3">
        <w:rPr>
          <w:rFonts w:cs="Times New Roman"/>
          <w:color w:val="000000" w:themeColor="text1"/>
          <w:szCs w:val="24"/>
        </w:rPr>
        <w:t>oil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12C3">
        <w:rPr>
          <w:rFonts w:cs="Times New Roman"/>
          <w:color w:val="000000" w:themeColor="text1"/>
          <w:szCs w:val="24"/>
        </w:rPr>
        <w:t>industry;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12C3">
        <w:rPr>
          <w:rFonts w:cs="Times New Roman"/>
          <w:color w:val="000000" w:themeColor="text1"/>
          <w:szCs w:val="24"/>
        </w:rPr>
        <w:t>aftermarket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12C3">
        <w:rPr>
          <w:rFonts w:cs="Times New Roman"/>
          <w:color w:val="000000" w:themeColor="text1"/>
          <w:szCs w:val="24"/>
        </w:rPr>
        <w:t>automotive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12C3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12C3">
        <w:rPr>
          <w:rFonts w:cs="Times New Roman"/>
          <w:color w:val="000000" w:themeColor="text1"/>
          <w:szCs w:val="24"/>
        </w:rPr>
        <w:t>asbestos-containing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12C3">
        <w:rPr>
          <w:rFonts w:cs="Times New Roman"/>
          <w:color w:val="000000" w:themeColor="text1"/>
          <w:szCs w:val="24"/>
        </w:rPr>
        <w:t>brakes/linings;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470ED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12C3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12C3">
        <w:rPr>
          <w:rFonts w:cs="Times New Roman"/>
          <w:color w:val="000000" w:themeColor="text1"/>
          <w:szCs w:val="24"/>
        </w:rPr>
        <w:t>asbestos-containing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12C3">
        <w:rPr>
          <w:rFonts w:cs="Times New Roman"/>
          <w:color w:val="000000" w:themeColor="text1"/>
          <w:szCs w:val="24"/>
        </w:rPr>
        <w:t>vehicle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12C3">
        <w:rPr>
          <w:rFonts w:cs="Times New Roman"/>
          <w:color w:val="000000" w:themeColor="text1"/>
          <w:szCs w:val="24"/>
        </w:rPr>
        <w:t>friction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612C3">
        <w:rPr>
          <w:rFonts w:cs="Times New Roman"/>
          <w:color w:val="000000" w:themeColor="text1"/>
          <w:szCs w:val="24"/>
        </w:rPr>
        <w:t>products</w:t>
      </w:r>
      <w:r w:rsidRPr="00C317BB" w:rsidR="00CD2D1A">
        <w:rPr>
          <w:rFonts w:cs="Times New Roman"/>
          <w:color w:val="000000" w:themeColor="text1"/>
          <w:szCs w:val="24"/>
        </w:rPr>
        <w:t>;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D2D1A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D2D1A">
        <w:rPr>
          <w:rFonts w:cs="Times New Roman"/>
          <w:color w:val="000000" w:themeColor="text1"/>
          <w:szCs w:val="24"/>
        </w:rPr>
        <w:t>asbestos-containing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D2D1A">
        <w:rPr>
          <w:rFonts w:cs="Times New Roman"/>
          <w:color w:val="000000" w:themeColor="text1"/>
          <w:szCs w:val="24"/>
        </w:rPr>
        <w:t>gaskets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E3E98">
        <w:rPr>
          <w:rFonts w:cs="Times New Roman"/>
          <w:color w:val="000000" w:themeColor="text1"/>
          <w:szCs w:val="24"/>
        </w:rPr>
        <w:t>would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E3E98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E3E98">
        <w:rPr>
          <w:rFonts w:cs="Times New Roman"/>
          <w:color w:val="000000" w:themeColor="text1"/>
          <w:szCs w:val="24"/>
        </w:rPr>
        <w:t>prohibited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070D">
        <w:rPr>
          <w:rFonts w:cs="Times New Roman"/>
          <w:color w:val="000000" w:themeColor="text1"/>
          <w:szCs w:val="24"/>
        </w:rPr>
        <w:t>180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070D">
        <w:rPr>
          <w:rFonts w:cs="Times New Roman"/>
          <w:color w:val="000000" w:themeColor="text1"/>
          <w:szCs w:val="24"/>
        </w:rPr>
        <w:t>days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E3E98">
        <w:rPr>
          <w:rFonts w:cs="Times New Roman"/>
          <w:color w:val="000000" w:themeColor="text1"/>
          <w:szCs w:val="24"/>
        </w:rPr>
        <w:t>after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070D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070D">
        <w:rPr>
          <w:rFonts w:cs="Times New Roman"/>
          <w:color w:val="000000" w:themeColor="text1"/>
          <w:szCs w:val="24"/>
        </w:rPr>
        <w:t>effective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070D">
        <w:rPr>
          <w:rFonts w:cs="Times New Roman"/>
          <w:color w:val="000000" w:themeColor="text1"/>
          <w:szCs w:val="24"/>
        </w:rPr>
        <w:t>date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070D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070D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070D">
        <w:rPr>
          <w:rFonts w:cs="Times New Roman"/>
          <w:color w:val="000000" w:themeColor="text1"/>
          <w:szCs w:val="24"/>
        </w:rPr>
        <w:t>final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070D">
        <w:rPr>
          <w:rFonts w:cs="Times New Roman"/>
          <w:color w:val="000000" w:themeColor="text1"/>
          <w:szCs w:val="24"/>
        </w:rPr>
        <w:t>rule.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5BA6">
        <w:rPr>
          <w:rFonts w:cs="Times New Roman"/>
          <w:color w:val="000000" w:themeColor="text1"/>
          <w:szCs w:val="24"/>
        </w:rPr>
        <w:t>Disposal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5BA6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5BA6">
        <w:rPr>
          <w:rFonts w:cs="Times New Roman"/>
          <w:color w:val="000000" w:themeColor="text1"/>
          <w:szCs w:val="24"/>
        </w:rPr>
        <w:t>recordkeeping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5BA6">
        <w:rPr>
          <w:rFonts w:cs="Times New Roman"/>
          <w:color w:val="000000" w:themeColor="text1"/>
          <w:szCs w:val="24"/>
        </w:rPr>
        <w:t>requirements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5BA6">
        <w:rPr>
          <w:rFonts w:cs="Times New Roman"/>
          <w:color w:val="000000" w:themeColor="text1"/>
          <w:szCs w:val="24"/>
        </w:rPr>
        <w:t>would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5BA6">
        <w:rPr>
          <w:rFonts w:cs="Times New Roman"/>
          <w:color w:val="000000" w:themeColor="text1"/>
          <w:szCs w:val="24"/>
        </w:rPr>
        <w:t>take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5BA6">
        <w:rPr>
          <w:rFonts w:cs="Times New Roman"/>
          <w:color w:val="000000" w:themeColor="text1"/>
          <w:szCs w:val="24"/>
        </w:rPr>
        <w:t>effect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5BA6">
        <w:rPr>
          <w:rFonts w:cs="Times New Roman"/>
          <w:color w:val="000000" w:themeColor="text1"/>
          <w:szCs w:val="24"/>
        </w:rPr>
        <w:t>180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5BA6">
        <w:rPr>
          <w:rFonts w:cs="Times New Roman"/>
          <w:color w:val="000000" w:themeColor="text1"/>
          <w:szCs w:val="24"/>
        </w:rPr>
        <w:t>days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5BA6">
        <w:rPr>
          <w:rFonts w:cs="Times New Roman"/>
          <w:color w:val="000000" w:themeColor="text1"/>
          <w:szCs w:val="24"/>
        </w:rPr>
        <w:t>after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5BA6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5BA6">
        <w:rPr>
          <w:rFonts w:cs="Times New Roman"/>
          <w:color w:val="000000" w:themeColor="text1"/>
          <w:szCs w:val="24"/>
        </w:rPr>
        <w:t>effective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5BA6">
        <w:rPr>
          <w:rFonts w:cs="Times New Roman"/>
          <w:color w:val="000000" w:themeColor="text1"/>
          <w:szCs w:val="24"/>
        </w:rPr>
        <w:t>date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5BA6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5BA6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5BA6">
        <w:rPr>
          <w:rFonts w:cs="Times New Roman"/>
          <w:color w:val="000000" w:themeColor="text1"/>
          <w:szCs w:val="24"/>
        </w:rPr>
        <w:t>final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5BA6">
        <w:rPr>
          <w:rFonts w:cs="Times New Roman"/>
          <w:color w:val="000000" w:themeColor="text1"/>
          <w:szCs w:val="24"/>
        </w:rPr>
        <w:t>rule.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D2D1A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D2D1A">
        <w:rPr>
          <w:rFonts w:cs="Times New Roman"/>
          <w:color w:val="000000" w:themeColor="text1"/>
          <w:szCs w:val="24"/>
        </w:rPr>
        <w:t>noted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D2D1A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D2D1A">
        <w:rPr>
          <w:rFonts w:cs="Times New Roman"/>
          <w:color w:val="000000" w:themeColor="text1"/>
          <w:szCs w:val="24"/>
        </w:rPr>
        <w:t>Unit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C6947">
        <w:rPr>
          <w:rFonts w:cs="Times New Roman"/>
          <w:color w:val="000000" w:themeColor="text1"/>
          <w:szCs w:val="24"/>
        </w:rPr>
        <w:t>II</w:t>
      </w:r>
      <w:r w:rsidRPr="00C317BB" w:rsidR="006C610F">
        <w:rPr>
          <w:rFonts w:cs="Times New Roman"/>
          <w:color w:val="000000" w:themeColor="text1"/>
          <w:szCs w:val="24"/>
        </w:rPr>
        <w:t>I.B.2.e</w:t>
      </w:r>
      <w:r w:rsidRPr="00C317BB" w:rsidR="00CD2D1A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D2D1A">
        <w:rPr>
          <w:rFonts w:cs="Times New Roman"/>
          <w:color w:val="000000" w:themeColor="text1"/>
          <w:szCs w:val="24"/>
        </w:rPr>
        <w:t>these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60388">
        <w:rPr>
          <w:rFonts w:cs="Times New Roman"/>
          <w:color w:val="000000" w:themeColor="text1"/>
          <w:szCs w:val="24"/>
        </w:rPr>
        <w:t>prohibitions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D2D1A">
        <w:rPr>
          <w:rFonts w:cs="Times New Roman"/>
          <w:color w:val="000000" w:themeColor="text1"/>
          <w:szCs w:val="24"/>
        </w:rPr>
        <w:t>would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D2D1A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D2D1A">
        <w:rPr>
          <w:rFonts w:cs="Times New Roman"/>
          <w:color w:val="000000" w:themeColor="text1"/>
          <w:szCs w:val="24"/>
        </w:rPr>
        <w:t>apply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D2D1A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D2D1A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D2D1A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D2D1A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53A29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53A29">
        <w:rPr>
          <w:rFonts w:cs="Times New Roman"/>
          <w:color w:val="000000" w:themeColor="text1"/>
          <w:szCs w:val="24"/>
        </w:rPr>
        <w:t>NASA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53A29">
        <w:rPr>
          <w:rFonts w:cs="Times New Roman"/>
          <w:color w:val="000000" w:themeColor="text1"/>
          <w:szCs w:val="24"/>
        </w:rPr>
        <w:t>Super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53A29">
        <w:rPr>
          <w:rFonts w:cs="Times New Roman"/>
          <w:color w:val="000000" w:themeColor="text1"/>
          <w:szCs w:val="24"/>
        </w:rPr>
        <w:t>Guppy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C6663">
        <w:rPr>
          <w:rFonts w:cs="Times New Roman"/>
          <w:color w:val="000000" w:themeColor="text1"/>
          <w:szCs w:val="24"/>
        </w:rPr>
        <w:t>Turbine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C6663">
        <w:rPr>
          <w:rFonts w:cs="Times New Roman"/>
          <w:color w:val="000000" w:themeColor="text1"/>
          <w:szCs w:val="24"/>
        </w:rPr>
        <w:t>aircraft</w:t>
      </w:r>
      <w:r w:rsidRPr="00C317BB" w:rsidR="00A00A9B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D2D1A">
        <w:rPr>
          <w:rFonts w:cs="Times New Roman"/>
          <w:color w:val="000000" w:themeColor="text1"/>
          <w:szCs w:val="24"/>
        </w:rPr>
        <w:t>which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27C11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D2D1A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D2D1A">
        <w:rPr>
          <w:rFonts w:cs="Times New Roman"/>
          <w:color w:val="000000" w:themeColor="text1"/>
          <w:szCs w:val="24"/>
        </w:rPr>
        <w:t>condition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D2D1A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D2D1A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00A9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00A9B">
        <w:rPr>
          <w:rFonts w:cs="Times New Roman"/>
          <w:color w:val="000000" w:themeColor="text1"/>
          <w:szCs w:val="24"/>
        </w:rPr>
        <w:t>which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00A9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00A9B">
        <w:rPr>
          <w:rFonts w:cs="Times New Roman"/>
          <w:color w:val="000000" w:themeColor="text1"/>
          <w:szCs w:val="24"/>
        </w:rPr>
        <w:t>did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00A9B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00A9B">
        <w:rPr>
          <w:rFonts w:cs="Times New Roman"/>
          <w:color w:val="000000" w:themeColor="text1"/>
          <w:szCs w:val="24"/>
        </w:rPr>
        <w:t>make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00A9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D2D1A">
        <w:rPr>
          <w:rFonts w:cs="Times New Roman"/>
          <w:color w:val="000000" w:themeColor="text1"/>
          <w:szCs w:val="24"/>
        </w:rPr>
        <w:t>determination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00A9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00A9B">
        <w:rPr>
          <w:rFonts w:cs="Times New Roman"/>
          <w:color w:val="000000" w:themeColor="text1"/>
          <w:szCs w:val="24"/>
        </w:rPr>
        <w:t>unreasonable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00A9B">
        <w:rPr>
          <w:rFonts w:cs="Times New Roman"/>
          <w:color w:val="000000" w:themeColor="text1"/>
          <w:szCs w:val="24"/>
        </w:rPr>
        <w:t>risk</w:t>
      </w:r>
      <w:r w:rsidRPr="00C317BB" w:rsidR="00103A50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7D3CC8" w:rsidP="00C317BB" w:rsidRDefault="005458AC" w14:paraId="71588041" w14:textId="14E403A4">
      <w:pPr>
        <w:pStyle w:val="CommentText"/>
        <w:ind w:firstLine="720"/>
        <w:rPr>
          <w:rFonts w:cs="Times New Roman"/>
          <w:sz w:val="24"/>
          <w:szCs w:val="24"/>
        </w:rPr>
      </w:pPr>
      <w:r w:rsidRPr="00C317BB">
        <w:rPr>
          <w:rFonts w:cs="Times New Roman"/>
          <w:color w:val="000000" w:themeColor="text1"/>
          <w:sz w:val="24"/>
          <w:szCs w:val="24"/>
        </w:rPr>
        <w:t>EPA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>
        <w:rPr>
          <w:rFonts w:cs="Times New Roman"/>
          <w:color w:val="000000" w:themeColor="text1"/>
          <w:sz w:val="24"/>
          <w:szCs w:val="24"/>
        </w:rPr>
        <w:t>requests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>
        <w:rPr>
          <w:rFonts w:cs="Times New Roman"/>
          <w:color w:val="000000" w:themeColor="text1"/>
          <w:sz w:val="24"/>
          <w:szCs w:val="24"/>
        </w:rPr>
        <w:t>comment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>
        <w:rPr>
          <w:rFonts w:cs="Times New Roman"/>
          <w:color w:val="000000" w:themeColor="text1"/>
          <w:sz w:val="24"/>
          <w:szCs w:val="24"/>
        </w:rPr>
        <w:t>on</w:t>
      </w:r>
      <w:r w:rsidR="005613B2">
        <w:rPr>
          <w:rFonts w:cs="Times New Roman"/>
          <w:sz w:val="24"/>
          <w:szCs w:val="24"/>
        </w:rPr>
        <w:t xml:space="preserve"> </w:t>
      </w:r>
      <w:r w:rsidRPr="00C317BB">
        <w:rPr>
          <w:rFonts w:cs="Times New Roman"/>
          <w:color w:val="000000" w:themeColor="text1"/>
          <w:sz w:val="24"/>
          <w:szCs w:val="24"/>
        </w:rPr>
        <w:t>any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>
        <w:rPr>
          <w:rFonts w:cs="Times New Roman"/>
          <w:color w:val="000000" w:themeColor="text1"/>
          <w:sz w:val="24"/>
          <w:szCs w:val="24"/>
        </w:rPr>
        <w:t>suggestions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>
        <w:rPr>
          <w:rFonts w:cs="Times New Roman"/>
          <w:color w:val="000000" w:themeColor="text1"/>
          <w:sz w:val="24"/>
          <w:szCs w:val="24"/>
        </w:rPr>
        <w:t>to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>
        <w:rPr>
          <w:rFonts w:cs="Times New Roman"/>
          <w:color w:val="000000" w:themeColor="text1"/>
          <w:sz w:val="24"/>
          <w:szCs w:val="24"/>
        </w:rPr>
        <w:t>address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>
        <w:rPr>
          <w:rFonts w:cs="Times New Roman"/>
          <w:color w:val="000000" w:themeColor="text1"/>
          <w:sz w:val="24"/>
          <w:szCs w:val="24"/>
        </w:rPr>
        <w:t>the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>
        <w:rPr>
          <w:rFonts w:cs="Times New Roman"/>
          <w:color w:val="000000" w:themeColor="text1"/>
          <w:sz w:val="24"/>
          <w:szCs w:val="24"/>
        </w:rPr>
        <w:t>unreasonable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>
        <w:rPr>
          <w:rFonts w:cs="Times New Roman"/>
          <w:color w:val="000000" w:themeColor="text1"/>
          <w:sz w:val="24"/>
          <w:szCs w:val="24"/>
        </w:rPr>
        <w:t>risk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>
        <w:rPr>
          <w:rFonts w:cs="Times New Roman"/>
          <w:color w:val="000000" w:themeColor="text1"/>
          <w:sz w:val="24"/>
          <w:szCs w:val="24"/>
        </w:rPr>
        <w:t>identified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>
        <w:rPr>
          <w:rFonts w:cs="Times New Roman"/>
          <w:color w:val="000000" w:themeColor="text1"/>
          <w:sz w:val="24"/>
          <w:szCs w:val="24"/>
        </w:rPr>
        <w:t>while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>
        <w:rPr>
          <w:rFonts w:cs="Times New Roman"/>
          <w:color w:val="000000" w:themeColor="text1"/>
          <w:sz w:val="24"/>
          <w:szCs w:val="24"/>
        </w:rPr>
        <w:t>recognizing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>
        <w:rPr>
          <w:rFonts w:cs="Times New Roman"/>
          <w:color w:val="000000" w:themeColor="text1"/>
          <w:sz w:val="24"/>
          <w:szCs w:val="24"/>
        </w:rPr>
        <w:t>that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>
        <w:rPr>
          <w:rFonts w:cs="Times New Roman"/>
          <w:color w:val="000000" w:themeColor="text1"/>
          <w:sz w:val="24"/>
          <w:szCs w:val="24"/>
        </w:rPr>
        <w:t>chrysotile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>
        <w:rPr>
          <w:rFonts w:cs="Times New Roman"/>
          <w:color w:val="000000" w:themeColor="text1"/>
          <w:sz w:val="24"/>
          <w:szCs w:val="24"/>
        </w:rPr>
        <w:t>asbestos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>
        <w:rPr>
          <w:rFonts w:cs="Times New Roman"/>
          <w:color w:val="000000" w:themeColor="text1"/>
          <w:sz w:val="24"/>
          <w:szCs w:val="24"/>
        </w:rPr>
        <w:t>is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>
        <w:rPr>
          <w:rFonts w:cs="Times New Roman"/>
          <w:color w:val="000000" w:themeColor="text1"/>
          <w:sz w:val="24"/>
          <w:szCs w:val="24"/>
        </w:rPr>
        <w:t>a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>
        <w:rPr>
          <w:rFonts w:cs="Times New Roman"/>
          <w:color w:val="000000" w:themeColor="text1"/>
          <w:sz w:val="24"/>
          <w:szCs w:val="24"/>
        </w:rPr>
        <w:t>natural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>
        <w:rPr>
          <w:rFonts w:cs="Times New Roman"/>
          <w:color w:val="000000" w:themeColor="text1"/>
          <w:sz w:val="24"/>
          <w:szCs w:val="24"/>
        </w:rPr>
        <w:t>occurring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>
        <w:rPr>
          <w:rFonts w:cs="Times New Roman"/>
          <w:color w:val="000000" w:themeColor="text1"/>
          <w:sz w:val="24"/>
          <w:szCs w:val="24"/>
        </w:rPr>
        <w:t>fiber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BC339D">
        <w:rPr>
          <w:rFonts w:cs="Times New Roman"/>
          <w:color w:val="000000" w:themeColor="text1"/>
          <w:sz w:val="24"/>
          <w:szCs w:val="24"/>
        </w:rPr>
        <w:t>that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BC339D">
        <w:rPr>
          <w:rFonts w:cs="Times New Roman"/>
          <w:color w:val="000000" w:themeColor="text1"/>
          <w:sz w:val="24"/>
          <w:szCs w:val="24"/>
        </w:rPr>
        <w:t>may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BC339D">
        <w:rPr>
          <w:rFonts w:cs="Times New Roman"/>
          <w:color w:val="000000" w:themeColor="text1"/>
          <w:sz w:val="24"/>
          <w:szCs w:val="24"/>
        </w:rPr>
        <w:t>be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BC339D">
        <w:rPr>
          <w:rFonts w:cs="Times New Roman"/>
          <w:color w:val="000000" w:themeColor="text1"/>
          <w:sz w:val="24"/>
          <w:szCs w:val="24"/>
        </w:rPr>
        <w:t>unintentionally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BC339D">
        <w:rPr>
          <w:rFonts w:cs="Times New Roman"/>
          <w:color w:val="000000" w:themeColor="text1"/>
          <w:sz w:val="24"/>
          <w:szCs w:val="24"/>
        </w:rPr>
        <w:t>present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>
        <w:rPr>
          <w:rFonts w:cs="Times New Roman"/>
          <w:color w:val="000000" w:themeColor="text1"/>
          <w:sz w:val="24"/>
          <w:szCs w:val="24"/>
        </w:rPr>
        <w:t>(e.g.,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6A1E13">
        <w:rPr>
          <w:rFonts w:cs="Times New Roman"/>
          <w:color w:val="000000" w:themeColor="text1"/>
          <w:sz w:val="24"/>
          <w:szCs w:val="24"/>
        </w:rPr>
        <w:t>by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6A1E13">
        <w:rPr>
          <w:rFonts w:cs="Times New Roman"/>
          <w:color w:val="000000" w:themeColor="text1"/>
          <w:sz w:val="24"/>
          <w:szCs w:val="24"/>
        </w:rPr>
        <w:t>incorporating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>
        <w:rPr>
          <w:rFonts w:cs="Times New Roman"/>
          <w:color w:val="000000" w:themeColor="text1"/>
          <w:sz w:val="24"/>
          <w:szCs w:val="24"/>
        </w:rPr>
        <w:t>a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>
        <w:rPr>
          <w:rFonts w:cs="Times New Roman"/>
          <w:i/>
          <w:color w:val="000000" w:themeColor="text1"/>
          <w:sz w:val="24"/>
          <w:szCs w:val="24"/>
        </w:rPr>
        <w:t>de</w:t>
      </w:r>
      <w:r w:rsidR="005613B2">
        <w:rPr>
          <w:rFonts w:cs="Times New Roman"/>
          <w:i/>
          <w:color w:val="000000" w:themeColor="text1"/>
          <w:sz w:val="24"/>
          <w:szCs w:val="24"/>
        </w:rPr>
        <w:t xml:space="preserve"> </w:t>
      </w:r>
      <w:r w:rsidRPr="00C317BB">
        <w:rPr>
          <w:rFonts w:cs="Times New Roman"/>
          <w:i/>
          <w:color w:val="000000" w:themeColor="text1"/>
          <w:sz w:val="24"/>
          <w:szCs w:val="24"/>
        </w:rPr>
        <w:t>minimis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>
        <w:rPr>
          <w:rFonts w:cs="Times New Roman"/>
          <w:color w:val="000000" w:themeColor="text1"/>
          <w:sz w:val="24"/>
          <w:szCs w:val="24"/>
        </w:rPr>
        <w:t>level).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224AEA">
        <w:rPr>
          <w:rFonts w:cs="Times New Roman"/>
          <w:color w:val="000000" w:themeColor="text1"/>
          <w:sz w:val="24"/>
          <w:szCs w:val="24"/>
        </w:rPr>
        <w:t>In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>
        <w:rPr>
          <w:rFonts w:cs="Times New Roman"/>
          <w:color w:val="000000" w:themeColor="text1"/>
          <w:sz w:val="24"/>
          <w:szCs w:val="24"/>
        </w:rPr>
        <w:t>particular,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>
        <w:rPr>
          <w:rFonts w:cs="Times New Roman"/>
          <w:color w:val="000000" w:themeColor="text1"/>
          <w:sz w:val="24"/>
          <w:szCs w:val="24"/>
        </w:rPr>
        <w:t>in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224AEA">
        <w:rPr>
          <w:rFonts w:cs="Times New Roman"/>
          <w:color w:val="000000" w:themeColor="text1"/>
          <w:sz w:val="24"/>
          <w:szCs w:val="24"/>
        </w:rPr>
        <w:t>lieu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224AEA">
        <w:rPr>
          <w:rFonts w:cs="Times New Roman"/>
          <w:color w:val="000000" w:themeColor="text1"/>
          <w:sz w:val="24"/>
          <w:szCs w:val="24"/>
        </w:rPr>
        <w:t>of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224AEA">
        <w:rPr>
          <w:rFonts w:cs="Times New Roman"/>
          <w:color w:val="000000" w:themeColor="text1"/>
          <w:sz w:val="24"/>
          <w:szCs w:val="24"/>
        </w:rPr>
        <w:t>proposing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C35441">
        <w:rPr>
          <w:rFonts w:cs="Times New Roman"/>
          <w:color w:val="000000" w:themeColor="text1"/>
          <w:sz w:val="24"/>
          <w:szCs w:val="24"/>
        </w:rPr>
        <w:t>a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224AEA">
        <w:rPr>
          <w:rFonts w:cs="Times New Roman"/>
          <w:i/>
          <w:color w:val="000000" w:themeColor="text1"/>
          <w:sz w:val="24"/>
          <w:szCs w:val="24"/>
        </w:rPr>
        <w:t>de</w:t>
      </w:r>
      <w:r w:rsidR="005613B2">
        <w:rPr>
          <w:rFonts w:cs="Times New Roman"/>
          <w:i/>
          <w:color w:val="000000" w:themeColor="text1"/>
          <w:sz w:val="24"/>
          <w:szCs w:val="24"/>
        </w:rPr>
        <w:t xml:space="preserve"> </w:t>
      </w:r>
      <w:r w:rsidRPr="00C317BB" w:rsidR="000A71B9">
        <w:rPr>
          <w:rFonts w:cs="Times New Roman"/>
          <w:i/>
          <w:color w:val="000000" w:themeColor="text1"/>
          <w:sz w:val="24"/>
          <w:szCs w:val="24"/>
        </w:rPr>
        <w:t>minimis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6D2611">
        <w:rPr>
          <w:rFonts w:cs="Times New Roman"/>
          <w:color w:val="000000" w:themeColor="text1"/>
          <w:sz w:val="24"/>
          <w:szCs w:val="24"/>
        </w:rPr>
        <w:t>provision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224AEA">
        <w:rPr>
          <w:rFonts w:cs="Times New Roman"/>
          <w:color w:val="000000" w:themeColor="text1"/>
          <w:sz w:val="24"/>
          <w:szCs w:val="24"/>
        </w:rPr>
        <w:t>for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0A71B9">
        <w:rPr>
          <w:rFonts w:cs="Times New Roman"/>
          <w:color w:val="000000" w:themeColor="text1"/>
          <w:sz w:val="24"/>
          <w:szCs w:val="24"/>
        </w:rPr>
        <w:t>chrysotile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0A71B9">
        <w:rPr>
          <w:rFonts w:cs="Times New Roman"/>
          <w:color w:val="000000" w:themeColor="text1"/>
          <w:sz w:val="24"/>
          <w:szCs w:val="24"/>
        </w:rPr>
        <w:t>asbestos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224AEA">
        <w:rPr>
          <w:rFonts w:cs="Times New Roman"/>
          <w:color w:val="000000" w:themeColor="text1"/>
          <w:sz w:val="24"/>
          <w:szCs w:val="24"/>
        </w:rPr>
        <w:t>with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C35441">
        <w:rPr>
          <w:rFonts w:cs="Times New Roman"/>
          <w:color w:val="000000" w:themeColor="text1"/>
          <w:sz w:val="24"/>
          <w:szCs w:val="24"/>
        </w:rPr>
        <w:t>this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C35441">
        <w:rPr>
          <w:rFonts w:cs="Times New Roman"/>
          <w:color w:val="000000" w:themeColor="text1"/>
          <w:sz w:val="24"/>
          <w:szCs w:val="24"/>
        </w:rPr>
        <w:t>proposed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C35441">
        <w:rPr>
          <w:rFonts w:cs="Times New Roman"/>
          <w:color w:val="000000" w:themeColor="text1"/>
          <w:sz w:val="24"/>
          <w:szCs w:val="24"/>
        </w:rPr>
        <w:t>rule,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C35441">
        <w:rPr>
          <w:rFonts w:cs="Times New Roman"/>
          <w:color w:val="000000" w:themeColor="text1"/>
          <w:sz w:val="24"/>
          <w:szCs w:val="24"/>
        </w:rPr>
        <w:t>EPA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C35441">
        <w:rPr>
          <w:rFonts w:cs="Times New Roman"/>
          <w:color w:val="000000" w:themeColor="text1"/>
          <w:sz w:val="24"/>
          <w:szCs w:val="24"/>
        </w:rPr>
        <w:t>reques</w:t>
      </w:r>
      <w:r w:rsidRPr="00C317BB" w:rsidR="00224AEA">
        <w:rPr>
          <w:rFonts w:cs="Times New Roman"/>
          <w:color w:val="000000" w:themeColor="text1"/>
          <w:sz w:val="24"/>
          <w:szCs w:val="24"/>
        </w:rPr>
        <w:t>ts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C35441">
        <w:rPr>
          <w:rFonts w:cs="Times New Roman"/>
          <w:color w:val="000000" w:themeColor="text1"/>
          <w:sz w:val="24"/>
          <w:szCs w:val="24"/>
        </w:rPr>
        <w:t>comment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C35441">
        <w:rPr>
          <w:rFonts w:cs="Times New Roman"/>
          <w:color w:val="000000" w:themeColor="text1"/>
          <w:sz w:val="24"/>
          <w:szCs w:val="24"/>
        </w:rPr>
        <w:t>on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5864C7">
        <w:rPr>
          <w:rFonts w:cs="Times New Roman"/>
          <w:color w:val="000000" w:themeColor="text1"/>
          <w:sz w:val="24"/>
          <w:szCs w:val="24"/>
        </w:rPr>
        <w:t>incorporating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5864C7">
        <w:rPr>
          <w:rFonts w:cs="Times New Roman"/>
          <w:color w:val="000000" w:themeColor="text1"/>
          <w:sz w:val="24"/>
          <w:szCs w:val="24"/>
        </w:rPr>
        <w:t>a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2D0141">
        <w:rPr>
          <w:rFonts w:cs="Times New Roman"/>
          <w:i/>
          <w:color w:val="000000" w:themeColor="text1"/>
          <w:sz w:val="24"/>
          <w:szCs w:val="24"/>
        </w:rPr>
        <w:t>de</w:t>
      </w:r>
      <w:r w:rsidR="005613B2">
        <w:rPr>
          <w:rFonts w:cs="Times New Roman"/>
          <w:i/>
          <w:color w:val="000000" w:themeColor="text1"/>
          <w:sz w:val="24"/>
          <w:szCs w:val="24"/>
        </w:rPr>
        <w:t xml:space="preserve"> </w:t>
      </w:r>
      <w:r w:rsidRPr="00C317BB" w:rsidR="002D0141">
        <w:rPr>
          <w:rFonts w:cs="Times New Roman"/>
          <w:i/>
          <w:color w:val="000000" w:themeColor="text1"/>
          <w:sz w:val="24"/>
          <w:szCs w:val="24"/>
        </w:rPr>
        <w:t>minimis</w:t>
      </w:r>
      <w:r w:rsidR="005613B2">
        <w:rPr>
          <w:rFonts w:cs="Times New Roman"/>
          <w:i/>
          <w:color w:val="000000" w:themeColor="text1"/>
          <w:sz w:val="24"/>
          <w:szCs w:val="24"/>
        </w:rPr>
        <w:t xml:space="preserve"> </w:t>
      </w:r>
      <w:r w:rsidRPr="00C317BB" w:rsidR="005842DF">
        <w:rPr>
          <w:rFonts w:cs="Times New Roman"/>
          <w:color w:val="000000" w:themeColor="text1"/>
          <w:sz w:val="24"/>
          <w:szCs w:val="24"/>
        </w:rPr>
        <w:t>provision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5842DF">
        <w:rPr>
          <w:rFonts w:cs="Times New Roman"/>
          <w:color w:val="000000" w:themeColor="text1"/>
          <w:sz w:val="24"/>
          <w:szCs w:val="24"/>
        </w:rPr>
        <w:t>for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C35441">
        <w:rPr>
          <w:rFonts w:cs="Times New Roman"/>
          <w:color w:val="000000" w:themeColor="text1"/>
          <w:sz w:val="24"/>
          <w:szCs w:val="24"/>
        </w:rPr>
        <w:t>chrysotile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C35441">
        <w:rPr>
          <w:rFonts w:cs="Times New Roman"/>
          <w:color w:val="000000" w:themeColor="text1"/>
          <w:sz w:val="24"/>
          <w:szCs w:val="24"/>
        </w:rPr>
        <w:t>asbestos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B5761B">
        <w:rPr>
          <w:rFonts w:cs="Times New Roman"/>
          <w:color w:val="000000" w:themeColor="text1"/>
          <w:sz w:val="24"/>
          <w:szCs w:val="24"/>
        </w:rPr>
        <w:t>where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B5761B">
        <w:rPr>
          <w:rFonts w:cs="Times New Roman"/>
          <w:color w:val="000000" w:themeColor="text1"/>
          <w:sz w:val="24"/>
          <w:szCs w:val="24"/>
        </w:rPr>
        <w:t>the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B5761B">
        <w:rPr>
          <w:rFonts w:cs="Times New Roman"/>
          <w:color w:val="000000" w:themeColor="text1"/>
          <w:sz w:val="24"/>
          <w:szCs w:val="24"/>
        </w:rPr>
        <w:t>regulatory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B5761B">
        <w:rPr>
          <w:rFonts w:cs="Times New Roman"/>
          <w:color w:val="000000" w:themeColor="text1"/>
          <w:sz w:val="24"/>
          <w:szCs w:val="24"/>
        </w:rPr>
        <w:t>requirements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AB290D">
        <w:rPr>
          <w:rFonts w:cs="Times New Roman"/>
          <w:color w:val="000000" w:themeColor="text1"/>
          <w:sz w:val="24"/>
          <w:szCs w:val="24"/>
        </w:rPr>
        <w:t>of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AB290D">
        <w:rPr>
          <w:rFonts w:cs="Times New Roman"/>
          <w:color w:val="000000" w:themeColor="text1"/>
          <w:sz w:val="24"/>
          <w:szCs w:val="24"/>
        </w:rPr>
        <w:t>the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AB290D">
        <w:rPr>
          <w:rFonts w:cs="Times New Roman"/>
          <w:color w:val="000000" w:themeColor="text1"/>
          <w:sz w:val="24"/>
          <w:szCs w:val="24"/>
        </w:rPr>
        <w:t>rule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B5761B">
        <w:rPr>
          <w:rFonts w:cs="Times New Roman"/>
          <w:color w:val="000000" w:themeColor="text1"/>
          <w:sz w:val="24"/>
          <w:szCs w:val="24"/>
        </w:rPr>
        <w:t>would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B5761B">
        <w:rPr>
          <w:rFonts w:cs="Times New Roman"/>
          <w:color w:val="000000" w:themeColor="text1"/>
          <w:sz w:val="24"/>
          <w:szCs w:val="24"/>
        </w:rPr>
        <w:t>apply</w:t>
      </w:r>
      <w:r w:rsidRPr="00C317BB" w:rsidR="00DA4E27">
        <w:rPr>
          <w:rFonts w:cs="Times New Roman"/>
          <w:color w:val="000000" w:themeColor="text1"/>
          <w:sz w:val="24"/>
          <w:szCs w:val="24"/>
        </w:rPr>
        <w:t>: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0320CA">
        <w:rPr>
          <w:rFonts w:cs="Times New Roman"/>
          <w:color w:val="000000" w:themeColor="text1"/>
          <w:sz w:val="24"/>
          <w:szCs w:val="24"/>
        </w:rPr>
        <w:t>1)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C35441">
        <w:rPr>
          <w:rFonts w:cs="Times New Roman"/>
          <w:color w:val="000000" w:themeColor="text1"/>
          <w:sz w:val="24"/>
          <w:szCs w:val="24"/>
        </w:rPr>
        <w:t>only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C35441">
        <w:rPr>
          <w:rFonts w:cs="Times New Roman"/>
          <w:color w:val="000000" w:themeColor="text1"/>
          <w:sz w:val="24"/>
          <w:szCs w:val="24"/>
        </w:rPr>
        <w:t>at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C35441">
        <w:rPr>
          <w:rFonts w:cs="Times New Roman"/>
          <w:color w:val="000000" w:themeColor="text1"/>
          <w:sz w:val="24"/>
          <w:szCs w:val="24"/>
        </w:rPr>
        <w:t>concentrations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396952">
        <w:rPr>
          <w:rFonts w:cs="Times New Roman"/>
          <w:color w:val="000000" w:themeColor="text1"/>
          <w:sz w:val="24"/>
          <w:szCs w:val="24"/>
        </w:rPr>
        <w:t>in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396952">
        <w:rPr>
          <w:rFonts w:cs="Times New Roman"/>
          <w:color w:val="000000" w:themeColor="text1"/>
          <w:sz w:val="24"/>
          <w:szCs w:val="24"/>
        </w:rPr>
        <w:t>a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396952">
        <w:rPr>
          <w:rFonts w:cs="Times New Roman"/>
          <w:color w:val="000000" w:themeColor="text1"/>
          <w:sz w:val="24"/>
          <w:szCs w:val="24"/>
        </w:rPr>
        <w:t>product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C35441">
        <w:rPr>
          <w:rFonts w:cs="Times New Roman"/>
          <w:color w:val="000000" w:themeColor="text1"/>
          <w:sz w:val="24"/>
          <w:szCs w:val="24"/>
        </w:rPr>
        <w:t>greater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C35441">
        <w:rPr>
          <w:rFonts w:cs="Times New Roman"/>
          <w:color w:val="000000" w:themeColor="text1"/>
          <w:sz w:val="24"/>
          <w:szCs w:val="24"/>
        </w:rPr>
        <w:t>than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C35441">
        <w:rPr>
          <w:rFonts w:cs="Times New Roman"/>
          <w:color w:val="000000" w:themeColor="text1"/>
          <w:sz w:val="24"/>
          <w:szCs w:val="24"/>
        </w:rPr>
        <w:t>or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C35441">
        <w:rPr>
          <w:rFonts w:cs="Times New Roman"/>
          <w:color w:val="000000" w:themeColor="text1"/>
          <w:sz w:val="24"/>
          <w:szCs w:val="24"/>
        </w:rPr>
        <w:t>equal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C35441">
        <w:rPr>
          <w:rFonts w:cs="Times New Roman"/>
          <w:color w:val="000000" w:themeColor="text1"/>
          <w:sz w:val="24"/>
          <w:szCs w:val="24"/>
        </w:rPr>
        <w:t>to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C35441">
        <w:rPr>
          <w:rFonts w:cs="Times New Roman"/>
          <w:color w:val="000000" w:themeColor="text1"/>
          <w:sz w:val="24"/>
          <w:szCs w:val="24"/>
        </w:rPr>
        <w:t>0.1%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C35441">
        <w:rPr>
          <w:rFonts w:cs="Times New Roman"/>
          <w:color w:val="000000" w:themeColor="text1"/>
          <w:sz w:val="24"/>
          <w:szCs w:val="24"/>
        </w:rPr>
        <w:t>by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C35441">
        <w:rPr>
          <w:rFonts w:cs="Times New Roman"/>
          <w:color w:val="000000" w:themeColor="text1"/>
          <w:sz w:val="24"/>
          <w:szCs w:val="24"/>
        </w:rPr>
        <w:t>weight</w:t>
      </w:r>
      <w:r w:rsidRPr="00C317BB" w:rsidR="00DA4E27">
        <w:rPr>
          <w:rFonts w:cs="Times New Roman"/>
          <w:color w:val="000000" w:themeColor="text1"/>
          <w:sz w:val="24"/>
          <w:szCs w:val="24"/>
        </w:rPr>
        <w:t>;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0320CA">
        <w:rPr>
          <w:rFonts w:cs="Times New Roman"/>
          <w:color w:val="000000" w:themeColor="text1"/>
          <w:sz w:val="24"/>
          <w:szCs w:val="24"/>
        </w:rPr>
        <w:t>2)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0320CA">
        <w:rPr>
          <w:rFonts w:cs="Times New Roman"/>
          <w:color w:val="000000" w:themeColor="text1"/>
          <w:sz w:val="24"/>
          <w:szCs w:val="24"/>
        </w:rPr>
        <w:t>at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0320CA">
        <w:rPr>
          <w:rFonts w:cs="Times New Roman"/>
          <w:color w:val="000000" w:themeColor="text1"/>
          <w:sz w:val="24"/>
          <w:szCs w:val="24"/>
        </w:rPr>
        <w:t>any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0320CA">
        <w:rPr>
          <w:rFonts w:cs="Times New Roman"/>
          <w:color w:val="000000" w:themeColor="text1"/>
          <w:sz w:val="24"/>
          <w:szCs w:val="24"/>
        </w:rPr>
        <w:t>concentration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A42AE6">
        <w:rPr>
          <w:rFonts w:cs="Times New Roman"/>
          <w:color w:val="000000" w:themeColor="text1"/>
          <w:sz w:val="24"/>
          <w:szCs w:val="24"/>
        </w:rPr>
        <w:t>in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A42AE6">
        <w:rPr>
          <w:rFonts w:cs="Times New Roman"/>
          <w:color w:val="000000" w:themeColor="text1"/>
          <w:sz w:val="24"/>
          <w:szCs w:val="24"/>
        </w:rPr>
        <w:t>a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A42AE6">
        <w:rPr>
          <w:rFonts w:cs="Times New Roman"/>
          <w:color w:val="000000" w:themeColor="text1"/>
          <w:sz w:val="24"/>
          <w:szCs w:val="24"/>
        </w:rPr>
        <w:t>product</w:t>
      </w:r>
      <w:r w:rsidRPr="00C317BB" w:rsidR="00685875">
        <w:rPr>
          <w:rFonts w:cs="Times New Roman"/>
          <w:color w:val="000000" w:themeColor="text1"/>
          <w:sz w:val="24"/>
          <w:szCs w:val="24"/>
        </w:rPr>
        <w:t>,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0320CA">
        <w:rPr>
          <w:rFonts w:cs="Times New Roman"/>
          <w:color w:val="000000" w:themeColor="text1"/>
          <w:sz w:val="24"/>
          <w:szCs w:val="24"/>
        </w:rPr>
        <w:t>if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0320CA">
        <w:rPr>
          <w:rFonts w:cs="Times New Roman"/>
          <w:color w:val="000000" w:themeColor="text1"/>
          <w:sz w:val="24"/>
          <w:szCs w:val="24"/>
        </w:rPr>
        <w:t>intentionally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0320CA">
        <w:rPr>
          <w:rFonts w:cs="Times New Roman"/>
          <w:color w:val="000000" w:themeColor="text1"/>
          <w:sz w:val="24"/>
          <w:szCs w:val="24"/>
        </w:rPr>
        <w:t>added</w:t>
      </w:r>
      <w:r w:rsidRPr="00C317BB" w:rsidR="00DA4E27">
        <w:rPr>
          <w:rFonts w:cs="Times New Roman"/>
          <w:color w:val="000000" w:themeColor="text1"/>
          <w:sz w:val="24"/>
          <w:szCs w:val="24"/>
        </w:rPr>
        <w:t>;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0320CA">
        <w:rPr>
          <w:rFonts w:cs="Times New Roman"/>
          <w:color w:val="000000" w:themeColor="text1"/>
          <w:sz w:val="24"/>
          <w:szCs w:val="24"/>
        </w:rPr>
        <w:t>or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0320CA">
        <w:rPr>
          <w:rFonts w:cs="Times New Roman"/>
          <w:color w:val="000000" w:themeColor="text1"/>
          <w:sz w:val="24"/>
          <w:szCs w:val="24"/>
        </w:rPr>
        <w:t>3)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EF62F9">
        <w:rPr>
          <w:rFonts w:cs="Times New Roman"/>
          <w:color w:val="000000" w:themeColor="text1"/>
          <w:sz w:val="24"/>
          <w:szCs w:val="24"/>
        </w:rPr>
        <w:t>above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685875">
        <w:rPr>
          <w:rFonts w:cs="Times New Roman"/>
          <w:color w:val="000000" w:themeColor="text1"/>
          <w:sz w:val="24"/>
          <w:szCs w:val="24"/>
        </w:rPr>
        <w:t>another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685875">
        <w:rPr>
          <w:rFonts w:cs="Times New Roman"/>
          <w:i/>
          <w:color w:val="000000" w:themeColor="text1"/>
          <w:sz w:val="24"/>
          <w:szCs w:val="24"/>
        </w:rPr>
        <w:t>de</w:t>
      </w:r>
      <w:r w:rsidR="005613B2">
        <w:rPr>
          <w:rFonts w:cs="Times New Roman"/>
          <w:i/>
          <w:color w:val="000000" w:themeColor="text1"/>
          <w:sz w:val="24"/>
          <w:szCs w:val="24"/>
        </w:rPr>
        <w:t xml:space="preserve"> </w:t>
      </w:r>
      <w:r w:rsidRPr="00C317BB" w:rsidR="00685875">
        <w:rPr>
          <w:rFonts w:cs="Times New Roman"/>
          <w:i/>
          <w:color w:val="000000" w:themeColor="text1"/>
          <w:sz w:val="24"/>
          <w:szCs w:val="24"/>
        </w:rPr>
        <w:t>minimis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685875">
        <w:rPr>
          <w:rFonts w:cs="Times New Roman"/>
          <w:color w:val="000000" w:themeColor="text1"/>
          <w:sz w:val="24"/>
          <w:szCs w:val="24"/>
        </w:rPr>
        <w:t>level</w:t>
      </w:r>
      <w:r w:rsidRPr="00C317BB" w:rsidR="00C35441">
        <w:rPr>
          <w:rFonts w:cs="Times New Roman"/>
          <w:color w:val="000000" w:themeColor="text1"/>
          <w:sz w:val="24"/>
          <w:szCs w:val="24"/>
        </w:rPr>
        <w:t>.</w:t>
      </w:r>
      <w:r w:rsidR="005613B2">
        <w:rPr>
          <w:rFonts w:cs="Times New Roman"/>
          <w:sz w:val="24"/>
          <w:szCs w:val="24"/>
        </w:rPr>
        <w:t xml:space="preserve"> </w:t>
      </w:r>
    </w:p>
    <w:p w:rsidRPr="00C317BB" w:rsidR="00FD7676" w:rsidP="00F27167" w:rsidRDefault="00C35441" w14:paraId="49B70CF9" w14:textId="37A20249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national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governments,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their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prohibitions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have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threshold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level</w:t>
      </w:r>
      <w:r w:rsidRPr="00C317BB" w:rsidR="00DA4E27">
        <w:rPr>
          <w:rFonts w:cs="Times New Roman"/>
          <w:color w:val="000000" w:themeColor="text1"/>
          <w:szCs w:val="24"/>
        </w:rPr>
        <w:t>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337A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337A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A7330">
        <w:rPr>
          <w:rFonts w:cs="Times New Roman"/>
          <w:color w:val="000000" w:themeColor="text1"/>
          <w:szCs w:val="24"/>
        </w:rPr>
        <w:t>provisions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039FA">
        <w:rPr>
          <w:rFonts w:cs="Times New Roman"/>
          <w:color w:val="000000" w:themeColor="text1"/>
          <w:szCs w:val="24"/>
        </w:rPr>
        <w:t>limit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regulation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products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contain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trace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6C90">
        <w:rPr>
          <w:rFonts w:cs="Times New Roman"/>
          <w:color w:val="000000" w:themeColor="text1"/>
          <w:szCs w:val="24"/>
        </w:rPr>
        <w:t>amounts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present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unintentional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6C90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naturally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occurring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fibers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material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obtained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mineral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sources,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such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brake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pads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friction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materials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20627">
        <w:rPr>
          <w:rFonts w:cs="Times New Roman"/>
          <w:color w:val="000000" w:themeColor="text1"/>
          <w:szCs w:val="24"/>
        </w:rPr>
        <w:t>(Ref.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A4483">
        <w:rPr>
          <w:rFonts w:cs="Times New Roman"/>
          <w:color w:val="000000" w:themeColor="text1"/>
          <w:szCs w:val="24"/>
        </w:rPr>
        <w:t>4</w:t>
      </w:r>
      <w:r w:rsidRPr="00C317BB" w:rsidR="00E20627">
        <w:rPr>
          <w:rFonts w:cs="Times New Roman"/>
          <w:color w:val="000000" w:themeColor="text1"/>
          <w:szCs w:val="24"/>
        </w:rPr>
        <w:t>)</w:t>
      </w:r>
      <w:r w:rsidRPr="00C317BB" w:rsidR="00CC6A38">
        <w:rPr>
          <w:rFonts w:cs="Times New Roman"/>
          <w:color w:val="000000" w:themeColor="text1"/>
          <w:szCs w:val="24"/>
        </w:rPr>
        <w:t>.</w:t>
      </w:r>
    </w:p>
    <w:p w:rsidRPr="00C317BB" w:rsidR="00855617" w:rsidP="00F27167" w:rsidRDefault="00855617" w14:paraId="2DDA032A" w14:textId="33C058D9">
      <w:pPr>
        <w:pStyle w:val="Heading3"/>
        <w:ind w:firstLine="720"/>
        <w:rPr>
          <w:rFonts w:cs="Times New Roman"/>
          <w:color w:val="000000" w:themeColor="text1"/>
          <w:szCs w:val="24"/>
          <w:lang w:val="en"/>
        </w:rPr>
      </w:pPr>
      <w:r w:rsidRPr="00C317BB">
        <w:rPr>
          <w:rFonts w:cs="Times New Roman"/>
          <w:color w:val="000000" w:themeColor="text1"/>
          <w:szCs w:val="24"/>
          <w:lang w:val="en"/>
        </w:rPr>
        <w:t>1.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Prohibition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on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manufacture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(including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import),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processing,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distribution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in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commerce,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and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commercial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use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of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chrysotile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asbestos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6814A6">
        <w:rPr>
          <w:rFonts w:cs="Times New Roman"/>
          <w:szCs w:val="24"/>
        </w:rPr>
        <w:t>in</w:t>
      </w:r>
      <w:r w:rsidR="005613B2">
        <w:rPr>
          <w:rFonts w:cs="Times New Roman"/>
          <w:szCs w:val="24"/>
        </w:rPr>
        <w:t xml:space="preserve"> </w:t>
      </w:r>
      <w:r w:rsidRPr="00C317BB" w:rsidR="006814A6">
        <w:rPr>
          <w:rFonts w:cs="Times New Roman"/>
          <w:szCs w:val="24"/>
        </w:rPr>
        <w:t>bulk</w:t>
      </w:r>
      <w:r w:rsidR="005613B2">
        <w:rPr>
          <w:rFonts w:cs="Times New Roman"/>
          <w:szCs w:val="24"/>
        </w:rPr>
        <w:t xml:space="preserve"> </w:t>
      </w:r>
      <w:r w:rsidRPr="00C317BB" w:rsidR="006814A6">
        <w:rPr>
          <w:rFonts w:cs="Times New Roman"/>
          <w:szCs w:val="24"/>
        </w:rPr>
        <w:t>form</w:t>
      </w:r>
      <w:r w:rsidR="005613B2">
        <w:rPr>
          <w:rFonts w:cs="Times New Roman"/>
          <w:szCs w:val="24"/>
        </w:rPr>
        <w:t xml:space="preserve"> </w:t>
      </w:r>
      <w:r w:rsidRPr="00C317BB" w:rsidR="006814A6">
        <w:rPr>
          <w:rFonts w:cs="Times New Roman"/>
          <w:szCs w:val="24"/>
        </w:rPr>
        <w:t>or</w:t>
      </w:r>
      <w:r w:rsidR="005613B2">
        <w:rPr>
          <w:rFonts w:cs="Times New Roman"/>
          <w:szCs w:val="24"/>
        </w:rPr>
        <w:t xml:space="preserve"> </w:t>
      </w:r>
      <w:r w:rsidRPr="00C317BB" w:rsidR="006814A6">
        <w:rPr>
          <w:rFonts w:cs="Times New Roman"/>
          <w:szCs w:val="24"/>
        </w:rPr>
        <w:t>as</w:t>
      </w:r>
      <w:r w:rsidR="005613B2">
        <w:rPr>
          <w:rFonts w:cs="Times New Roman"/>
          <w:szCs w:val="24"/>
        </w:rPr>
        <w:t xml:space="preserve"> </w:t>
      </w:r>
      <w:r w:rsidRPr="00C317BB" w:rsidR="006814A6">
        <w:rPr>
          <w:rFonts w:cs="Times New Roman"/>
          <w:szCs w:val="24"/>
        </w:rPr>
        <w:t>part</w:t>
      </w:r>
      <w:r w:rsidR="005613B2">
        <w:rPr>
          <w:rFonts w:cs="Times New Roman"/>
          <w:szCs w:val="24"/>
        </w:rPr>
        <w:t xml:space="preserve"> </w:t>
      </w:r>
      <w:r w:rsidRPr="00C317BB" w:rsidR="006814A6">
        <w:rPr>
          <w:rFonts w:cs="Times New Roman"/>
          <w:szCs w:val="24"/>
        </w:rPr>
        <w:t>of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chrysotile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asbestos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diaphragms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in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the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chlor-alkali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industry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and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6814A6">
        <w:rPr>
          <w:rFonts w:cs="Times New Roman"/>
          <w:color w:val="000000" w:themeColor="text1"/>
          <w:szCs w:val="24"/>
          <w:lang w:val="en"/>
        </w:rPr>
        <w:t>for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chrysotile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asbestos-containing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sheet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gaskets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in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chemical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production</w:t>
      </w:r>
      <w:r w:rsidRPr="00C317BB" w:rsidR="00C070B9">
        <w:rPr>
          <w:rFonts w:cs="Times New Roman"/>
          <w:color w:val="000000" w:themeColor="text1"/>
          <w:szCs w:val="24"/>
          <w:lang w:val="en"/>
        </w:rPr>
        <w:t>.</w:t>
      </w:r>
    </w:p>
    <w:p w:rsidRPr="00C317BB" w:rsidR="00523FDA" w:rsidP="00F27167" w:rsidRDefault="00523FDA" w14:paraId="0551A525" w14:textId="7E5AA2F9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consulted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several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companies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who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manufacture,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process,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distribute,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diaphragms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chlor-alkali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industry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process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sheet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gaskets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chemical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production.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Each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company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stated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while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alternatives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exist,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75433">
        <w:rPr>
          <w:rFonts w:cs="Times New Roman"/>
          <w:color w:val="000000" w:themeColor="text1"/>
          <w:szCs w:val="24"/>
        </w:rPr>
        <w:t>could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take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75433">
        <w:rPr>
          <w:rFonts w:cs="Times New Roman"/>
          <w:color w:val="000000" w:themeColor="text1"/>
          <w:szCs w:val="24"/>
        </w:rPr>
        <w:t>many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75433">
        <w:rPr>
          <w:rFonts w:cs="Times New Roman"/>
          <w:color w:val="000000" w:themeColor="text1"/>
          <w:szCs w:val="24"/>
        </w:rPr>
        <w:t>years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implement.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considered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information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while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developing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regulatory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option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compliance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timeframes.</w:t>
      </w:r>
    </w:p>
    <w:p w:rsidRPr="00C317BB" w:rsidR="0059580B" w:rsidP="00F27167" w:rsidRDefault="00A863FA" w14:paraId="5208B0E5" w14:textId="793C72C9">
      <w:pPr>
        <w:pStyle w:val="CommentText"/>
        <w:ind w:firstLine="720"/>
        <w:rPr>
          <w:rFonts w:cs="Times New Roman"/>
          <w:color w:val="000000" w:themeColor="text1"/>
          <w:sz w:val="24"/>
          <w:szCs w:val="24"/>
        </w:rPr>
      </w:pPr>
      <w:r w:rsidRPr="00C317BB">
        <w:rPr>
          <w:rFonts w:cs="Times New Roman"/>
          <w:color w:val="000000" w:themeColor="text1"/>
          <w:sz w:val="24"/>
          <w:szCs w:val="24"/>
        </w:rPr>
        <w:t>EPA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927077">
        <w:rPr>
          <w:rFonts w:cs="Times New Roman"/>
          <w:color w:val="000000" w:themeColor="text1"/>
          <w:sz w:val="24"/>
          <w:szCs w:val="24"/>
        </w:rPr>
        <w:t>proposes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927077">
        <w:rPr>
          <w:rFonts w:cs="Times New Roman"/>
          <w:color w:val="000000" w:themeColor="text1"/>
          <w:sz w:val="24"/>
          <w:szCs w:val="24"/>
        </w:rPr>
        <w:t>to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927C11">
        <w:rPr>
          <w:rFonts w:cs="Times New Roman"/>
          <w:color w:val="000000" w:themeColor="text1"/>
          <w:sz w:val="24"/>
          <w:szCs w:val="24"/>
        </w:rPr>
        <w:t>prohibit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927077">
        <w:rPr>
          <w:rFonts w:cs="Times New Roman"/>
          <w:color w:val="000000" w:themeColor="text1"/>
          <w:sz w:val="24"/>
          <w:szCs w:val="24"/>
        </w:rPr>
        <w:t>manufacturing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C07B03">
        <w:rPr>
          <w:rFonts w:cs="Times New Roman"/>
          <w:color w:val="000000" w:themeColor="text1"/>
          <w:sz w:val="24"/>
          <w:szCs w:val="24"/>
        </w:rPr>
        <w:t>(including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C07B03">
        <w:rPr>
          <w:rFonts w:cs="Times New Roman"/>
          <w:color w:val="000000" w:themeColor="text1"/>
          <w:sz w:val="24"/>
          <w:szCs w:val="24"/>
        </w:rPr>
        <w:t>import)</w:t>
      </w:r>
      <w:r w:rsidRPr="00C317BB" w:rsidR="00927077">
        <w:rPr>
          <w:rFonts w:cs="Times New Roman"/>
          <w:color w:val="000000" w:themeColor="text1"/>
          <w:sz w:val="24"/>
          <w:szCs w:val="24"/>
        </w:rPr>
        <w:t>,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927077">
        <w:rPr>
          <w:rFonts w:cs="Times New Roman"/>
          <w:color w:val="000000" w:themeColor="text1"/>
          <w:sz w:val="24"/>
          <w:szCs w:val="24"/>
        </w:rPr>
        <w:t>processing,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927077">
        <w:rPr>
          <w:rFonts w:cs="Times New Roman"/>
          <w:color w:val="000000" w:themeColor="text1"/>
          <w:sz w:val="24"/>
          <w:szCs w:val="24"/>
        </w:rPr>
        <w:t>distribution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C07B03">
        <w:rPr>
          <w:rFonts w:cs="Times New Roman"/>
          <w:color w:val="000000" w:themeColor="text1"/>
          <w:sz w:val="24"/>
          <w:szCs w:val="24"/>
        </w:rPr>
        <w:t>in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C07B03">
        <w:rPr>
          <w:rFonts w:cs="Times New Roman"/>
          <w:color w:val="000000" w:themeColor="text1"/>
          <w:sz w:val="24"/>
          <w:szCs w:val="24"/>
        </w:rPr>
        <w:t>commerce</w:t>
      </w:r>
      <w:r w:rsidRPr="00C317BB" w:rsidR="00927077">
        <w:rPr>
          <w:rFonts w:cs="Times New Roman"/>
          <w:color w:val="000000" w:themeColor="text1"/>
          <w:sz w:val="24"/>
          <w:szCs w:val="24"/>
        </w:rPr>
        <w:t>,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C07B03">
        <w:rPr>
          <w:rFonts w:cs="Times New Roman"/>
          <w:color w:val="000000" w:themeColor="text1"/>
          <w:sz w:val="24"/>
          <w:szCs w:val="24"/>
        </w:rPr>
        <w:t>and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531CE7">
        <w:rPr>
          <w:rFonts w:cs="Times New Roman"/>
          <w:color w:val="000000" w:themeColor="text1"/>
          <w:sz w:val="24"/>
          <w:szCs w:val="24"/>
        </w:rPr>
        <w:t>commercial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927077">
        <w:rPr>
          <w:rFonts w:cs="Times New Roman"/>
          <w:color w:val="000000" w:themeColor="text1"/>
          <w:sz w:val="24"/>
          <w:szCs w:val="24"/>
        </w:rPr>
        <w:t>use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>
        <w:rPr>
          <w:rFonts w:cs="Times New Roman"/>
          <w:color w:val="000000" w:themeColor="text1"/>
          <w:sz w:val="24"/>
          <w:szCs w:val="24"/>
        </w:rPr>
        <w:t>of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>
        <w:rPr>
          <w:rFonts w:cs="Times New Roman"/>
          <w:color w:val="000000" w:themeColor="text1"/>
          <w:sz w:val="24"/>
          <w:szCs w:val="24"/>
        </w:rPr>
        <w:t>chrysotile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>
        <w:rPr>
          <w:rFonts w:cs="Times New Roman"/>
          <w:color w:val="000000" w:themeColor="text1"/>
          <w:sz w:val="24"/>
          <w:szCs w:val="24"/>
        </w:rPr>
        <w:t>asbestos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>
        <w:rPr>
          <w:rFonts w:cs="Times New Roman"/>
          <w:color w:val="000000" w:themeColor="text1"/>
          <w:sz w:val="24"/>
          <w:szCs w:val="24"/>
        </w:rPr>
        <w:t>under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>
        <w:rPr>
          <w:rFonts w:cs="Times New Roman"/>
          <w:color w:val="000000" w:themeColor="text1"/>
          <w:sz w:val="24"/>
          <w:szCs w:val="24"/>
        </w:rPr>
        <w:t>TSCA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>
        <w:rPr>
          <w:rFonts w:cs="Times New Roman"/>
          <w:color w:val="000000" w:themeColor="text1"/>
          <w:sz w:val="24"/>
          <w:szCs w:val="24"/>
        </w:rPr>
        <w:t>section</w:t>
      </w:r>
      <w:r w:rsidRPr="00C317BB" w:rsidR="00927077">
        <w:rPr>
          <w:rFonts w:cs="Times New Roman"/>
          <w:color w:val="000000" w:themeColor="text1"/>
          <w:sz w:val="24"/>
          <w:szCs w:val="24"/>
        </w:rPr>
        <w:t>s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>
        <w:rPr>
          <w:rFonts w:cs="Times New Roman"/>
          <w:color w:val="000000" w:themeColor="text1"/>
          <w:sz w:val="24"/>
          <w:szCs w:val="24"/>
        </w:rPr>
        <w:t>6(a)</w:t>
      </w:r>
      <w:r w:rsidRPr="00C317BB" w:rsidR="00927077">
        <w:rPr>
          <w:rFonts w:cs="Times New Roman"/>
          <w:color w:val="000000" w:themeColor="text1"/>
          <w:sz w:val="24"/>
          <w:szCs w:val="24"/>
        </w:rPr>
        <w:t>(</w:t>
      </w:r>
      <w:r w:rsidRPr="00C317BB" w:rsidR="007825D4">
        <w:rPr>
          <w:rFonts w:cs="Times New Roman"/>
          <w:color w:val="000000" w:themeColor="text1"/>
          <w:sz w:val="24"/>
          <w:szCs w:val="24"/>
        </w:rPr>
        <w:t>2</w:t>
      </w:r>
      <w:r w:rsidRPr="00C317BB" w:rsidR="00927077">
        <w:rPr>
          <w:rFonts w:cs="Times New Roman"/>
          <w:color w:val="000000" w:themeColor="text1"/>
          <w:sz w:val="24"/>
          <w:szCs w:val="24"/>
        </w:rPr>
        <w:t>)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927077">
        <w:rPr>
          <w:rFonts w:cs="Times New Roman"/>
          <w:color w:val="000000" w:themeColor="text1"/>
          <w:sz w:val="24"/>
          <w:szCs w:val="24"/>
        </w:rPr>
        <w:t>and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927077">
        <w:rPr>
          <w:rFonts w:cs="Times New Roman"/>
          <w:color w:val="000000" w:themeColor="text1"/>
          <w:sz w:val="24"/>
          <w:szCs w:val="24"/>
        </w:rPr>
        <w:t>6(a)(</w:t>
      </w:r>
      <w:r w:rsidRPr="00C317BB" w:rsidR="008A7085">
        <w:rPr>
          <w:rFonts w:cs="Times New Roman"/>
          <w:color w:val="000000" w:themeColor="text1"/>
          <w:sz w:val="24"/>
          <w:szCs w:val="24"/>
        </w:rPr>
        <w:t>5</w:t>
      </w:r>
      <w:r w:rsidRPr="00C317BB" w:rsidR="00927077">
        <w:rPr>
          <w:rFonts w:cs="Times New Roman"/>
          <w:color w:val="000000" w:themeColor="text1"/>
          <w:sz w:val="24"/>
          <w:szCs w:val="24"/>
        </w:rPr>
        <w:t>)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AE3926">
        <w:rPr>
          <w:rFonts w:cs="Times New Roman"/>
          <w:color w:val="000000" w:themeColor="text1"/>
          <w:sz w:val="24"/>
          <w:szCs w:val="24"/>
        </w:rPr>
        <w:t>in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AE3926">
        <w:rPr>
          <w:rFonts w:cs="Times New Roman"/>
          <w:color w:val="000000" w:themeColor="text1"/>
          <w:sz w:val="24"/>
          <w:szCs w:val="24"/>
        </w:rPr>
        <w:t>bulk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AE3926">
        <w:rPr>
          <w:rFonts w:cs="Times New Roman"/>
          <w:color w:val="000000" w:themeColor="text1"/>
          <w:sz w:val="24"/>
          <w:szCs w:val="24"/>
        </w:rPr>
        <w:t>form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AE3926">
        <w:rPr>
          <w:rFonts w:cs="Times New Roman"/>
          <w:color w:val="000000" w:themeColor="text1"/>
          <w:sz w:val="24"/>
          <w:szCs w:val="24"/>
        </w:rPr>
        <w:t>or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AE3926">
        <w:rPr>
          <w:rFonts w:cs="Times New Roman"/>
          <w:color w:val="000000" w:themeColor="text1"/>
          <w:sz w:val="24"/>
          <w:szCs w:val="24"/>
        </w:rPr>
        <w:t>as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AE3926">
        <w:rPr>
          <w:rFonts w:cs="Times New Roman"/>
          <w:color w:val="000000" w:themeColor="text1"/>
          <w:sz w:val="24"/>
          <w:szCs w:val="24"/>
        </w:rPr>
        <w:t>part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AE3926">
        <w:rPr>
          <w:rFonts w:cs="Times New Roman"/>
          <w:color w:val="000000" w:themeColor="text1"/>
          <w:sz w:val="24"/>
          <w:szCs w:val="24"/>
        </w:rPr>
        <w:t>of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503FF2">
        <w:rPr>
          <w:rFonts w:cs="Times New Roman"/>
          <w:color w:val="000000" w:themeColor="text1"/>
          <w:sz w:val="24"/>
          <w:szCs w:val="24"/>
        </w:rPr>
        <w:t>chrysotile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503FF2">
        <w:rPr>
          <w:rFonts w:cs="Times New Roman"/>
          <w:color w:val="000000" w:themeColor="text1"/>
          <w:sz w:val="24"/>
          <w:szCs w:val="24"/>
        </w:rPr>
        <w:t>asbestos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503FF2">
        <w:rPr>
          <w:rFonts w:cs="Times New Roman"/>
          <w:color w:val="000000" w:themeColor="text1"/>
          <w:sz w:val="24"/>
          <w:szCs w:val="24"/>
        </w:rPr>
        <w:t>diaphragms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B46FDE">
        <w:rPr>
          <w:rFonts w:cs="Times New Roman"/>
          <w:color w:val="000000" w:themeColor="text1"/>
          <w:sz w:val="24"/>
          <w:szCs w:val="24"/>
        </w:rPr>
        <w:t>used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503FF2">
        <w:rPr>
          <w:rFonts w:cs="Times New Roman"/>
          <w:color w:val="000000" w:themeColor="text1"/>
          <w:sz w:val="24"/>
          <w:szCs w:val="24"/>
        </w:rPr>
        <w:t>in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503FF2">
        <w:rPr>
          <w:rFonts w:cs="Times New Roman"/>
          <w:color w:val="000000" w:themeColor="text1"/>
          <w:sz w:val="24"/>
          <w:szCs w:val="24"/>
        </w:rPr>
        <w:t>the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503FF2">
        <w:rPr>
          <w:rFonts w:cs="Times New Roman"/>
          <w:color w:val="000000" w:themeColor="text1"/>
          <w:sz w:val="24"/>
          <w:szCs w:val="24"/>
        </w:rPr>
        <w:t>chlor-alkali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503FF2">
        <w:rPr>
          <w:rFonts w:cs="Times New Roman"/>
          <w:color w:val="000000" w:themeColor="text1"/>
          <w:sz w:val="24"/>
          <w:szCs w:val="24"/>
        </w:rPr>
        <w:t>industry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B46FDE">
        <w:rPr>
          <w:rFonts w:cs="Times New Roman"/>
          <w:color w:val="000000" w:themeColor="text1"/>
          <w:sz w:val="24"/>
          <w:szCs w:val="24"/>
        </w:rPr>
        <w:t>and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2674E5">
        <w:rPr>
          <w:rFonts w:cs="Times New Roman"/>
          <w:color w:val="000000" w:themeColor="text1"/>
          <w:sz w:val="24"/>
          <w:szCs w:val="24"/>
        </w:rPr>
        <w:t>for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503FF2">
        <w:rPr>
          <w:rFonts w:cs="Times New Roman"/>
          <w:color w:val="000000" w:themeColor="text1"/>
          <w:sz w:val="24"/>
          <w:szCs w:val="24"/>
        </w:rPr>
        <w:t>chrysotile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503FF2">
        <w:rPr>
          <w:rFonts w:cs="Times New Roman"/>
          <w:color w:val="000000" w:themeColor="text1"/>
          <w:sz w:val="24"/>
          <w:szCs w:val="24"/>
        </w:rPr>
        <w:t>asbestos-containing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503FF2">
        <w:rPr>
          <w:rFonts w:cs="Times New Roman"/>
          <w:color w:val="000000" w:themeColor="text1"/>
          <w:sz w:val="24"/>
          <w:szCs w:val="24"/>
        </w:rPr>
        <w:t>sheet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503FF2">
        <w:rPr>
          <w:rFonts w:cs="Times New Roman"/>
          <w:color w:val="000000" w:themeColor="text1"/>
          <w:sz w:val="24"/>
          <w:szCs w:val="24"/>
        </w:rPr>
        <w:t>gaskets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5218E3">
        <w:rPr>
          <w:rFonts w:cs="Times New Roman"/>
          <w:color w:val="000000" w:themeColor="text1"/>
          <w:sz w:val="24"/>
          <w:szCs w:val="24"/>
        </w:rPr>
        <w:t>used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503FF2">
        <w:rPr>
          <w:rFonts w:cs="Times New Roman"/>
          <w:color w:val="000000" w:themeColor="text1"/>
          <w:sz w:val="24"/>
          <w:szCs w:val="24"/>
        </w:rPr>
        <w:t>in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503FF2">
        <w:rPr>
          <w:rFonts w:cs="Times New Roman"/>
          <w:color w:val="000000" w:themeColor="text1"/>
          <w:sz w:val="24"/>
          <w:szCs w:val="24"/>
        </w:rPr>
        <w:t>chemical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503FF2">
        <w:rPr>
          <w:rFonts w:cs="Times New Roman"/>
          <w:color w:val="000000" w:themeColor="text1"/>
          <w:sz w:val="24"/>
          <w:szCs w:val="24"/>
        </w:rPr>
        <w:t>produ</w:t>
      </w:r>
      <w:r w:rsidRPr="00C317BB" w:rsidR="00B46FDE">
        <w:rPr>
          <w:rFonts w:cs="Times New Roman"/>
          <w:color w:val="000000" w:themeColor="text1"/>
          <w:sz w:val="24"/>
          <w:szCs w:val="24"/>
        </w:rPr>
        <w:t>ction</w:t>
      </w:r>
      <w:r w:rsidRPr="00C317BB" w:rsidR="00367373">
        <w:rPr>
          <w:rFonts w:cs="Times New Roman"/>
          <w:color w:val="000000" w:themeColor="text1"/>
          <w:sz w:val="24"/>
          <w:szCs w:val="24"/>
        </w:rPr>
        <w:t>.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927077">
        <w:rPr>
          <w:rFonts w:cs="Times New Roman"/>
          <w:color w:val="000000" w:themeColor="text1"/>
          <w:sz w:val="24"/>
          <w:szCs w:val="24"/>
        </w:rPr>
        <w:t>Th</w:t>
      </w:r>
      <w:r w:rsidRPr="00C317BB" w:rsidR="00312A6D">
        <w:rPr>
          <w:rFonts w:cs="Times New Roman"/>
          <w:color w:val="000000" w:themeColor="text1"/>
          <w:sz w:val="24"/>
          <w:szCs w:val="24"/>
        </w:rPr>
        <w:t>e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312A6D">
        <w:rPr>
          <w:rFonts w:cs="Times New Roman"/>
          <w:color w:val="000000" w:themeColor="text1"/>
          <w:sz w:val="24"/>
          <w:szCs w:val="24"/>
        </w:rPr>
        <w:t>prohibition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B511FC">
        <w:rPr>
          <w:rFonts w:cs="Times New Roman"/>
          <w:color w:val="000000" w:themeColor="text1"/>
          <w:sz w:val="24"/>
          <w:szCs w:val="24"/>
        </w:rPr>
        <w:t>would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312A6D">
        <w:rPr>
          <w:rFonts w:cs="Times New Roman"/>
          <w:color w:val="000000" w:themeColor="text1"/>
          <w:sz w:val="24"/>
          <w:szCs w:val="24"/>
        </w:rPr>
        <w:t>take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312A6D">
        <w:rPr>
          <w:rFonts w:cs="Times New Roman"/>
          <w:color w:val="000000" w:themeColor="text1"/>
          <w:sz w:val="24"/>
          <w:szCs w:val="24"/>
        </w:rPr>
        <w:t>effect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2F548D">
        <w:rPr>
          <w:rFonts w:cs="Times New Roman"/>
          <w:color w:val="000000" w:themeColor="text1"/>
          <w:sz w:val="24"/>
          <w:szCs w:val="24"/>
        </w:rPr>
        <w:t>two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8A7085">
        <w:rPr>
          <w:rFonts w:cs="Times New Roman"/>
          <w:color w:val="000000" w:themeColor="text1"/>
          <w:sz w:val="24"/>
          <w:szCs w:val="24"/>
        </w:rPr>
        <w:t>years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8A7085">
        <w:rPr>
          <w:rFonts w:cs="Times New Roman"/>
          <w:color w:val="000000" w:themeColor="text1"/>
          <w:sz w:val="24"/>
          <w:szCs w:val="24"/>
        </w:rPr>
        <w:t>from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8A7085">
        <w:rPr>
          <w:rFonts w:cs="Times New Roman"/>
          <w:color w:val="000000" w:themeColor="text1"/>
          <w:sz w:val="24"/>
          <w:szCs w:val="24"/>
        </w:rPr>
        <w:t>the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B511FC">
        <w:rPr>
          <w:rFonts w:cs="Times New Roman"/>
          <w:color w:val="000000" w:themeColor="text1"/>
          <w:sz w:val="24"/>
          <w:szCs w:val="24"/>
        </w:rPr>
        <w:t>effective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8A7085">
        <w:rPr>
          <w:rFonts w:cs="Times New Roman"/>
          <w:color w:val="000000" w:themeColor="text1"/>
          <w:sz w:val="24"/>
          <w:szCs w:val="24"/>
        </w:rPr>
        <w:t>date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5E7DE0">
        <w:rPr>
          <w:rFonts w:cs="Times New Roman"/>
          <w:color w:val="000000" w:themeColor="text1"/>
          <w:sz w:val="24"/>
          <w:szCs w:val="24"/>
        </w:rPr>
        <w:t>of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5E7DE0">
        <w:rPr>
          <w:rFonts w:cs="Times New Roman"/>
          <w:color w:val="000000" w:themeColor="text1"/>
          <w:sz w:val="24"/>
          <w:szCs w:val="24"/>
        </w:rPr>
        <w:t>the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5E7DE0">
        <w:rPr>
          <w:rFonts w:cs="Times New Roman"/>
          <w:color w:val="000000" w:themeColor="text1"/>
          <w:sz w:val="24"/>
          <w:szCs w:val="24"/>
        </w:rPr>
        <w:t>final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5E7DE0">
        <w:rPr>
          <w:rFonts w:cs="Times New Roman"/>
          <w:color w:val="000000" w:themeColor="text1"/>
          <w:sz w:val="24"/>
          <w:szCs w:val="24"/>
        </w:rPr>
        <w:t>rule</w:t>
      </w:r>
      <w:r w:rsidRPr="00C317BB" w:rsidR="008A7085">
        <w:rPr>
          <w:rFonts w:cs="Times New Roman"/>
          <w:color w:val="000000" w:themeColor="text1"/>
          <w:sz w:val="24"/>
          <w:szCs w:val="24"/>
        </w:rPr>
        <w:t>.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1268DE">
        <w:rPr>
          <w:rFonts w:cs="Times New Roman"/>
          <w:color w:val="000000" w:themeColor="text1"/>
          <w:sz w:val="24"/>
          <w:szCs w:val="24"/>
        </w:rPr>
        <w:t>Pursuant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1268DE">
        <w:rPr>
          <w:rFonts w:cs="Times New Roman"/>
          <w:color w:val="000000" w:themeColor="text1"/>
          <w:sz w:val="24"/>
          <w:szCs w:val="24"/>
        </w:rPr>
        <w:t>to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1268DE">
        <w:rPr>
          <w:rFonts w:cs="Times New Roman"/>
          <w:color w:val="000000" w:themeColor="text1"/>
          <w:sz w:val="24"/>
          <w:szCs w:val="24"/>
        </w:rPr>
        <w:t>TSCA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1268DE">
        <w:rPr>
          <w:rFonts w:cs="Times New Roman"/>
          <w:color w:val="000000" w:themeColor="text1"/>
          <w:sz w:val="24"/>
          <w:szCs w:val="24"/>
        </w:rPr>
        <w:t>section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1268DE">
        <w:rPr>
          <w:rFonts w:cs="Times New Roman"/>
          <w:color w:val="000000" w:themeColor="text1"/>
          <w:sz w:val="24"/>
          <w:szCs w:val="24"/>
        </w:rPr>
        <w:t>6(d)(1),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0F664D">
        <w:rPr>
          <w:rFonts w:cs="Times New Roman"/>
          <w:color w:val="000000" w:themeColor="text1"/>
          <w:sz w:val="24"/>
          <w:szCs w:val="24"/>
        </w:rPr>
        <w:t>when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0F664D">
        <w:rPr>
          <w:rFonts w:cs="Times New Roman"/>
          <w:color w:val="000000" w:themeColor="text1"/>
          <w:sz w:val="24"/>
          <w:szCs w:val="24"/>
        </w:rPr>
        <w:t>EPA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0F664D">
        <w:rPr>
          <w:rFonts w:cs="Times New Roman"/>
          <w:color w:val="000000" w:themeColor="text1"/>
          <w:sz w:val="24"/>
          <w:szCs w:val="24"/>
        </w:rPr>
        <w:t>elects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0F664D">
        <w:rPr>
          <w:rFonts w:cs="Times New Roman"/>
          <w:color w:val="000000" w:themeColor="text1"/>
          <w:sz w:val="24"/>
          <w:szCs w:val="24"/>
        </w:rPr>
        <w:t>to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0F664D">
        <w:rPr>
          <w:rFonts w:cs="Times New Roman"/>
          <w:color w:val="000000" w:themeColor="text1"/>
          <w:sz w:val="24"/>
          <w:szCs w:val="24"/>
        </w:rPr>
        <w:t>ban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0F664D">
        <w:rPr>
          <w:rFonts w:cs="Times New Roman"/>
          <w:color w:val="000000" w:themeColor="text1"/>
          <w:sz w:val="24"/>
          <w:szCs w:val="24"/>
        </w:rPr>
        <w:t>or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0F664D">
        <w:rPr>
          <w:rFonts w:cs="Times New Roman"/>
          <w:color w:val="000000" w:themeColor="text1"/>
          <w:sz w:val="24"/>
          <w:szCs w:val="24"/>
        </w:rPr>
        <w:t>phase-out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0F664D">
        <w:rPr>
          <w:rFonts w:cs="Times New Roman"/>
          <w:color w:val="000000" w:themeColor="text1"/>
          <w:sz w:val="24"/>
          <w:szCs w:val="24"/>
        </w:rPr>
        <w:t>a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0F664D">
        <w:rPr>
          <w:rFonts w:cs="Times New Roman"/>
          <w:color w:val="000000" w:themeColor="text1"/>
          <w:sz w:val="24"/>
          <w:szCs w:val="24"/>
        </w:rPr>
        <w:t>chemical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0F664D">
        <w:rPr>
          <w:rFonts w:cs="Times New Roman"/>
          <w:color w:val="000000" w:themeColor="text1"/>
          <w:sz w:val="24"/>
          <w:szCs w:val="24"/>
        </w:rPr>
        <w:t>substance</w:t>
      </w:r>
      <w:r w:rsidRPr="00C317BB" w:rsidR="0080702F">
        <w:rPr>
          <w:rFonts w:cs="Times New Roman"/>
          <w:color w:val="000000" w:themeColor="text1"/>
          <w:sz w:val="24"/>
          <w:szCs w:val="24"/>
        </w:rPr>
        <w:t>,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80702F">
        <w:rPr>
          <w:rFonts w:cs="Times New Roman"/>
          <w:color w:val="000000" w:themeColor="text1"/>
          <w:sz w:val="24"/>
          <w:szCs w:val="24"/>
        </w:rPr>
        <w:t>the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80702F">
        <w:rPr>
          <w:rFonts w:cs="Times New Roman"/>
          <w:color w:val="000000" w:themeColor="text1"/>
          <w:sz w:val="24"/>
          <w:szCs w:val="24"/>
        </w:rPr>
        <w:t>start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80702F">
        <w:rPr>
          <w:rFonts w:cs="Times New Roman"/>
          <w:color w:val="000000" w:themeColor="text1"/>
          <w:sz w:val="24"/>
          <w:szCs w:val="24"/>
        </w:rPr>
        <w:t>of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80702F">
        <w:rPr>
          <w:rFonts w:cs="Times New Roman"/>
          <w:color w:val="000000" w:themeColor="text1"/>
          <w:sz w:val="24"/>
          <w:szCs w:val="24"/>
        </w:rPr>
        <w:t>the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80702F">
        <w:rPr>
          <w:rFonts w:cs="Times New Roman"/>
          <w:color w:val="000000" w:themeColor="text1"/>
          <w:sz w:val="24"/>
          <w:szCs w:val="24"/>
        </w:rPr>
        <w:t>ban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80702F">
        <w:rPr>
          <w:rFonts w:cs="Times New Roman"/>
          <w:color w:val="000000" w:themeColor="text1"/>
          <w:sz w:val="24"/>
          <w:szCs w:val="24"/>
        </w:rPr>
        <w:t>or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80702F">
        <w:rPr>
          <w:rFonts w:cs="Times New Roman"/>
          <w:color w:val="000000" w:themeColor="text1"/>
          <w:sz w:val="24"/>
          <w:szCs w:val="24"/>
        </w:rPr>
        <w:t>phaseout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80702F">
        <w:rPr>
          <w:rFonts w:cs="Times New Roman"/>
          <w:color w:val="000000" w:themeColor="text1"/>
          <w:sz w:val="24"/>
          <w:szCs w:val="24"/>
        </w:rPr>
        <w:t>must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80702F">
        <w:rPr>
          <w:rFonts w:cs="Times New Roman"/>
          <w:color w:val="000000" w:themeColor="text1"/>
          <w:sz w:val="24"/>
          <w:szCs w:val="24"/>
        </w:rPr>
        <w:t>be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80702F">
        <w:rPr>
          <w:rFonts w:cs="Times New Roman"/>
          <w:color w:val="000000" w:themeColor="text1"/>
          <w:sz w:val="24"/>
          <w:szCs w:val="24"/>
        </w:rPr>
        <w:t>as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80702F">
        <w:rPr>
          <w:rFonts w:cs="Times New Roman"/>
          <w:color w:val="000000" w:themeColor="text1"/>
          <w:sz w:val="24"/>
          <w:szCs w:val="24"/>
        </w:rPr>
        <w:t>soon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80702F">
        <w:rPr>
          <w:rFonts w:cs="Times New Roman"/>
          <w:color w:val="000000" w:themeColor="text1"/>
          <w:sz w:val="24"/>
          <w:szCs w:val="24"/>
        </w:rPr>
        <w:t>as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80702F">
        <w:rPr>
          <w:rFonts w:cs="Times New Roman"/>
          <w:color w:val="000000" w:themeColor="text1"/>
          <w:sz w:val="24"/>
          <w:szCs w:val="24"/>
        </w:rPr>
        <w:t>practicable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80702F">
        <w:rPr>
          <w:rFonts w:cs="Times New Roman"/>
          <w:color w:val="000000" w:themeColor="text1"/>
          <w:sz w:val="24"/>
          <w:szCs w:val="24"/>
        </w:rPr>
        <w:t>but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80702F">
        <w:rPr>
          <w:rFonts w:cs="Times New Roman"/>
          <w:color w:val="000000" w:themeColor="text1"/>
          <w:sz w:val="24"/>
          <w:szCs w:val="24"/>
        </w:rPr>
        <w:t>not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80702F">
        <w:rPr>
          <w:rFonts w:cs="Times New Roman"/>
          <w:color w:val="000000" w:themeColor="text1"/>
          <w:sz w:val="24"/>
          <w:szCs w:val="24"/>
        </w:rPr>
        <w:t>later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80702F">
        <w:rPr>
          <w:rFonts w:cs="Times New Roman"/>
          <w:color w:val="000000" w:themeColor="text1"/>
          <w:sz w:val="24"/>
          <w:szCs w:val="24"/>
        </w:rPr>
        <w:t>than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2F548D">
        <w:rPr>
          <w:rFonts w:cs="Times New Roman"/>
          <w:color w:val="000000" w:themeColor="text1"/>
          <w:sz w:val="24"/>
          <w:szCs w:val="24"/>
        </w:rPr>
        <w:t>five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80702F">
        <w:rPr>
          <w:rFonts w:cs="Times New Roman"/>
          <w:color w:val="000000" w:themeColor="text1"/>
          <w:sz w:val="24"/>
          <w:szCs w:val="24"/>
        </w:rPr>
        <w:t>years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80702F">
        <w:rPr>
          <w:rFonts w:cs="Times New Roman"/>
          <w:color w:val="000000" w:themeColor="text1"/>
          <w:sz w:val="24"/>
          <w:szCs w:val="24"/>
        </w:rPr>
        <w:t>after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80702F">
        <w:rPr>
          <w:rFonts w:cs="Times New Roman"/>
          <w:color w:val="000000" w:themeColor="text1"/>
          <w:sz w:val="24"/>
          <w:szCs w:val="24"/>
        </w:rPr>
        <w:t>the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80702F">
        <w:rPr>
          <w:rFonts w:cs="Times New Roman"/>
          <w:color w:val="000000" w:themeColor="text1"/>
          <w:sz w:val="24"/>
          <w:szCs w:val="24"/>
        </w:rPr>
        <w:t>date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80702F">
        <w:rPr>
          <w:rFonts w:cs="Times New Roman"/>
          <w:color w:val="000000" w:themeColor="text1"/>
          <w:sz w:val="24"/>
          <w:szCs w:val="24"/>
        </w:rPr>
        <w:t>of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80702F">
        <w:rPr>
          <w:rFonts w:cs="Times New Roman"/>
          <w:color w:val="000000" w:themeColor="text1"/>
          <w:sz w:val="24"/>
          <w:szCs w:val="24"/>
        </w:rPr>
        <w:t>promulgation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80702F">
        <w:rPr>
          <w:rFonts w:cs="Times New Roman"/>
          <w:color w:val="000000" w:themeColor="text1"/>
          <w:sz w:val="24"/>
          <w:szCs w:val="24"/>
        </w:rPr>
        <w:t>of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80702F">
        <w:rPr>
          <w:rFonts w:cs="Times New Roman"/>
          <w:color w:val="000000" w:themeColor="text1"/>
          <w:sz w:val="24"/>
          <w:szCs w:val="24"/>
        </w:rPr>
        <w:t>the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80702F">
        <w:rPr>
          <w:rFonts w:cs="Times New Roman"/>
          <w:color w:val="000000" w:themeColor="text1"/>
          <w:sz w:val="24"/>
          <w:szCs w:val="24"/>
        </w:rPr>
        <w:t>rule,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80702F">
        <w:rPr>
          <w:rFonts w:cs="Times New Roman"/>
          <w:color w:val="000000" w:themeColor="text1"/>
          <w:sz w:val="24"/>
          <w:szCs w:val="24"/>
        </w:rPr>
        <w:t>and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0F664D">
        <w:rPr>
          <w:rFonts w:cs="Times New Roman"/>
          <w:color w:val="000000" w:themeColor="text1"/>
          <w:sz w:val="24"/>
          <w:szCs w:val="24"/>
        </w:rPr>
        <w:t>the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0F664D">
        <w:rPr>
          <w:rFonts w:cs="Times New Roman"/>
          <w:color w:val="000000" w:themeColor="text1"/>
          <w:sz w:val="24"/>
          <w:szCs w:val="24"/>
        </w:rPr>
        <w:t>date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0F664D">
        <w:rPr>
          <w:rFonts w:cs="Times New Roman"/>
          <w:color w:val="000000" w:themeColor="text1"/>
          <w:sz w:val="24"/>
          <w:szCs w:val="24"/>
        </w:rPr>
        <w:t>for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0F664D">
        <w:rPr>
          <w:rFonts w:cs="Times New Roman"/>
          <w:color w:val="000000" w:themeColor="text1"/>
          <w:sz w:val="24"/>
          <w:szCs w:val="24"/>
        </w:rPr>
        <w:t>full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0F664D">
        <w:rPr>
          <w:rFonts w:cs="Times New Roman"/>
          <w:color w:val="000000" w:themeColor="text1"/>
          <w:sz w:val="24"/>
          <w:szCs w:val="24"/>
        </w:rPr>
        <w:t>implementation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0F664D">
        <w:rPr>
          <w:rFonts w:cs="Times New Roman"/>
          <w:color w:val="000000" w:themeColor="text1"/>
          <w:sz w:val="24"/>
          <w:szCs w:val="24"/>
        </w:rPr>
        <w:t>must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0F664D">
        <w:rPr>
          <w:rFonts w:cs="Times New Roman"/>
          <w:color w:val="000000" w:themeColor="text1"/>
          <w:sz w:val="24"/>
          <w:szCs w:val="24"/>
        </w:rPr>
        <w:t>be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0F664D">
        <w:rPr>
          <w:rFonts w:cs="Times New Roman"/>
          <w:color w:val="000000" w:themeColor="text1"/>
          <w:sz w:val="24"/>
          <w:szCs w:val="24"/>
        </w:rPr>
        <w:t>as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0F664D">
        <w:rPr>
          <w:rFonts w:cs="Times New Roman"/>
          <w:color w:val="000000" w:themeColor="text1"/>
          <w:sz w:val="24"/>
          <w:szCs w:val="24"/>
        </w:rPr>
        <w:t>soon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0F664D">
        <w:rPr>
          <w:rFonts w:cs="Times New Roman"/>
          <w:color w:val="000000" w:themeColor="text1"/>
          <w:sz w:val="24"/>
          <w:szCs w:val="24"/>
        </w:rPr>
        <w:t>as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0F664D">
        <w:rPr>
          <w:rFonts w:cs="Times New Roman"/>
          <w:color w:val="000000" w:themeColor="text1"/>
          <w:sz w:val="24"/>
          <w:szCs w:val="24"/>
        </w:rPr>
        <w:t>practicable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80702F">
        <w:rPr>
          <w:rFonts w:cs="Times New Roman"/>
          <w:color w:val="000000" w:themeColor="text1"/>
          <w:sz w:val="24"/>
          <w:szCs w:val="24"/>
        </w:rPr>
        <w:t>thereafter</w:t>
      </w:r>
      <w:r w:rsidRPr="00C317BB" w:rsidR="000F664D">
        <w:rPr>
          <w:rFonts w:cs="Times New Roman"/>
          <w:color w:val="000000" w:themeColor="text1"/>
          <w:sz w:val="24"/>
          <w:szCs w:val="24"/>
        </w:rPr>
        <w:t>.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D10F27">
        <w:rPr>
          <w:rFonts w:cs="Times New Roman"/>
          <w:color w:val="000000" w:themeColor="text1"/>
          <w:sz w:val="24"/>
          <w:szCs w:val="24"/>
        </w:rPr>
        <w:t>EPA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D10F27">
        <w:rPr>
          <w:rFonts w:cs="Times New Roman"/>
          <w:color w:val="000000" w:themeColor="text1"/>
          <w:sz w:val="24"/>
          <w:szCs w:val="24"/>
        </w:rPr>
        <w:t>believes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D10F27">
        <w:rPr>
          <w:rFonts w:cs="Times New Roman"/>
          <w:color w:val="000000" w:themeColor="text1"/>
          <w:sz w:val="24"/>
          <w:szCs w:val="24"/>
        </w:rPr>
        <w:t>safer,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D10F27">
        <w:rPr>
          <w:rFonts w:cs="Times New Roman"/>
          <w:color w:val="000000" w:themeColor="text1"/>
          <w:sz w:val="24"/>
          <w:szCs w:val="24"/>
        </w:rPr>
        <w:t>economically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D10F27">
        <w:rPr>
          <w:rFonts w:cs="Times New Roman"/>
          <w:color w:val="000000" w:themeColor="text1"/>
          <w:sz w:val="24"/>
          <w:szCs w:val="24"/>
        </w:rPr>
        <w:t>viable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D10F27">
        <w:rPr>
          <w:rFonts w:cs="Times New Roman"/>
          <w:color w:val="000000" w:themeColor="text1"/>
          <w:sz w:val="24"/>
          <w:szCs w:val="24"/>
        </w:rPr>
        <w:t>alternatives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194399">
        <w:rPr>
          <w:rFonts w:cs="Times New Roman"/>
          <w:color w:val="000000" w:themeColor="text1"/>
          <w:sz w:val="24"/>
          <w:szCs w:val="24"/>
        </w:rPr>
        <w:t>are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D10F27">
        <w:rPr>
          <w:rFonts w:cs="Times New Roman"/>
          <w:color w:val="000000" w:themeColor="text1"/>
          <w:sz w:val="24"/>
          <w:szCs w:val="24"/>
        </w:rPr>
        <w:t>available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D10F27">
        <w:rPr>
          <w:rFonts w:cs="Times New Roman"/>
          <w:color w:val="000000" w:themeColor="text1"/>
          <w:sz w:val="24"/>
          <w:szCs w:val="24"/>
        </w:rPr>
        <w:t>for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2B482B">
        <w:rPr>
          <w:rFonts w:cs="Times New Roman"/>
          <w:color w:val="000000" w:themeColor="text1"/>
          <w:sz w:val="24"/>
          <w:szCs w:val="24"/>
        </w:rPr>
        <w:t>the</w:t>
      </w:r>
      <w:r w:rsidRPr="00C317BB" w:rsidR="00A710CE">
        <w:rPr>
          <w:rFonts w:cs="Times New Roman"/>
          <w:color w:val="000000" w:themeColor="text1"/>
          <w:sz w:val="24"/>
          <w:szCs w:val="24"/>
        </w:rPr>
        <w:t>se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2B482B">
        <w:rPr>
          <w:rFonts w:cs="Times New Roman"/>
          <w:color w:val="000000" w:themeColor="text1"/>
          <w:sz w:val="24"/>
          <w:szCs w:val="24"/>
        </w:rPr>
        <w:t>conditions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2B482B">
        <w:rPr>
          <w:rFonts w:cs="Times New Roman"/>
          <w:color w:val="000000" w:themeColor="text1"/>
          <w:sz w:val="24"/>
          <w:szCs w:val="24"/>
        </w:rPr>
        <w:t>of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2B482B">
        <w:rPr>
          <w:rFonts w:cs="Times New Roman"/>
          <w:color w:val="000000" w:themeColor="text1"/>
          <w:sz w:val="24"/>
          <w:szCs w:val="24"/>
        </w:rPr>
        <w:t>use</w:t>
      </w:r>
      <w:r w:rsidRPr="00C317BB" w:rsidR="00D10F27">
        <w:rPr>
          <w:rFonts w:cs="Times New Roman"/>
          <w:color w:val="000000" w:themeColor="text1"/>
          <w:sz w:val="24"/>
          <w:szCs w:val="24"/>
        </w:rPr>
        <w:t>.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B87915">
        <w:rPr>
          <w:rFonts w:cs="Times New Roman"/>
          <w:color w:val="000000" w:themeColor="text1"/>
          <w:sz w:val="24"/>
          <w:szCs w:val="24"/>
        </w:rPr>
        <w:t>Specifically,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B87915">
        <w:rPr>
          <w:rFonts w:cs="Times New Roman"/>
          <w:color w:val="000000" w:themeColor="text1"/>
          <w:sz w:val="24"/>
          <w:szCs w:val="24"/>
        </w:rPr>
        <w:t>for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B87915">
        <w:rPr>
          <w:rFonts w:cs="Times New Roman"/>
          <w:color w:val="000000" w:themeColor="text1"/>
          <w:sz w:val="24"/>
          <w:szCs w:val="24"/>
        </w:rPr>
        <w:t>the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B87915">
        <w:rPr>
          <w:rFonts w:cs="Times New Roman"/>
          <w:color w:val="000000" w:themeColor="text1"/>
          <w:sz w:val="24"/>
          <w:szCs w:val="24"/>
        </w:rPr>
        <w:t>chrysotile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4517C4">
        <w:rPr>
          <w:rFonts w:cs="Times New Roman"/>
          <w:color w:val="000000" w:themeColor="text1"/>
          <w:sz w:val="24"/>
          <w:szCs w:val="24"/>
        </w:rPr>
        <w:t>asbestos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0B6CCC">
        <w:rPr>
          <w:rFonts w:cs="Times New Roman"/>
          <w:color w:val="000000" w:themeColor="text1"/>
          <w:sz w:val="24"/>
          <w:szCs w:val="24"/>
        </w:rPr>
        <w:t>diaphragms</w:t>
      </w:r>
      <w:r w:rsidRPr="00C317BB" w:rsidR="009F22F6">
        <w:rPr>
          <w:rFonts w:cs="Times New Roman"/>
          <w:color w:val="000000" w:themeColor="text1"/>
          <w:sz w:val="24"/>
          <w:szCs w:val="24"/>
        </w:rPr>
        <w:t>,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433DB3">
        <w:rPr>
          <w:rFonts w:cs="Times New Roman"/>
          <w:color w:val="000000" w:themeColor="text1"/>
          <w:sz w:val="24"/>
          <w:szCs w:val="24"/>
        </w:rPr>
        <w:t>EPA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433DB3">
        <w:rPr>
          <w:rFonts w:cs="Times New Roman"/>
          <w:color w:val="000000" w:themeColor="text1"/>
          <w:sz w:val="24"/>
          <w:szCs w:val="24"/>
        </w:rPr>
        <w:t>is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433DB3">
        <w:rPr>
          <w:rFonts w:cs="Times New Roman"/>
          <w:color w:val="000000" w:themeColor="text1"/>
          <w:sz w:val="24"/>
          <w:szCs w:val="24"/>
        </w:rPr>
        <w:t>aware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433DB3">
        <w:rPr>
          <w:rFonts w:cs="Times New Roman"/>
          <w:color w:val="000000" w:themeColor="text1"/>
          <w:sz w:val="24"/>
          <w:szCs w:val="24"/>
        </w:rPr>
        <w:t>of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433DB3">
        <w:rPr>
          <w:rFonts w:cs="Times New Roman"/>
          <w:color w:val="000000" w:themeColor="text1"/>
          <w:sz w:val="24"/>
          <w:szCs w:val="24"/>
        </w:rPr>
        <w:t>one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433DB3">
        <w:rPr>
          <w:rFonts w:cs="Times New Roman"/>
          <w:color w:val="000000" w:themeColor="text1"/>
          <w:sz w:val="24"/>
          <w:szCs w:val="24"/>
        </w:rPr>
        <w:t>company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010AAB">
        <w:rPr>
          <w:rFonts w:cs="Times New Roman"/>
          <w:color w:val="000000" w:themeColor="text1"/>
          <w:sz w:val="24"/>
          <w:szCs w:val="24"/>
        </w:rPr>
        <w:t>already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6F14D1">
        <w:rPr>
          <w:rFonts w:cs="Times New Roman"/>
          <w:color w:val="000000" w:themeColor="text1"/>
          <w:sz w:val="24"/>
          <w:szCs w:val="24"/>
        </w:rPr>
        <w:t>transition</w:t>
      </w:r>
      <w:r w:rsidRPr="00C317BB" w:rsidR="00BF7FF3">
        <w:rPr>
          <w:rFonts w:cs="Times New Roman"/>
          <w:color w:val="000000" w:themeColor="text1"/>
          <w:sz w:val="24"/>
          <w:szCs w:val="24"/>
        </w:rPr>
        <w:t>ing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6F14D1">
        <w:rPr>
          <w:rFonts w:cs="Times New Roman"/>
          <w:color w:val="000000" w:themeColor="text1"/>
          <w:sz w:val="24"/>
          <w:szCs w:val="24"/>
        </w:rPr>
        <w:t>to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245B16">
        <w:rPr>
          <w:rFonts w:cs="Times New Roman"/>
          <w:color w:val="000000" w:themeColor="text1"/>
          <w:sz w:val="24"/>
          <w:szCs w:val="24"/>
        </w:rPr>
        <w:t>ex</w:t>
      </w:r>
      <w:r w:rsidRPr="00C317BB" w:rsidR="00B6682A">
        <w:rPr>
          <w:rFonts w:cs="Times New Roman"/>
          <w:color w:val="000000" w:themeColor="text1"/>
          <w:sz w:val="24"/>
          <w:szCs w:val="24"/>
        </w:rPr>
        <w:t>clusive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B6682A">
        <w:rPr>
          <w:rFonts w:cs="Times New Roman"/>
          <w:color w:val="000000" w:themeColor="text1"/>
          <w:sz w:val="24"/>
          <w:szCs w:val="24"/>
        </w:rPr>
        <w:t>use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B6682A">
        <w:rPr>
          <w:rFonts w:cs="Times New Roman"/>
          <w:color w:val="000000" w:themeColor="text1"/>
          <w:sz w:val="24"/>
          <w:szCs w:val="24"/>
        </w:rPr>
        <w:t>of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6F14D1">
        <w:rPr>
          <w:rFonts w:cs="Times New Roman"/>
          <w:color w:val="000000" w:themeColor="text1"/>
          <w:sz w:val="24"/>
          <w:szCs w:val="24"/>
        </w:rPr>
        <w:t>alternative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6F14D1">
        <w:rPr>
          <w:rFonts w:cs="Times New Roman"/>
          <w:color w:val="000000" w:themeColor="text1"/>
          <w:sz w:val="24"/>
          <w:szCs w:val="24"/>
        </w:rPr>
        <w:t>technologies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A954BE">
        <w:rPr>
          <w:rFonts w:cs="Times New Roman"/>
          <w:color w:val="000000" w:themeColor="text1"/>
          <w:sz w:val="24"/>
          <w:szCs w:val="24"/>
        </w:rPr>
        <w:t>such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A954BE">
        <w:rPr>
          <w:rFonts w:cs="Times New Roman"/>
          <w:color w:val="000000" w:themeColor="text1"/>
          <w:sz w:val="24"/>
          <w:szCs w:val="24"/>
        </w:rPr>
        <w:t>as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A954BE">
        <w:rPr>
          <w:rFonts w:cs="Times New Roman"/>
          <w:color w:val="000000" w:themeColor="text1"/>
          <w:sz w:val="24"/>
          <w:szCs w:val="24"/>
        </w:rPr>
        <w:t>membrane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A954BE">
        <w:rPr>
          <w:rFonts w:cs="Times New Roman"/>
          <w:color w:val="000000" w:themeColor="text1"/>
          <w:sz w:val="24"/>
          <w:szCs w:val="24"/>
        </w:rPr>
        <w:t>and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A954BE">
        <w:rPr>
          <w:rFonts w:cs="Times New Roman"/>
          <w:color w:val="000000" w:themeColor="text1"/>
          <w:sz w:val="24"/>
          <w:szCs w:val="24"/>
        </w:rPr>
        <w:t>non-asbestos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A954BE">
        <w:rPr>
          <w:rFonts w:cs="Times New Roman"/>
          <w:color w:val="000000" w:themeColor="text1"/>
          <w:sz w:val="24"/>
          <w:szCs w:val="24"/>
        </w:rPr>
        <w:t>diaphragm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A954BE">
        <w:rPr>
          <w:rFonts w:cs="Times New Roman"/>
          <w:color w:val="000000" w:themeColor="text1"/>
          <w:sz w:val="24"/>
          <w:szCs w:val="24"/>
        </w:rPr>
        <w:t>technologies</w:t>
      </w:r>
      <w:r w:rsidRPr="00C317BB" w:rsidR="00626B02">
        <w:rPr>
          <w:rFonts w:cs="Times New Roman"/>
          <w:color w:val="000000" w:themeColor="text1"/>
          <w:sz w:val="24"/>
          <w:szCs w:val="24"/>
        </w:rPr>
        <w:t>.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8A0C38">
        <w:rPr>
          <w:rFonts w:cs="Times New Roman"/>
          <w:color w:val="000000" w:themeColor="text1"/>
          <w:sz w:val="24"/>
          <w:szCs w:val="24"/>
        </w:rPr>
        <w:t>All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8A0C38">
        <w:rPr>
          <w:rFonts w:cs="Times New Roman"/>
          <w:color w:val="000000" w:themeColor="text1"/>
          <w:sz w:val="24"/>
          <w:szCs w:val="24"/>
        </w:rPr>
        <w:t>three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8A0C38">
        <w:rPr>
          <w:rFonts w:cs="Times New Roman"/>
          <w:color w:val="000000" w:themeColor="text1"/>
          <w:sz w:val="24"/>
          <w:szCs w:val="24"/>
        </w:rPr>
        <w:t>domestic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8A0C38">
        <w:rPr>
          <w:rFonts w:cs="Times New Roman"/>
          <w:color w:val="000000" w:themeColor="text1"/>
          <w:sz w:val="24"/>
          <w:szCs w:val="24"/>
        </w:rPr>
        <w:t>companies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A45784">
        <w:rPr>
          <w:rFonts w:cs="Times New Roman"/>
          <w:color w:val="000000" w:themeColor="text1"/>
          <w:sz w:val="24"/>
          <w:szCs w:val="24"/>
        </w:rPr>
        <w:t>that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A45784">
        <w:rPr>
          <w:rFonts w:cs="Times New Roman"/>
          <w:color w:val="000000" w:themeColor="text1"/>
          <w:sz w:val="24"/>
          <w:szCs w:val="24"/>
        </w:rPr>
        <w:t>use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A45784">
        <w:rPr>
          <w:rFonts w:cs="Times New Roman"/>
          <w:color w:val="000000" w:themeColor="text1"/>
          <w:sz w:val="24"/>
          <w:szCs w:val="24"/>
        </w:rPr>
        <w:t>chrysotile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A45784">
        <w:rPr>
          <w:rFonts w:cs="Times New Roman"/>
          <w:color w:val="000000" w:themeColor="text1"/>
          <w:sz w:val="24"/>
          <w:szCs w:val="24"/>
        </w:rPr>
        <w:t>asbestos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C64B6D">
        <w:rPr>
          <w:rFonts w:cs="Times New Roman"/>
          <w:color w:val="000000" w:themeColor="text1"/>
          <w:sz w:val="24"/>
          <w:szCs w:val="24"/>
        </w:rPr>
        <w:t>diaphragms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FB5211">
        <w:rPr>
          <w:rFonts w:cs="Times New Roman"/>
          <w:color w:val="000000" w:themeColor="text1"/>
          <w:sz w:val="24"/>
          <w:szCs w:val="24"/>
        </w:rPr>
        <w:t>currently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E96309">
        <w:rPr>
          <w:rFonts w:cs="Times New Roman"/>
          <w:color w:val="000000" w:themeColor="text1"/>
          <w:sz w:val="24"/>
          <w:szCs w:val="24"/>
        </w:rPr>
        <w:t>also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465550">
        <w:rPr>
          <w:rFonts w:cs="Times New Roman"/>
          <w:color w:val="000000" w:themeColor="text1"/>
          <w:sz w:val="24"/>
          <w:szCs w:val="24"/>
        </w:rPr>
        <w:t>use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685091">
        <w:rPr>
          <w:rFonts w:cs="Times New Roman"/>
          <w:color w:val="000000" w:themeColor="text1"/>
          <w:sz w:val="24"/>
          <w:szCs w:val="24"/>
        </w:rPr>
        <w:t>membrane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685091">
        <w:rPr>
          <w:rFonts w:cs="Times New Roman"/>
          <w:color w:val="000000" w:themeColor="text1"/>
          <w:sz w:val="24"/>
          <w:szCs w:val="24"/>
        </w:rPr>
        <w:t>or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685091">
        <w:rPr>
          <w:rFonts w:cs="Times New Roman"/>
          <w:color w:val="000000" w:themeColor="text1"/>
          <w:sz w:val="24"/>
          <w:szCs w:val="24"/>
        </w:rPr>
        <w:t>non-asbestos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274FDE">
        <w:rPr>
          <w:rFonts w:cs="Times New Roman"/>
          <w:color w:val="000000" w:themeColor="text1"/>
          <w:sz w:val="24"/>
          <w:szCs w:val="24"/>
        </w:rPr>
        <w:t>d</w:t>
      </w:r>
      <w:r w:rsidRPr="00C317BB" w:rsidR="00465550">
        <w:rPr>
          <w:rFonts w:cs="Times New Roman"/>
          <w:color w:val="000000" w:themeColor="text1"/>
          <w:sz w:val="24"/>
          <w:szCs w:val="24"/>
        </w:rPr>
        <w:t>iaphragm</w:t>
      </w:r>
      <w:r w:rsidRPr="00C317BB" w:rsidR="00E31702">
        <w:rPr>
          <w:rFonts w:cs="Times New Roman"/>
          <w:color w:val="000000" w:themeColor="text1"/>
          <w:sz w:val="24"/>
          <w:szCs w:val="24"/>
        </w:rPr>
        <w:t>s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465550">
        <w:rPr>
          <w:rFonts w:cs="Times New Roman"/>
          <w:color w:val="000000" w:themeColor="text1"/>
          <w:sz w:val="24"/>
          <w:szCs w:val="24"/>
        </w:rPr>
        <w:t>at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465550">
        <w:rPr>
          <w:rFonts w:cs="Times New Roman"/>
          <w:color w:val="000000" w:themeColor="text1"/>
          <w:sz w:val="24"/>
          <w:szCs w:val="24"/>
        </w:rPr>
        <w:t>their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465550">
        <w:rPr>
          <w:rFonts w:cs="Times New Roman"/>
          <w:color w:val="000000" w:themeColor="text1"/>
          <w:sz w:val="24"/>
          <w:szCs w:val="24"/>
        </w:rPr>
        <w:t>chlor-alkali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465550">
        <w:rPr>
          <w:rFonts w:cs="Times New Roman"/>
          <w:color w:val="000000" w:themeColor="text1"/>
          <w:sz w:val="24"/>
          <w:szCs w:val="24"/>
        </w:rPr>
        <w:t>faci</w:t>
      </w:r>
      <w:r w:rsidRPr="00C317BB" w:rsidR="00D67327">
        <w:rPr>
          <w:rFonts w:cs="Times New Roman"/>
          <w:color w:val="000000" w:themeColor="text1"/>
          <w:sz w:val="24"/>
          <w:szCs w:val="24"/>
        </w:rPr>
        <w:t>lities.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C974C6">
        <w:rPr>
          <w:rFonts w:cs="Times New Roman"/>
          <w:color w:val="000000" w:themeColor="text1"/>
          <w:sz w:val="24"/>
          <w:szCs w:val="24"/>
        </w:rPr>
        <w:t>The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C974C6">
        <w:rPr>
          <w:rFonts w:cs="Times New Roman"/>
          <w:color w:val="000000" w:themeColor="text1"/>
          <w:sz w:val="24"/>
          <w:szCs w:val="24"/>
        </w:rPr>
        <w:t>plants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C974C6">
        <w:rPr>
          <w:rFonts w:cs="Times New Roman"/>
          <w:color w:val="000000" w:themeColor="text1"/>
          <w:sz w:val="24"/>
          <w:szCs w:val="24"/>
        </w:rPr>
        <w:t>range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C974C6">
        <w:rPr>
          <w:rFonts w:cs="Times New Roman"/>
          <w:color w:val="000000" w:themeColor="text1"/>
          <w:sz w:val="24"/>
          <w:szCs w:val="24"/>
        </w:rPr>
        <w:t>in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C974C6">
        <w:rPr>
          <w:rFonts w:cs="Times New Roman"/>
          <w:color w:val="000000" w:themeColor="text1"/>
          <w:sz w:val="24"/>
          <w:szCs w:val="24"/>
        </w:rPr>
        <w:t>age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C974C6">
        <w:rPr>
          <w:rFonts w:cs="Times New Roman"/>
          <w:color w:val="000000" w:themeColor="text1"/>
          <w:sz w:val="24"/>
          <w:szCs w:val="24"/>
        </w:rPr>
        <w:t>from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C974C6">
        <w:rPr>
          <w:rFonts w:cs="Times New Roman"/>
          <w:color w:val="000000" w:themeColor="text1"/>
          <w:sz w:val="24"/>
          <w:szCs w:val="24"/>
        </w:rPr>
        <w:t>40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C974C6">
        <w:rPr>
          <w:rFonts w:cs="Times New Roman"/>
          <w:color w:val="000000" w:themeColor="text1"/>
          <w:sz w:val="24"/>
          <w:szCs w:val="24"/>
        </w:rPr>
        <w:t>to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C974C6">
        <w:rPr>
          <w:rFonts w:cs="Times New Roman"/>
          <w:color w:val="000000" w:themeColor="text1"/>
          <w:sz w:val="24"/>
          <w:szCs w:val="24"/>
        </w:rPr>
        <w:t>123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C974C6">
        <w:rPr>
          <w:rFonts w:cs="Times New Roman"/>
          <w:color w:val="000000" w:themeColor="text1"/>
          <w:sz w:val="24"/>
          <w:szCs w:val="24"/>
        </w:rPr>
        <w:t>years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C974C6">
        <w:rPr>
          <w:rFonts w:cs="Times New Roman"/>
          <w:color w:val="000000" w:themeColor="text1"/>
          <w:sz w:val="24"/>
          <w:szCs w:val="24"/>
        </w:rPr>
        <w:t>old,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C974C6">
        <w:rPr>
          <w:rFonts w:cs="Times New Roman"/>
          <w:color w:val="000000" w:themeColor="text1"/>
          <w:sz w:val="24"/>
          <w:szCs w:val="24"/>
        </w:rPr>
        <w:t>although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C974C6">
        <w:rPr>
          <w:rFonts w:cs="Times New Roman"/>
          <w:color w:val="000000" w:themeColor="text1"/>
          <w:sz w:val="24"/>
          <w:szCs w:val="24"/>
        </w:rPr>
        <w:t>some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C974C6">
        <w:rPr>
          <w:rFonts w:cs="Times New Roman"/>
          <w:color w:val="000000" w:themeColor="text1"/>
          <w:sz w:val="24"/>
          <w:szCs w:val="24"/>
        </w:rPr>
        <w:t>have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C974C6">
        <w:rPr>
          <w:rFonts w:cs="Times New Roman"/>
          <w:color w:val="000000" w:themeColor="text1"/>
          <w:sz w:val="24"/>
          <w:szCs w:val="24"/>
        </w:rPr>
        <w:t>had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C974C6">
        <w:rPr>
          <w:rFonts w:cs="Times New Roman"/>
          <w:color w:val="000000" w:themeColor="text1"/>
          <w:sz w:val="24"/>
          <w:szCs w:val="24"/>
        </w:rPr>
        <w:t>new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C974C6">
        <w:rPr>
          <w:rFonts w:cs="Times New Roman"/>
          <w:color w:val="000000" w:themeColor="text1"/>
          <w:sz w:val="24"/>
          <w:szCs w:val="24"/>
        </w:rPr>
        <w:t>capacity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C974C6">
        <w:rPr>
          <w:rFonts w:cs="Times New Roman"/>
          <w:color w:val="000000" w:themeColor="text1"/>
          <w:sz w:val="24"/>
          <w:szCs w:val="24"/>
        </w:rPr>
        <w:t>added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C974C6">
        <w:rPr>
          <w:rFonts w:cs="Times New Roman"/>
          <w:color w:val="000000" w:themeColor="text1"/>
          <w:sz w:val="24"/>
          <w:szCs w:val="24"/>
        </w:rPr>
        <w:t>as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C974C6">
        <w:rPr>
          <w:rFonts w:cs="Times New Roman"/>
          <w:color w:val="000000" w:themeColor="text1"/>
          <w:sz w:val="24"/>
          <w:szCs w:val="24"/>
        </w:rPr>
        <w:t>recently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C974C6">
        <w:rPr>
          <w:rFonts w:cs="Times New Roman"/>
          <w:color w:val="000000" w:themeColor="text1"/>
          <w:sz w:val="24"/>
          <w:szCs w:val="24"/>
        </w:rPr>
        <w:t>as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C974C6">
        <w:rPr>
          <w:rFonts w:cs="Times New Roman"/>
          <w:color w:val="000000" w:themeColor="text1"/>
          <w:sz w:val="24"/>
          <w:szCs w:val="24"/>
        </w:rPr>
        <w:t>16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C974C6">
        <w:rPr>
          <w:rFonts w:cs="Times New Roman"/>
          <w:color w:val="000000" w:themeColor="text1"/>
          <w:sz w:val="24"/>
          <w:szCs w:val="24"/>
        </w:rPr>
        <w:t>years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C974C6">
        <w:rPr>
          <w:rFonts w:cs="Times New Roman"/>
          <w:color w:val="000000" w:themeColor="text1"/>
          <w:sz w:val="24"/>
          <w:szCs w:val="24"/>
        </w:rPr>
        <w:t>ago,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C974C6">
        <w:rPr>
          <w:rFonts w:cs="Times New Roman"/>
          <w:color w:val="000000" w:themeColor="text1"/>
          <w:sz w:val="24"/>
          <w:szCs w:val="24"/>
        </w:rPr>
        <w:t>and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C974C6">
        <w:rPr>
          <w:rFonts w:cs="Times New Roman"/>
          <w:color w:val="000000" w:themeColor="text1"/>
          <w:sz w:val="24"/>
          <w:szCs w:val="24"/>
        </w:rPr>
        <w:t>others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C974C6">
        <w:rPr>
          <w:rFonts w:cs="Times New Roman"/>
          <w:color w:val="000000" w:themeColor="text1"/>
          <w:sz w:val="24"/>
          <w:szCs w:val="24"/>
        </w:rPr>
        <w:t>may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C974C6">
        <w:rPr>
          <w:rFonts w:cs="Times New Roman"/>
          <w:color w:val="000000" w:themeColor="text1"/>
          <w:sz w:val="24"/>
          <w:szCs w:val="24"/>
        </w:rPr>
        <w:t>have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C974C6">
        <w:rPr>
          <w:rFonts w:cs="Times New Roman"/>
          <w:color w:val="000000" w:themeColor="text1"/>
          <w:sz w:val="24"/>
          <w:szCs w:val="24"/>
        </w:rPr>
        <w:t>had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C974C6">
        <w:rPr>
          <w:rFonts w:cs="Times New Roman"/>
          <w:color w:val="000000" w:themeColor="text1"/>
          <w:sz w:val="24"/>
          <w:szCs w:val="24"/>
        </w:rPr>
        <w:t>recent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C974C6">
        <w:rPr>
          <w:rFonts w:cs="Times New Roman"/>
          <w:color w:val="000000" w:themeColor="text1"/>
          <w:sz w:val="24"/>
          <w:szCs w:val="24"/>
        </w:rPr>
        <w:t>refurbishments</w:t>
      </w:r>
      <w:r w:rsidRPr="00C317BB" w:rsidR="00C775EF">
        <w:rPr>
          <w:rFonts w:cs="Times New Roman"/>
          <w:color w:val="000000" w:themeColor="text1"/>
          <w:sz w:val="24"/>
          <w:szCs w:val="24"/>
        </w:rPr>
        <w:t>.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DC78A2">
        <w:rPr>
          <w:rFonts w:cs="Times New Roman"/>
          <w:color w:val="000000" w:themeColor="text1"/>
          <w:sz w:val="24"/>
          <w:szCs w:val="24"/>
        </w:rPr>
        <w:t>EPA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DC78A2">
        <w:rPr>
          <w:rFonts w:cs="Times New Roman"/>
          <w:color w:val="000000" w:themeColor="text1"/>
          <w:sz w:val="24"/>
          <w:szCs w:val="24"/>
        </w:rPr>
        <w:t>understands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DC78A2">
        <w:rPr>
          <w:rFonts w:cs="Times New Roman"/>
          <w:color w:val="000000" w:themeColor="text1"/>
          <w:sz w:val="24"/>
          <w:szCs w:val="24"/>
        </w:rPr>
        <w:t>from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DC78A2">
        <w:rPr>
          <w:rFonts w:cs="Times New Roman"/>
          <w:color w:val="000000" w:themeColor="text1"/>
          <w:sz w:val="24"/>
          <w:szCs w:val="24"/>
        </w:rPr>
        <w:t>industry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DC78A2">
        <w:rPr>
          <w:rFonts w:cs="Times New Roman"/>
          <w:color w:val="000000" w:themeColor="text1"/>
          <w:sz w:val="24"/>
          <w:szCs w:val="24"/>
        </w:rPr>
        <w:t>stakeholder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DC78A2">
        <w:rPr>
          <w:rFonts w:cs="Times New Roman"/>
          <w:color w:val="000000" w:themeColor="text1"/>
          <w:sz w:val="24"/>
          <w:szCs w:val="24"/>
        </w:rPr>
        <w:t>consultations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2674E5">
        <w:rPr>
          <w:rFonts w:cs="Times New Roman"/>
          <w:color w:val="000000" w:themeColor="text1"/>
          <w:sz w:val="24"/>
          <w:szCs w:val="24"/>
        </w:rPr>
        <w:t>that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DC78A2">
        <w:rPr>
          <w:rFonts w:cs="Times New Roman"/>
          <w:color w:val="000000" w:themeColor="text1"/>
          <w:sz w:val="24"/>
          <w:szCs w:val="24"/>
        </w:rPr>
        <w:t>there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DC78A2">
        <w:rPr>
          <w:rFonts w:cs="Times New Roman"/>
          <w:color w:val="000000" w:themeColor="text1"/>
          <w:sz w:val="24"/>
          <w:szCs w:val="24"/>
        </w:rPr>
        <w:t>are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DC78A2">
        <w:rPr>
          <w:rFonts w:cs="Times New Roman"/>
          <w:color w:val="000000" w:themeColor="text1"/>
          <w:sz w:val="24"/>
          <w:szCs w:val="24"/>
        </w:rPr>
        <w:t>no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626B02">
        <w:rPr>
          <w:rFonts w:cs="Times New Roman"/>
          <w:color w:val="000000" w:themeColor="text1"/>
          <w:sz w:val="24"/>
          <w:szCs w:val="24"/>
        </w:rPr>
        <w:t>plan</w:t>
      </w:r>
      <w:r w:rsidRPr="00C317BB" w:rsidR="00DC78A2">
        <w:rPr>
          <w:rFonts w:cs="Times New Roman"/>
          <w:color w:val="000000" w:themeColor="text1"/>
          <w:sz w:val="24"/>
          <w:szCs w:val="24"/>
        </w:rPr>
        <w:t>s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2B021B">
        <w:rPr>
          <w:rFonts w:cs="Times New Roman"/>
          <w:color w:val="000000" w:themeColor="text1"/>
          <w:sz w:val="24"/>
          <w:szCs w:val="24"/>
        </w:rPr>
        <w:t>to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2B021B">
        <w:rPr>
          <w:rFonts w:cs="Times New Roman"/>
          <w:color w:val="000000" w:themeColor="text1"/>
          <w:sz w:val="24"/>
          <w:szCs w:val="24"/>
        </w:rPr>
        <w:t>build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2B021B">
        <w:rPr>
          <w:rFonts w:cs="Times New Roman"/>
          <w:color w:val="000000" w:themeColor="text1"/>
          <w:sz w:val="24"/>
          <w:szCs w:val="24"/>
        </w:rPr>
        <w:t>new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2B021B">
        <w:rPr>
          <w:rFonts w:cs="Times New Roman"/>
          <w:color w:val="000000" w:themeColor="text1"/>
          <w:sz w:val="24"/>
          <w:szCs w:val="24"/>
        </w:rPr>
        <w:t>chlor-alkali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2B021B">
        <w:rPr>
          <w:rFonts w:cs="Times New Roman"/>
          <w:color w:val="000000" w:themeColor="text1"/>
          <w:sz w:val="24"/>
          <w:szCs w:val="24"/>
        </w:rPr>
        <w:t>plants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2B021B">
        <w:rPr>
          <w:rFonts w:cs="Times New Roman"/>
          <w:color w:val="000000" w:themeColor="text1"/>
          <w:sz w:val="24"/>
          <w:szCs w:val="24"/>
        </w:rPr>
        <w:t>that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2B021B">
        <w:rPr>
          <w:rFonts w:cs="Times New Roman"/>
          <w:color w:val="000000" w:themeColor="text1"/>
          <w:sz w:val="24"/>
          <w:szCs w:val="24"/>
        </w:rPr>
        <w:t>u</w:t>
      </w:r>
      <w:r w:rsidRPr="00C317BB" w:rsidR="00544495">
        <w:rPr>
          <w:rFonts w:cs="Times New Roman"/>
          <w:color w:val="000000" w:themeColor="text1"/>
          <w:sz w:val="24"/>
          <w:szCs w:val="24"/>
        </w:rPr>
        <w:t>se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2B021B">
        <w:rPr>
          <w:rFonts w:cs="Times New Roman"/>
          <w:color w:val="000000" w:themeColor="text1"/>
          <w:sz w:val="24"/>
          <w:szCs w:val="24"/>
        </w:rPr>
        <w:t>chrysotile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2B021B">
        <w:rPr>
          <w:rFonts w:cs="Times New Roman"/>
          <w:color w:val="000000" w:themeColor="text1"/>
          <w:sz w:val="24"/>
          <w:szCs w:val="24"/>
        </w:rPr>
        <w:t>asbestos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B146A0">
        <w:rPr>
          <w:rFonts w:cs="Times New Roman"/>
          <w:color w:val="000000" w:themeColor="text1"/>
          <w:sz w:val="24"/>
          <w:szCs w:val="24"/>
        </w:rPr>
        <w:t>technology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2B021B">
        <w:rPr>
          <w:rFonts w:cs="Times New Roman"/>
          <w:color w:val="000000" w:themeColor="text1"/>
          <w:sz w:val="24"/>
          <w:szCs w:val="24"/>
        </w:rPr>
        <w:t>for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2B021B">
        <w:rPr>
          <w:rFonts w:cs="Times New Roman"/>
          <w:color w:val="000000" w:themeColor="text1"/>
          <w:sz w:val="24"/>
          <w:szCs w:val="24"/>
        </w:rPr>
        <w:t>the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2B021B">
        <w:rPr>
          <w:rFonts w:cs="Times New Roman"/>
          <w:color w:val="000000" w:themeColor="text1"/>
          <w:sz w:val="24"/>
          <w:szCs w:val="24"/>
        </w:rPr>
        <w:t>production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2B021B">
        <w:rPr>
          <w:rFonts w:cs="Times New Roman"/>
          <w:color w:val="000000" w:themeColor="text1"/>
          <w:sz w:val="24"/>
          <w:szCs w:val="24"/>
        </w:rPr>
        <w:t>of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2B021B">
        <w:rPr>
          <w:rFonts w:cs="Times New Roman"/>
          <w:color w:val="000000" w:themeColor="text1"/>
          <w:sz w:val="24"/>
          <w:szCs w:val="24"/>
        </w:rPr>
        <w:t>chlorine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2B021B">
        <w:rPr>
          <w:rFonts w:cs="Times New Roman"/>
          <w:color w:val="000000" w:themeColor="text1"/>
          <w:sz w:val="24"/>
          <w:szCs w:val="24"/>
        </w:rPr>
        <w:t>and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2B021B">
        <w:rPr>
          <w:rFonts w:cs="Times New Roman"/>
          <w:color w:val="000000" w:themeColor="text1"/>
          <w:sz w:val="24"/>
          <w:szCs w:val="24"/>
        </w:rPr>
        <w:t>caustic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2B021B">
        <w:rPr>
          <w:rFonts w:cs="Times New Roman"/>
          <w:color w:val="000000" w:themeColor="text1"/>
          <w:sz w:val="24"/>
          <w:szCs w:val="24"/>
        </w:rPr>
        <w:t>soda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DC78A2">
        <w:rPr>
          <w:rFonts w:cs="Times New Roman"/>
          <w:color w:val="000000" w:themeColor="text1"/>
          <w:sz w:val="24"/>
          <w:szCs w:val="24"/>
        </w:rPr>
        <w:t>(Ref</w:t>
      </w:r>
      <w:r w:rsidRPr="00C317BB" w:rsidR="00BC6642">
        <w:rPr>
          <w:rFonts w:cs="Times New Roman"/>
          <w:color w:val="000000" w:themeColor="text1"/>
          <w:sz w:val="24"/>
          <w:szCs w:val="24"/>
        </w:rPr>
        <w:t>s</w:t>
      </w:r>
      <w:r w:rsidR="00C317BB">
        <w:rPr>
          <w:rFonts w:cs="Times New Roman"/>
          <w:color w:val="000000" w:themeColor="text1"/>
          <w:sz w:val="24"/>
          <w:szCs w:val="24"/>
        </w:rPr>
        <w:t>.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BC6642">
        <w:rPr>
          <w:rFonts w:cs="Times New Roman"/>
          <w:color w:val="000000" w:themeColor="text1"/>
          <w:sz w:val="24"/>
          <w:szCs w:val="24"/>
        </w:rPr>
        <w:t>14,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BC6642">
        <w:rPr>
          <w:rFonts w:cs="Times New Roman"/>
          <w:color w:val="000000" w:themeColor="text1"/>
          <w:sz w:val="24"/>
          <w:szCs w:val="24"/>
        </w:rPr>
        <w:t>15,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CC6A38">
        <w:rPr>
          <w:rFonts w:cs="Times New Roman"/>
          <w:color w:val="000000" w:themeColor="text1"/>
          <w:sz w:val="24"/>
          <w:szCs w:val="24"/>
        </w:rPr>
        <w:t>and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BC6642">
        <w:rPr>
          <w:rFonts w:cs="Times New Roman"/>
          <w:color w:val="000000" w:themeColor="text1"/>
          <w:sz w:val="24"/>
          <w:szCs w:val="24"/>
        </w:rPr>
        <w:t>16</w:t>
      </w:r>
      <w:r w:rsidRPr="00C317BB" w:rsidR="00CD2327">
        <w:rPr>
          <w:rFonts w:cs="Times New Roman"/>
          <w:color w:val="000000" w:themeColor="text1"/>
          <w:sz w:val="24"/>
          <w:szCs w:val="24"/>
        </w:rPr>
        <w:t>)</w:t>
      </w:r>
      <w:r w:rsidRPr="00C317BB" w:rsidR="002B021B">
        <w:rPr>
          <w:rFonts w:cs="Times New Roman"/>
          <w:color w:val="000000" w:themeColor="text1"/>
          <w:sz w:val="24"/>
          <w:szCs w:val="24"/>
        </w:rPr>
        <w:t>.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355F16">
        <w:rPr>
          <w:rFonts w:cs="Times New Roman"/>
          <w:color w:val="000000" w:themeColor="text1"/>
          <w:sz w:val="24"/>
          <w:szCs w:val="24"/>
        </w:rPr>
        <w:t>One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355F16">
        <w:rPr>
          <w:rFonts w:cs="Times New Roman"/>
          <w:color w:val="000000" w:themeColor="text1"/>
          <w:sz w:val="24"/>
          <w:szCs w:val="24"/>
        </w:rPr>
        <w:t>of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355F16">
        <w:rPr>
          <w:rFonts w:cs="Times New Roman"/>
          <w:color w:val="000000" w:themeColor="text1"/>
          <w:sz w:val="24"/>
          <w:szCs w:val="24"/>
        </w:rPr>
        <w:t>the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355F16">
        <w:rPr>
          <w:rFonts w:cs="Times New Roman"/>
          <w:color w:val="000000" w:themeColor="text1"/>
          <w:sz w:val="24"/>
          <w:szCs w:val="24"/>
        </w:rPr>
        <w:t>three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355F16">
        <w:rPr>
          <w:rFonts w:cs="Times New Roman"/>
          <w:color w:val="000000" w:themeColor="text1"/>
          <w:sz w:val="24"/>
          <w:szCs w:val="24"/>
        </w:rPr>
        <w:t>remaining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355F16">
        <w:rPr>
          <w:rFonts w:cs="Times New Roman"/>
          <w:color w:val="000000" w:themeColor="text1"/>
          <w:sz w:val="24"/>
          <w:szCs w:val="24"/>
        </w:rPr>
        <w:t>chlor-alkali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355F16">
        <w:rPr>
          <w:rFonts w:cs="Times New Roman"/>
          <w:color w:val="000000" w:themeColor="text1"/>
          <w:sz w:val="24"/>
          <w:szCs w:val="24"/>
        </w:rPr>
        <w:t>companies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355F16">
        <w:rPr>
          <w:rFonts w:cs="Times New Roman"/>
          <w:color w:val="000000" w:themeColor="text1"/>
          <w:sz w:val="24"/>
          <w:szCs w:val="24"/>
        </w:rPr>
        <w:t>that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355F16">
        <w:rPr>
          <w:rFonts w:cs="Times New Roman"/>
          <w:color w:val="000000" w:themeColor="text1"/>
          <w:sz w:val="24"/>
          <w:szCs w:val="24"/>
        </w:rPr>
        <w:t>continue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355F16">
        <w:rPr>
          <w:rFonts w:cs="Times New Roman"/>
          <w:color w:val="000000" w:themeColor="text1"/>
          <w:sz w:val="24"/>
          <w:szCs w:val="24"/>
        </w:rPr>
        <w:t>to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355F16">
        <w:rPr>
          <w:rFonts w:cs="Times New Roman"/>
          <w:color w:val="000000" w:themeColor="text1"/>
          <w:sz w:val="24"/>
          <w:szCs w:val="24"/>
        </w:rPr>
        <w:t>u</w:t>
      </w:r>
      <w:r w:rsidRPr="00C317BB" w:rsidR="000A39E7">
        <w:rPr>
          <w:rFonts w:cs="Times New Roman"/>
          <w:color w:val="000000" w:themeColor="text1"/>
          <w:sz w:val="24"/>
          <w:szCs w:val="24"/>
        </w:rPr>
        <w:t>se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355F16">
        <w:rPr>
          <w:rFonts w:cs="Times New Roman"/>
          <w:color w:val="000000" w:themeColor="text1"/>
          <w:sz w:val="24"/>
          <w:szCs w:val="24"/>
        </w:rPr>
        <w:t>chrysotile-asbestos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355F16">
        <w:rPr>
          <w:rFonts w:cs="Times New Roman"/>
          <w:color w:val="000000" w:themeColor="text1"/>
          <w:sz w:val="24"/>
          <w:szCs w:val="24"/>
        </w:rPr>
        <w:t>technology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2C4E82">
        <w:rPr>
          <w:rFonts w:cs="Times New Roman"/>
          <w:color w:val="000000" w:themeColor="text1"/>
          <w:sz w:val="24"/>
          <w:szCs w:val="24"/>
        </w:rPr>
        <w:t>domestically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B82F79">
        <w:rPr>
          <w:rFonts w:cs="Times New Roman"/>
          <w:color w:val="000000" w:themeColor="text1"/>
          <w:sz w:val="24"/>
          <w:szCs w:val="24"/>
        </w:rPr>
        <w:t>stated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B82F79">
        <w:rPr>
          <w:rFonts w:cs="Times New Roman"/>
          <w:color w:val="000000" w:themeColor="text1"/>
          <w:sz w:val="24"/>
          <w:szCs w:val="24"/>
        </w:rPr>
        <w:t>to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B82F79">
        <w:rPr>
          <w:rFonts w:cs="Times New Roman"/>
          <w:color w:val="000000" w:themeColor="text1"/>
          <w:sz w:val="24"/>
          <w:szCs w:val="24"/>
        </w:rPr>
        <w:t>EPA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B82F79">
        <w:rPr>
          <w:rFonts w:cs="Times New Roman"/>
          <w:color w:val="000000" w:themeColor="text1"/>
          <w:sz w:val="24"/>
          <w:szCs w:val="24"/>
        </w:rPr>
        <w:t>in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B82F79">
        <w:rPr>
          <w:rFonts w:cs="Times New Roman"/>
          <w:color w:val="000000" w:themeColor="text1"/>
          <w:sz w:val="24"/>
          <w:szCs w:val="24"/>
        </w:rPr>
        <w:t>2017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2674E5">
        <w:rPr>
          <w:rFonts w:cs="Times New Roman"/>
          <w:color w:val="000000" w:themeColor="text1"/>
          <w:sz w:val="24"/>
          <w:szCs w:val="24"/>
        </w:rPr>
        <w:t>that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0227F0">
        <w:rPr>
          <w:rFonts w:cs="Times New Roman"/>
          <w:color w:val="000000" w:themeColor="text1"/>
          <w:sz w:val="24"/>
          <w:szCs w:val="24"/>
        </w:rPr>
        <w:t>they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E61312">
        <w:rPr>
          <w:rFonts w:cs="Times New Roman"/>
          <w:color w:val="000000" w:themeColor="text1"/>
          <w:sz w:val="24"/>
          <w:szCs w:val="24"/>
        </w:rPr>
        <w:t>plan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E61312">
        <w:rPr>
          <w:rFonts w:cs="Times New Roman"/>
          <w:color w:val="000000" w:themeColor="text1"/>
          <w:sz w:val="24"/>
          <w:szCs w:val="24"/>
        </w:rPr>
        <w:t>to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355F16">
        <w:rPr>
          <w:rFonts w:cs="Times New Roman"/>
          <w:color w:val="000000" w:themeColor="text1"/>
          <w:sz w:val="24"/>
          <w:szCs w:val="24"/>
        </w:rPr>
        <w:t>voluntarily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355F16">
        <w:rPr>
          <w:rFonts w:cs="Times New Roman"/>
          <w:color w:val="000000" w:themeColor="text1"/>
          <w:sz w:val="24"/>
          <w:szCs w:val="24"/>
        </w:rPr>
        <w:t>discontinue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355F16">
        <w:rPr>
          <w:rFonts w:cs="Times New Roman"/>
          <w:color w:val="000000" w:themeColor="text1"/>
          <w:sz w:val="24"/>
          <w:szCs w:val="24"/>
        </w:rPr>
        <w:t>the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355F16">
        <w:rPr>
          <w:rFonts w:cs="Times New Roman"/>
          <w:color w:val="000000" w:themeColor="text1"/>
          <w:sz w:val="24"/>
          <w:szCs w:val="24"/>
        </w:rPr>
        <w:t>use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355F16">
        <w:rPr>
          <w:rFonts w:cs="Times New Roman"/>
          <w:color w:val="000000" w:themeColor="text1"/>
          <w:sz w:val="24"/>
          <w:szCs w:val="24"/>
        </w:rPr>
        <w:t>chrysotile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355F16">
        <w:rPr>
          <w:rFonts w:cs="Times New Roman"/>
          <w:color w:val="000000" w:themeColor="text1"/>
          <w:sz w:val="24"/>
          <w:szCs w:val="24"/>
        </w:rPr>
        <w:t>asbestos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EA0A03">
        <w:rPr>
          <w:rFonts w:cs="Times New Roman"/>
          <w:color w:val="000000" w:themeColor="text1"/>
          <w:sz w:val="24"/>
          <w:szCs w:val="24"/>
        </w:rPr>
        <w:t>(Ref</w:t>
      </w:r>
      <w:r w:rsidRPr="00C317BB" w:rsidR="005E6452">
        <w:rPr>
          <w:rFonts w:cs="Times New Roman"/>
          <w:color w:val="000000" w:themeColor="text1"/>
          <w:sz w:val="24"/>
          <w:szCs w:val="24"/>
        </w:rPr>
        <w:t>.</w:t>
      </w:r>
      <w:r w:rsidR="005613B2">
        <w:rPr>
          <w:rFonts w:cs="Times New Roman"/>
          <w:color w:val="000000" w:themeColor="text1"/>
          <w:sz w:val="24"/>
          <w:szCs w:val="24"/>
        </w:rPr>
        <w:t xml:space="preserve"> </w:t>
      </w:r>
      <w:r w:rsidRPr="00C317BB" w:rsidR="0058396D">
        <w:rPr>
          <w:rFonts w:cs="Times New Roman"/>
          <w:color w:val="000000" w:themeColor="text1"/>
          <w:sz w:val="24"/>
          <w:szCs w:val="24"/>
        </w:rPr>
        <w:t>1</w:t>
      </w:r>
      <w:r w:rsidRPr="00C317BB" w:rsidR="008C56A6">
        <w:rPr>
          <w:rFonts w:cs="Times New Roman"/>
          <w:color w:val="000000" w:themeColor="text1"/>
          <w:sz w:val="24"/>
          <w:szCs w:val="24"/>
        </w:rPr>
        <w:t>8</w:t>
      </w:r>
      <w:r w:rsidRPr="00C317BB" w:rsidR="00EA0A03">
        <w:rPr>
          <w:rFonts w:cs="Times New Roman"/>
          <w:color w:val="000000" w:themeColor="text1"/>
          <w:sz w:val="24"/>
          <w:szCs w:val="24"/>
        </w:rPr>
        <w:t>)</w:t>
      </w:r>
      <w:r w:rsidRPr="00C317BB" w:rsidR="007E00D9">
        <w:rPr>
          <w:rFonts w:cs="Times New Roman"/>
          <w:color w:val="000000" w:themeColor="text1"/>
          <w:sz w:val="24"/>
          <w:szCs w:val="24"/>
        </w:rPr>
        <w:t>.</w:t>
      </w:r>
    </w:p>
    <w:p w:rsidRPr="00C317BB" w:rsidR="00E552B6" w:rsidP="00F27167" w:rsidRDefault="006B4DC4" w14:paraId="39FFED0B" w14:textId="3B95A8A9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Globally,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B57B1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B57B1">
        <w:rPr>
          <w:rFonts w:cs="Times New Roman"/>
          <w:color w:val="000000" w:themeColor="text1"/>
          <w:szCs w:val="24"/>
        </w:rPr>
        <w:t>chlor-alkali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D110B">
        <w:rPr>
          <w:rFonts w:cs="Times New Roman"/>
          <w:color w:val="000000" w:themeColor="text1"/>
          <w:szCs w:val="24"/>
        </w:rPr>
        <w:t>industry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D110B">
        <w:rPr>
          <w:rFonts w:cs="Times New Roman"/>
          <w:color w:val="000000" w:themeColor="text1"/>
          <w:szCs w:val="24"/>
        </w:rPr>
        <w:t>has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D110B">
        <w:rPr>
          <w:rFonts w:cs="Times New Roman"/>
          <w:color w:val="000000" w:themeColor="text1"/>
          <w:szCs w:val="24"/>
        </w:rPr>
        <w:t>transitioned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06B38">
        <w:rPr>
          <w:rFonts w:cs="Times New Roman"/>
          <w:color w:val="000000" w:themeColor="text1"/>
          <w:szCs w:val="24"/>
        </w:rPr>
        <w:t>away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06B38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06B38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06B38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06B38">
        <w:rPr>
          <w:rFonts w:cs="Times New Roman"/>
          <w:color w:val="000000" w:themeColor="text1"/>
          <w:szCs w:val="24"/>
        </w:rPr>
        <w:t>diaphrag</w:t>
      </w:r>
      <w:r w:rsidRPr="00C317BB" w:rsidR="008C7E07">
        <w:rPr>
          <w:rFonts w:cs="Times New Roman"/>
          <w:color w:val="000000" w:themeColor="text1"/>
          <w:szCs w:val="24"/>
        </w:rPr>
        <w:t>ms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D110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D110B">
        <w:rPr>
          <w:rFonts w:cs="Times New Roman"/>
          <w:color w:val="000000" w:themeColor="text1"/>
          <w:szCs w:val="24"/>
        </w:rPr>
        <w:t>membrane</w:t>
      </w:r>
      <w:r w:rsidRPr="00C317BB" w:rsidR="002477FD">
        <w:rPr>
          <w:rFonts w:cs="Times New Roman"/>
          <w:color w:val="000000" w:themeColor="text1"/>
          <w:szCs w:val="24"/>
        </w:rPr>
        <w:t>-based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477FD">
        <w:rPr>
          <w:rFonts w:cs="Times New Roman"/>
          <w:color w:val="000000" w:themeColor="text1"/>
          <w:szCs w:val="24"/>
        </w:rPr>
        <w:t>technology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F6367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02270">
        <w:rPr>
          <w:rFonts w:cs="Times New Roman"/>
          <w:color w:val="000000" w:themeColor="text1"/>
          <w:szCs w:val="24"/>
        </w:rPr>
        <w:t>asbestos-free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02270">
        <w:rPr>
          <w:rFonts w:cs="Times New Roman"/>
          <w:color w:val="000000" w:themeColor="text1"/>
          <w:szCs w:val="24"/>
        </w:rPr>
        <w:t>diaphragm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02270">
        <w:rPr>
          <w:rFonts w:cs="Times New Roman"/>
          <w:color w:val="000000" w:themeColor="text1"/>
          <w:szCs w:val="24"/>
        </w:rPr>
        <w:t>technology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27A69">
        <w:rPr>
          <w:rFonts w:cs="Times New Roman"/>
          <w:color w:val="000000" w:themeColor="text1"/>
          <w:szCs w:val="24"/>
        </w:rPr>
        <w:t>due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27A69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A3539">
        <w:rPr>
          <w:rFonts w:cs="Times New Roman"/>
          <w:color w:val="000000" w:themeColor="text1"/>
          <w:szCs w:val="24"/>
        </w:rPr>
        <w:t>prohibitions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A3539">
        <w:rPr>
          <w:rFonts w:cs="Times New Roman"/>
          <w:color w:val="000000" w:themeColor="text1"/>
          <w:szCs w:val="24"/>
        </w:rPr>
        <w:t>o</w:t>
      </w:r>
      <w:r w:rsidRPr="00C317BB" w:rsidR="00940C9E">
        <w:rPr>
          <w:rFonts w:cs="Times New Roman"/>
          <w:color w:val="000000" w:themeColor="text1"/>
          <w:szCs w:val="24"/>
        </w:rPr>
        <w:t>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A691D">
        <w:rPr>
          <w:rFonts w:cs="Times New Roman"/>
          <w:color w:val="000000" w:themeColor="text1"/>
          <w:szCs w:val="24"/>
        </w:rPr>
        <w:t>impending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A691D">
        <w:rPr>
          <w:rFonts w:cs="Times New Roman"/>
          <w:color w:val="000000" w:themeColor="text1"/>
          <w:szCs w:val="24"/>
        </w:rPr>
        <w:t>prohibitions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A691D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A691D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A691D">
        <w:rPr>
          <w:rFonts w:cs="Times New Roman"/>
          <w:color w:val="000000" w:themeColor="text1"/>
          <w:szCs w:val="24"/>
        </w:rPr>
        <w:t>asbesto</w:t>
      </w:r>
      <w:r w:rsidRPr="00C317BB" w:rsidR="00940C9E">
        <w:rPr>
          <w:rFonts w:cs="Times New Roman"/>
          <w:color w:val="000000" w:themeColor="text1"/>
          <w:szCs w:val="24"/>
        </w:rPr>
        <w:t>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0C9E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164D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164D">
        <w:rPr>
          <w:rFonts w:cs="Times New Roman"/>
          <w:color w:val="000000" w:themeColor="text1"/>
          <w:szCs w:val="24"/>
        </w:rPr>
        <w:t>advantages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164D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164D">
        <w:rPr>
          <w:rFonts w:cs="Times New Roman"/>
          <w:color w:val="000000" w:themeColor="text1"/>
          <w:szCs w:val="24"/>
        </w:rPr>
        <w:t>a</w:t>
      </w:r>
      <w:r w:rsidRPr="00C317BB" w:rsidR="00301609">
        <w:rPr>
          <w:rFonts w:cs="Times New Roman"/>
          <w:color w:val="000000" w:themeColor="text1"/>
          <w:szCs w:val="24"/>
        </w:rPr>
        <w:t>sbestos-free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01609">
        <w:rPr>
          <w:rFonts w:cs="Times New Roman"/>
          <w:color w:val="000000" w:themeColor="text1"/>
          <w:szCs w:val="24"/>
        </w:rPr>
        <w:t>technology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01609">
        <w:rPr>
          <w:rFonts w:cs="Times New Roman"/>
          <w:color w:val="000000" w:themeColor="text1"/>
          <w:szCs w:val="24"/>
        </w:rPr>
        <w:t>including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610FE">
        <w:rPr>
          <w:rFonts w:cs="Times New Roman"/>
          <w:color w:val="000000" w:themeColor="text1"/>
          <w:szCs w:val="24"/>
        </w:rPr>
        <w:t>great</w:t>
      </w:r>
      <w:r w:rsidRPr="00C317BB" w:rsidR="00BF4935">
        <w:rPr>
          <w:rFonts w:cs="Times New Roman"/>
          <w:color w:val="000000" w:themeColor="text1"/>
          <w:szCs w:val="24"/>
        </w:rPr>
        <w:t>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610FE">
        <w:rPr>
          <w:rFonts w:cs="Times New Roman"/>
          <w:color w:val="000000" w:themeColor="text1"/>
          <w:szCs w:val="24"/>
        </w:rPr>
        <w:t>energy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610FE">
        <w:rPr>
          <w:rFonts w:cs="Times New Roman"/>
          <w:color w:val="000000" w:themeColor="text1"/>
          <w:szCs w:val="24"/>
        </w:rPr>
        <w:t>efficiency</w:t>
      </w:r>
      <w:r w:rsidRPr="00C317BB" w:rsidR="004545A6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610FE">
        <w:rPr>
          <w:rFonts w:cs="Times New Roman"/>
          <w:color w:val="000000" w:themeColor="text1"/>
          <w:szCs w:val="24"/>
        </w:rPr>
        <w:t>a</w:t>
      </w:r>
      <w:r w:rsidRPr="00C317BB" w:rsidR="009E5397">
        <w:rPr>
          <w:rFonts w:cs="Times New Roman"/>
          <w:color w:val="000000" w:themeColor="text1"/>
          <w:szCs w:val="24"/>
        </w:rPr>
        <w:t>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610FE">
        <w:rPr>
          <w:rFonts w:cs="Times New Roman"/>
          <w:color w:val="000000" w:themeColor="text1"/>
          <w:szCs w:val="24"/>
        </w:rPr>
        <w:t>reduced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610FE">
        <w:rPr>
          <w:rFonts w:cs="Times New Roman"/>
          <w:color w:val="000000" w:themeColor="text1"/>
          <w:szCs w:val="24"/>
        </w:rPr>
        <w:t>waste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610FE">
        <w:rPr>
          <w:rFonts w:cs="Times New Roman"/>
          <w:color w:val="000000" w:themeColor="text1"/>
          <w:szCs w:val="24"/>
        </w:rPr>
        <w:t>handling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610FE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610FE">
        <w:rPr>
          <w:rFonts w:cs="Times New Roman"/>
          <w:color w:val="000000" w:themeColor="text1"/>
          <w:szCs w:val="24"/>
        </w:rPr>
        <w:t>disposal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610FE">
        <w:rPr>
          <w:rFonts w:cs="Times New Roman"/>
          <w:color w:val="000000" w:themeColor="text1"/>
          <w:szCs w:val="24"/>
        </w:rPr>
        <w:t>costs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610FE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610FE">
        <w:rPr>
          <w:rFonts w:cs="Times New Roman"/>
          <w:color w:val="000000" w:themeColor="text1"/>
          <w:szCs w:val="24"/>
        </w:rPr>
        <w:t>asbestos-free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610FE">
        <w:rPr>
          <w:rFonts w:cs="Times New Roman"/>
          <w:color w:val="000000" w:themeColor="text1"/>
          <w:szCs w:val="24"/>
        </w:rPr>
        <w:t>materials</w:t>
      </w:r>
      <w:r w:rsidRPr="00C317BB" w:rsidR="00086D51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F2108">
        <w:rPr>
          <w:rFonts w:cs="Times New Roman"/>
          <w:color w:val="000000" w:themeColor="text1"/>
          <w:szCs w:val="24"/>
        </w:rPr>
        <w:t>Only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F2108">
        <w:rPr>
          <w:rFonts w:cs="Times New Roman"/>
          <w:color w:val="000000" w:themeColor="text1"/>
          <w:szCs w:val="24"/>
        </w:rPr>
        <w:t>one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86D51">
        <w:rPr>
          <w:rFonts w:cs="Times New Roman"/>
          <w:color w:val="000000" w:themeColor="text1"/>
          <w:szCs w:val="24"/>
        </w:rPr>
        <w:t>chlor-alkali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86D51">
        <w:rPr>
          <w:rFonts w:cs="Times New Roman"/>
          <w:color w:val="000000" w:themeColor="text1"/>
          <w:szCs w:val="24"/>
        </w:rPr>
        <w:t>plant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B370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B370B">
        <w:rPr>
          <w:rFonts w:cs="Times New Roman"/>
          <w:color w:val="000000" w:themeColor="text1"/>
          <w:szCs w:val="24"/>
        </w:rPr>
        <w:t>uses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115B9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115B9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115B9">
        <w:rPr>
          <w:rFonts w:cs="Times New Roman"/>
          <w:color w:val="000000" w:themeColor="text1"/>
          <w:szCs w:val="24"/>
        </w:rPr>
        <w:t>technology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remains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operation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2DCF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A4BDF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A4BDF">
        <w:rPr>
          <w:rFonts w:cs="Times New Roman"/>
          <w:color w:val="000000" w:themeColor="text1"/>
          <w:szCs w:val="24"/>
        </w:rPr>
        <w:t>European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A4BDF">
        <w:rPr>
          <w:rFonts w:cs="Times New Roman"/>
          <w:color w:val="000000" w:themeColor="text1"/>
          <w:szCs w:val="24"/>
        </w:rPr>
        <w:t>Union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7127">
        <w:rPr>
          <w:rFonts w:cs="Times New Roman"/>
          <w:color w:val="000000" w:themeColor="text1"/>
          <w:szCs w:val="24"/>
        </w:rPr>
        <w:t>(EU)</w:t>
      </w:r>
      <w:r w:rsidR="00C317BB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4557">
        <w:rPr>
          <w:rFonts w:cs="Times New Roman"/>
          <w:color w:val="000000" w:themeColor="text1"/>
          <w:szCs w:val="24"/>
        </w:rPr>
        <w:t>but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="00C317BB">
        <w:rPr>
          <w:rFonts w:cs="Times New Roman"/>
          <w:color w:val="000000" w:themeColor="text1"/>
          <w:szCs w:val="24"/>
        </w:rPr>
        <w:t>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A4BDF">
        <w:rPr>
          <w:rFonts w:cs="Times New Roman"/>
          <w:color w:val="000000" w:themeColor="text1"/>
          <w:szCs w:val="24"/>
        </w:rPr>
        <w:t>will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C6F0A">
        <w:rPr>
          <w:rFonts w:cs="Times New Roman"/>
          <w:color w:val="000000" w:themeColor="text1"/>
          <w:szCs w:val="24"/>
        </w:rPr>
        <w:t>phase-out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0790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C6F0A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0790B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C6F0A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D61C4">
        <w:rPr>
          <w:rFonts w:cs="Times New Roman"/>
          <w:color w:val="000000" w:themeColor="text1"/>
          <w:szCs w:val="24"/>
        </w:rPr>
        <w:t>no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D61C4">
        <w:rPr>
          <w:rFonts w:cs="Times New Roman"/>
          <w:color w:val="000000" w:themeColor="text1"/>
          <w:szCs w:val="24"/>
        </w:rPr>
        <w:t>later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D61C4">
        <w:rPr>
          <w:rFonts w:cs="Times New Roman"/>
          <w:color w:val="000000" w:themeColor="text1"/>
          <w:szCs w:val="24"/>
        </w:rPr>
        <w:t>than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A4BDF">
        <w:rPr>
          <w:rFonts w:cs="Times New Roman"/>
          <w:color w:val="000000" w:themeColor="text1"/>
          <w:szCs w:val="24"/>
        </w:rPr>
        <w:t>2025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72FE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72FE">
        <w:rPr>
          <w:rFonts w:cs="Times New Roman"/>
          <w:color w:val="000000" w:themeColor="text1"/>
          <w:szCs w:val="24"/>
        </w:rPr>
        <w:t>comply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72FE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7127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7127">
        <w:rPr>
          <w:rFonts w:cs="Times New Roman"/>
          <w:color w:val="000000" w:themeColor="text1"/>
          <w:szCs w:val="24"/>
        </w:rPr>
        <w:t>EU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7127">
        <w:rPr>
          <w:rFonts w:cs="Times New Roman"/>
          <w:color w:val="000000" w:themeColor="text1"/>
          <w:szCs w:val="24"/>
        </w:rPr>
        <w:t>prohibition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7127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C5AE2">
        <w:rPr>
          <w:rFonts w:cs="Times New Roman"/>
          <w:color w:val="000000" w:themeColor="text1"/>
          <w:szCs w:val="24"/>
        </w:rPr>
        <w:t>chr</w:t>
      </w:r>
      <w:r w:rsidRPr="00C317BB" w:rsidR="00F37CDD">
        <w:rPr>
          <w:rFonts w:cs="Times New Roman"/>
          <w:color w:val="000000" w:themeColor="text1"/>
          <w:szCs w:val="24"/>
        </w:rPr>
        <w:t>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D0F6D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7127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7127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7127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7127">
        <w:rPr>
          <w:rFonts w:cs="Times New Roman"/>
          <w:color w:val="000000" w:themeColor="text1"/>
          <w:szCs w:val="24"/>
        </w:rPr>
        <w:t>date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1CCF">
        <w:rPr>
          <w:rFonts w:cs="Times New Roman"/>
          <w:color w:val="000000" w:themeColor="text1"/>
          <w:szCs w:val="24"/>
        </w:rPr>
        <w:t>(Ref.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0626E">
        <w:rPr>
          <w:rFonts w:cs="Times New Roman"/>
          <w:color w:val="000000" w:themeColor="text1"/>
          <w:szCs w:val="24"/>
        </w:rPr>
        <w:t>1</w:t>
      </w:r>
      <w:r w:rsidRPr="00C317BB" w:rsidR="008C56A6">
        <w:rPr>
          <w:rFonts w:cs="Times New Roman"/>
          <w:color w:val="000000" w:themeColor="text1"/>
          <w:szCs w:val="24"/>
        </w:rPr>
        <w:t>9</w:t>
      </w:r>
      <w:r w:rsidRPr="00C317BB" w:rsidR="0050626E">
        <w:rPr>
          <w:rFonts w:cs="Times New Roman"/>
          <w:color w:val="000000" w:themeColor="text1"/>
          <w:szCs w:val="24"/>
        </w:rPr>
        <w:t>)</w:t>
      </w:r>
      <w:r w:rsidRPr="00C317BB" w:rsidR="00EA4BDF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F4D7E">
        <w:rPr>
          <w:rFonts w:cs="Times New Roman"/>
          <w:color w:val="000000" w:themeColor="text1"/>
          <w:szCs w:val="24"/>
        </w:rPr>
        <w:t>One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646B">
        <w:rPr>
          <w:rFonts w:cs="Times New Roman"/>
          <w:color w:val="000000" w:themeColor="text1"/>
          <w:szCs w:val="24"/>
        </w:rPr>
        <w:t>chlor-alkali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646B">
        <w:rPr>
          <w:rFonts w:cs="Times New Roman"/>
          <w:color w:val="000000" w:themeColor="text1"/>
          <w:szCs w:val="24"/>
        </w:rPr>
        <w:t>plant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646B">
        <w:rPr>
          <w:rFonts w:cs="Times New Roman"/>
          <w:color w:val="000000" w:themeColor="text1"/>
          <w:szCs w:val="24"/>
        </w:rPr>
        <w:t>utilizing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F7E7E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F7E7E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F7E7E">
        <w:rPr>
          <w:rFonts w:cs="Times New Roman"/>
          <w:color w:val="000000" w:themeColor="text1"/>
          <w:szCs w:val="24"/>
        </w:rPr>
        <w:t>technology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E26CD">
        <w:rPr>
          <w:rFonts w:cs="Times New Roman"/>
          <w:color w:val="000000" w:themeColor="text1"/>
          <w:szCs w:val="24"/>
        </w:rPr>
        <w:t>remain</w:t>
      </w:r>
      <w:r w:rsidRPr="00C317BB" w:rsidR="005F4D7E">
        <w:rPr>
          <w:rFonts w:cs="Times New Roman"/>
          <w:color w:val="000000" w:themeColor="text1"/>
          <w:szCs w:val="24"/>
        </w:rPr>
        <w:t>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E26CD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E26CD">
        <w:rPr>
          <w:rFonts w:cs="Times New Roman"/>
          <w:color w:val="000000" w:themeColor="text1"/>
          <w:szCs w:val="24"/>
        </w:rPr>
        <w:t>operation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6FEC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6FEC">
        <w:rPr>
          <w:rFonts w:cs="Times New Roman"/>
          <w:color w:val="000000" w:themeColor="text1"/>
          <w:szCs w:val="24"/>
        </w:rPr>
        <w:t>Canada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D0F6D">
        <w:rPr>
          <w:rFonts w:cs="Times New Roman"/>
          <w:color w:val="000000" w:themeColor="text1"/>
          <w:szCs w:val="24"/>
        </w:rPr>
        <w:t>(Ref.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D0F6D">
        <w:rPr>
          <w:rFonts w:cs="Times New Roman"/>
          <w:color w:val="000000" w:themeColor="text1"/>
          <w:szCs w:val="24"/>
        </w:rPr>
        <w:t>11).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1F16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1F16">
        <w:rPr>
          <w:rFonts w:cs="Times New Roman"/>
          <w:color w:val="000000" w:themeColor="text1"/>
          <w:szCs w:val="24"/>
        </w:rPr>
        <w:t>Canadian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1F16">
        <w:rPr>
          <w:rFonts w:cs="Times New Roman"/>
          <w:color w:val="000000" w:themeColor="text1"/>
          <w:szCs w:val="24"/>
        </w:rPr>
        <w:t>government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63B2C">
        <w:rPr>
          <w:rFonts w:cs="Times New Roman"/>
          <w:color w:val="000000" w:themeColor="text1"/>
          <w:szCs w:val="24"/>
        </w:rPr>
        <w:t>prohibited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4F6D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4F6D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4F6D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4F6D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2AE8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2AE8">
        <w:rPr>
          <w:rFonts w:cs="Times New Roman"/>
          <w:color w:val="000000" w:themeColor="text1"/>
          <w:szCs w:val="24"/>
        </w:rPr>
        <w:t>chlor-alkali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2AE8">
        <w:rPr>
          <w:rFonts w:cs="Times New Roman"/>
          <w:color w:val="000000" w:themeColor="text1"/>
          <w:szCs w:val="24"/>
        </w:rPr>
        <w:t>industry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06525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06525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06525">
        <w:rPr>
          <w:rFonts w:cs="Times New Roman"/>
          <w:color w:val="000000" w:themeColor="text1"/>
          <w:szCs w:val="24"/>
        </w:rPr>
        <w:t>compliance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06525">
        <w:rPr>
          <w:rFonts w:cs="Times New Roman"/>
          <w:color w:val="000000" w:themeColor="text1"/>
          <w:szCs w:val="24"/>
        </w:rPr>
        <w:t>date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06525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06525">
        <w:rPr>
          <w:rFonts w:cs="Times New Roman"/>
          <w:color w:val="000000" w:themeColor="text1"/>
          <w:szCs w:val="24"/>
        </w:rPr>
        <w:t>no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06525">
        <w:rPr>
          <w:rFonts w:cs="Times New Roman"/>
          <w:color w:val="000000" w:themeColor="text1"/>
          <w:szCs w:val="24"/>
        </w:rPr>
        <w:t>later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06525">
        <w:rPr>
          <w:rFonts w:cs="Times New Roman"/>
          <w:color w:val="000000" w:themeColor="text1"/>
          <w:szCs w:val="24"/>
        </w:rPr>
        <w:t>than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C12B2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C12B2">
        <w:rPr>
          <w:rFonts w:cs="Times New Roman"/>
          <w:color w:val="000000" w:themeColor="text1"/>
          <w:szCs w:val="24"/>
        </w:rPr>
        <w:t>end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C12B2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C12B2">
        <w:rPr>
          <w:rFonts w:cs="Times New Roman"/>
          <w:color w:val="000000" w:themeColor="text1"/>
          <w:szCs w:val="24"/>
        </w:rPr>
        <w:t>2029.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1670E4" w:rsidP="00F27167" w:rsidRDefault="0092404E" w14:paraId="7CA5E713" w14:textId="32944547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considers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841C0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841C0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81A53">
        <w:rPr>
          <w:rFonts w:cs="Times New Roman"/>
          <w:color w:val="000000" w:themeColor="text1"/>
          <w:szCs w:val="24"/>
        </w:rPr>
        <w:t>two-year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81A53">
        <w:rPr>
          <w:rFonts w:cs="Times New Roman"/>
          <w:color w:val="000000" w:themeColor="text1"/>
          <w:szCs w:val="24"/>
        </w:rPr>
        <w:t>effective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81A53">
        <w:rPr>
          <w:rFonts w:cs="Times New Roman"/>
          <w:color w:val="000000" w:themeColor="text1"/>
          <w:szCs w:val="24"/>
        </w:rPr>
        <w:t>date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81A53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81A53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F2108">
        <w:rPr>
          <w:rFonts w:cs="Times New Roman"/>
          <w:color w:val="000000" w:themeColor="text1"/>
          <w:szCs w:val="24"/>
        </w:rPr>
        <w:t>prohibition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0751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81A53">
        <w:rPr>
          <w:rFonts w:cs="Times New Roman"/>
          <w:color w:val="000000" w:themeColor="text1"/>
          <w:szCs w:val="24"/>
        </w:rPr>
        <w:t>manufacturing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81A53">
        <w:rPr>
          <w:rFonts w:cs="Times New Roman"/>
          <w:color w:val="000000" w:themeColor="text1"/>
          <w:szCs w:val="24"/>
        </w:rPr>
        <w:t>(including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81A53">
        <w:rPr>
          <w:rFonts w:cs="Times New Roman"/>
          <w:color w:val="000000" w:themeColor="text1"/>
          <w:szCs w:val="24"/>
        </w:rPr>
        <w:t>import),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81A53">
        <w:rPr>
          <w:rFonts w:cs="Times New Roman"/>
          <w:color w:val="000000" w:themeColor="text1"/>
          <w:szCs w:val="24"/>
        </w:rPr>
        <w:t>processing,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81A53">
        <w:rPr>
          <w:rFonts w:cs="Times New Roman"/>
          <w:color w:val="000000" w:themeColor="text1"/>
          <w:szCs w:val="24"/>
        </w:rPr>
        <w:t>distribution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81A53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81A53">
        <w:rPr>
          <w:rFonts w:cs="Times New Roman"/>
          <w:color w:val="000000" w:themeColor="text1"/>
          <w:szCs w:val="24"/>
        </w:rPr>
        <w:t>commerce,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81A53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0751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81A53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81A53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81A53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0751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40B17">
        <w:rPr>
          <w:rFonts w:cs="Times New Roman"/>
          <w:color w:val="000000" w:themeColor="text1"/>
          <w:szCs w:val="24"/>
        </w:rPr>
        <w:t>bulk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40B17">
        <w:rPr>
          <w:rFonts w:cs="Times New Roman"/>
          <w:color w:val="000000" w:themeColor="text1"/>
          <w:szCs w:val="24"/>
        </w:rPr>
        <w:t>form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40B17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40B17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40B17">
        <w:rPr>
          <w:rFonts w:cs="Times New Roman"/>
          <w:color w:val="000000" w:themeColor="text1"/>
          <w:szCs w:val="24"/>
        </w:rPr>
        <w:t>part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40B17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6775E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6775E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6775E">
        <w:rPr>
          <w:rFonts w:cs="Times New Roman"/>
          <w:color w:val="000000" w:themeColor="text1"/>
          <w:szCs w:val="24"/>
        </w:rPr>
        <w:t>diaphragms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6775E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6775E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6775E">
        <w:rPr>
          <w:rFonts w:cs="Times New Roman"/>
          <w:color w:val="000000" w:themeColor="text1"/>
          <w:szCs w:val="24"/>
        </w:rPr>
        <w:t>chlor-alkali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6775E">
        <w:rPr>
          <w:rFonts w:cs="Times New Roman"/>
          <w:color w:val="000000" w:themeColor="text1"/>
          <w:szCs w:val="24"/>
        </w:rPr>
        <w:t>industry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27C11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27C11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426B3">
        <w:rPr>
          <w:rFonts w:cs="Times New Roman"/>
          <w:color w:val="000000" w:themeColor="text1"/>
          <w:szCs w:val="24"/>
        </w:rPr>
        <w:t>achievable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426B3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C7DAD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426B3">
        <w:rPr>
          <w:rFonts w:cs="Times New Roman"/>
          <w:color w:val="000000" w:themeColor="text1"/>
          <w:szCs w:val="24"/>
        </w:rPr>
        <w:t>industry</w:t>
      </w:r>
      <w:r w:rsidRPr="00C317BB" w:rsidR="002331D0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331D0">
        <w:rPr>
          <w:rFonts w:cs="Times New Roman"/>
          <w:color w:val="000000" w:themeColor="text1"/>
          <w:szCs w:val="24"/>
        </w:rPr>
        <w:t>thus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331D0">
        <w:rPr>
          <w:rFonts w:cs="Times New Roman"/>
          <w:color w:val="000000" w:themeColor="text1"/>
          <w:szCs w:val="24"/>
        </w:rPr>
        <w:t>meeting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331D0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331D0">
        <w:rPr>
          <w:rFonts w:cs="Times New Roman"/>
          <w:color w:val="000000" w:themeColor="text1"/>
          <w:szCs w:val="24"/>
        </w:rPr>
        <w:t>“as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331D0">
        <w:rPr>
          <w:rFonts w:cs="Times New Roman"/>
          <w:color w:val="000000" w:themeColor="text1"/>
          <w:szCs w:val="24"/>
        </w:rPr>
        <w:t>soon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331D0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331D0">
        <w:rPr>
          <w:rFonts w:cs="Times New Roman"/>
          <w:color w:val="000000" w:themeColor="text1"/>
          <w:szCs w:val="24"/>
        </w:rPr>
        <w:t>practicable”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331D0">
        <w:rPr>
          <w:rFonts w:cs="Times New Roman"/>
          <w:color w:val="000000" w:themeColor="text1"/>
          <w:szCs w:val="24"/>
        </w:rPr>
        <w:t>requirement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331D0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27C11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27C11">
        <w:rPr>
          <w:rFonts w:cs="Times New Roman"/>
          <w:color w:val="000000" w:themeColor="text1"/>
          <w:szCs w:val="24"/>
        </w:rPr>
        <w:t>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27C11">
        <w:rPr>
          <w:rFonts w:cs="Times New Roman"/>
          <w:color w:val="000000" w:themeColor="text1"/>
          <w:szCs w:val="24"/>
        </w:rPr>
        <w:t>6(d)</w:t>
      </w:r>
      <w:r w:rsidRPr="00C317BB" w:rsidR="002331D0">
        <w:rPr>
          <w:rFonts w:cs="Times New Roman"/>
          <w:color w:val="000000" w:themeColor="text1"/>
          <w:szCs w:val="24"/>
        </w:rPr>
        <w:t>(1)</w:t>
      </w:r>
      <w:r w:rsidRPr="00C317BB" w:rsidR="002C7DAD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E1A4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E1A4B">
        <w:rPr>
          <w:rFonts w:cs="Times New Roman"/>
          <w:color w:val="000000" w:themeColor="text1"/>
          <w:szCs w:val="24"/>
        </w:rPr>
        <w:t>believes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D76CB">
        <w:rPr>
          <w:rFonts w:cs="Times New Roman"/>
          <w:color w:val="000000" w:themeColor="text1"/>
          <w:szCs w:val="24"/>
        </w:rPr>
        <w:t>a</w:t>
      </w:r>
      <w:r w:rsidRPr="00C317BB" w:rsidR="00B54769">
        <w:rPr>
          <w:rFonts w:cs="Times New Roman"/>
          <w:color w:val="000000" w:themeColor="text1"/>
          <w:szCs w:val="24"/>
        </w:rPr>
        <w:t>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54769">
        <w:rPr>
          <w:rFonts w:cs="Times New Roman"/>
          <w:color w:val="000000" w:themeColor="text1"/>
          <w:szCs w:val="24"/>
        </w:rPr>
        <w:t>aggressive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E1A4B">
        <w:rPr>
          <w:rFonts w:cs="Times New Roman"/>
          <w:color w:val="000000" w:themeColor="text1"/>
          <w:szCs w:val="24"/>
        </w:rPr>
        <w:t>transition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E1A4B">
        <w:rPr>
          <w:rFonts w:cs="Times New Roman"/>
          <w:color w:val="000000" w:themeColor="text1"/>
          <w:szCs w:val="24"/>
        </w:rPr>
        <w:t>away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E1A4B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D366F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D366F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3013F">
        <w:rPr>
          <w:rFonts w:cs="Times New Roman"/>
          <w:color w:val="000000" w:themeColor="text1"/>
          <w:szCs w:val="24"/>
        </w:rPr>
        <w:t>will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3013F">
        <w:rPr>
          <w:rFonts w:cs="Times New Roman"/>
          <w:color w:val="000000" w:themeColor="text1"/>
          <w:szCs w:val="24"/>
        </w:rPr>
        <w:t>spur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92320">
        <w:rPr>
          <w:rFonts w:cs="Times New Roman"/>
          <w:color w:val="000000" w:themeColor="text1"/>
          <w:szCs w:val="24"/>
        </w:rPr>
        <w:t>adoption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92320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74BC4">
        <w:rPr>
          <w:rFonts w:cs="Times New Roman"/>
          <w:color w:val="000000" w:themeColor="text1"/>
          <w:szCs w:val="24"/>
        </w:rPr>
        <w:t>superior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32567">
        <w:rPr>
          <w:rFonts w:cs="Times New Roman"/>
          <w:color w:val="000000" w:themeColor="text1"/>
          <w:szCs w:val="24"/>
        </w:rPr>
        <w:t>technology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A4B1F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6BB7">
        <w:rPr>
          <w:rFonts w:cs="Times New Roman"/>
          <w:color w:val="000000" w:themeColor="text1"/>
          <w:szCs w:val="24"/>
        </w:rPr>
        <w:t>tha</w:t>
      </w:r>
      <w:bookmarkStart w:name="_Hlk93932628" w:id="27"/>
      <w:r w:rsidRPr="00C317BB" w:rsidR="004B6BB7">
        <w:rPr>
          <w:rFonts w:cs="Times New Roman"/>
          <w:color w:val="000000" w:themeColor="text1"/>
          <w:szCs w:val="24"/>
        </w:rPr>
        <w:t>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9524B">
        <w:rPr>
          <w:rFonts w:cs="Times New Roman"/>
          <w:color w:val="000000" w:themeColor="text1"/>
          <w:szCs w:val="24"/>
        </w:rPr>
        <w:t>potential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9524B">
        <w:rPr>
          <w:rFonts w:cs="Times New Roman"/>
          <w:color w:val="000000" w:themeColor="text1"/>
          <w:szCs w:val="24"/>
        </w:rPr>
        <w:t>supply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9524B">
        <w:rPr>
          <w:rFonts w:cs="Times New Roman"/>
          <w:color w:val="000000" w:themeColor="text1"/>
          <w:szCs w:val="24"/>
        </w:rPr>
        <w:t>disruptions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6BB7">
        <w:rPr>
          <w:rFonts w:cs="Times New Roman"/>
          <w:color w:val="000000" w:themeColor="text1"/>
          <w:szCs w:val="24"/>
        </w:rPr>
        <w:t>could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6BB7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57186">
        <w:rPr>
          <w:rFonts w:cs="Times New Roman"/>
          <w:color w:val="000000" w:themeColor="text1"/>
          <w:szCs w:val="24"/>
        </w:rPr>
        <w:t>addressed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07A8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07A8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07A8">
        <w:rPr>
          <w:rFonts w:cs="Times New Roman"/>
          <w:color w:val="000000" w:themeColor="text1"/>
          <w:szCs w:val="24"/>
        </w:rPr>
        <w:t>short</w:t>
      </w:r>
      <w:r w:rsidRPr="00C317BB" w:rsidR="00C57186">
        <w:rPr>
          <w:rFonts w:cs="Times New Roman"/>
          <w:color w:val="000000" w:themeColor="text1"/>
          <w:szCs w:val="24"/>
        </w:rPr>
        <w:t>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07A8">
        <w:rPr>
          <w:rFonts w:cs="Times New Roman"/>
          <w:color w:val="000000" w:themeColor="text1"/>
          <w:szCs w:val="24"/>
        </w:rPr>
        <w:t>ter</w:t>
      </w:r>
      <w:r w:rsidRPr="00C317BB" w:rsidR="00C57186">
        <w:rPr>
          <w:rFonts w:cs="Times New Roman"/>
          <w:color w:val="000000" w:themeColor="text1"/>
          <w:szCs w:val="24"/>
        </w:rPr>
        <w:t>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50371">
        <w:rPr>
          <w:rFonts w:cs="Times New Roman"/>
          <w:color w:val="000000" w:themeColor="text1"/>
          <w:szCs w:val="24"/>
        </w:rPr>
        <w:t>through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50371">
        <w:rPr>
          <w:rFonts w:cs="Times New Roman"/>
          <w:color w:val="000000" w:themeColor="text1"/>
          <w:szCs w:val="24"/>
        </w:rPr>
        <w:t>increased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4347B">
        <w:rPr>
          <w:rFonts w:cs="Times New Roman"/>
          <w:color w:val="000000" w:themeColor="text1"/>
          <w:szCs w:val="24"/>
        </w:rPr>
        <w:t>import</w:t>
      </w:r>
      <w:r w:rsidRPr="00C317BB" w:rsidR="006E39C8">
        <w:rPr>
          <w:rFonts w:cs="Times New Roman"/>
          <w:color w:val="000000" w:themeColor="text1"/>
          <w:szCs w:val="24"/>
        </w:rPr>
        <w:t>in</w:t>
      </w:r>
      <w:r w:rsidRPr="00C317BB" w:rsidR="00850B4A">
        <w:rPr>
          <w:rFonts w:cs="Times New Roman"/>
          <w:color w:val="000000" w:themeColor="text1"/>
          <w:szCs w:val="24"/>
        </w:rPr>
        <w:t>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4347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4347B">
        <w:rPr>
          <w:rFonts w:cs="Times New Roman"/>
          <w:color w:val="000000" w:themeColor="text1"/>
          <w:szCs w:val="24"/>
        </w:rPr>
        <w:t>caustic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32567">
        <w:rPr>
          <w:rFonts w:cs="Times New Roman"/>
          <w:color w:val="000000" w:themeColor="text1"/>
          <w:szCs w:val="24"/>
        </w:rPr>
        <w:t>soda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4347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4347B">
        <w:rPr>
          <w:rFonts w:cs="Times New Roman"/>
          <w:color w:val="000000" w:themeColor="text1"/>
          <w:szCs w:val="24"/>
        </w:rPr>
        <w:t>derivatives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4347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4347B">
        <w:rPr>
          <w:rFonts w:cs="Times New Roman"/>
          <w:color w:val="000000" w:themeColor="text1"/>
          <w:szCs w:val="24"/>
        </w:rPr>
        <w:t>chlorine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4347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4347B">
        <w:rPr>
          <w:rFonts w:cs="Times New Roman"/>
          <w:color w:val="000000" w:themeColor="text1"/>
          <w:szCs w:val="24"/>
        </w:rPr>
        <w:t>caustic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4347B">
        <w:rPr>
          <w:rFonts w:cs="Times New Roman"/>
          <w:color w:val="000000" w:themeColor="text1"/>
          <w:szCs w:val="24"/>
        </w:rPr>
        <w:t>soda,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4347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4347B">
        <w:rPr>
          <w:rFonts w:cs="Times New Roman"/>
          <w:color w:val="000000" w:themeColor="text1"/>
          <w:szCs w:val="24"/>
        </w:rPr>
        <w:t>over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4347B">
        <w:rPr>
          <w:rFonts w:cs="Times New Roman"/>
          <w:color w:val="000000" w:themeColor="text1"/>
          <w:szCs w:val="24"/>
        </w:rPr>
        <w:t>time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4347B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50371">
        <w:rPr>
          <w:rFonts w:cs="Times New Roman"/>
          <w:color w:val="000000" w:themeColor="text1"/>
          <w:szCs w:val="24"/>
        </w:rPr>
        <w:t>increased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50371">
        <w:rPr>
          <w:rFonts w:cs="Times New Roman"/>
          <w:color w:val="000000" w:themeColor="text1"/>
          <w:szCs w:val="24"/>
        </w:rPr>
        <w:t>production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97E79">
        <w:rPr>
          <w:rFonts w:cs="Times New Roman"/>
          <w:color w:val="000000" w:themeColor="text1"/>
          <w:szCs w:val="24"/>
        </w:rPr>
        <w:t>a</w:t>
      </w:r>
      <w:r w:rsidRPr="00C317BB" w:rsidR="00C57186">
        <w:rPr>
          <w:rFonts w:cs="Times New Roman"/>
          <w:color w:val="000000" w:themeColor="text1"/>
          <w:szCs w:val="24"/>
        </w:rPr>
        <w:t>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97E79">
        <w:rPr>
          <w:rFonts w:cs="Times New Roman"/>
          <w:color w:val="000000" w:themeColor="text1"/>
          <w:szCs w:val="24"/>
        </w:rPr>
        <w:t>existing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57186">
        <w:rPr>
          <w:rFonts w:cs="Times New Roman"/>
          <w:color w:val="000000" w:themeColor="text1"/>
          <w:szCs w:val="24"/>
        </w:rPr>
        <w:t>non-asbestos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57186">
        <w:rPr>
          <w:rFonts w:cs="Times New Roman"/>
          <w:color w:val="000000" w:themeColor="text1"/>
          <w:szCs w:val="24"/>
        </w:rPr>
        <w:t>diaphragm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57186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97E79">
        <w:rPr>
          <w:rFonts w:cs="Times New Roman"/>
          <w:color w:val="000000" w:themeColor="text1"/>
          <w:szCs w:val="24"/>
        </w:rPr>
        <w:t>membrane-based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97E79">
        <w:rPr>
          <w:rFonts w:cs="Times New Roman"/>
          <w:color w:val="000000" w:themeColor="text1"/>
          <w:szCs w:val="24"/>
        </w:rPr>
        <w:t>chlor-alkali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97E79">
        <w:rPr>
          <w:rFonts w:cs="Times New Roman"/>
          <w:color w:val="000000" w:themeColor="text1"/>
          <w:szCs w:val="24"/>
        </w:rPr>
        <w:t>plants.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765B">
        <w:rPr>
          <w:rFonts w:cs="Times New Roman"/>
          <w:color w:val="000000" w:themeColor="text1"/>
          <w:szCs w:val="24"/>
        </w:rPr>
        <w:t>However,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765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765B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765B">
        <w:rPr>
          <w:rFonts w:cs="Times New Roman"/>
          <w:color w:val="000000" w:themeColor="text1"/>
          <w:szCs w:val="24"/>
        </w:rPr>
        <w:t>aware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765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765B">
        <w:rPr>
          <w:rFonts w:cs="Times New Roman"/>
          <w:color w:val="000000" w:themeColor="text1"/>
          <w:szCs w:val="24"/>
        </w:rPr>
        <w:t>public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765B">
        <w:rPr>
          <w:rFonts w:cs="Times New Roman"/>
          <w:color w:val="000000" w:themeColor="text1"/>
          <w:szCs w:val="24"/>
        </w:rPr>
        <w:t>drinking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765B">
        <w:rPr>
          <w:rFonts w:cs="Times New Roman"/>
          <w:color w:val="000000" w:themeColor="text1"/>
          <w:szCs w:val="24"/>
        </w:rPr>
        <w:t>water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765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765B">
        <w:rPr>
          <w:rFonts w:cs="Times New Roman"/>
          <w:color w:val="000000" w:themeColor="text1"/>
          <w:szCs w:val="24"/>
        </w:rPr>
        <w:t>wastewater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765B">
        <w:rPr>
          <w:rFonts w:cs="Times New Roman"/>
          <w:color w:val="000000" w:themeColor="text1"/>
          <w:szCs w:val="24"/>
        </w:rPr>
        <w:t>systems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765B">
        <w:rPr>
          <w:rFonts w:cs="Times New Roman"/>
          <w:color w:val="000000" w:themeColor="text1"/>
          <w:szCs w:val="24"/>
        </w:rPr>
        <w:t>have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765B">
        <w:rPr>
          <w:rFonts w:cs="Times New Roman"/>
          <w:color w:val="000000" w:themeColor="text1"/>
          <w:szCs w:val="24"/>
        </w:rPr>
        <w:t>experienced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765B">
        <w:rPr>
          <w:rFonts w:cs="Times New Roman"/>
          <w:color w:val="000000" w:themeColor="text1"/>
          <w:szCs w:val="24"/>
        </w:rPr>
        <w:t>substantial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765B">
        <w:rPr>
          <w:rFonts w:cs="Times New Roman"/>
          <w:color w:val="000000" w:themeColor="text1"/>
          <w:szCs w:val="24"/>
        </w:rPr>
        <w:t>price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765B">
        <w:rPr>
          <w:rFonts w:cs="Times New Roman"/>
          <w:color w:val="000000" w:themeColor="text1"/>
          <w:szCs w:val="24"/>
        </w:rPr>
        <w:t>increases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765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765B">
        <w:rPr>
          <w:rFonts w:cs="Times New Roman"/>
          <w:color w:val="000000" w:themeColor="text1"/>
          <w:szCs w:val="24"/>
        </w:rPr>
        <w:t>chlor</w:t>
      </w:r>
      <w:r w:rsidRPr="00C317BB" w:rsidR="00774DD4">
        <w:rPr>
          <w:rFonts w:cs="Times New Roman"/>
          <w:color w:val="000000" w:themeColor="text1"/>
          <w:szCs w:val="24"/>
        </w:rPr>
        <w:t>-</w:t>
      </w:r>
      <w:r w:rsidRPr="00C317BB" w:rsidR="00A2765B">
        <w:rPr>
          <w:rFonts w:cs="Times New Roman"/>
          <w:color w:val="000000" w:themeColor="text1"/>
          <w:szCs w:val="24"/>
        </w:rPr>
        <w:t>alkali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765B">
        <w:rPr>
          <w:rFonts w:cs="Times New Roman"/>
          <w:color w:val="000000" w:themeColor="text1"/>
          <w:szCs w:val="24"/>
        </w:rPr>
        <w:t>products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765B">
        <w:rPr>
          <w:rFonts w:cs="Times New Roman"/>
          <w:color w:val="000000" w:themeColor="text1"/>
          <w:szCs w:val="24"/>
        </w:rPr>
        <w:t>related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765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765B">
        <w:rPr>
          <w:rFonts w:cs="Times New Roman"/>
          <w:color w:val="000000" w:themeColor="text1"/>
          <w:szCs w:val="24"/>
        </w:rPr>
        <w:t>supply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765B">
        <w:rPr>
          <w:rFonts w:cs="Times New Roman"/>
          <w:color w:val="000000" w:themeColor="text1"/>
          <w:szCs w:val="24"/>
        </w:rPr>
        <w:t>shortages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765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765B">
        <w:rPr>
          <w:rFonts w:cs="Times New Roman"/>
          <w:color w:val="000000" w:themeColor="text1"/>
          <w:szCs w:val="24"/>
        </w:rPr>
        <w:t>COVID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765B">
        <w:rPr>
          <w:rFonts w:cs="Times New Roman"/>
          <w:color w:val="000000" w:themeColor="text1"/>
          <w:szCs w:val="24"/>
        </w:rPr>
        <w:t>pandemic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765B">
        <w:rPr>
          <w:rFonts w:cs="Times New Roman"/>
          <w:color w:val="000000" w:themeColor="text1"/>
          <w:szCs w:val="24"/>
        </w:rPr>
        <w:t>impacts.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765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765B">
        <w:rPr>
          <w:rFonts w:cs="Times New Roman"/>
          <w:color w:val="000000" w:themeColor="text1"/>
          <w:szCs w:val="24"/>
        </w:rPr>
        <w:t>has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765B">
        <w:rPr>
          <w:rFonts w:cs="Times New Roman"/>
          <w:color w:val="000000" w:themeColor="text1"/>
          <w:szCs w:val="24"/>
        </w:rPr>
        <w:t>insufficient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765B">
        <w:rPr>
          <w:rFonts w:cs="Times New Roman"/>
          <w:color w:val="000000" w:themeColor="text1"/>
          <w:szCs w:val="24"/>
        </w:rPr>
        <w:t>information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765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765B">
        <w:rPr>
          <w:rFonts w:cs="Times New Roman"/>
          <w:color w:val="000000" w:themeColor="text1"/>
          <w:szCs w:val="24"/>
        </w:rPr>
        <w:t>fully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765B">
        <w:rPr>
          <w:rFonts w:cs="Times New Roman"/>
          <w:color w:val="000000" w:themeColor="text1"/>
          <w:szCs w:val="24"/>
        </w:rPr>
        <w:t>assess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765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765B">
        <w:rPr>
          <w:rFonts w:cs="Times New Roman"/>
          <w:color w:val="000000" w:themeColor="text1"/>
          <w:szCs w:val="24"/>
        </w:rPr>
        <w:t>impact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765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74DD4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74DD4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74DD4">
        <w:rPr>
          <w:rFonts w:cs="Times New Roman"/>
          <w:color w:val="000000" w:themeColor="text1"/>
          <w:szCs w:val="24"/>
        </w:rPr>
        <w:t>rule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765B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765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765B">
        <w:rPr>
          <w:rFonts w:cs="Times New Roman"/>
          <w:color w:val="000000" w:themeColor="text1"/>
          <w:szCs w:val="24"/>
        </w:rPr>
        <w:t>cost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765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765B">
        <w:rPr>
          <w:rFonts w:cs="Times New Roman"/>
          <w:color w:val="000000" w:themeColor="text1"/>
          <w:szCs w:val="24"/>
        </w:rPr>
        <w:t>availability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765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765B">
        <w:rPr>
          <w:rFonts w:cs="Times New Roman"/>
          <w:color w:val="000000" w:themeColor="text1"/>
          <w:szCs w:val="24"/>
        </w:rPr>
        <w:t>water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765B">
        <w:rPr>
          <w:rFonts w:cs="Times New Roman"/>
          <w:color w:val="000000" w:themeColor="text1"/>
          <w:szCs w:val="24"/>
        </w:rPr>
        <w:t>treatment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765B">
        <w:rPr>
          <w:rFonts w:cs="Times New Roman"/>
          <w:color w:val="000000" w:themeColor="text1"/>
          <w:szCs w:val="24"/>
        </w:rPr>
        <w:t>chemicals.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765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765B">
        <w:rPr>
          <w:rFonts w:cs="Times New Roman"/>
          <w:color w:val="000000" w:themeColor="text1"/>
          <w:szCs w:val="24"/>
        </w:rPr>
        <w:t>requests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765B">
        <w:rPr>
          <w:rFonts w:cs="Times New Roman"/>
          <w:color w:val="000000" w:themeColor="text1"/>
          <w:szCs w:val="24"/>
        </w:rPr>
        <w:t>public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765B">
        <w:rPr>
          <w:rFonts w:cs="Times New Roman"/>
          <w:color w:val="000000" w:themeColor="text1"/>
          <w:szCs w:val="24"/>
        </w:rPr>
        <w:t>comment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765B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765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765B">
        <w:rPr>
          <w:rFonts w:cs="Times New Roman"/>
          <w:color w:val="000000" w:themeColor="text1"/>
          <w:szCs w:val="24"/>
        </w:rPr>
        <w:t>potential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765B">
        <w:rPr>
          <w:rFonts w:cs="Times New Roman"/>
          <w:color w:val="000000" w:themeColor="text1"/>
          <w:szCs w:val="24"/>
        </w:rPr>
        <w:t>impact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765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74DD4">
        <w:rPr>
          <w:rFonts w:cs="Times New Roman"/>
          <w:color w:val="000000" w:themeColor="text1"/>
          <w:szCs w:val="24"/>
        </w:rPr>
        <w:t>changes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74DD4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74DD4">
        <w:rPr>
          <w:rFonts w:cs="Times New Roman"/>
          <w:color w:val="000000" w:themeColor="text1"/>
          <w:szCs w:val="24"/>
        </w:rPr>
        <w:t>supply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765B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765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74DD4">
        <w:rPr>
          <w:rFonts w:cs="Times New Roman"/>
          <w:color w:val="000000" w:themeColor="text1"/>
          <w:szCs w:val="24"/>
        </w:rPr>
        <w:t>availability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765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765B">
        <w:rPr>
          <w:rFonts w:cs="Times New Roman"/>
          <w:color w:val="000000" w:themeColor="text1"/>
          <w:szCs w:val="24"/>
        </w:rPr>
        <w:t>cost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765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765B">
        <w:rPr>
          <w:rFonts w:cs="Times New Roman"/>
          <w:color w:val="000000" w:themeColor="text1"/>
          <w:szCs w:val="24"/>
        </w:rPr>
        <w:t>water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765B">
        <w:rPr>
          <w:rFonts w:cs="Times New Roman"/>
          <w:color w:val="000000" w:themeColor="text1"/>
          <w:szCs w:val="24"/>
        </w:rPr>
        <w:t>treatment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765B">
        <w:rPr>
          <w:rFonts w:cs="Times New Roman"/>
          <w:color w:val="000000" w:themeColor="text1"/>
          <w:szCs w:val="24"/>
        </w:rPr>
        <w:t>chemicals,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765B">
        <w:rPr>
          <w:rFonts w:cs="Times New Roman"/>
          <w:color w:val="000000" w:themeColor="text1"/>
          <w:szCs w:val="24"/>
        </w:rPr>
        <w:t>including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765B">
        <w:rPr>
          <w:rFonts w:cs="Times New Roman"/>
          <w:color w:val="000000" w:themeColor="text1"/>
          <w:szCs w:val="24"/>
        </w:rPr>
        <w:t>both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74DD4">
        <w:rPr>
          <w:rFonts w:cs="Times New Roman"/>
          <w:color w:val="000000" w:themeColor="text1"/>
          <w:szCs w:val="24"/>
        </w:rPr>
        <w:t>chlorine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74DD4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765B">
        <w:rPr>
          <w:rFonts w:cs="Times New Roman"/>
          <w:color w:val="000000" w:themeColor="text1"/>
          <w:szCs w:val="24"/>
        </w:rPr>
        <w:t>caustic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765B">
        <w:rPr>
          <w:rFonts w:cs="Times New Roman"/>
          <w:color w:val="000000" w:themeColor="text1"/>
          <w:szCs w:val="24"/>
        </w:rPr>
        <w:t>soda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765B">
        <w:rPr>
          <w:rFonts w:cs="Times New Roman"/>
          <w:color w:val="000000" w:themeColor="text1"/>
          <w:szCs w:val="24"/>
        </w:rPr>
        <w:t>used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765B">
        <w:rPr>
          <w:rFonts w:cs="Times New Roman"/>
          <w:color w:val="000000" w:themeColor="text1"/>
          <w:szCs w:val="24"/>
        </w:rPr>
        <w:t>directly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765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765B">
        <w:rPr>
          <w:rFonts w:cs="Times New Roman"/>
          <w:color w:val="000000" w:themeColor="text1"/>
          <w:szCs w:val="24"/>
        </w:rPr>
        <w:t>water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765B">
        <w:rPr>
          <w:rFonts w:cs="Times New Roman"/>
          <w:color w:val="000000" w:themeColor="text1"/>
          <w:szCs w:val="24"/>
        </w:rPr>
        <w:t>treatment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765B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765B">
        <w:rPr>
          <w:rFonts w:cs="Times New Roman"/>
          <w:color w:val="000000" w:themeColor="text1"/>
          <w:szCs w:val="24"/>
        </w:rPr>
        <w:t>well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765B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765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765B">
        <w:rPr>
          <w:rFonts w:cs="Times New Roman"/>
          <w:color w:val="000000" w:themeColor="text1"/>
          <w:szCs w:val="24"/>
        </w:rPr>
        <w:t>potential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765B">
        <w:rPr>
          <w:rFonts w:cs="Times New Roman"/>
          <w:color w:val="000000" w:themeColor="text1"/>
          <w:szCs w:val="24"/>
        </w:rPr>
        <w:t>impact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765B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765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765B">
        <w:rPr>
          <w:rFonts w:cs="Times New Roman"/>
          <w:color w:val="000000" w:themeColor="text1"/>
          <w:szCs w:val="24"/>
        </w:rPr>
        <w:t>cost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765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765B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765B">
        <w:rPr>
          <w:rFonts w:cs="Times New Roman"/>
          <w:color w:val="000000" w:themeColor="text1"/>
          <w:szCs w:val="24"/>
        </w:rPr>
        <w:t>water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765B">
        <w:rPr>
          <w:rFonts w:cs="Times New Roman"/>
          <w:color w:val="000000" w:themeColor="text1"/>
          <w:szCs w:val="24"/>
        </w:rPr>
        <w:t>treatment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765B">
        <w:rPr>
          <w:rFonts w:cs="Times New Roman"/>
          <w:color w:val="000000" w:themeColor="text1"/>
          <w:szCs w:val="24"/>
        </w:rPr>
        <w:t>chemicals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765B">
        <w:rPr>
          <w:rFonts w:cs="Times New Roman"/>
          <w:color w:val="000000" w:themeColor="text1"/>
          <w:szCs w:val="24"/>
        </w:rPr>
        <w:t>derived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765B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74DD4">
        <w:rPr>
          <w:rFonts w:cs="Times New Roman"/>
          <w:color w:val="000000" w:themeColor="text1"/>
          <w:szCs w:val="24"/>
        </w:rPr>
        <w:t>chlorine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74DD4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765B">
        <w:rPr>
          <w:rFonts w:cs="Times New Roman"/>
          <w:color w:val="000000" w:themeColor="text1"/>
          <w:szCs w:val="24"/>
        </w:rPr>
        <w:t>caustic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765B">
        <w:rPr>
          <w:rFonts w:cs="Times New Roman"/>
          <w:color w:val="000000" w:themeColor="text1"/>
          <w:szCs w:val="24"/>
        </w:rPr>
        <w:t>soda.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bookmarkEnd w:id="27"/>
    </w:p>
    <w:p w:rsidRPr="00C317BB" w:rsidR="000873DF" w:rsidP="00F27167" w:rsidRDefault="00E55F1D" w14:paraId="347E8C03" w14:textId="63065374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C</w:t>
      </w:r>
      <w:r w:rsidRPr="00C317BB" w:rsidR="003C5557">
        <w:rPr>
          <w:rFonts w:cs="Times New Roman"/>
          <w:color w:val="000000" w:themeColor="text1"/>
          <w:szCs w:val="24"/>
        </w:rPr>
        <w:t>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5557">
        <w:rPr>
          <w:rFonts w:cs="Times New Roman"/>
          <w:color w:val="000000" w:themeColor="text1"/>
          <w:szCs w:val="24"/>
        </w:rPr>
        <w:t>asbestos-containing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5557">
        <w:rPr>
          <w:rFonts w:cs="Times New Roman"/>
          <w:color w:val="000000" w:themeColor="text1"/>
          <w:szCs w:val="24"/>
        </w:rPr>
        <w:t>sheet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5557">
        <w:rPr>
          <w:rFonts w:cs="Times New Roman"/>
          <w:color w:val="000000" w:themeColor="text1"/>
          <w:szCs w:val="24"/>
        </w:rPr>
        <w:t>gaskets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C189A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5557">
        <w:rPr>
          <w:rFonts w:cs="Times New Roman"/>
          <w:color w:val="000000" w:themeColor="text1"/>
          <w:szCs w:val="24"/>
        </w:rPr>
        <w:t>used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5557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4824">
        <w:rPr>
          <w:rFonts w:cs="Times New Roman"/>
          <w:color w:val="000000" w:themeColor="text1"/>
          <w:szCs w:val="24"/>
        </w:rPr>
        <w:t>limited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5557">
        <w:rPr>
          <w:rFonts w:cs="Times New Roman"/>
          <w:color w:val="000000" w:themeColor="text1"/>
          <w:szCs w:val="24"/>
        </w:rPr>
        <w:t>chemical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5557">
        <w:rPr>
          <w:rFonts w:cs="Times New Roman"/>
          <w:color w:val="000000" w:themeColor="text1"/>
          <w:szCs w:val="24"/>
        </w:rPr>
        <w:t>production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5557">
        <w:rPr>
          <w:rFonts w:cs="Times New Roman"/>
          <w:color w:val="000000" w:themeColor="text1"/>
          <w:szCs w:val="24"/>
        </w:rPr>
        <w:t>applications</w:t>
      </w:r>
      <w:r w:rsidRPr="00C317BB" w:rsidR="00090775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90775">
        <w:rPr>
          <w:rFonts w:cs="Times New Roman"/>
          <w:color w:val="000000" w:themeColor="text1"/>
          <w:szCs w:val="24"/>
        </w:rPr>
        <w:t>partic</w:t>
      </w:r>
      <w:r w:rsidRPr="00C317BB" w:rsidR="00B209BC">
        <w:rPr>
          <w:rFonts w:cs="Times New Roman"/>
          <w:color w:val="000000" w:themeColor="text1"/>
          <w:szCs w:val="24"/>
        </w:rPr>
        <w:t>ularly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209BC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209BC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209BC">
        <w:rPr>
          <w:rFonts w:cs="Times New Roman"/>
          <w:color w:val="000000" w:themeColor="text1"/>
          <w:szCs w:val="24"/>
        </w:rPr>
        <w:t>manufacture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209BC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209BC">
        <w:rPr>
          <w:rFonts w:cs="Times New Roman"/>
          <w:color w:val="000000" w:themeColor="text1"/>
          <w:szCs w:val="24"/>
        </w:rPr>
        <w:t>titanium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209BC">
        <w:rPr>
          <w:rFonts w:cs="Times New Roman"/>
          <w:color w:val="000000" w:themeColor="text1"/>
          <w:szCs w:val="24"/>
        </w:rPr>
        <w:t>dioxide</w:t>
      </w:r>
      <w:r w:rsidRPr="00C317BB" w:rsidR="00D57D27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5557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5557">
        <w:rPr>
          <w:rFonts w:cs="Times New Roman"/>
          <w:color w:val="000000" w:themeColor="text1"/>
          <w:szCs w:val="24"/>
        </w:rPr>
        <w:t>believes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5557">
        <w:rPr>
          <w:rFonts w:cs="Times New Roman"/>
          <w:color w:val="000000" w:themeColor="text1"/>
          <w:szCs w:val="24"/>
        </w:rPr>
        <w:t>alternative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5557">
        <w:rPr>
          <w:rFonts w:cs="Times New Roman"/>
          <w:color w:val="000000" w:themeColor="text1"/>
          <w:szCs w:val="24"/>
        </w:rPr>
        <w:t>gaskets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F2FE6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5557">
        <w:rPr>
          <w:rFonts w:cs="Times New Roman"/>
          <w:color w:val="000000" w:themeColor="text1"/>
          <w:szCs w:val="24"/>
        </w:rPr>
        <w:t>available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5557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5557">
        <w:rPr>
          <w:rFonts w:cs="Times New Roman"/>
          <w:color w:val="000000" w:themeColor="text1"/>
          <w:szCs w:val="24"/>
        </w:rPr>
        <w:t>can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5557">
        <w:rPr>
          <w:rFonts w:cs="Times New Roman"/>
          <w:color w:val="000000" w:themeColor="text1"/>
          <w:szCs w:val="24"/>
        </w:rPr>
        <w:t>meet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5557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5557">
        <w:rPr>
          <w:rFonts w:cs="Times New Roman"/>
          <w:color w:val="000000" w:themeColor="text1"/>
          <w:szCs w:val="24"/>
        </w:rPr>
        <w:t>high-temperature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5557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0D48">
        <w:rPr>
          <w:rFonts w:cs="Times New Roman"/>
          <w:color w:val="000000" w:themeColor="text1"/>
          <w:szCs w:val="24"/>
        </w:rPr>
        <w:t>pressure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0D48">
        <w:rPr>
          <w:rFonts w:cs="Times New Roman"/>
          <w:color w:val="000000" w:themeColor="text1"/>
          <w:szCs w:val="24"/>
        </w:rPr>
        <w:t>conditions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0D48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0D48">
        <w:rPr>
          <w:rFonts w:cs="Times New Roman"/>
          <w:color w:val="000000" w:themeColor="text1"/>
          <w:szCs w:val="24"/>
        </w:rPr>
        <w:t>which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436EF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436EF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402F8">
        <w:rPr>
          <w:rFonts w:cs="Times New Roman"/>
          <w:color w:val="000000" w:themeColor="text1"/>
          <w:szCs w:val="24"/>
        </w:rPr>
        <w:t>asbestos-containing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402F8">
        <w:rPr>
          <w:rFonts w:cs="Times New Roman"/>
          <w:color w:val="000000" w:themeColor="text1"/>
          <w:szCs w:val="24"/>
        </w:rPr>
        <w:t>gasket</w:t>
      </w:r>
      <w:r w:rsidRPr="00C317BB" w:rsidR="007637D3">
        <w:rPr>
          <w:rFonts w:cs="Times New Roman"/>
          <w:color w:val="000000" w:themeColor="text1"/>
          <w:szCs w:val="24"/>
        </w:rPr>
        <w:t>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637D3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637D3">
        <w:rPr>
          <w:rFonts w:cs="Times New Roman"/>
          <w:color w:val="000000" w:themeColor="text1"/>
          <w:szCs w:val="24"/>
        </w:rPr>
        <w:t>currently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637D3">
        <w:rPr>
          <w:rFonts w:cs="Times New Roman"/>
          <w:color w:val="000000" w:themeColor="text1"/>
          <w:szCs w:val="24"/>
        </w:rPr>
        <w:t>use</w:t>
      </w:r>
      <w:r w:rsidRPr="00C317BB" w:rsidR="0026173D">
        <w:rPr>
          <w:rFonts w:cs="Times New Roman"/>
          <w:color w:val="000000" w:themeColor="text1"/>
          <w:szCs w:val="24"/>
        </w:rPr>
        <w:t>d</w:t>
      </w:r>
      <w:r w:rsidRPr="00C317BB" w:rsidR="001C58CC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B7E54">
        <w:rPr>
          <w:rFonts w:cs="Times New Roman"/>
          <w:color w:val="000000" w:themeColor="text1"/>
          <w:szCs w:val="24"/>
        </w:rPr>
        <w:t>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B7E54">
        <w:rPr>
          <w:rFonts w:cs="Times New Roman"/>
          <w:color w:val="000000" w:themeColor="text1"/>
          <w:szCs w:val="24"/>
        </w:rPr>
        <w:t>least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B7E54">
        <w:rPr>
          <w:rFonts w:cs="Times New Roman"/>
          <w:color w:val="000000" w:themeColor="text1"/>
          <w:szCs w:val="24"/>
        </w:rPr>
        <w:t>one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6173D">
        <w:rPr>
          <w:rFonts w:cs="Times New Roman"/>
          <w:color w:val="000000" w:themeColor="text1"/>
          <w:szCs w:val="24"/>
        </w:rPr>
        <w:t>m</w:t>
      </w:r>
      <w:r w:rsidRPr="00C317BB" w:rsidR="00C72013">
        <w:rPr>
          <w:rFonts w:cs="Times New Roman"/>
          <w:color w:val="000000" w:themeColor="text1"/>
          <w:szCs w:val="24"/>
        </w:rPr>
        <w:t>anufacture</w:t>
      </w:r>
      <w:r w:rsidRPr="00C317BB" w:rsidR="007E00D9">
        <w:rPr>
          <w:rFonts w:cs="Times New Roman"/>
          <w:color w:val="000000" w:themeColor="text1"/>
          <w:szCs w:val="24"/>
        </w:rPr>
        <w:t>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77428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51214">
        <w:rPr>
          <w:rFonts w:cs="Times New Roman"/>
          <w:color w:val="000000" w:themeColor="text1"/>
          <w:szCs w:val="24"/>
        </w:rPr>
        <w:t>titanium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51214">
        <w:rPr>
          <w:rFonts w:cs="Times New Roman"/>
          <w:color w:val="000000" w:themeColor="text1"/>
          <w:szCs w:val="24"/>
        </w:rPr>
        <w:t>dioxide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51214">
        <w:rPr>
          <w:rFonts w:cs="Times New Roman"/>
          <w:color w:val="000000" w:themeColor="text1"/>
          <w:szCs w:val="24"/>
        </w:rPr>
        <w:t>use</w:t>
      </w:r>
      <w:r w:rsidRPr="00C317BB" w:rsidR="008B7E54">
        <w:rPr>
          <w:rFonts w:cs="Times New Roman"/>
          <w:color w:val="000000" w:themeColor="text1"/>
          <w:szCs w:val="24"/>
        </w:rPr>
        <w:t>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371A">
        <w:rPr>
          <w:rFonts w:cs="Times New Roman"/>
          <w:color w:val="000000" w:themeColor="text1"/>
          <w:szCs w:val="24"/>
        </w:rPr>
        <w:t>only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51214">
        <w:rPr>
          <w:rFonts w:cs="Times New Roman"/>
          <w:color w:val="000000" w:themeColor="text1"/>
          <w:szCs w:val="24"/>
        </w:rPr>
        <w:t>asbestos-free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51214">
        <w:rPr>
          <w:rFonts w:cs="Times New Roman"/>
          <w:color w:val="000000" w:themeColor="text1"/>
          <w:szCs w:val="24"/>
        </w:rPr>
        <w:t>gaskets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B7E54">
        <w:rPr>
          <w:rFonts w:cs="Times New Roman"/>
          <w:color w:val="000000" w:themeColor="text1"/>
          <w:szCs w:val="24"/>
        </w:rPr>
        <w:t>(Ref</w:t>
      </w:r>
      <w:r w:rsidRPr="00C317BB" w:rsidR="00122101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2101">
        <w:rPr>
          <w:rFonts w:cs="Times New Roman"/>
          <w:color w:val="000000" w:themeColor="text1"/>
          <w:szCs w:val="24"/>
        </w:rPr>
        <w:t>1</w:t>
      </w:r>
      <w:r w:rsidRPr="00C317BB" w:rsidR="008C56A6">
        <w:rPr>
          <w:rFonts w:cs="Times New Roman"/>
          <w:color w:val="000000" w:themeColor="text1"/>
          <w:szCs w:val="24"/>
        </w:rPr>
        <w:t>4</w:t>
      </w:r>
      <w:r w:rsidRPr="00C317BB" w:rsidR="008B7E54">
        <w:rPr>
          <w:rFonts w:cs="Times New Roman"/>
          <w:color w:val="000000" w:themeColor="text1"/>
          <w:szCs w:val="24"/>
        </w:rPr>
        <w:t>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1480C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1480C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D5393">
        <w:rPr>
          <w:rFonts w:cs="Times New Roman"/>
          <w:color w:val="000000" w:themeColor="text1"/>
          <w:szCs w:val="24"/>
        </w:rPr>
        <w:t>two</w:t>
      </w:r>
      <w:r w:rsidRPr="00C317BB" w:rsidR="009C6C0F">
        <w:rPr>
          <w:rFonts w:cs="Times New Roman"/>
          <w:color w:val="000000" w:themeColor="text1"/>
          <w:szCs w:val="24"/>
        </w:rPr>
        <w:t>-year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1480C">
        <w:rPr>
          <w:rFonts w:cs="Times New Roman"/>
          <w:color w:val="000000" w:themeColor="text1"/>
          <w:szCs w:val="24"/>
        </w:rPr>
        <w:t>transition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1480C">
        <w:rPr>
          <w:rFonts w:cs="Times New Roman"/>
          <w:color w:val="000000" w:themeColor="text1"/>
          <w:szCs w:val="24"/>
        </w:rPr>
        <w:t>aw</w:t>
      </w:r>
      <w:r w:rsidRPr="00C317BB" w:rsidR="00C74BC5">
        <w:rPr>
          <w:rFonts w:cs="Times New Roman"/>
          <w:color w:val="000000" w:themeColor="text1"/>
          <w:szCs w:val="24"/>
        </w:rPr>
        <w:t>ay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C6C0F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41A1B">
        <w:rPr>
          <w:rFonts w:cs="Times New Roman"/>
          <w:color w:val="000000" w:themeColor="text1"/>
          <w:szCs w:val="24"/>
        </w:rPr>
        <w:t>existing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41A1B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41A1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41A1B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41A1B">
        <w:rPr>
          <w:rFonts w:cs="Times New Roman"/>
          <w:color w:val="000000" w:themeColor="text1"/>
          <w:szCs w:val="24"/>
        </w:rPr>
        <w:t>gaskets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C39E6">
        <w:rPr>
          <w:rFonts w:cs="Times New Roman"/>
          <w:color w:val="000000" w:themeColor="text1"/>
          <w:szCs w:val="24"/>
        </w:rPr>
        <w:t>should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C39E6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C6C0F">
        <w:rPr>
          <w:rFonts w:cs="Times New Roman"/>
          <w:color w:val="000000" w:themeColor="text1"/>
          <w:szCs w:val="24"/>
        </w:rPr>
        <w:t>feasible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F7C58">
        <w:rPr>
          <w:rFonts w:cs="Times New Roman"/>
          <w:color w:val="000000" w:themeColor="text1"/>
          <w:szCs w:val="24"/>
        </w:rPr>
        <w:t>based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F7C58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F7C58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F7C58">
        <w:rPr>
          <w:rFonts w:cs="Times New Roman"/>
          <w:color w:val="000000" w:themeColor="text1"/>
          <w:szCs w:val="24"/>
        </w:rPr>
        <w:t>availability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F7C58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F7C58">
        <w:rPr>
          <w:rFonts w:cs="Times New Roman"/>
          <w:color w:val="000000" w:themeColor="text1"/>
          <w:szCs w:val="24"/>
        </w:rPr>
        <w:t>these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F7C58">
        <w:rPr>
          <w:rFonts w:cs="Times New Roman"/>
          <w:color w:val="000000" w:themeColor="text1"/>
          <w:szCs w:val="24"/>
        </w:rPr>
        <w:t>subs</w:t>
      </w:r>
      <w:r w:rsidRPr="00C317BB" w:rsidR="00C05718">
        <w:rPr>
          <w:rFonts w:cs="Times New Roman"/>
          <w:color w:val="000000" w:themeColor="text1"/>
          <w:szCs w:val="24"/>
        </w:rPr>
        <w:t>titutes</w:t>
      </w:r>
      <w:r w:rsidRPr="00C317BB" w:rsidR="008B7E54">
        <w:rPr>
          <w:rFonts w:cs="Times New Roman"/>
          <w:color w:val="000000" w:themeColor="text1"/>
          <w:szCs w:val="24"/>
        </w:rPr>
        <w:t>.</w:t>
      </w:r>
    </w:p>
    <w:p w:rsidRPr="00C317BB" w:rsidR="001670E4" w:rsidP="00F27167" w:rsidRDefault="000873DF" w14:paraId="17F6E955" w14:textId="39A0D8F6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requests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comment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whether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prohibition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both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provide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reasonable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transition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period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soon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practicable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6(d)(1).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0CB8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0CB8">
        <w:rPr>
          <w:rFonts w:cs="Times New Roman"/>
          <w:color w:val="000000" w:themeColor="text1"/>
          <w:szCs w:val="24"/>
        </w:rPr>
        <w:t>requests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0CB8">
        <w:rPr>
          <w:rFonts w:cs="Times New Roman"/>
          <w:color w:val="000000" w:themeColor="text1"/>
          <w:szCs w:val="24"/>
        </w:rPr>
        <w:t>specific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0CB8">
        <w:rPr>
          <w:rFonts w:cs="Times New Roman"/>
          <w:color w:val="000000" w:themeColor="text1"/>
          <w:szCs w:val="24"/>
        </w:rPr>
        <w:t>information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0CB8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0CB8">
        <w:rPr>
          <w:rFonts w:cs="Times New Roman"/>
          <w:color w:val="000000" w:themeColor="text1"/>
          <w:szCs w:val="24"/>
        </w:rPr>
        <w:t>support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0CB8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0CB8">
        <w:rPr>
          <w:rFonts w:cs="Times New Roman"/>
          <w:color w:val="000000" w:themeColor="text1"/>
          <w:szCs w:val="24"/>
        </w:rPr>
        <w:t>refute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0CB8">
        <w:rPr>
          <w:rFonts w:cs="Times New Roman"/>
          <w:color w:val="000000" w:themeColor="text1"/>
          <w:szCs w:val="24"/>
        </w:rPr>
        <w:t>its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0CB8">
        <w:rPr>
          <w:rFonts w:cs="Times New Roman"/>
          <w:color w:val="000000" w:themeColor="text1"/>
          <w:szCs w:val="24"/>
        </w:rPr>
        <w:t>assumption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0CB8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0CB8">
        <w:rPr>
          <w:rFonts w:cs="Times New Roman"/>
          <w:color w:val="000000" w:themeColor="text1"/>
          <w:szCs w:val="24"/>
        </w:rPr>
        <w:t>plants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0CB8">
        <w:rPr>
          <w:rFonts w:cs="Times New Roman"/>
          <w:color w:val="000000" w:themeColor="text1"/>
          <w:szCs w:val="24"/>
        </w:rPr>
        <w:t>using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0CB8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0CB8">
        <w:rPr>
          <w:rFonts w:cs="Times New Roman"/>
          <w:color w:val="000000" w:themeColor="text1"/>
          <w:szCs w:val="24"/>
        </w:rPr>
        <w:t>diaphragms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0CB8">
        <w:rPr>
          <w:rFonts w:cs="Times New Roman"/>
          <w:color w:val="000000" w:themeColor="text1"/>
          <w:szCs w:val="24"/>
        </w:rPr>
        <w:t>will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0CB8">
        <w:rPr>
          <w:rFonts w:cs="Times New Roman"/>
          <w:color w:val="000000" w:themeColor="text1"/>
          <w:szCs w:val="24"/>
        </w:rPr>
        <w:t>convert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0CB8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0CB8">
        <w:rPr>
          <w:rFonts w:cs="Times New Roman"/>
          <w:color w:val="000000" w:themeColor="text1"/>
          <w:szCs w:val="24"/>
        </w:rPr>
        <w:t>non-asbestos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0CB8">
        <w:rPr>
          <w:rFonts w:cs="Times New Roman"/>
          <w:color w:val="000000" w:themeColor="text1"/>
          <w:szCs w:val="24"/>
        </w:rPr>
        <w:t>technologies,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0CB8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0CB8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0CB8">
        <w:rPr>
          <w:rFonts w:cs="Times New Roman"/>
          <w:color w:val="000000" w:themeColor="text1"/>
          <w:szCs w:val="24"/>
        </w:rPr>
        <w:t>timeframes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0CB8">
        <w:rPr>
          <w:rFonts w:cs="Times New Roman"/>
          <w:color w:val="000000" w:themeColor="text1"/>
          <w:szCs w:val="24"/>
        </w:rPr>
        <w:t>required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0CB8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0CB8">
        <w:rPr>
          <w:rFonts w:cs="Times New Roman"/>
          <w:color w:val="000000" w:themeColor="text1"/>
          <w:szCs w:val="24"/>
        </w:rPr>
        <w:t>such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0CB8">
        <w:rPr>
          <w:rFonts w:cs="Times New Roman"/>
          <w:color w:val="000000" w:themeColor="text1"/>
          <w:szCs w:val="24"/>
        </w:rPr>
        <w:t>conversions.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0CB8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0CB8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0CB8">
        <w:rPr>
          <w:rFonts w:cs="Times New Roman"/>
          <w:color w:val="000000" w:themeColor="text1"/>
          <w:szCs w:val="24"/>
        </w:rPr>
        <w:t>requesting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0CB8">
        <w:rPr>
          <w:rFonts w:cs="Times New Roman"/>
          <w:color w:val="000000" w:themeColor="text1"/>
          <w:szCs w:val="24"/>
        </w:rPr>
        <w:t>comments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0CB8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0CB8">
        <w:rPr>
          <w:rFonts w:cs="Times New Roman"/>
          <w:color w:val="000000" w:themeColor="text1"/>
          <w:szCs w:val="24"/>
        </w:rPr>
        <w:t>potential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0CB8">
        <w:rPr>
          <w:rFonts w:cs="Times New Roman"/>
          <w:color w:val="000000" w:themeColor="text1"/>
          <w:szCs w:val="24"/>
        </w:rPr>
        <w:t>alternative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0CB8">
        <w:rPr>
          <w:rFonts w:cs="Times New Roman"/>
          <w:color w:val="000000" w:themeColor="text1"/>
          <w:szCs w:val="24"/>
        </w:rPr>
        <w:t>transition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0CB8">
        <w:rPr>
          <w:rFonts w:cs="Times New Roman"/>
          <w:color w:val="000000" w:themeColor="text1"/>
          <w:szCs w:val="24"/>
        </w:rPr>
        <w:t>strategies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0CB8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0CB8">
        <w:rPr>
          <w:rFonts w:cs="Times New Roman"/>
          <w:color w:val="000000" w:themeColor="text1"/>
          <w:szCs w:val="24"/>
        </w:rPr>
        <w:t>timing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0CB8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0CB8">
        <w:rPr>
          <w:rFonts w:cs="Times New Roman"/>
          <w:color w:val="000000" w:themeColor="text1"/>
          <w:szCs w:val="24"/>
        </w:rPr>
        <w:t>implement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0CB8">
        <w:rPr>
          <w:rFonts w:cs="Times New Roman"/>
          <w:color w:val="000000" w:themeColor="text1"/>
          <w:szCs w:val="24"/>
        </w:rPr>
        <w:t>those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0CB8">
        <w:rPr>
          <w:rFonts w:cs="Times New Roman"/>
          <w:color w:val="000000" w:themeColor="text1"/>
          <w:szCs w:val="24"/>
        </w:rPr>
        <w:t>strategies.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0CB8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0CB8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0CB8">
        <w:rPr>
          <w:rFonts w:cs="Times New Roman"/>
          <w:color w:val="000000" w:themeColor="text1"/>
          <w:szCs w:val="24"/>
        </w:rPr>
        <w:t>requesting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0CB8">
        <w:rPr>
          <w:rFonts w:cs="Times New Roman"/>
          <w:color w:val="000000" w:themeColor="text1"/>
          <w:szCs w:val="24"/>
        </w:rPr>
        <w:t>specific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0CB8">
        <w:rPr>
          <w:rFonts w:cs="Times New Roman"/>
          <w:color w:val="000000" w:themeColor="text1"/>
          <w:szCs w:val="24"/>
        </w:rPr>
        <w:t>information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0CB8">
        <w:rPr>
          <w:rFonts w:cs="Times New Roman"/>
          <w:color w:val="000000" w:themeColor="text1"/>
          <w:szCs w:val="24"/>
        </w:rPr>
        <w:t>regarding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0CB8">
        <w:rPr>
          <w:rFonts w:cs="Times New Roman"/>
          <w:color w:val="000000" w:themeColor="text1"/>
          <w:szCs w:val="24"/>
        </w:rPr>
        <w:t>potential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0CB8">
        <w:rPr>
          <w:rFonts w:cs="Times New Roman"/>
          <w:color w:val="000000" w:themeColor="text1"/>
          <w:szCs w:val="24"/>
        </w:rPr>
        <w:t>barriers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0CB8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0CB8">
        <w:rPr>
          <w:rFonts w:cs="Times New Roman"/>
          <w:color w:val="000000" w:themeColor="text1"/>
          <w:szCs w:val="24"/>
        </w:rPr>
        <w:t>achieving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0CB8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0CB8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0CB8">
        <w:rPr>
          <w:rFonts w:cs="Times New Roman"/>
          <w:color w:val="000000" w:themeColor="text1"/>
          <w:szCs w:val="24"/>
        </w:rPr>
        <w:t>prohibition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0CB8">
        <w:rPr>
          <w:rFonts w:cs="Times New Roman"/>
          <w:color w:val="000000" w:themeColor="text1"/>
          <w:szCs w:val="24"/>
        </w:rPr>
        <w:t>date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0CB8">
        <w:rPr>
          <w:rFonts w:cs="Times New Roman"/>
          <w:color w:val="000000" w:themeColor="text1"/>
          <w:szCs w:val="24"/>
        </w:rPr>
        <w:t>while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0CB8">
        <w:rPr>
          <w:rFonts w:cs="Times New Roman"/>
          <w:color w:val="000000" w:themeColor="text1"/>
          <w:szCs w:val="24"/>
        </w:rPr>
        <w:t>considering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0CB8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0CB8">
        <w:rPr>
          <w:rFonts w:cs="Times New Roman"/>
          <w:color w:val="000000" w:themeColor="text1"/>
          <w:szCs w:val="24"/>
        </w:rPr>
        <w:t>supply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0CB8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0CB8">
        <w:rPr>
          <w:rFonts w:cs="Times New Roman"/>
          <w:color w:val="000000" w:themeColor="text1"/>
          <w:szCs w:val="24"/>
        </w:rPr>
        <w:t>chlor-alkali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0CB8">
        <w:rPr>
          <w:rFonts w:cs="Times New Roman"/>
          <w:color w:val="000000" w:themeColor="text1"/>
          <w:szCs w:val="24"/>
        </w:rPr>
        <w:t>chemicals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0CB8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0CB8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0CB8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0CB8">
        <w:rPr>
          <w:rFonts w:cs="Times New Roman"/>
          <w:color w:val="000000" w:themeColor="text1"/>
          <w:szCs w:val="24"/>
        </w:rPr>
        <w:t>potential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0CB8">
        <w:rPr>
          <w:rFonts w:cs="Times New Roman"/>
          <w:color w:val="000000" w:themeColor="text1"/>
          <w:szCs w:val="24"/>
        </w:rPr>
        <w:t>impact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0CB8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0CB8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0CB8">
        <w:rPr>
          <w:rFonts w:cs="Times New Roman"/>
          <w:color w:val="000000" w:themeColor="text1"/>
          <w:szCs w:val="24"/>
        </w:rPr>
        <w:t>transition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0CB8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0CB8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0CB8">
        <w:rPr>
          <w:rFonts w:cs="Times New Roman"/>
          <w:color w:val="000000" w:themeColor="text1"/>
          <w:szCs w:val="24"/>
        </w:rPr>
        <w:t>market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0CB8">
        <w:rPr>
          <w:rFonts w:cs="Times New Roman"/>
          <w:color w:val="000000" w:themeColor="text1"/>
          <w:szCs w:val="24"/>
        </w:rPr>
        <w:t>price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0CB8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0CB8">
        <w:rPr>
          <w:rFonts w:cs="Times New Roman"/>
          <w:color w:val="000000" w:themeColor="text1"/>
          <w:szCs w:val="24"/>
        </w:rPr>
        <w:t>chlor-alkali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0CB8">
        <w:rPr>
          <w:rFonts w:cs="Times New Roman"/>
          <w:color w:val="000000" w:themeColor="text1"/>
          <w:szCs w:val="24"/>
        </w:rPr>
        <w:t>chemicals.</w:t>
      </w:r>
    </w:p>
    <w:p w:rsidRPr="00C317BB" w:rsidR="00855617" w:rsidP="00F27167" w:rsidRDefault="00855617" w14:paraId="35FA8331" w14:textId="7CD64A38">
      <w:pPr>
        <w:pStyle w:val="Heading3"/>
        <w:ind w:firstLine="720"/>
        <w:rPr>
          <w:rFonts w:cs="Times New Roman"/>
          <w:color w:val="000000" w:themeColor="text1"/>
          <w:szCs w:val="24"/>
          <w:lang w:val="en"/>
        </w:rPr>
      </w:pPr>
      <w:bookmarkStart w:name="_Hlk87370604" w:id="28"/>
      <w:bookmarkStart w:name="_Hlk87371520" w:id="29"/>
      <w:r w:rsidRPr="00C317BB">
        <w:rPr>
          <w:rFonts w:cs="Times New Roman"/>
          <w:color w:val="000000" w:themeColor="text1"/>
          <w:szCs w:val="24"/>
          <w:lang w:val="en"/>
        </w:rPr>
        <w:t>2.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Prohibition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on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manufacture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(including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import),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processing,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distribution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in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commerce,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and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commercial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use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of: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chrysotile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asbestos-containing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brake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blocks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in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the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oil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industry;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aftermarket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automotive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chrysotile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asbestos-containing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brakes/linings;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asbestos-containing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vehicle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friction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products;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6814A6">
        <w:rPr>
          <w:rFonts w:cs="Times New Roman"/>
          <w:color w:val="000000" w:themeColor="text1"/>
          <w:szCs w:val="24"/>
          <w:lang w:val="en"/>
        </w:rPr>
        <w:t>and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other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asbestos-containing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gaskets</w:t>
      </w:r>
      <w:r w:rsidRPr="00C317BB" w:rsidR="00C070B9">
        <w:rPr>
          <w:rFonts w:cs="Times New Roman"/>
          <w:color w:val="000000" w:themeColor="text1"/>
          <w:szCs w:val="24"/>
          <w:lang w:val="en"/>
        </w:rPr>
        <w:t>.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</w:p>
    <w:bookmarkEnd w:id="28"/>
    <w:p w:rsidRPr="00C317BB" w:rsidR="009970AE" w:rsidP="00F27167" w:rsidRDefault="002A6CC3" w14:paraId="1E07E5E5" w14:textId="74EC8BB1">
      <w:pPr>
        <w:ind w:firstLine="720"/>
        <w:rPr>
          <w:rFonts w:cs="Times New Roman"/>
          <w:color w:val="000000" w:themeColor="text1"/>
          <w:szCs w:val="24"/>
          <w:lang w:val="en"/>
        </w:rPr>
      </w:pPr>
      <w:r w:rsidRPr="00C317BB">
        <w:rPr>
          <w:rFonts w:cs="Times New Roman"/>
          <w:color w:val="000000" w:themeColor="text1"/>
          <w:szCs w:val="24"/>
          <w:lang w:val="en"/>
        </w:rPr>
        <w:t>EPA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is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proposing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BB7D6E">
        <w:rPr>
          <w:rFonts w:cs="Times New Roman"/>
          <w:color w:val="000000" w:themeColor="text1"/>
          <w:szCs w:val="24"/>
          <w:lang w:val="en"/>
        </w:rPr>
        <w:t>under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BB7D6E">
        <w:rPr>
          <w:rFonts w:cs="Times New Roman"/>
          <w:color w:val="000000" w:themeColor="text1"/>
          <w:szCs w:val="24"/>
          <w:lang w:val="en"/>
        </w:rPr>
        <w:t>TSCA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DB0B17">
        <w:rPr>
          <w:rFonts w:cs="Times New Roman"/>
          <w:color w:val="000000" w:themeColor="text1"/>
          <w:szCs w:val="24"/>
          <w:lang w:val="en"/>
        </w:rPr>
        <w:t>section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8D7352">
        <w:rPr>
          <w:rFonts w:cs="Times New Roman"/>
          <w:color w:val="000000" w:themeColor="text1"/>
          <w:szCs w:val="24"/>
          <w:lang w:val="en"/>
        </w:rPr>
        <w:t>6(a)(2)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8D7352">
        <w:rPr>
          <w:rFonts w:cs="Times New Roman"/>
          <w:color w:val="000000" w:themeColor="text1"/>
          <w:szCs w:val="24"/>
          <w:lang w:val="en"/>
        </w:rPr>
        <w:t>and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BB7D6E">
        <w:rPr>
          <w:rFonts w:cs="Times New Roman"/>
          <w:color w:val="000000" w:themeColor="text1"/>
          <w:szCs w:val="24"/>
        </w:rPr>
        <w:t>6(a)(5)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to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prohibit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8D7352">
        <w:rPr>
          <w:rFonts w:cs="Times New Roman"/>
          <w:color w:val="000000" w:themeColor="text1"/>
          <w:szCs w:val="24"/>
          <w:lang w:val="en"/>
        </w:rPr>
        <w:t>manufacturing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2B30B0">
        <w:rPr>
          <w:rFonts w:cs="Times New Roman"/>
          <w:color w:val="000000" w:themeColor="text1"/>
          <w:szCs w:val="24"/>
          <w:lang w:val="en"/>
        </w:rPr>
        <w:t>(including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2B30B0">
        <w:rPr>
          <w:rFonts w:cs="Times New Roman"/>
          <w:color w:val="000000" w:themeColor="text1"/>
          <w:szCs w:val="24"/>
          <w:lang w:val="en"/>
        </w:rPr>
        <w:t>import)</w:t>
      </w:r>
      <w:r w:rsidRPr="00C317BB" w:rsidR="008D7352">
        <w:rPr>
          <w:rFonts w:cs="Times New Roman"/>
          <w:color w:val="000000" w:themeColor="text1"/>
          <w:szCs w:val="24"/>
          <w:lang w:val="en"/>
        </w:rPr>
        <w:t>,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8D7352">
        <w:rPr>
          <w:rFonts w:cs="Times New Roman"/>
          <w:color w:val="000000" w:themeColor="text1"/>
          <w:szCs w:val="24"/>
          <w:lang w:val="en"/>
        </w:rPr>
        <w:t>processing</w:t>
      </w:r>
      <w:r w:rsidRPr="00C317BB" w:rsidR="00533F1D">
        <w:rPr>
          <w:rFonts w:cs="Times New Roman"/>
          <w:color w:val="000000" w:themeColor="text1"/>
          <w:szCs w:val="24"/>
          <w:lang w:val="en"/>
        </w:rPr>
        <w:t>,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D12F5C">
        <w:rPr>
          <w:rFonts w:cs="Times New Roman"/>
          <w:color w:val="000000" w:themeColor="text1"/>
          <w:szCs w:val="24"/>
          <w:lang w:val="en"/>
        </w:rPr>
        <w:t>distribution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E5757A">
        <w:rPr>
          <w:rFonts w:cs="Times New Roman"/>
          <w:color w:val="000000" w:themeColor="text1"/>
          <w:szCs w:val="24"/>
          <w:lang w:val="en"/>
        </w:rPr>
        <w:t>in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E5757A">
        <w:rPr>
          <w:rFonts w:cs="Times New Roman"/>
          <w:color w:val="000000" w:themeColor="text1"/>
          <w:szCs w:val="24"/>
          <w:lang w:val="en"/>
        </w:rPr>
        <w:t>commerce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E5757A">
        <w:rPr>
          <w:rFonts w:cs="Times New Roman"/>
          <w:color w:val="000000" w:themeColor="text1"/>
          <w:szCs w:val="24"/>
          <w:lang w:val="en"/>
        </w:rPr>
        <w:t>and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E5757A">
        <w:rPr>
          <w:rFonts w:cs="Times New Roman"/>
          <w:color w:val="000000" w:themeColor="text1"/>
          <w:szCs w:val="24"/>
          <w:lang w:val="en"/>
        </w:rPr>
        <w:t>commercial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E5757A">
        <w:rPr>
          <w:rFonts w:cs="Times New Roman"/>
          <w:color w:val="000000" w:themeColor="text1"/>
          <w:szCs w:val="24"/>
          <w:lang w:val="en"/>
        </w:rPr>
        <w:t>use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E06BA1">
        <w:rPr>
          <w:rFonts w:cs="Times New Roman"/>
          <w:color w:val="000000" w:themeColor="text1"/>
          <w:szCs w:val="24"/>
          <w:lang w:val="en"/>
        </w:rPr>
        <w:t>of</w:t>
      </w:r>
      <w:r w:rsidRPr="00C317BB" w:rsidR="007825D4">
        <w:rPr>
          <w:rFonts w:cs="Times New Roman"/>
          <w:color w:val="000000" w:themeColor="text1"/>
          <w:szCs w:val="24"/>
          <w:lang w:val="en"/>
        </w:rPr>
        <w:t>: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720A01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20A01">
        <w:rPr>
          <w:rFonts w:cs="Times New Roman"/>
          <w:color w:val="000000" w:themeColor="text1"/>
          <w:szCs w:val="24"/>
        </w:rPr>
        <w:t>asbestos-containing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20A01">
        <w:rPr>
          <w:rFonts w:cs="Times New Roman"/>
          <w:color w:val="000000" w:themeColor="text1"/>
          <w:szCs w:val="24"/>
        </w:rPr>
        <w:t>brake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20A01">
        <w:rPr>
          <w:rFonts w:cs="Times New Roman"/>
          <w:color w:val="000000" w:themeColor="text1"/>
          <w:szCs w:val="24"/>
        </w:rPr>
        <w:t>blocks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20A01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20A01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20A01">
        <w:rPr>
          <w:rFonts w:cs="Times New Roman"/>
          <w:color w:val="000000" w:themeColor="text1"/>
          <w:szCs w:val="24"/>
        </w:rPr>
        <w:t>oil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20A01">
        <w:rPr>
          <w:rFonts w:cs="Times New Roman"/>
          <w:color w:val="000000" w:themeColor="text1"/>
          <w:szCs w:val="24"/>
        </w:rPr>
        <w:t>industry;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20A01">
        <w:rPr>
          <w:rFonts w:cs="Times New Roman"/>
          <w:color w:val="000000" w:themeColor="text1"/>
          <w:szCs w:val="24"/>
        </w:rPr>
        <w:t>aftermarket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20A01">
        <w:rPr>
          <w:rFonts w:cs="Times New Roman"/>
          <w:color w:val="000000" w:themeColor="text1"/>
          <w:szCs w:val="24"/>
        </w:rPr>
        <w:t>automotive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20A01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20A01">
        <w:rPr>
          <w:rFonts w:cs="Times New Roman"/>
          <w:color w:val="000000" w:themeColor="text1"/>
          <w:szCs w:val="24"/>
        </w:rPr>
        <w:t>asbestos-containing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20A01">
        <w:rPr>
          <w:rFonts w:cs="Times New Roman"/>
          <w:color w:val="000000" w:themeColor="text1"/>
          <w:szCs w:val="24"/>
        </w:rPr>
        <w:t>brakes/linings</w:t>
      </w:r>
      <w:r w:rsidRPr="00C317BB" w:rsidR="003D5A65">
        <w:rPr>
          <w:rFonts w:cs="Times New Roman"/>
          <w:color w:val="000000" w:themeColor="text1"/>
          <w:szCs w:val="24"/>
        </w:rPr>
        <w:t>;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C049D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D7A0B">
        <w:rPr>
          <w:rFonts w:cs="Times New Roman"/>
          <w:color w:val="000000" w:themeColor="text1"/>
          <w:szCs w:val="24"/>
        </w:rPr>
        <w:t>a</w:t>
      </w:r>
      <w:r w:rsidRPr="00C317BB" w:rsidR="003D5A65">
        <w:rPr>
          <w:rFonts w:cs="Times New Roman"/>
          <w:color w:val="000000" w:themeColor="text1"/>
          <w:szCs w:val="24"/>
        </w:rPr>
        <w:t>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D5A65">
        <w:rPr>
          <w:rFonts w:cs="Times New Roman"/>
          <w:color w:val="000000" w:themeColor="text1"/>
          <w:szCs w:val="24"/>
        </w:rPr>
        <w:t>vehicle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D5A65">
        <w:rPr>
          <w:rFonts w:cs="Times New Roman"/>
          <w:color w:val="000000" w:themeColor="text1"/>
          <w:szCs w:val="24"/>
        </w:rPr>
        <w:t>friction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D5A65">
        <w:rPr>
          <w:rFonts w:cs="Times New Roman"/>
          <w:color w:val="000000" w:themeColor="text1"/>
          <w:szCs w:val="24"/>
        </w:rPr>
        <w:t>products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C049D">
        <w:rPr>
          <w:rFonts w:cs="Times New Roman"/>
          <w:color w:val="000000" w:themeColor="text1"/>
          <w:szCs w:val="24"/>
        </w:rPr>
        <w:t>(excluding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C049D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C049D">
        <w:rPr>
          <w:rFonts w:cs="Times New Roman"/>
          <w:color w:val="000000" w:themeColor="text1"/>
          <w:szCs w:val="24"/>
        </w:rPr>
        <w:t>NASA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C049D">
        <w:rPr>
          <w:rFonts w:cs="Times New Roman"/>
          <w:color w:val="000000" w:themeColor="text1"/>
          <w:szCs w:val="24"/>
        </w:rPr>
        <w:t>SGT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C049D">
        <w:rPr>
          <w:rFonts w:cs="Times New Roman"/>
          <w:color w:val="000000" w:themeColor="text1"/>
          <w:szCs w:val="24"/>
        </w:rPr>
        <w:t>use)</w:t>
      </w:r>
      <w:r w:rsidRPr="00C317BB" w:rsidR="003D5A65">
        <w:rPr>
          <w:rFonts w:cs="Times New Roman"/>
          <w:color w:val="000000" w:themeColor="text1"/>
          <w:szCs w:val="24"/>
        </w:rPr>
        <w:t>;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E4640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13044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20A01">
        <w:rPr>
          <w:rFonts w:cs="Times New Roman"/>
          <w:color w:val="000000" w:themeColor="text1"/>
          <w:szCs w:val="24"/>
        </w:rPr>
        <w:t>asbestos-containing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20A01">
        <w:rPr>
          <w:rFonts w:cs="Times New Roman"/>
          <w:color w:val="000000" w:themeColor="text1"/>
          <w:szCs w:val="24"/>
        </w:rPr>
        <w:t>gaskets</w:t>
      </w:r>
      <w:r w:rsidRPr="00C317BB" w:rsidR="007825D4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25D4">
        <w:rPr>
          <w:rFonts w:cs="Times New Roman"/>
          <w:color w:val="000000" w:themeColor="text1"/>
          <w:szCs w:val="24"/>
        </w:rPr>
        <w:t>Based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25D4">
        <w:rPr>
          <w:rFonts w:cs="Times New Roman"/>
          <w:color w:val="000000" w:themeColor="text1"/>
          <w:szCs w:val="24"/>
        </w:rPr>
        <w:t>upon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25D4">
        <w:rPr>
          <w:rFonts w:cs="Times New Roman"/>
          <w:color w:val="000000" w:themeColor="text1"/>
          <w:szCs w:val="24"/>
        </w:rPr>
        <w:t>discussions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25D4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25D4">
        <w:rPr>
          <w:rFonts w:cs="Times New Roman"/>
          <w:color w:val="000000" w:themeColor="text1"/>
          <w:szCs w:val="24"/>
        </w:rPr>
        <w:t>trade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25D4">
        <w:rPr>
          <w:rFonts w:cs="Times New Roman"/>
          <w:color w:val="000000" w:themeColor="text1"/>
          <w:szCs w:val="24"/>
        </w:rPr>
        <w:t>groups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25D4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25D4">
        <w:rPr>
          <w:rFonts w:cs="Times New Roman"/>
          <w:color w:val="000000" w:themeColor="text1"/>
          <w:szCs w:val="24"/>
        </w:rPr>
        <w:t>industry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5713D">
        <w:rPr>
          <w:rFonts w:cs="Times New Roman"/>
          <w:color w:val="000000" w:themeColor="text1"/>
          <w:szCs w:val="24"/>
        </w:rPr>
        <w:t>representatives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0626E">
        <w:rPr>
          <w:rFonts w:cs="Times New Roman"/>
          <w:color w:val="000000" w:themeColor="text1"/>
          <w:szCs w:val="24"/>
        </w:rPr>
        <w:t>(Ref</w:t>
      </w:r>
      <w:r w:rsidRPr="00C317BB" w:rsidR="00F825BC">
        <w:rPr>
          <w:rFonts w:cs="Times New Roman"/>
          <w:color w:val="000000" w:themeColor="text1"/>
          <w:szCs w:val="24"/>
        </w:rPr>
        <w:t>s</w:t>
      </w:r>
      <w:r w:rsidRPr="00C317BB" w:rsidR="0050626E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0626E">
        <w:rPr>
          <w:rFonts w:cs="Times New Roman"/>
          <w:color w:val="000000" w:themeColor="text1"/>
          <w:szCs w:val="24"/>
        </w:rPr>
        <w:t>1</w:t>
      </w:r>
      <w:r w:rsidRPr="00C317BB" w:rsidR="008C56A6">
        <w:rPr>
          <w:rFonts w:cs="Times New Roman"/>
          <w:color w:val="000000" w:themeColor="text1"/>
          <w:szCs w:val="24"/>
        </w:rPr>
        <w:t>4</w:t>
      </w:r>
      <w:r w:rsidRPr="00C317BB" w:rsidR="0050626E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0626E">
        <w:rPr>
          <w:rFonts w:cs="Times New Roman"/>
          <w:color w:val="000000" w:themeColor="text1"/>
          <w:szCs w:val="24"/>
        </w:rPr>
        <w:t>1</w:t>
      </w:r>
      <w:r w:rsidRPr="00C317BB" w:rsidR="008C56A6">
        <w:rPr>
          <w:rFonts w:cs="Times New Roman"/>
          <w:color w:val="000000" w:themeColor="text1"/>
          <w:szCs w:val="24"/>
        </w:rPr>
        <w:t>5</w:t>
      </w:r>
      <w:r w:rsidRPr="00C317BB" w:rsidR="0050626E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0626E">
        <w:rPr>
          <w:rFonts w:cs="Times New Roman"/>
          <w:color w:val="000000" w:themeColor="text1"/>
          <w:szCs w:val="24"/>
        </w:rPr>
        <w:t>1</w:t>
      </w:r>
      <w:r w:rsidRPr="00C317BB" w:rsidR="008C56A6">
        <w:rPr>
          <w:rFonts w:cs="Times New Roman"/>
          <w:color w:val="000000" w:themeColor="text1"/>
          <w:szCs w:val="24"/>
        </w:rPr>
        <w:t>6</w:t>
      </w:r>
      <w:r w:rsidRPr="00C317BB" w:rsidR="0050626E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0626E">
        <w:rPr>
          <w:rFonts w:cs="Times New Roman"/>
          <w:color w:val="000000" w:themeColor="text1"/>
          <w:szCs w:val="24"/>
        </w:rPr>
        <w:t>1</w:t>
      </w:r>
      <w:r w:rsidRPr="00C317BB" w:rsidR="008C56A6">
        <w:rPr>
          <w:rFonts w:cs="Times New Roman"/>
          <w:color w:val="000000" w:themeColor="text1"/>
          <w:szCs w:val="24"/>
        </w:rPr>
        <w:t>7</w:t>
      </w:r>
      <w:r w:rsidRPr="00C317BB" w:rsidR="00122101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21708">
        <w:rPr>
          <w:rFonts w:cs="Times New Roman"/>
          <w:color w:val="000000" w:themeColor="text1"/>
          <w:szCs w:val="24"/>
        </w:rPr>
        <w:t>20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825BC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C56A6">
        <w:rPr>
          <w:rFonts w:cs="Times New Roman"/>
          <w:color w:val="000000" w:themeColor="text1"/>
          <w:szCs w:val="24"/>
        </w:rPr>
        <w:t>2</w:t>
      </w:r>
      <w:r w:rsidRPr="00C317BB" w:rsidR="00B21708">
        <w:rPr>
          <w:rFonts w:cs="Times New Roman"/>
          <w:color w:val="000000" w:themeColor="text1"/>
          <w:szCs w:val="24"/>
        </w:rPr>
        <w:t>1</w:t>
      </w:r>
      <w:r w:rsidRPr="00C317BB" w:rsidR="0050626E">
        <w:rPr>
          <w:rFonts w:cs="Times New Roman"/>
          <w:color w:val="000000" w:themeColor="text1"/>
          <w:szCs w:val="24"/>
        </w:rPr>
        <w:t>)</w:t>
      </w:r>
      <w:r w:rsidRPr="00C317BB" w:rsidR="007825D4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25D4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25D4">
        <w:rPr>
          <w:rFonts w:cs="Times New Roman"/>
          <w:color w:val="000000" w:themeColor="text1"/>
          <w:szCs w:val="24"/>
        </w:rPr>
        <w:t>believes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25D4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25D4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03C1B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03C1B">
        <w:rPr>
          <w:rFonts w:cs="Times New Roman"/>
          <w:color w:val="000000" w:themeColor="text1"/>
          <w:szCs w:val="24"/>
        </w:rPr>
        <w:t>almost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03C1B">
        <w:rPr>
          <w:rFonts w:cs="Times New Roman"/>
          <w:color w:val="000000" w:themeColor="text1"/>
          <w:szCs w:val="24"/>
        </w:rPr>
        <w:t>entirely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25D4">
        <w:rPr>
          <w:rFonts w:cs="Times New Roman"/>
          <w:color w:val="000000" w:themeColor="text1"/>
          <w:szCs w:val="24"/>
        </w:rPr>
        <w:t>phased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25D4">
        <w:rPr>
          <w:rFonts w:cs="Times New Roman"/>
          <w:color w:val="000000" w:themeColor="text1"/>
          <w:szCs w:val="24"/>
        </w:rPr>
        <w:t>out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25D4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25D4">
        <w:rPr>
          <w:rFonts w:cs="Times New Roman"/>
          <w:color w:val="000000" w:themeColor="text1"/>
          <w:szCs w:val="24"/>
        </w:rPr>
        <w:t>these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03C1B">
        <w:rPr>
          <w:rFonts w:cs="Times New Roman"/>
          <w:color w:val="000000" w:themeColor="text1"/>
          <w:szCs w:val="24"/>
        </w:rPr>
        <w:t>product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03C1B">
        <w:rPr>
          <w:rFonts w:cs="Times New Roman"/>
          <w:color w:val="000000" w:themeColor="text1"/>
          <w:szCs w:val="24"/>
        </w:rPr>
        <w:t>categories</w:t>
      </w:r>
      <w:r w:rsidRPr="00C317BB" w:rsidR="00B10F09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0166C">
        <w:rPr>
          <w:rFonts w:cs="Times New Roman"/>
          <w:color w:val="000000" w:themeColor="text1"/>
          <w:szCs w:val="24"/>
        </w:rPr>
        <w:t>Thus</w:t>
      </w:r>
      <w:r w:rsidRPr="00C317BB" w:rsidR="001C7C33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C7C33">
        <w:rPr>
          <w:rFonts w:cs="Times New Roman"/>
          <w:color w:val="000000" w:themeColor="text1"/>
          <w:szCs w:val="24"/>
        </w:rPr>
        <w:t>these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25D4">
        <w:rPr>
          <w:rFonts w:cs="Times New Roman"/>
          <w:color w:val="000000" w:themeColor="text1"/>
          <w:szCs w:val="24"/>
        </w:rPr>
        <w:t>prohibition</w:t>
      </w:r>
      <w:r w:rsidRPr="00C317BB" w:rsidR="001C7C33">
        <w:rPr>
          <w:rFonts w:cs="Times New Roman"/>
          <w:color w:val="000000" w:themeColor="text1"/>
          <w:szCs w:val="24"/>
        </w:rPr>
        <w:t>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C7C33">
        <w:rPr>
          <w:rFonts w:cs="Times New Roman"/>
          <w:color w:val="000000" w:themeColor="text1"/>
          <w:szCs w:val="24"/>
        </w:rPr>
        <w:t>would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C7C33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C7C33">
        <w:rPr>
          <w:rFonts w:cs="Times New Roman"/>
          <w:color w:val="000000" w:themeColor="text1"/>
          <w:szCs w:val="24"/>
        </w:rPr>
        <w:t>only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C7C33">
        <w:rPr>
          <w:rFonts w:cs="Times New Roman"/>
          <w:color w:val="000000" w:themeColor="text1"/>
          <w:szCs w:val="24"/>
        </w:rPr>
        <w:t>address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C7C33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C7C33">
        <w:rPr>
          <w:rFonts w:cs="Times New Roman"/>
          <w:color w:val="000000" w:themeColor="text1"/>
          <w:szCs w:val="24"/>
        </w:rPr>
        <w:t>unreasonable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C7C33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C7C33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C7C33">
        <w:rPr>
          <w:rFonts w:cs="Times New Roman"/>
          <w:color w:val="000000" w:themeColor="text1"/>
          <w:szCs w:val="24"/>
        </w:rPr>
        <w:t>has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C7C33">
        <w:rPr>
          <w:rFonts w:cs="Times New Roman"/>
          <w:color w:val="000000" w:themeColor="text1"/>
          <w:szCs w:val="24"/>
        </w:rPr>
        <w:t>identified,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C7C33">
        <w:rPr>
          <w:rFonts w:cs="Times New Roman"/>
          <w:color w:val="000000" w:themeColor="text1"/>
          <w:szCs w:val="24"/>
        </w:rPr>
        <w:t>but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04703">
        <w:rPr>
          <w:rFonts w:cs="Times New Roman"/>
          <w:color w:val="000000" w:themeColor="text1"/>
          <w:szCs w:val="24"/>
        </w:rPr>
        <w:t>also</w:t>
      </w:r>
      <w:r w:rsidRPr="00C317BB" w:rsidR="00B10F09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04703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04703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04703">
        <w:rPr>
          <w:rFonts w:cs="Times New Roman"/>
          <w:color w:val="000000" w:themeColor="text1"/>
          <w:szCs w:val="24"/>
        </w:rPr>
        <w:t>reason</w:t>
      </w:r>
      <w:r w:rsidRPr="00C317BB" w:rsidR="00B10F09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10F09">
        <w:rPr>
          <w:rFonts w:cs="Times New Roman"/>
          <w:color w:val="000000" w:themeColor="text1"/>
          <w:szCs w:val="24"/>
        </w:rPr>
        <w:t>upon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10F09">
        <w:rPr>
          <w:rFonts w:cs="Times New Roman"/>
          <w:color w:val="000000" w:themeColor="text1"/>
          <w:szCs w:val="24"/>
        </w:rPr>
        <w:t>consideration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10F09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10F09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10F09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10F09">
        <w:rPr>
          <w:rFonts w:cs="Times New Roman"/>
          <w:color w:val="000000" w:themeColor="text1"/>
          <w:szCs w:val="24"/>
        </w:rPr>
        <w:t>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10F09">
        <w:rPr>
          <w:rFonts w:cs="Times New Roman"/>
          <w:color w:val="000000" w:themeColor="text1"/>
          <w:szCs w:val="24"/>
        </w:rPr>
        <w:t>6(c)(2)(A)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10F09">
        <w:rPr>
          <w:rFonts w:cs="Times New Roman"/>
          <w:color w:val="000000" w:themeColor="text1"/>
          <w:szCs w:val="24"/>
        </w:rPr>
        <w:t>factors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C7C33">
        <w:rPr>
          <w:rFonts w:cs="Times New Roman"/>
          <w:color w:val="000000" w:themeColor="text1"/>
          <w:szCs w:val="24"/>
        </w:rPr>
        <w:t>can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C7C33">
        <w:rPr>
          <w:rFonts w:cs="Times New Roman"/>
          <w:color w:val="000000" w:themeColor="text1"/>
          <w:szCs w:val="24"/>
        </w:rPr>
        <w:t>achieve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C7C33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C7C33">
        <w:rPr>
          <w:rFonts w:cs="Times New Roman"/>
          <w:color w:val="000000" w:themeColor="text1"/>
          <w:szCs w:val="24"/>
        </w:rPr>
        <w:t>statutory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C7C33">
        <w:rPr>
          <w:rFonts w:cs="Times New Roman"/>
          <w:color w:val="000000" w:themeColor="text1"/>
          <w:szCs w:val="24"/>
        </w:rPr>
        <w:t>requirement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C7C33">
        <w:rPr>
          <w:rFonts w:cs="Times New Roman"/>
          <w:color w:val="000000" w:themeColor="text1"/>
          <w:szCs w:val="24"/>
        </w:rPr>
        <w:t>without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0125B">
        <w:rPr>
          <w:rFonts w:cs="Times New Roman"/>
          <w:color w:val="000000" w:themeColor="text1"/>
          <w:szCs w:val="24"/>
        </w:rPr>
        <w:t>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7389C">
        <w:rPr>
          <w:rFonts w:cs="Times New Roman"/>
          <w:color w:val="000000" w:themeColor="text1"/>
          <w:szCs w:val="24"/>
        </w:rPr>
        <w:t>undue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0125B">
        <w:rPr>
          <w:rFonts w:cs="Times New Roman"/>
          <w:color w:val="000000" w:themeColor="text1"/>
          <w:szCs w:val="24"/>
        </w:rPr>
        <w:t>eco</w:t>
      </w:r>
      <w:r w:rsidRPr="00C317BB" w:rsidR="00C13E4A">
        <w:rPr>
          <w:rFonts w:cs="Times New Roman"/>
          <w:color w:val="000000" w:themeColor="text1"/>
          <w:szCs w:val="24"/>
        </w:rPr>
        <w:t>nomic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25D4">
        <w:rPr>
          <w:rFonts w:cs="Times New Roman"/>
          <w:color w:val="000000" w:themeColor="text1"/>
          <w:szCs w:val="24"/>
        </w:rPr>
        <w:t>burden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25D4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13E4A">
        <w:rPr>
          <w:rFonts w:cs="Times New Roman"/>
          <w:color w:val="000000" w:themeColor="text1"/>
          <w:szCs w:val="24"/>
        </w:rPr>
        <w:t>the</w:t>
      </w:r>
      <w:r w:rsidRPr="00C317BB" w:rsidR="00DD2177">
        <w:rPr>
          <w:rFonts w:cs="Times New Roman"/>
          <w:color w:val="000000" w:themeColor="text1"/>
          <w:szCs w:val="24"/>
        </w:rPr>
        <w:t>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25D4">
        <w:rPr>
          <w:rFonts w:cs="Times New Roman"/>
          <w:color w:val="000000" w:themeColor="text1"/>
          <w:szCs w:val="24"/>
        </w:rPr>
        <w:t>industr</w:t>
      </w:r>
      <w:r w:rsidRPr="00C317BB" w:rsidR="00DD2177">
        <w:rPr>
          <w:rFonts w:cs="Times New Roman"/>
          <w:color w:val="000000" w:themeColor="text1"/>
          <w:szCs w:val="24"/>
        </w:rPr>
        <w:t>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7389C">
        <w:rPr>
          <w:rFonts w:cs="Times New Roman"/>
          <w:color w:val="000000" w:themeColor="text1"/>
          <w:szCs w:val="24"/>
        </w:rPr>
        <w:t>overall</w:t>
      </w:r>
      <w:r w:rsidRPr="00C317BB" w:rsidR="007825D4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06A23">
        <w:rPr>
          <w:rFonts w:cs="Times New Roman"/>
          <w:color w:val="000000" w:themeColor="text1"/>
          <w:szCs w:val="24"/>
          <w:lang w:val="en"/>
        </w:rPr>
        <w:t>EPA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906A23">
        <w:rPr>
          <w:rFonts w:cs="Times New Roman"/>
          <w:color w:val="000000" w:themeColor="text1"/>
          <w:szCs w:val="24"/>
          <w:lang w:val="en"/>
        </w:rPr>
        <w:t>is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906A23">
        <w:rPr>
          <w:rFonts w:cs="Times New Roman"/>
          <w:color w:val="000000" w:themeColor="text1"/>
          <w:szCs w:val="24"/>
          <w:lang w:val="en"/>
        </w:rPr>
        <w:t>proposing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906A23">
        <w:rPr>
          <w:rFonts w:cs="Times New Roman"/>
          <w:color w:val="000000" w:themeColor="text1"/>
          <w:szCs w:val="24"/>
          <w:lang w:val="en"/>
        </w:rPr>
        <w:t>that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906A23">
        <w:rPr>
          <w:rFonts w:cs="Times New Roman"/>
          <w:color w:val="000000" w:themeColor="text1"/>
          <w:szCs w:val="24"/>
          <w:lang w:val="en"/>
        </w:rPr>
        <w:t>the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906A23">
        <w:rPr>
          <w:rFonts w:cs="Times New Roman"/>
          <w:color w:val="000000" w:themeColor="text1"/>
          <w:szCs w:val="24"/>
          <w:lang w:val="en"/>
        </w:rPr>
        <w:t>prohibition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906A23">
        <w:rPr>
          <w:rFonts w:cs="Times New Roman"/>
          <w:color w:val="000000" w:themeColor="text1"/>
          <w:szCs w:val="24"/>
          <w:lang w:val="en"/>
        </w:rPr>
        <w:t>take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906A23">
        <w:rPr>
          <w:rFonts w:cs="Times New Roman"/>
          <w:color w:val="000000" w:themeColor="text1"/>
          <w:szCs w:val="24"/>
          <w:lang w:val="en"/>
        </w:rPr>
        <w:t>effect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A04D00">
        <w:rPr>
          <w:rFonts w:cs="Times New Roman"/>
          <w:color w:val="000000" w:themeColor="text1"/>
          <w:szCs w:val="24"/>
          <w:lang w:val="en"/>
        </w:rPr>
        <w:t>180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A04D00">
        <w:rPr>
          <w:rFonts w:cs="Times New Roman"/>
          <w:color w:val="000000" w:themeColor="text1"/>
          <w:szCs w:val="24"/>
          <w:lang w:val="en"/>
        </w:rPr>
        <w:t>days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906A23">
        <w:rPr>
          <w:rFonts w:cs="Times New Roman"/>
          <w:color w:val="000000" w:themeColor="text1"/>
          <w:szCs w:val="24"/>
          <w:lang w:val="en"/>
        </w:rPr>
        <w:t>after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906A23">
        <w:rPr>
          <w:rFonts w:cs="Times New Roman"/>
          <w:color w:val="000000" w:themeColor="text1"/>
          <w:szCs w:val="24"/>
          <w:lang w:val="en"/>
        </w:rPr>
        <w:t>the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906A23">
        <w:rPr>
          <w:rFonts w:cs="Times New Roman"/>
          <w:color w:val="000000" w:themeColor="text1"/>
          <w:szCs w:val="24"/>
          <w:lang w:val="en"/>
        </w:rPr>
        <w:t>effective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906A23">
        <w:rPr>
          <w:rFonts w:cs="Times New Roman"/>
          <w:color w:val="000000" w:themeColor="text1"/>
          <w:szCs w:val="24"/>
          <w:lang w:val="en"/>
        </w:rPr>
        <w:t>date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906A23">
        <w:rPr>
          <w:rFonts w:cs="Times New Roman"/>
          <w:color w:val="000000" w:themeColor="text1"/>
          <w:szCs w:val="24"/>
          <w:lang w:val="en"/>
        </w:rPr>
        <w:t>of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906A23">
        <w:rPr>
          <w:rFonts w:cs="Times New Roman"/>
          <w:color w:val="000000" w:themeColor="text1"/>
          <w:szCs w:val="24"/>
          <w:lang w:val="en"/>
        </w:rPr>
        <w:t>the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906A23">
        <w:rPr>
          <w:rFonts w:cs="Times New Roman"/>
          <w:color w:val="000000" w:themeColor="text1"/>
          <w:szCs w:val="24"/>
          <w:lang w:val="en"/>
        </w:rPr>
        <w:t>final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906A23">
        <w:rPr>
          <w:rFonts w:cs="Times New Roman"/>
          <w:color w:val="000000" w:themeColor="text1"/>
          <w:szCs w:val="24"/>
          <w:lang w:val="en"/>
        </w:rPr>
        <w:t>rule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893685">
        <w:rPr>
          <w:rFonts w:cs="Times New Roman"/>
          <w:color w:val="000000" w:themeColor="text1"/>
          <w:szCs w:val="24"/>
          <w:lang w:val="en"/>
        </w:rPr>
        <w:t>for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893685">
        <w:rPr>
          <w:rFonts w:cs="Times New Roman"/>
          <w:color w:val="000000" w:themeColor="text1"/>
          <w:szCs w:val="24"/>
          <w:lang w:val="en"/>
        </w:rPr>
        <w:t>these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403C1B">
        <w:rPr>
          <w:rFonts w:cs="Times New Roman"/>
          <w:color w:val="000000" w:themeColor="text1"/>
          <w:szCs w:val="24"/>
          <w:lang w:val="en"/>
        </w:rPr>
        <w:t>categories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403C1B">
        <w:rPr>
          <w:rFonts w:cs="Times New Roman"/>
          <w:color w:val="000000" w:themeColor="text1"/>
          <w:szCs w:val="24"/>
          <w:lang w:val="en"/>
        </w:rPr>
        <w:t>of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403C1B">
        <w:rPr>
          <w:rFonts w:cs="Times New Roman"/>
          <w:color w:val="000000" w:themeColor="text1"/>
          <w:szCs w:val="24"/>
          <w:lang w:val="en"/>
        </w:rPr>
        <w:t>use</w:t>
      </w:r>
      <w:r w:rsidRPr="00C317BB" w:rsidR="00906A23">
        <w:rPr>
          <w:rFonts w:cs="Times New Roman"/>
          <w:color w:val="000000" w:themeColor="text1"/>
          <w:szCs w:val="24"/>
          <w:lang w:val="en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B3BA5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B3BA5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B3BA5">
        <w:rPr>
          <w:rFonts w:cs="Times New Roman"/>
          <w:color w:val="000000" w:themeColor="text1"/>
          <w:szCs w:val="24"/>
        </w:rPr>
        <w:t>context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B3BA5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B3BA5">
        <w:rPr>
          <w:rFonts w:cs="Times New Roman"/>
          <w:color w:val="000000" w:themeColor="text1"/>
          <w:szCs w:val="24"/>
        </w:rPr>
        <w:t>these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B3BA5">
        <w:rPr>
          <w:rFonts w:cs="Times New Roman"/>
          <w:color w:val="000000" w:themeColor="text1"/>
          <w:szCs w:val="24"/>
        </w:rPr>
        <w:t>specific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B3BA5">
        <w:rPr>
          <w:rFonts w:cs="Times New Roman"/>
          <w:color w:val="000000" w:themeColor="text1"/>
          <w:szCs w:val="24"/>
        </w:rPr>
        <w:t>uses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B3BA5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B3BA5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B3BA5">
        <w:rPr>
          <w:rFonts w:cs="Times New Roman"/>
          <w:color w:val="000000" w:themeColor="text1"/>
          <w:szCs w:val="24"/>
        </w:rPr>
        <w:t>asbestos,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B25DE">
        <w:rPr>
          <w:rFonts w:cs="Times New Roman"/>
          <w:color w:val="000000" w:themeColor="text1"/>
          <w:szCs w:val="24"/>
        </w:rPr>
        <w:t>which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B25DE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B25DE">
        <w:rPr>
          <w:rFonts w:cs="Times New Roman"/>
          <w:color w:val="000000" w:themeColor="text1"/>
          <w:szCs w:val="24"/>
        </w:rPr>
        <w:t>believes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B25DE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B25DE">
        <w:rPr>
          <w:rFonts w:cs="Times New Roman"/>
          <w:color w:val="000000" w:themeColor="text1"/>
          <w:szCs w:val="24"/>
        </w:rPr>
        <w:t>almost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B25DE">
        <w:rPr>
          <w:rFonts w:cs="Times New Roman"/>
          <w:color w:val="000000" w:themeColor="text1"/>
          <w:szCs w:val="24"/>
        </w:rPr>
        <w:t>entirely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B25DE">
        <w:rPr>
          <w:rFonts w:cs="Times New Roman"/>
          <w:color w:val="000000" w:themeColor="text1"/>
          <w:szCs w:val="24"/>
        </w:rPr>
        <w:t>phased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B25DE">
        <w:rPr>
          <w:rFonts w:cs="Times New Roman"/>
          <w:color w:val="000000" w:themeColor="text1"/>
          <w:szCs w:val="24"/>
        </w:rPr>
        <w:t>out,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06A23">
        <w:rPr>
          <w:rFonts w:cs="Times New Roman"/>
          <w:color w:val="000000" w:themeColor="text1"/>
          <w:szCs w:val="24"/>
          <w:lang w:val="en"/>
        </w:rPr>
        <w:t>EPA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906A23">
        <w:rPr>
          <w:rFonts w:cs="Times New Roman"/>
          <w:color w:val="000000" w:themeColor="text1"/>
          <w:szCs w:val="24"/>
          <w:lang w:val="en"/>
        </w:rPr>
        <w:t>has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906A23">
        <w:rPr>
          <w:rFonts w:cs="Times New Roman"/>
          <w:color w:val="000000" w:themeColor="text1"/>
          <w:szCs w:val="24"/>
          <w:lang w:val="en"/>
        </w:rPr>
        <w:t>no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906A23">
        <w:rPr>
          <w:rFonts w:cs="Times New Roman"/>
          <w:color w:val="000000" w:themeColor="text1"/>
          <w:szCs w:val="24"/>
          <w:lang w:val="en"/>
        </w:rPr>
        <w:t>information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906A23">
        <w:rPr>
          <w:rFonts w:cs="Times New Roman"/>
          <w:color w:val="000000" w:themeColor="text1"/>
          <w:szCs w:val="24"/>
          <w:lang w:val="en"/>
        </w:rPr>
        <w:t>indicating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906A23">
        <w:rPr>
          <w:rFonts w:cs="Times New Roman"/>
          <w:color w:val="000000" w:themeColor="text1"/>
          <w:szCs w:val="24"/>
          <w:lang w:val="en"/>
        </w:rPr>
        <w:t>that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906A23">
        <w:rPr>
          <w:rFonts w:cs="Times New Roman"/>
          <w:color w:val="000000" w:themeColor="text1"/>
          <w:szCs w:val="24"/>
          <w:lang w:val="en"/>
        </w:rPr>
        <w:t>the</w:t>
      </w:r>
      <w:r w:rsidRPr="00C317BB" w:rsidR="001C7C33">
        <w:rPr>
          <w:rFonts w:cs="Times New Roman"/>
          <w:color w:val="000000" w:themeColor="text1"/>
          <w:szCs w:val="24"/>
          <w:lang w:val="en"/>
        </w:rPr>
        <w:t>se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906A23">
        <w:rPr>
          <w:rFonts w:cs="Times New Roman"/>
          <w:color w:val="000000" w:themeColor="text1"/>
          <w:szCs w:val="24"/>
          <w:lang w:val="en"/>
        </w:rPr>
        <w:t>proposed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906A23">
        <w:rPr>
          <w:rFonts w:cs="Times New Roman"/>
          <w:color w:val="000000" w:themeColor="text1"/>
          <w:szCs w:val="24"/>
          <w:lang w:val="en"/>
        </w:rPr>
        <w:t>compliance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906A23">
        <w:rPr>
          <w:rFonts w:cs="Times New Roman"/>
          <w:color w:val="000000" w:themeColor="text1"/>
          <w:szCs w:val="24"/>
          <w:lang w:val="en"/>
        </w:rPr>
        <w:t>dates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906A23">
        <w:rPr>
          <w:rFonts w:cs="Times New Roman"/>
          <w:color w:val="000000" w:themeColor="text1"/>
          <w:szCs w:val="24"/>
          <w:lang w:val="en"/>
        </w:rPr>
        <w:t>are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906A23">
        <w:rPr>
          <w:rFonts w:cs="Times New Roman"/>
          <w:color w:val="000000" w:themeColor="text1"/>
          <w:szCs w:val="24"/>
          <w:lang w:val="en"/>
        </w:rPr>
        <w:t>not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906A23">
        <w:rPr>
          <w:rFonts w:cs="Times New Roman"/>
          <w:color w:val="000000" w:themeColor="text1"/>
          <w:szCs w:val="24"/>
          <w:lang w:val="en"/>
        </w:rPr>
        <w:t>practicable</w:t>
      </w:r>
      <w:bookmarkEnd w:id="29"/>
      <w:r w:rsidRPr="00C317BB" w:rsidR="00CE4E77">
        <w:rPr>
          <w:rFonts w:cs="Times New Roman"/>
          <w:color w:val="000000" w:themeColor="text1"/>
          <w:szCs w:val="24"/>
          <w:lang w:val="en"/>
        </w:rPr>
        <w:t>;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CE4E77">
        <w:rPr>
          <w:rFonts w:cs="Times New Roman"/>
          <w:color w:val="000000" w:themeColor="text1"/>
          <w:szCs w:val="24"/>
          <w:lang w:val="en"/>
        </w:rPr>
        <w:t>however,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CE4E77">
        <w:rPr>
          <w:rFonts w:cs="Times New Roman"/>
          <w:color w:val="000000" w:themeColor="text1"/>
          <w:szCs w:val="24"/>
          <w:lang w:val="en"/>
        </w:rPr>
        <w:t>EPA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CE4E77">
        <w:rPr>
          <w:rFonts w:cs="Times New Roman"/>
          <w:color w:val="000000" w:themeColor="text1"/>
          <w:szCs w:val="24"/>
          <w:lang w:val="en"/>
        </w:rPr>
        <w:t>is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CE4E77">
        <w:rPr>
          <w:rFonts w:cs="Times New Roman"/>
          <w:color w:val="000000" w:themeColor="text1"/>
          <w:szCs w:val="24"/>
          <w:lang w:val="en"/>
        </w:rPr>
        <w:t>requesting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CE4E77">
        <w:rPr>
          <w:rFonts w:cs="Times New Roman"/>
          <w:color w:val="000000" w:themeColor="text1"/>
          <w:szCs w:val="24"/>
          <w:lang w:val="en"/>
        </w:rPr>
        <w:t>public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CE4E77">
        <w:rPr>
          <w:rFonts w:cs="Times New Roman"/>
          <w:color w:val="000000" w:themeColor="text1"/>
          <w:szCs w:val="24"/>
          <w:lang w:val="en"/>
        </w:rPr>
        <w:t>comment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447AA9">
        <w:rPr>
          <w:rFonts w:cs="Times New Roman"/>
          <w:color w:val="000000" w:themeColor="text1"/>
          <w:szCs w:val="24"/>
          <w:lang w:val="en"/>
        </w:rPr>
        <w:t>regarding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447AA9">
        <w:rPr>
          <w:rFonts w:cs="Times New Roman"/>
          <w:color w:val="000000" w:themeColor="text1"/>
          <w:szCs w:val="24"/>
          <w:lang w:val="en"/>
        </w:rPr>
        <w:t>the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351B7A">
        <w:rPr>
          <w:rFonts w:cs="Times New Roman"/>
          <w:color w:val="000000" w:themeColor="text1"/>
          <w:szCs w:val="24"/>
          <w:lang w:val="en"/>
        </w:rPr>
        <w:t>timing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351B7A">
        <w:rPr>
          <w:rFonts w:cs="Times New Roman"/>
          <w:color w:val="000000" w:themeColor="text1"/>
          <w:szCs w:val="24"/>
          <w:lang w:val="en"/>
        </w:rPr>
        <w:t>of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351B7A">
        <w:rPr>
          <w:rFonts w:cs="Times New Roman"/>
          <w:color w:val="000000" w:themeColor="text1"/>
          <w:szCs w:val="24"/>
          <w:lang w:val="en"/>
        </w:rPr>
        <w:t>the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351B7A">
        <w:rPr>
          <w:rFonts w:cs="Times New Roman"/>
          <w:color w:val="000000" w:themeColor="text1"/>
          <w:szCs w:val="24"/>
          <w:lang w:val="en"/>
        </w:rPr>
        <w:t>prohibition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906A23">
        <w:rPr>
          <w:rFonts w:cs="Times New Roman"/>
          <w:color w:val="000000" w:themeColor="text1"/>
          <w:szCs w:val="24"/>
          <w:lang w:val="en"/>
        </w:rPr>
        <w:t>.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bookmarkStart w:name="_Hlk87371564" w:id="30"/>
      <w:r w:rsidRPr="00C317BB" w:rsidR="00CE4E77">
        <w:rPr>
          <w:rFonts w:cs="Times New Roman"/>
          <w:color w:val="000000" w:themeColor="text1"/>
          <w:szCs w:val="24"/>
          <w:lang w:val="en"/>
        </w:rPr>
        <w:t>This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CE4E77">
        <w:rPr>
          <w:rFonts w:cs="Times New Roman"/>
          <w:color w:val="000000" w:themeColor="text1"/>
          <w:szCs w:val="24"/>
          <w:lang w:val="en"/>
        </w:rPr>
        <w:t>additional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CE4E77">
        <w:rPr>
          <w:rFonts w:cs="Times New Roman"/>
          <w:color w:val="000000" w:themeColor="text1"/>
          <w:szCs w:val="24"/>
          <w:lang w:val="en"/>
        </w:rPr>
        <w:t>amount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CE4E77">
        <w:rPr>
          <w:rFonts w:cs="Times New Roman"/>
          <w:color w:val="000000" w:themeColor="text1"/>
          <w:szCs w:val="24"/>
          <w:lang w:val="en"/>
        </w:rPr>
        <w:t>of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CE4E77">
        <w:rPr>
          <w:rFonts w:cs="Times New Roman"/>
          <w:color w:val="000000" w:themeColor="text1"/>
          <w:szCs w:val="24"/>
          <w:lang w:val="en"/>
        </w:rPr>
        <w:t>time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CE4E77">
        <w:rPr>
          <w:rFonts w:cs="Times New Roman"/>
          <w:color w:val="000000" w:themeColor="text1"/>
          <w:szCs w:val="24"/>
          <w:lang w:val="en"/>
        </w:rPr>
        <w:t>from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CE4E77">
        <w:rPr>
          <w:rFonts w:cs="Times New Roman"/>
          <w:color w:val="000000" w:themeColor="text1"/>
          <w:szCs w:val="24"/>
          <w:lang w:val="en"/>
        </w:rPr>
        <w:t>the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CE4E77">
        <w:rPr>
          <w:rFonts w:cs="Times New Roman"/>
          <w:color w:val="000000" w:themeColor="text1"/>
          <w:szCs w:val="24"/>
          <w:lang w:val="en"/>
        </w:rPr>
        <w:t>proposed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CE4E77">
        <w:rPr>
          <w:rFonts w:cs="Times New Roman"/>
          <w:color w:val="000000" w:themeColor="text1"/>
          <w:szCs w:val="24"/>
          <w:lang w:val="en"/>
        </w:rPr>
        <w:t>regulatory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CE4E77">
        <w:rPr>
          <w:rFonts w:cs="Times New Roman"/>
          <w:color w:val="000000" w:themeColor="text1"/>
          <w:szCs w:val="24"/>
          <w:lang w:val="en"/>
        </w:rPr>
        <w:t>option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CE4E77">
        <w:rPr>
          <w:rFonts w:cs="Times New Roman"/>
          <w:color w:val="000000" w:themeColor="text1"/>
          <w:szCs w:val="24"/>
          <w:lang w:val="en"/>
        </w:rPr>
        <w:t>is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CE4E77">
        <w:rPr>
          <w:rFonts w:cs="Times New Roman"/>
          <w:color w:val="000000" w:themeColor="text1"/>
          <w:szCs w:val="24"/>
          <w:lang w:val="en"/>
        </w:rPr>
        <w:t>meant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CE4E77">
        <w:rPr>
          <w:rFonts w:cs="Times New Roman"/>
          <w:color w:val="000000" w:themeColor="text1"/>
          <w:szCs w:val="24"/>
          <w:lang w:val="en"/>
        </w:rPr>
        <w:t>to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CE4E77">
        <w:rPr>
          <w:rFonts w:cs="Times New Roman"/>
          <w:color w:val="000000" w:themeColor="text1"/>
          <w:szCs w:val="24"/>
          <w:lang w:val="en"/>
        </w:rPr>
        <w:t>account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CE4E77">
        <w:rPr>
          <w:rFonts w:cs="Times New Roman"/>
          <w:color w:val="000000" w:themeColor="text1"/>
          <w:szCs w:val="24"/>
          <w:lang w:val="en"/>
        </w:rPr>
        <w:t>for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CE4E77">
        <w:rPr>
          <w:rFonts w:cs="Times New Roman"/>
          <w:color w:val="000000" w:themeColor="text1"/>
          <w:szCs w:val="24"/>
          <w:lang w:val="en"/>
        </w:rPr>
        <w:t>stakeholders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CE4E77">
        <w:rPr>
          <w:rFonts w:cs="Times New Roman"/>
          <w:color w:val="000000" w:themeColor="text1"/>
          <w:szCs w:val="24"/>
          <w:lang w:val="en"/>
        </w:rPr>
        <w:t>who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CE4E77">
        <w:rPr>
          <w:rFonts w:cs="Times New Roman"/>
          <w:color w:val="000000" w:themeColor="text1"/>
          <w:szCs w:val="24"/>
          <w:lang w:val="en"/>
        </w:rPr>
        <w:t>may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CE4E77">
        <w:rPr>
          <w:rFonts w:cs="Times New Roman"/>
          <w:color w:val="000000" w:themeColor="text1"/>
          <w:szCs w:val="24"/>
          <w:lang w:val="en"/>
        </w:rPr>
        <w:t>not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CE4E77">
        <w:rPr>
          <w:rFonts w:cs="Times New Roman"/>
          <w:color w:val="000000" w:themeColor="text1"/>
          <w:szCs w:val="24"/>
          <w:lang w:val="en"/>
        </w:rPr>
        <w:t>have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CE4E77">
        <w:rPr>
          <w:rFonts w:cs="Times New Roman"/>
          <w:color w:val="000000" w:themeColor="text1"/>
          <w:szCs w:val="24"/>
          <w:lang w:val="en"/>
        </w:rPr>
        <w:t>engaged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CE4E77">
        <w:rPr>
          <w:rFonts w:cs="Times New Roman"/>
          <w:color w:val="000000" w:themeColor="text1"/>
          <w:szCs w:val="24"/>
          <w:lang w:val="en"/>
        </w:rPr>
        <w:t>with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CE4E77">
        <w:rPr>
          <w:rFonts w:cs="Times New Roman"/>
          <w:color w:val="000000" w:themeColor="text1"/>
          <w:szCs w:val="24"/>
          <w:lang w:val="en"/>
        </w:rPr>
        <w:t>EPA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CE4E77">
        <w:rPr>
          <w:rFonts w:cs="Times New Roman"/>
          <w:color w:val="000000" w:themeColor="text1"/>
          <w:szCs w:val="24"/>
          <w:lang w:val="en"/>
        </w:rPr>
        <w:t>in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CE4E77">
        <w:rPr>
          <w:rFonts w:cs="Times New Roman"/>
          <w:color w:val="000000" w:themeColor="text1"/>
          <w:szCs w:val="24"/>
          <w:lang w:val="en"/>
        </w:rPr>
        <w:t>advance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CE4E77">
        <w:rPr>
          <w:rFonts w:cs="Times New Roman"/>
          <w:color w:val="000000" w:themeColor="text1"/>
          <w:szCs w:val="24"/>
          <w:lang w:val="en"/>
        </w:rPr>
        <w:t>of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CE4E77">
        <w:rPr>
          <w:rFonts w:cs="Times New Roman"/>
          <w:color w:val="000000" w:themeColor="text1"/>
          <w:szCs w:val="24"/>
          <w:lang w:val="en"/>
        </w:rPr>
        <w:t>this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CE4E77">
        <w:rPr>
          <w:rFonts w:cs="Times New Roman"/>
          <w:color w:val="000000" w:themeColor="text1"/>
          <w:szCs w:val="24"/>
          <w:lang w:val="en"/>
        </w:rPr>
        <w:t>proposed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CE4E77">
        <w:rPr>
          <w:rFonts w:cs="Times New Roman"/>
          <w:color w:val="000000" w:themeColor="text1"/>
          <w:szCs w:val="24"/>
          <w:lang w:val="en"/>
        </w:rPr>
        <w:t>rule,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CE4E77">
        <w:rPr>
          <w:rFonts w:cs="Times New Roman"/>
          <w:color w:val="000000" w:themeColor="text1"/>
          <w:szCs w:val="24"/>
          <w:lang w:val="en"/>
        </w:rPr>
        <w:t>and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CE4E77">
        <w:rPr>
          <w:rFonts w:cs="Times New Roman"/>
          <w:color w:val="000000" w:themeColor="text1"/>
          <w:szCs w:val="24"/>
          <w:lang w:val="en"/>
        </w:rPr>
        <w:t>who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CE4E77">
        <w:rPr>
          <w:rFonts w:cs="Times New Roman"/>
          <w:color w:val="000000" w:themeColor="text1"/>
          <w:szCs w:val="24"/>
          <w:lang w:val="en"/>
        </w:rPr>
        <w:t>may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CE4E77">
        <w:rPr>
          <w:rFonts w:cs="Times New Roman"/>
          <w:color w:val="000000" w:themeColor="text1"/>
          <w:szCs w:val="24"/>
          <w:lang w:val="en"/>
        </w:rPr>
        <w:t>potentially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CE4E77">
        <w:rPr>
          <w:rFonts w:cs="Times New Roman"/>
          <w:color w:val="000000" w:themeColor="text1"/>
          <w:szCs w:val="24"/>
          <w:lang w:val="en"/>
        </w:rPr>
        <w:t>have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CE4E77">
        <w:rPr>
          <w:rFonts w:cs="Times New Roman"/>
          <w:color w:val="000000" w:themeColor="text1"/>
          <w:szCs w:val="24"/>
          <w:lang w:val="en"/>
        </w:rPr>
        <w:t>difficulty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CE4E77">
        <w:rPr>
          <w:rFonts w:cs="Times New Roman"/>
          <w:color w:val="000000" w:themeColor="text1"/>
          <w:szCs w:val="24"/>
          <w:lang w:val="en"/>
        </w:rPr>
        <w:t>immediately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CE4E77">
        <w:rPr>
          <w:rFonts w:cs="Times New Roman"/>
          <w:color w:val="000000" w:themeColor="text1"/>
          <w:szCs w:val="24"/>
          <w:lang w:val="en"/>
        </w:rPr>
        <w:t>transitioning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CE4E77">
        <w:rPr>
          <w:rFonts w:cs="Times New Roman"/>
          <w:color w:val="000000" w:themeColor="text1"/>
          <w:szCs w:val="24"/>
          <w:lang w:val="en"/>
        </w:rPr>
        <w:t>away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CE4E77">
        <w:rPr>
          <w:rFonts w:cs="Times New Roman"/>
          <w:color w:val="000000" w:themeColor="text1"/>
          <w:szCs w:val="24"/>
          <w:lang w:val="en"/>
        </w:rPr>
        <w:t>from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CE4E77">
        <w:rPr>
          <w:rFonts w:cs="Times New Roman"/>
          <w:color w:val="000000" w:themeColor="text1"/>
          <w:szCs w:val="24"/>
          <w:lang w:val="en"/>
        </w:rPr>
        <w:t>chrysotile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CE4E77">
        <w:rPr>
          <w:rFonts w:cs="Times New Roman"/>
          <w:color w:val="000000" w:themeColor="text1"/>
          <w:szCs w:val="24"/>
          <w:lang w:val="en"/>
        </w:rPr>
        <w:t>asbestos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CE4E77">
        <w:rPr>
          <w:rFonts w:cs="Times New Roman"/>
          <w:color w:val="000000" w:themeColor="text1"/>
          <w:szCs w:val="24"/>
          <w:lang w:val="en"/>
        </w:rPr>
        <w:t>in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CE4E77">
        <w:rPr>
          <w:rFonts w:cs="Times New Roman"/>
          <w:color w:val="000000" w:themeColor="text1"/>
          <w:szCs w:val="24"/>
          <w:lang w:val="en"/>
        </w:rPr>
        <w:t>the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CE4E77">
        <w:rPr>
          <w:rFonts w:cs="Times New Roman"/>
          <w:color w:val="000000" w:themeColor="text1"/>
          <w:szCs w:val="24"/>
          <w:lang w:val="en"/>
        </w:rPr>
        <w:t>manufacture,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CE4E77">
        <w:rPr>
          <w:rFonts w:cs="Times New Roman"/>
          <w:color w:val="000000" w:themeColor="text1"/>
          <w:szCs w:val="24"/>
          <w:lang w:val="en"/>
        </w:rPr>
        <w:t>processing,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CE4E77">
        <w:rPr>
          <w:rFonts w:cs="Times New Roman"/>
          <w:color w:val="000000" w:themeColor="text1"/>
          <w:szCs w:val="24"/>
          <w:lang w:val="en"/>
        </w:rPr>
        <w:t>distribution,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CE4E77">
        <w:rPr>
          <w:rFonts w:cs="Times New Roman"/>
          <w:color w:val="000000" w:themeColor="text1"/>
          <w:szCs w:val="24"/>
          <w:lang w:val="en"/>
        </w:rPr>
        <w:t>and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CE4E77">
        <w:rPr>
          <w:rFonts w:cs="Times New Roman"/>
          <w:color w:val="000000" w:themeColor="text1"/>
          <w:szCs w:val="24"/>
          <w:lang w:val="en"/>
        </w:rPr>
        <w:t>use,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CE4E77">
        <w:rPr>
          <w:rFonts w:cs="Times New Roman"/>
          <w:color w:val="000000" w:themeColor="text1"/>
          <w:szCs w:val="24"/>
          <w:lang w:val="en"/>
        </w:rPr>
        <w:t>of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CE4E77">
        <w:rPr>
          <w:rFonts w:cs="Times New Roman"/>
          <w:color w:val="000000" w:themeColor="text1"/>
          <w:szCs w:val="24"/>
          <w:lang w:val="en"/>
        </w:rPr>
        <w:t>chrysotile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CE4E77">
        <w:rPr>
          <w:rFonts w:cs="Times New Roman"/>
          <w:color w:val="000000" w:themeColor="text1"/>
          <w:szCs w:val="24"/>
          <w:lang w:val="en"/>
        </w:rPr>
        <w:t>asbestos-containing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CE4E77">
        <w:rPr>
          <w:rFonts w:cs="Times New Roman"/>
          <w:color w:val="000000" w:themeColor="text1"/>
          <w:szCs w:val="24"/>
          <w:lang w:val="en"/>
        </w:rPr>
        <w:t>brake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CE4E77">
        <w:rPr>
          <w:rFonts w:cs="Times New Roman"/>
          <w:color w:val="000000" w:themeColor="text1"/>
          <w:szCs w:val="24"/>
          <w:lang w:val="en"/>
        </w:rPr>
        <w:t>blocks,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CE4E77">
        <w:rPr>
          <w:rFonts w:cs="Times New Roman"/>
          <w:color w:val="000000" w:themeColor="text1"/>
          <w:szCs w:val="24"/>
          <w:lang w:val="en"/>
        </w:rPr>
        <w:t>chrysotile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CE4E77">
        <w:rPr>
          <w:rFonts w:cs="Times New Roman"/>
          <w:color w:val="000000" w:themeColor="text1"/>
          <w:szCs w:val="24"/>
          <w:lang w:val="en"/>
        </w:rPr>
        <w:t>asbestos-containing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CE4E77">
        <w:rPr>
          <w:rFonts w:cs="Times New Roman"/>
          <w:color w:val="000000" w:themeColor="text1"/>
          <w:szCs w:val="24"/>
          <w:lang w:val="en"/>
        </w:rPr>
        <w:t>aftermarket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CE4E77">
        <w:rPr>
          <w:rFonts w:cs="Times New Roman"/>
          <w:color w:val="000000" w:themeColor="text1"/>
          <w:szCs w:val="24"/>
          <w:lang w:val="en"/>
        </w:rPr>
        <w:t>automotive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CE4E77">
        <w:rPr>
          <w:rFonts w:cs="Times New Roman"/>
          <w:color w:val="000000" w:themeColor="text1"/>
          <w:szCs w:val="24"/>
          <w:lang w:val="en"/>
        </w:rPr>
        <w:t>brakes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CE4E77">
        <w:rPr>
          <w:rFonts w:cs="Times New Roman"/>
          <w:color w:val="000000" w:themeColor="text1"/>
          <w:szCs w:val="24"/>
          <w:lang w:val="en"/>
        </w:rPr>
        <w:t>and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CE4E77">
        <w:rPr>
          <w:rFonts w:cs="Times New Roman"/>
          <w:color w:val="000000" w:themeColor="text1"/>
          <w:szCs w:val="24"/>
          <w:lang w:val="en"/>
        </w:rPr>
        <w:t>linings,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CE4E77">
        <w:rPr>
          <w:rFonts w:cs="Times New Roman"/>
          <w:color w:val="000000" w:themeColor="text1"/>
          <w:szCs w:val="24"/>
          <w:lang w:val="en"/>
        </w:rPr>
        <w:t>other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CE4E77">
        <w:rPr>
          <w:rFonts w:cs="Times New Roman"/>
          <w:color w:val="000000" w:themeColor="text1"/>
          <w:szCs w:val="24"/>
          <w:lang w:val="en"/>
        </w:rPr>
        <w:t>chrysotile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CE4E77">
        <w:rPr>
          <w:rFonts w:cs="Times New Roman"/>
          <w:color w:val="000000" w:themeColor="text1"/>
          <w:szCs w:val="24"/>
          <w:lang w:val="en"/>
        </w:rPr>
        <w:t>asbestos-containing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CE4E77">
        <w:rPr>
          <w:rFonts w:cs="Times New Roman"/>
          <w:color w:val="000000" w:themeColor="text1"/>
          <w:szCs w:val="24"/>
          <w:lang w:val="en"/>
        </w:rPr>
        <w:t>vehicle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CE4E77">
        <w:rPr>
          <w:rFonts w:cs="Times New Roman"/>
          <w:color w:val="000000" w:themeColor="text1"/>
          <w:szCs w:val="24"/>
          <w:lang w:val="en"/>
        </w:rPr>
        <w:t>friction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CE4E77">
        <w:rPr>
          <w:rFonts w:cs="Times New Roman"/>
          <w:color w:val="000000" w:themeColor="text1"/>
          <w:szCs w:val="24"/>
          <w:lang w:val="en"/>
        </w:rPr>
        <w:t>products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CE4E77">
        <w:rPr>
          <w:rFonts w:cs="Times New Roman"/>
          <w:color w:val="000000" w:themeColor="text1"/>
          <w:szCs w:val="24"/>
          <w:lang w:val="en"/>
        </w:rPr>
        <w:t>and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CE4E77">
        <w:rPr>
          <w:rFonts w:cs="Times New Roman"/>
          <w:color w:val="000000" w:themeColor="text1"/>
          <w:szCs w:val="24"/>
          <w:lang w:val="en"/>
        </w:rPr>
        <w:t>other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CE4E77">
        <w:rPr>
          <w:rFonts w:cs="Times New Roman"/>
          <w:color w:val="000000" w:themeColor="text1"/>
          <w:szCs w:val="24"/>
          <w:lang w:val="en"/>
        </w:rPr>
        <w:t>chrysotile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CE4E77">
        <w:rPr>
          <w:rFonts w:cs="Times New Roman"/>
          <w:color w:val="000000" w:themeColor="text1"/>
          <w:szCs w:val="24"/>
          <w:lang w:val="en"/>
        </w:rPr>
        <w:t>asbestos-containing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CE4E77">
        <w:rPr>
          <w:rFonts w:cs="Times New Roman"/>
          <w:color w:val="000000" w:themeColor="text1"/>
          <w:szCs w:val="24"/>
          <w:lang w:val="en"/>
        </w:rPr>
        <w:t>gaskets.</w:t>
      </w:r>
    </w:p>
    <w:bookmarkEnd w:id="30"/>
    <w:p w:rsidRPr="00C317BB" w:rsidR="00855617" w:rsidP="00F27167" w:rsidRDefault="00855617" w14:paraId="4EDE547D" w14:textId="56F548FF">
      <w:pPr>
        <w:pStyle w:val="Heading3"/>
        <w:ind w:firstLine="720"/>
        <w:rPr>
          <w:rFonts w:cs="Times New Roman"/>
          <w:color w:val="000000" w:themeColor="text1"/>
          <w:szCs w:val="24"/>
          <w:lang w:val="en"/>
        </w:rPr>
      </w:pPr>
      <w:r w:rsidRPr="00C317BB">
        <w:rPr>
          <w:rFonts w:cs="Times New Roman"/>
          <w:color w:val="000000" w:themeColor="text1"/>
          <w:szCs w:val="24"/>
          <w:lang w:val="en"/>
        </w:rPr>
        <w:t>3.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Prohibition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on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manufacture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(including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import),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processing,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and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distribution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in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commerce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for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aftermarket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automotive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chrysotile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asbestos-containing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brakes/linings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and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other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asbestos-containing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gaskets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for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consumer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use</w:t>
      </w:r>
      <w:r w:rsidRPr="00C317BB" w:rsidR="00C070B9">
        <w:rPr>
          <w:rFonts w:cs="Times New Roman"/>
          <w:color w:val="000000" w:themeColor="text1"/>
          <w:szCs w:val="24"/>
          <w:lang w:val="en"/>
        </w:rPr>
        <w:t>.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</w:p>
    <w:p w:rsidRPr="00C317BB" w:rsidR="00C6092F" w:rsidP="00F27167" w:rsidRDefault="00F33E0F" w14:paraId="3AABA343" w14:textId="2DB96966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proposing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6(a)(2)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prohibit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41349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manufactur</w:t>
      </w:r>
      <w:r w:rsidRPr="00C317BB" w:rsidR="00141349">
        <w:rPr>
          <w:rFonts w:cs="Times New Roman"/>
          <w:color w:val="000000" w:themeColor="text1"/>
          <w:szCs w:val="24"/>
        </w:rPr>
        <w:t>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41349">
        <w:rPr>
          <w:rFonts w:cs="Times New Roman"/>
          <w:color w:val="000000" w:themeColor="text1"/>
          <w:szCs w:val="24"/>
        </w:rPr>
        <w:t>(including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41349">
        <w:rPr>
          <w:rFonts w:cs="Times New Roman"/>
          <w:color w:val="000000" w:themeColor="text1"/>
          <w:szCs w:val="24"/>
        </w:rPr>
        <w:t>import)</w:t>
      </w:r>
      <w:r w:rsidRPr="00C317BB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processing,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distribution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commerce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aftermarket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automotive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brakes/linings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511CD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511CD">
        <w:rPr>
          <w:rFonts w:cs="Times New Roman"/>
          <w:color w:val="000000" w:themeColor="text1"/>
          <w:szCs w:val="24"/>
        </w:rPr>
        <w:t>consumer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511CD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86CDC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gaskets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70FD3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70FD3">
        <w:rPr>
          <w:rFonts w:cs="Times New Roman"/>
          <w:color w:val="000000" w:themeColor="text1"/>
          <w:szCs w:val="24"/>
        </w:rPr>
        <w:t>consumer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70FD3">
        <w:rPr>
          <w:rFonts w:cs="Times New Roman"/>
          <w:color w:val="000000" w:themeColor="text1"/>
          <w:szCs w:val="24"/>
        </w:rPr>
        <w:t>use</w:t>
      </w:r>
      <w:r w:rsidRPr="00C317BB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proposing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prohibition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41349">
        <w:rPr>
          <w:rFonts w:cs="Times New Roman"/>
          <w:color w:val="000000" w:themeColor="text1"/>
          <w:szCs w:val="24"/>
        </w:rPr>
        <w:t>manufacture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41349">
        <w:rPr>
          <w:rFonts w:cs="Times New Roman"/>
          <w:color w:val="000000" w:themeColor="text1"/>
          <w:szCs w:val="24"/>
        </w:rPr>
        <w:t>(including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41349">
        <w:rPr>
          <w:rFonts w:cs="Times New Roman"/>
          <w:color w:val="000000" w:themeColor="text1"/>
          <w:szCs w:val="24"/>
        </w:rPr>
        <w:t>import),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41349">
        <w:rPr>
          <w:rFonts w:cs="Times New Roman"/>
          <w:color w:val="000000" w:themeColor="text1"/>
          <w:szCs w:val="24"/>
        </w:rPr>
        <w:t>processing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41349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41349">
        <w:rPr>
          <w:rFonts w:cs="Times New Roman"/>
          <w:color w:val="000000" w:themeColor="text1"/>
          <w:szCs w:val="24"/>
        </w:rPr>
        <w:t>distribution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41349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41349">
        <w:rPr>
          <w:rFonts w:cs="Times New Roman"/>
          <w:color w:val="000000" w:themeColor="text1"/>
          <w:szCs w:val="24"/>
        </w:rPr>
        <w:t>commerce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41349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41349">
        <w:rPr>
          <w:rFonts w:cs="Times New Roman"/>
          <w:color w:val="000000" w:themeColor="text1"/>
          <w:szCs w:val="24"/>
        </w:rPr>
        <w:t>consumer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41349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take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effect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B5189">
        <w:rPr>
          <w:rFonts w:cs="Times New Roman"/>
          <w:color w:val="000000" w:themeColor="text1"/>
          <w:szCs w:val="24"/>
        </w:rPr>
        <w:t>180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B5189">
        <w:rPr>
          <w:rFonts w:cs="Times New Roman"/>
          <w:color w:val="000000" w:themeColor="text1"/>
          <w:szCs w:val="24"/>
        </w:rPr>
        <w:t>days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after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effective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final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rule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categories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identical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13BEA">
        <w:rPr>
          <w:rFonts w:cs="Times New Roman"/>
          <w:color w:val="000000" w:themeColor="text1"/>
          <w:szCs w:val="24"/>
        </w:rPr>
        <w:t>equivalent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13BEA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prohibition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41349">
        <w:rPr>
          <w:rFonts w:cs="Times New Roman"/>
          <w:color w:val="000000" w:themeColor="text1"/>
          <w:szCs w:val="24"/>
        </w:rPr>
        <w:t>manufacture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41349">
        <w:rPr>
          <w:rFonts w:cs="Times New Roman"/>
          <w:color w:val="000000" w:themeColor="text1"/>
          <w:szCs w:val="24"/>
        </w:rPr>
        <w:t>(including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41349">
        <w:rPr>
          <w:rFonts w:cs="Times New Roman"/>
          <w:color w:val="000000" w:themeColor="text1"/>
          <w:szCs w:val="24"/>
        </w:rPr>
        <w:t>import),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41349">
        <w:rPr>
          <w:rFonts w:cs="Times New Roman"/>
          <w:color w:val="000000" w:themeColor="text1"/>
          <w:szCs w:val="24"/>
        </w:rPr>
        <w:t>processing,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41349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41349">
        <w:rPr>
          <w:rFonts w:cs="Times New Roman"/>
          <w:color w:val="000000" w:themeColor="text1"/>
          <w:szCs w:val="24"/>
        </w:rPr>
        <w:t>distribution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41349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41349">
        <w:rPr>
          <w:rFonts w:cs="Times New Roman"/>
          <w:color w:val="000000" w:themeColor="text1"/>
          <w:szCs w:val="24"/>
        </w:rPr>
        <w:t>commerce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70FD3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70FD3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70FD3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41349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commercial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use.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information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indicating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compliance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dates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70FD3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70FD3">
        <w:rPr>
          <w:rFonts w:cs="Times New Roman"/>
          <w:color w:val="000000" w:themeColor="text1"/>
          <w:szCs w:val="24"/>
        </w:rPr>
        <w:t>these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70FD3">
        <w:rPr>
          <w:rFonts w:cs="Times New Roman"/>
          <w:color w:val="000000" w:themeColor="text1"/>
          <w:szCs w:val="24"/>
        </w:rPr>
        <w:t>prohibitions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practicable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consumer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use</w:t>
      </w:r>
      <w:r w:rsidRPr="00C317BB" w:rsidR="00141349">
        <w:rPr>
          <w:rFonts w:cs="Times New Roman"/>
          <w:color w:val="000000" w:themeColor="text1"/>
          <w:szCs w:val="24"/>
        </w:rPr>
        <w:t>-related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categories.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40A5B">
        <w:rPr>
          <w:rFonts w:cs="Times New Roman"/>
          <w:color w:val="000000" w:themeColor="text1"/>
          <w:szCs w:val="24"/>
        </w:rPr>
        <w:t>While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40A5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40A5B">
        <w:rPr>
          <w:rFonts w:cs="Times New Roman"/>
          <w:color w:val="000000" w:themeColor="text1"/>
          <w:szCs w:val="24"/>
        </w:rPr>
        <w:t>does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40A5B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40A5B">
        <w:rPr>
          <w:rFonts w:cs="Times New Roman"/>
          <w:color w:val="000000" w:themeColor="text1"/>
          <w:szCs w:val="24"/>
        </w:rPr>
        <w:t>have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40A5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40A5B">
        <w:rPr>
          <w:rFonts w:cs="Times New Roman"/>
          <w:color w:val="000000" w:themeColor="text1"/>
          <w:szCs w:val="24"/>
        </w:rPr>
        <w:t>authority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40A5B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40A5B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40A5B">
        <w:rPr>
          <w:rFonts w:cs="Times New Roman"/>
          <w:color w:val="000000" w:themeColor="text1"/>
          <w:szCs w:val="24"/>
        </w:rPr>
        <w:t>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40A5B">
        <w:rPr>
          <w:rFonts w:cs="Times New Roman"/>
          <w:color w:val="000000" w:themeColor="text1"/>
          <w:szCs w:val="24"/>
        </w:rPr>
        <w:t>6(a)(5)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40A5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40A5B">
        <w:rPr>
          <w:rFonts w:cs="Times New Roman"/>
          <w:color w:val="000000" w:themeColor="text1"/>
          <w:szCs w:val="24"/>
        </w:rPr>
        <w:t>regulate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40A5B">
        <w:rPr>
          <w:rFonts w:cs="Times New Roman"/>
          <w:color w:val="000000" w:themeColor="text1"/>
          <w:szCs w:val="24"/>
        </w:rPr>
        <w:t>consumer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40A5B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40A5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40A5B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40A5B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40A5B">
        <w:rPr>
          <w:rFonts w:cs="Times New Roman"/>
          <w:color w:val="000000" w:themeColor="text1"/>
          <w:szCs w:val="24"/>
        </w:rPr>
        <w:t>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40A5B">
        <w:rPr>
          <w:rFonts w:cs="Times New Roman"/>
          <w:color w:val="000000" w:themeColor="text1"/>
          <w:szCs w:val="24"/>
        </w:rPr>
        <w:t>6(a)(6)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40A5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40A5B">
        <w:rPr>
          <w:rFonts w:cs="Times New Roman"/>
          <w:color w:val="000000" w:themeColor="text1"/>
          <w:szCs w:val="24"/>
        </w:rPr>
        <w:t>regulate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40A5B">
        <w:rPr>
          <w:rFonts w:cs="Times New Roman"/>
          <w:color w:val="000000" w:themeColor="text1"/>
          <w:szCs w:val="24"/>
        </w:rPr>
        <w:t>disposal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40A5B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40A5B">
        <w:rPr>
          <w:rFonts w:cs="Times New Roman"/>
          <w:color w:val="000000" w:themeColor="text1"/>
          <w:szCs w:val="24"/>
        </w:rPr>
        <w:t>someone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40A5B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40A5B">
        <w:rPr>
          <w:rFonts w:cs="Times New Roman"/>
          <w:color w:val="000000" w:themeColor="text1"/>
          <w:szCs w:val="24"/>
        </w:rPr>
        <w:t>than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40A5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40A5B">
        <w:rPr>
          <w:rFonts w:cs="Times New Roman"/>
          <w:color w:val="000000" w:themeColor="text1"/>
          <w:szCs w:val="24"/>
        </w:rPr>
        <w:t>manufacturer,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40A5B">
        <w:rPr>
          <w:rFonts w:cs="Times New Roman"/>
          <w:color w:val="000000" w:themeColor="text1"/>
          <w:szCs w:val="24"/>
        </w:rPr>
        <w:t>processor,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40A5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40A5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40A5B">
        <w:rPr>
          <w:rFonts w:cs="Times New Roman"/>
          <w:color w:val="000000" w:themeColor="text1"/>
          <w:szCs w:val="24"/>
        </w:rPr>
        <w:t>person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40A5B">
        <w:rPr>
          <w:rFonts w:cs="Times New Roman"/>
          <w:color w:val="000000" w:themeColor="text1"/>
          <w:szCs w:val="24"/>
        </w:rPr>
        <w:t>who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40A5B">
        <w:rPr>
          <w:rFonts w:cs="Times New Roman"/>
          <w:color w:val="000000" w:themeColor="text1"/>
          <w:szCs w:val="24"/>
        </w:rPr>
        <w:t>uses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40A5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40A5B">
        <w:rPr>
          <w:rFonts w:cs="Times New Roman"/>
          <w:color w:val="000000" w:themeColor="text1"/>
          <w:szCs w:val="24"/>
        </w:rPr>
        <w:t>disposes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40A5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40A5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40A5B">
        <w:rPr>
          <w:rFonts w:cs="Times New Roman"/>
          <w:color w:val="000000" w:themeColor="text1"/>
          <w:szCs w:val="24"/>
        </w:rPr>
        <w:t>substance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40A5B">
        <w:rPr>
          <w:rFonts w:cs="Times New Roman"/>
          <w:color w:val="000000" w:themeColor="text1"/>
          <w:szCs w:val="24"/>
        </w:rPr>
        <w:t>commercially,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prohibiting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manufactur</w:t>
      </w:r>
      <w:r w:rsidRPr="00C317BB" w:rsidR="00141349">
        <w:rPr>
          <w:rFonts w:cs="Times New Roman"/>
          <w:color w:val="000000" w:themeColor="text1"/>
          <w:szCs w:val="24"/>
        </w:rPr>
        <w:t>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(</w:t>
      </w:r>
      <w:r w:rsidRPr="00C317BB" w:rsidR="00141349">
        <w:rPr>
          <w:rFonts w:cs="Times New Roman"/>
          <w:color w:val="000000" w:themeColor="text1"/>
          <w:szCs w:val="24"/>
        </w:rPr>
        <w:t>including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import),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processing</w:t>
      </w:r>
      <w:r w:rsidRPr="00C317BB" w:rsidR="00141349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distribution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commerce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products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both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commercial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consumer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will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remove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market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A0A03">
        <w:rPr>
          <w:rFonts w:cs="Times New Roman"/>
          <w:color w:val="000000" w:themeColor="text1"/>
          <w:szCs w:val="24"/>
        </w:rPr>
        <w:t>therefore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effectively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6B26">
        <w:rPr>
          <w:rFonts w:cs="Times New Roman"/>
          <w:color w:val="000000" w:themeColor="text1"/>
          <w:szCs w:val="24"/>
        </w:rPr>
        <w:t>eliminate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6B26">
        <w:rPr>
          <w:rFonts w:cs="Times New Roman"/>
          <w:color w:val="000000" w:themeColor="text1"/>
          <w:szCs w:val="24"/>
        </w:rPr>
        <w:t>new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6B26">
        <w:rPr>
          <w:rFonts w:cs="Times New Roman"/>
          <w:color w:val="000000" w:themeColor="text1"/>
          <w:szCs w:val="24"/>
        </w:rPr>
        <w:t>instances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6B26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6B26">
        <w:rPr>
          <w:rFonts w:cs="Times New Roman"/>
          <w:color w:val="000000" w:themeColor="text1"/>
          <w:szCs w:val="24"/>
        </w:rPr>
        <w:t>consumer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6B26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6B26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6B26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6B26">
        <w:rPr>
          <w:rFonts w:cs="Times New Roman"/>
          <w:color w:val="000000" w:themeColor="text1"/>
          <w:szCs w:val="24"/>
        </w:rPr>
        <w:t>associated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6B26">
        <w:rPr>
          <w:rFonts w:cs="Times New Roman"/>
          <w:color w:val="000000" w:themeColor="text1"/>
          <w:szCs w:val="24"/>
        </w:rPr>
        <w:t>disposals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6B26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6B26">
        <w:rPr>
          <w:rFonts w:cs="Times New Roman"/>
          <w:color w:val="000000" w:themeColor="text1"/>
          <w:szCs w:val="24"/>
        </w:rPr>
        <w:t>such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6B26">
        <w:rPr>
          <w:rFonts w:cs="Times New Roman"/>
          <w:color w:val="000000" w:themeColor="text1"/>
          <w:szCs w:val="24"/>
        </w:rPr>
        <w:t>use.</w:t>
      </w:r>
    </w:p>
    <w:p w:rsidRPr="00C317BB" w:rsidR="00855617" w:rsidP="00F27167" w:rsidRDefault="00855617" w14:paraId="23B10B8C" w14:textId="2CB3057C">
      <w:pPr>
        <w:pStyle w:val="Heading3"/>
        <w:ind w:firstLine="720"/>
        <w:rPr>
          <w:rFonts w:cs="Times New Roman"/>
          <w:color w:val="000000" w:themeColor="text1"/>
          <w:szCs w:val="24"/>
          <w:lang w:val="en"/>
        </w:rPr>
      </w:pPr>
      <w:bookmarkStart w:name="_Hlk65670691" w:id="31"/>
      <w:r w:rsidRPr="00C317BB">
        <w:rPr>
          <w:rFonts w:cs="Times New Roman"/>
          <w:color w:val="000000" w:themeColor="text1"/>
          <w:szCs w:val="24"/>
          <w:lang w:val="en"/>
        </w:rPr>
        <w:t>4.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Other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requirements</w:t>
      </w:r>
      <w:r w:rsidRPr="00C317BB" w:rsidR="00C070B9">
        <w:rPr>
          <w:rFonts w:cs="Times New Roman"/>
          <w:color w:val="000000" w:themeColor="text1"/>
          <w:szCs w:val="24"/>
          <w:lang w:val="en"/>
        </w:rPr>
        <w:t>.</w:t>
      </w:r>
    </w:p>
    <w:p w:rsidRPr="00C317BB" w:rsidR="00855617" w:rsidP="00F27167" w:rsidRDefault="00855617" w14:paraId="6DBD19E3" w14:textId="1AF1745C">
      <w:pPr>
        <w:pStyle w:val="Heading4"/>
        <w:keepNext w:val="0"/>
        <w:keepLines w:val="0"/>
        <w:spacing w:before="0"/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a.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Disposal</w:t>
      </w:r>
      <w:r w:rsidRPr="00C317BB" w:rsidR="00C070B9">
        <w:rPr>
          <w:rFonts w:cs="Times New Roman"/>
          <w:color w:val="000000" w:themeColor="text1"/>
          <w:szCs w:val="24"/>
        </w:rPr>
        <w:t>:</w:t>
      </w:r>
    </w:p>
    <w:p w:rsidRPr="00C317BB" w:rsidR="001155EA" w:rsidP="00F27167" w:rsidRDefault="001155EA" w14:paraId="085727E8" w14:textId="2A819E48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proposes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cross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reference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existing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OSHA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regulations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address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</w:t>
      </w:r>
      <w:r w:rsidRPr="00C317BB" w:rsidR="00F62B2E">
        <w:rPr>
          <w:rFonts w:cs="Times New Roman"/>
          <w:color w:val="000000" w:themeColor="text1"/>
          <w:szCs w:val="24"/>
        </w:rPr>
        <w:t>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62B2E">
        <w:rPr>
          <w:rFonts w:cs="Times New Roman"/>
          <w:color w:val="000000" w:themeColor="text1"/>
          <w:szCs w:val="24"/>
        </w:rPr>
        <w:t>waste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disposal.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following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existing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regulations,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worker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ONU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during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disposal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prevented.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1155EA" w:rsidP="00F27167" w:rsidRDefault="004E7AD9" w14:paraId="12A29A38" w14:textId="434F0F20">
      <w:pPr>
        <w:ind w:firstLine="720"/>
        <w:rPr>
          <w:rFonts w:cs="Times New Roman"/>
          <w:color w:val="000000" w:themeColor="text1"/>
          <w:szCs w:val="24"/>
          <w:lang w:val="en"/>
        </w:rPr>
      </w:pPr>
      <w:bookmarkStart w:name="_Hlk93483851" w:id="32"/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rule,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proposes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each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condition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regulated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entities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must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adhere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waste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disposal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requirements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described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OSHA’s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General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Industry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Standard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29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CFR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46A1E">
        <w:rPr>
          <w:rFonts w:cs="Times New Roman"/>
          <w:color w:val="000000" w:themeColor="text1"/>
          <w:szCs w:val="24"/>
        </w:rPr>
        <w:t>1910.1001,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46A1E">
        <w:rPr>
          <w:rFonts w:cs="Times New Roman"/>
          <w:color w:val="000000" w:themeColor="text1"/>
          <w:szCs w:val="24"/>
        </w:rPr>
        <w:t>including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1910.1001(k)(6),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which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requires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waste,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scrap,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debris,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bags,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containers,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equipment,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clothing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contaminated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consigned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disposal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disposed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sealed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impermeable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bags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closed,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impermeable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containers.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expects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regulated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entities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follow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requirements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unused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end-of-use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products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</w:t>
      </w:r>
      <w:bookmarkEnd w:id="32"/>
    </w:p>
    <w:p w:rsidRPr="00C317BB" w:rsidR="002B303C" w:rsidP="00F27167" w:rsidRDefault="001155EA" w14:paraId="03030CE5" w14:textId="4B0413D1">
      <w:pPr>
        <w:ind w:firstLine="720"/>
        <w:rPr>
          <w:rFonts w:cs="Times New Roman"/>
          <w:color w:val="000000" w:themeColor="text1"/>
          <w:szCs w:val="24"/>
          <w:lang w:val="en"/>
        </w:rPr>
      </w:pPr>
      <w:r w:rsidRPr="00C317BB">
        <w:rPr>
          <w:rFonts w:cs="Times New Roman"/>
          <w:color w:val="000000" w:themeColor="text1"/>
          <w:szCs w:val="24"/>
          <w:lang w:val="en"/>
        </w:rPr>
        <w:t>Additionally,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for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the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chrysotile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asbestos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diaphragm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condition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of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use,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C97BF1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97BF1">
        <w:rPr>
          <w:rFonts w:cs="Times New Roman"/>
          <w:color w:val="000000" w:themeColor="text1"/>
          <w:szCs w:val="24"/>
        </w:rPr>
        <w:t>well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97BF1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97BF1">
        <w:rPr>
          <w:rFonts w:cs="Times New Roman"/>
          <w:color w:val="000000" w:themeColor="text1"/>
          <w:szCs w:val="24"/>
        </w:rPr>
        <w:t>oilfield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97BF1">
        <w:rPr>
          <w:rFonts w:cs="Times New Roman"/>
          <w:color w:val="000000" w:themeColor="text1"/>
          <w:szCs w:val="24"/>
        </w:rPr>
        <w:t>brake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97BF1">
        <w:rPr>
          <w:rFonts w:cs="Times New Roman"/>
          <w:color w:val="000000" w:themeColor="text1"/>
          <w:szCs w:val="24"/>
        </w:rPr>
        <w:t>blocks,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97BF1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97BF1">
        <w:rPr>
          <w:rFonts w:cs="Times New Roman"/>
          <w:color w:val="000000" w:themeColor="text1"/>
          <w:szCs w:val="24"/>
        </w:rPr>
        <w:t>vehicle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97BF1">
        <w:rPr>
          <w:rFonts w:cs="Times New Roman"/>
          <w:color w:val="000000" w:themeColor="text1"/>
          <w:szCs w:val="24"/>
        </w:rPr>
        <w:t>friction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97BF1">
        <w:rPr>
          <w:rFonts w:cs="Times New Roman"/>
          <w:color w:val="000000" w:themeColor="text1"/>
          <w:szCs w:val="24"/>
        </w:rPr>
        <w:t>products,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97BF1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97BF1">
        <w:rPr>
          <w:rFonts w:cs="Times New Roman"/>
          <w:color w:val="000000" w:themeColor="text1"/>
          <w:szCs w:val="24"/>
        </w:rPr>
        <w:t>any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41D37">
        <w:rPr>
          <w:rFonts w:cs="Times New Roman"/>
          <w:color w:val="000000" w:themeColor="text1"/>
          <w:szCs w:val="24"/>
        </w:rPr>
        <w:t>commercial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97BF1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97BF1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97BF1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97BF1">
        <w:rPr>
          <w:rFonts w:cs="Times New Roman"/>
          <w:color w:val="000000" w:themeColor="text1"/>
          <w:szCs w:val="24"/>
        </w:rPr>
        <w:t>gaskets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97BF1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97BF1">
        <w:rPr>
          <w:rFonts w:cs="Times New Roman"/>
          <w:color w:val="000000" w:themeColor="text1"/>
          <w:szCs w:val="24"/>
        </w:rPr>
        <w:t>aftermarket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97BF1">
        <w:rPr>
          <w:rFonts w:cs="Times New Roman"/>
          <w:color w:val="000000" w:themeColor="text1"/>
          <w:szCs w:val="24"/>
        </w:rPr>
        <w:t>automotive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97BF1">
        <w:rPr>
          <w:rFonts w:cs="Times New Roman"/>
          <w:color w:val="000000" w:themeColor="text1"/>
          <w:szCs w:val="24"/>
        </w:rPr>
        <w:t>brakes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97BF1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97BF1">
        <w:rPr>
          <w:rFonts w:cs="Times New Roman"/>
          <w:color w:val="000000" w:themeColor="text1"/>
          <w:szCs w:val="24"/>
        </w:rPr>
        <w:t>linings,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EPA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is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proposing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to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cross-reference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the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disposal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requirements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of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bookmarkStart w:name="_Hlk88205671" w:id="33"/>
      <w:r w:rsidRPr="00C317BB">
        <w:rPr>
          <w:rFonts w:cs="Times New Roman"/>
          <w:color w:val="000000" w:themeColor="text1"/>
          <w:szCs w:val="24"/>
          <w:lang w:val="en"/>
        </w:rPr>
        <w:t>Asbestos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National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Emission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Standards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for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Hazardous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Air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Pollutants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(NESHAP)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642925">
        <w:rPr>
          <w:rFonts w:cs="Times New Roman"/>
          <w:color w:val="000000" w:themeColor="text1"/>
          <w:szCs w:val="24"/>
          <w:lang w:val="en"/>
        </w:rPr>
        <w:t>(</w:t>
      </w:r>
      <w:r w:rsidRPr="00C317BB" w:rsidR="00011561">
        <w:rPr>
          <w:rFonts w:cs="Times New Roman"/>
          <w:color w:val="000000" w:themeColor="text1"/>
          <w:szCs w:val="24"/>
          <w:lang w:val="en"/>
        </w:rPr>
        <w:t>40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011561">
        <w:rPr>
          <w:rFonts w:cs="Times New Roman"/>
          <w:color w:val="000000" w:themeColor="text1"/>
          <w:szCs w:val="24"/>
          <w:lang w:val="en"/>
        </w:rPr>
        <w:t>CFR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011561">
        <w:rPr>
          <w:rFonts w:cs="Times New Roman"/>
          <w:color w:val="000000" w:themeColor="text1"/>
          <w:szCs w:val="24"/>
          <w:lang w:val="en"/>
        </w:rPr>
        <w:t>Part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011561">
        <w:rPr>
          <w:rFonts w:cs="Times New Roman"/>
          <w:color w:val="000000" w:themeColor="text1"/>
          <w:szCs w:val="24"/>
          <w:lang w:val="en"/>
        </w:rPr>
        <w:t>61,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011561">
        <w:rPr>
          <w:rFonts w:cs="Times New Roman"/>
          <w:color w:val="000000" w:themeColor="text1"/>
          <w:szCs w:val="24"/>
          <w:lang w:val="en"/>
        </w:rPr>
        <w:t>Subpart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011561">
        <w:rPr>
          <w:rFonts w:cs="Times New Roman"/>
          <w:color w:val="000000" w:themeColor="text1"/>
          <w:szCs w:val="24"/>
          <w:lang w:val="en"/>
        </w:rPr>
        <w:t>M</w:t>
      </w:r>
      <w:r w:rsidRPr="00C317BB" w:rsidR="00FE00BD">
        <w:rPr>
          <w:rFonts w:cs="Times New Roman"/>
          <w:color w:val="000000" w:themeColor="text1"/>
          <w:szCs w:val="24"/>
          <w:lang w:val="en"/>
        </w:rPr>
        <w:t>)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FE00BD">
        <w:rPr>
          <w:rFonts w:cs="Times New Roman"/>
          <w:color w:val="000000" w:themeColor="text1"/>
          <w:szCs w:val="24"/>
          <w:lang w:val="en"/>
        </w:rPr>
        <w:t>at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FE00BD">
        <w:rPr>
          <w:rFonts w:cs="Times New Roman"/>
          <w:color w:val="000000" w:themeColor="text1"/>
          <w:szCs w:val="24"/>
          <w:lang w:val="en"/>
        </w:rPr>
        <w:t>40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FE00BD">
        <w:rPr>
          <w:rFonts w:cs="Times New Roman"/>
          <w:color w:val="000000" w:themeColor="text1"/>
          <w:szCs w:val="24"/>
          <w:lang w:val="en"/>
        </w:rPr>
        <w:t>CFR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FE00BD">
        <w:rPr>
          <w:rFonts w:cs="Times New Roman"/>
          <w:color w:val="000000" w:themeColor="text1"/>
          <w:szCs w:val="24"/>
          <w:lang w:val="en"/>
        </w:rPr>
        <w:t>section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FE00BD">
        <w:rPr>
          <w:rFonts w:cs="Times New Roman"/>
          <w:color w:val="000000" w:themeColor="text1"/>
          <w:szCs w:val="24"/>
          <w:lang w:val="en"/>
        </w:rPr>
        <w:t>61.150.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FE00BD">
        <w:rPr>
          <w:rFonts w:cs="Times New Roman"/>
          <w:color w:val="000000" w:themeColor="text1"/>
          <w:szCs w:val="24"/>
          <w:lang w:val="en"/>
        </w:rPr>
        <w:t>The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FE00BD">
        <w:rPr>
          <w:rFonts w:cs="Times New Roman"/>
          <w:color w:val="000000" w:themeColor="text1"/>
          <w:szCs w:val="24"/>
          <w:lang w:val="en"/>
        </w:rPr>
        <w:t>asbestos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FE00BD">
        <w:rPr>
          <w:rFonts w:cs="Times New Roman"/>
          <w:color w:val="000000" w:themeColor="text1"/>
          <w:szCs w:val="24"/>
          <w:lang w:val="en"/>
        </w:rPr>
        <w:t>NESHAP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FE00BD">
        <w:rPr>
          <w:rFonts w:cs="Times New Roman"/>
          <w:color w:val="000000" w:themeColor="text1"/>
          <w:szCs w:val="24"/>
          <w:lang w:val="en"/>
        </w:rPr>
        <w:t>reduces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FE00BD">
        <w:rPr>
          <w:rFonts w:cs="Times New Roman"/>
          <w:color w:val="000000" w:themeColor="text1"/>
          <w:szCs w:val="24"/>
          <w:lang w:val="en"/>
        </w:rPr>
        <w:t>exposure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FE00BD">
        <w:rPr>
          <w:rFonts w:cs="Times New Roman"/>
          <w:color w:val="000000" w:themeColor="text1"/>
          <w:szCs w:val="24"/>
          <w:lang w:val="en"/>
        </w:rPr>
        <w:t>to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FE00BD">
        <w:rPr>
          <w:rFonts w:cs="Times New Roman"/>
          <w:color w:val="000000" w:themeColor="text1"/>
          <w:szCs w:val="24"/>
          <w:lang w:val="en"/>
        </w:rPr>
        <w:t>airborne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FE00BD">
        <w:rPr>
          <w:rFonts w:cs="Times New Roman"/>
          <w:color w:val="000000" w:themeColor="text1"/>
          <w:szCs w:val="24"/>
          <w:lang w:val="en"/>
        </w:rPr>
        <w:t>asbestos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FE00BD">
        <w:rPr>
          <w:rFonts w:cs="Times New Roman"/>
          <w:color w:val="000000" w:themeColor="text1"/>
          <w:szCs w:val="24"/>
          <w:lang w:val="en"/>
        </w:rPr>
        <w:t>by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FE00BD">
        <w:rPr>
          <w:rFonts w:cs="Times New Roman"/>
          <w:color w:val="000000" w:themeColor="text1"/>
          <w:szCs w:val="24"/>
          <w:lang w:val="en"/>
        </w:rPr>
        <w:t>generally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FE00BD">
        <w:rPr>
          <w:rFonts w:cs="Times New Roman"/>
          <w:color w:val="000000" w:themeColor="text1"/>
          <w:szCs w:val="24"/>
          <w:lang w:val="en"/>
        </w:rPr>
        <w:t>requiring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FE00BD">
        <w:rPr>
          <w:rFonts w:cs="Times New Roman"/>
          <w:color w:val="000000" w:themeColor="text1"/>
          <w:szCs w:val="24"/>
          <w:lang w:val="en"/>
        </w:rPr>
        <w:t>sealing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FE00BD">
        <w:rPr>
          <w:rFonts w:cs="Times New Roman"/>
          <w:color w:val="000000" w:themeColor="text1"/>
          <w:szCs w:val="24"/>
          <w:lang w:val="en"/>
        </w:rPr>
        <w:t>of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FE00BD">
        <w:rPr>
          <w:rFonts w:cs="Times New Roman"/>
          <w:color w:val="000000" w:themeColor="text1"/>
          <w:szCs w:val="24"/>
          <w:lang w:val="en"/>
        </w:rPr>
        <w:t>asbestos-containing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FE00BD">
        <w:rPr>
          <w:rFonts w:cs="Times New Roman"/>
          <w:color w:val="000000" w:themeColor="text1"/>
          <w:szCs w:val="24"/>
          <w:lang w:val="en"/>
        </w:rPr>
        <w:t>waste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FE00BD">
        <w:rPr>
          <w:rFonts w:cs="Times New Roman"/>
          <w:color w:val="000000" w:themeColor="text1"/>
          <w:szCs w:val="24"/>
          <w:lang w:val="en"/>
        </w:rPr>
        <w:t>material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FE00BD">
        <w:rPr>
          <w:rFonts w:cs="Times New Roman"/>
          <w:color w:val="000000" w:themeColor="text1"/>
          <w:szCs w:val="24"/>
          <w:lang w:val="en"/>
        </w:rPr>
        <w:t>from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FE00BD">
        <w:rPr>
          <w:rFonts w:cs="Times New Roman"/>
          <w:color w:val="000000" w:themeColor="text1"/>
          <w:szCs w:val="24"/>
          <w:lang w:val="en"/>
        </w:rPr>
        <w:t>regulated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FE00BD">
        <w:rPr>
          <w:rFonts w:cs="Times New Roman"/>
          <w:color w:val="000000" w:themeColor="text1"/>
          <w:szCs w:val="24"/>
          <w:lang w:val="en"/>
        </w:rPr>
        <w:t>activities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FE00BD">
        <w:rPr>
          <w:rFonts w:cs="Times New Roman"/>
          <w:color w:val="000000" w:themeColor="text1"/>
          <w:szCs w:val="24"/>
          <w:lang w:val="en"/>
        </w:rPr>
        <w:t>in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FE00BD">
        <w:rPr>
          <w:rFonts w:cs="Times New Roman"/>
          <w:color w:val="000000" w:themeColor="text1"/>
          <w:szCs w:val="24"/>
          <w:lang w:val="en"/>
        </w:rPr>
        <w:t>a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FE00BD">
        <w:rPr>
          <w:rFonts w:cs="Times New Roman"/>
          <w:color w:val="000000" w:themeColor="text1"/>
          <w:szCs w:val="24"/>
          <w:lang w:val="en"/>
        </w:rPr>
        <w:t>leak-tight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FE00BD">
        <w:rPr>
          <w:rFonts w:cs="Times New Roman"/>
          <w:color w:val="000000" w:themeColor="text1"/>
          <w:szCs w:val="24"/>
          <w:lang w:val="en"/>
        </w:rPr>
        <w:t>container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FE00BD">
        <w:rPr>
          <w:rFonts w:cs="Times New Roman"/>
          <w:color w:val="000000" w:themeColor="text1"/>
          <w:szCs w:val="24"/>
          <w:lang w:val="en"/>
        </w:rPr>
        <w:t>and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FE00BD">
        <w:rPr>
          <w:rFonts w:cs="Times New Roman"/>
          <w:color w:val="000000" w:themeColor="text1"/>
          <w:szCs w:val="24"/>
          <w:lang w:val="en"/>
        </w:rPr>
        <w:t>disposing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FE00BD">
        <w:rPr>
          <w:rFonts w:cs="Times New Roman"/>
          <w:color w:val="000000" w:themeColor="text1"/>
          <w:szCs w:val="24"/>
          <w:lang w:val="en"/>
        </w:rPr>
        <w:t>of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FE00BD">
        <w:rPr>
          <w:rFonts w:cs="Times New Roman"/>
          <w:color w:val="000000" w:themeColor="text1"/>
          <w:szCs w:val="24"/>
          <w:lang w:val="en"/>
        </w:rPr>
        <w:t>it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FE00BD">
        <w:rPr>
          <w:rFonts w:cs="Times New Roman"/>
          <w:color w:val="000000" w:themeColor="text1"/>
          <w:szCs w:val="24"/>
          <w:lang w:val="en"/>
        </w:rPr>
        <w:t>in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FE00BD">
        <w:rPr>
          <w:rFonts w:cs="Times New Roman"/>
          <w:color w:val="000000" w:themeColor="text1"/>
          <w:szCs w:val="24"/>
          <w:lang w:val="en"/>
        </w:rPr>
        <w:t>a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FE00BD">
        <w:rPr>
          <w:rFonts w:cs="Times New Roman"/>
          <w:color w:val="000000" w:themeColor="text1"/>
          <w:szCs w:val="24"/>
          <w:lang w:val="en"/>
        </w:rPr>
        <w:t>landfill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FE00BD">
        <w:rPr>
          <w:rFonts w:cs="Times New Roman"/>
          <w:color w:val="000000" w:themeColor="text1"/>
          <w:szCs w:val="24"/>
          <w:lang w:val="en"/>
        </w:rPr>
        <w:t>permitted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FE00BD">
        <w:rPr>
          <w:rFonts w:cs="Times New Roman"/>
          <w:color w:val="000000" w:themeColor="text1"/>
          <w:szCs w:val="24"/>
          <w:lang w:val="en"/>
        </w:rPr>
        <w:t>to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FE00BD">
        <w:rPr>
          <w:rFonts w:cs="Times New Roman"/>
          <w:color w:val="000000" w:themeColor="text1"/>
          <w:szCs w:val="24"/>
          <w:lang w:val="en"/>
        </w:rPr>
        <w:t>receive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FE00BD">
        <w:rPr>
          <w:rFonts w:cs="Times New Roman"/>
          <w:color w:val="000000" w:themeColor="text1"/>
          <w:szCs w:val="24"/>
          <w:lang w:val="en"/>
        </w:rPr>
        <w:t>asbestos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FE00BD">
        <w:rPr>
          <w:rFonts w:cs="Times New Roman"/>
          <w:color w:val="000000" w:themeColor="text1"/>
          <w:szCs w:val="24"/>
          <w:lang w:val="en"/>
        </w:rPr>
        <w:t>waste.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FE00BD">
        <w:rPr>
          <w:rFonts w:cs="Times New Roman"/>
          <w:color w:val="000000" w:themeColor="text1"/>
          <w:szCs w:val="24"/>
          <w:lang w:val="en"/>
        </w:rPr>
        <w:t>EPA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FE00BD">
        <w:rPr>
          <w:rFonts w:cs="Times New Roman"/>
          <w:color w:val="000000" w:themeColor="text1"/>
          <w:szCs w:val="24"/>
          <w:lang w:val="en"/>
        </w:rPr>
        <w:t>is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C87C5A">
        <w:rPr>
          <w:rFonts w:cs="Times New Roman"/>
          <w:color w:val="000000" w:themeColor="text1"/>
          <w:szCs w:val="24"/>
          <w:lang w:val="en"/>
        </w:rPr>
        <w:t>not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FE00BD">
        <w:rPr>
          <w:rFonts w:cs="Times New Roman"/>
          <w:color w:val="000000" w:themeColor="text1"/>
          <w:szCs w:val="24"/>
          <w:lang w:val="en"/>
        </w:rPr>
        <w:t>proposing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FE00BD">
        <w:rPr>
          <w:rFonts w:cs="Times New Roman"/>
          <w:color w:val="000000" w:themeColor="text1"/>
          <w:szCs w:val="24"/>
          <w:lang w:val="en"/>
        </w:rPr>
        <w:t>to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FE00BD">
        <w:rPr>
          <w:rFonts w:cs="Times New Roman"/>
          <w:color w:val="000000" w:themeColor="text1"/>
          <w:szCs w:val="24"/>
          <w:lang w:val="en"/>
        </w:rPr>
        <w:t>cross-referenc</w:t>
      </w:r>
      <w:r w:rsidRPr="00C317BB" w:rsidR="00C87C5A">
        <w:rPr>
          <w:rFonts w:cs="Times New Roman"/>
          <w:color w:val="000000" w:themeColor="text1"/>
          <w:szCs w:val="24"/>
          <w:lang w:val="en"/>
        </w:rPr>
        <w:t>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FE00BD">
        <w:rPr>
          <w:rFonts w:cs="Times New Roman"/>
          <w:color w:val="000000" w:themeColor="text1"/>
          <w:szCs w:val="24"/>
          <w:lang w:val="en"/>
        </w:rPr>
        <w:t>this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FE00BD">
        <w:rPr>
          <w:rFonts w:cs="Times New Roman"/>
          <w:color w:val="000000" w:themeColor="text1"/>
          <w:szCs w:val="24"/>
          <w:lang w:val="en"/>
        </w:rPr>
        <w:t>same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874508">
        <w:rPr>
          <w:rFonts w:cs="Times New Roman"/>
          <w:color w:val="000000" w:themeColor="text1"/>
          <w:szCs w:val="24"/>
          <w:lang w:val="en"/>
        </w:rPr>
        <w:t>NESHAP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FE00BD">
        <w:rPr>
          <w:rFonts w:cs="Times New Roman"/>
          <w:color w:val="000000" w:themeColor="text1"/>
          <w:szCs w:val="24"/>
          <w:lang w:val="en"/>
        </w:rPr>
        <w:t>waste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FE00BD">
        <w:rPr>
          <w:rFonts w:cs="Times New Roman"/>
          <w:color w:val="000000" w:themeColor="text1"/>
          <w:szCs w:val="24"/>
          <w:lang w:val="en"/>
        </w:rPr>
        <w:t>disposal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FE00BD">
        <w:rPr>
          <w:rFonts w:cs="Times New Roman"/>
          <w:color w:val="000000" w:themeColor="text1"/>
          <w:szCs w:val="24"/>
          <w:lang w:val="en"/>
        </w:rPr>
        <w:t>provision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FE00BD">
        <w:rPr>
          <w:rFonts w:cs="Times New Roman"/>
          <w:color w:val="000000" w:themeColor="text1"/>
          <w:szCs w:val="24"/>
          <w:lang w:val="en"/>
        </w:rPr>
        <w:t>for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FE00BD">
        <w:rPr>
          <w:rFonts w:cs="Times New Roman"/>
          <w:color w:val="000000" w:themeColor="text1"/>
          <w:szCs w:val="24"/>
          <w:lang w:val="en"/>
        </w:rPr>
        <w:t>the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FE00BD">
        <w:rPr>
          <w:rFonts w:cs="Times New Roman"/>
          <w:color w:val="000000" w:themeColor="text1"/>
          <w:szCs w:val="24"/>
          <w:lang w:val="en"/>
        </w:rPr>
        <w:t>disposal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FE00BD">
        <w:rPr>
          <w:rFonts w:cs="Times New Roman"/>
          <w:color w:val="000000" w:themeColor="text1"/>
          <w:szCs w:val="24"/>
          <w:lang w:val="en"/>
        </w:rPr>
        <w:t>of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FE00BD">
        <w:rPr>
          <w:rFonts w:cs="Times New Roman"/>
          <w:color w:val="000000" w:themeColor="text1"/>
          <w:szCs w:val="24"/>
          <w:lang w:val="en"/>
        </w:rPr>
        <w:t>chrysotile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FE00BD">
        <w:rPr>
          <w:rFonts w:cs="Times New Roman"/>
          <w:color w:val="000000" w:themeColor="text1"/>
          <w:szCs w:val="24"/>
          <w:lang w:val="en"/>
        </w:rPr>
        <w:t>asbestos-containing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FE00BD">
        <w:rPr>
          <w:rFonts w:cs="Times New Roman"/>
          <w:color w:val="000000" w:themeColor="text1"/>
          <w:szCs w:val="24"/>
          <w:lang w:val="en"/>
        </w:rPr>
        <w:t>waste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FE00BD">
        <w:rPr>
          <w:rFonts w:cs="Times New Roman"/>
          <w:color w:val="000000" w:themeColor="text1"/>
          <w:szCs w:val="24"/>
          <w:lang w:val="en"/>
        </w:rPr>
        <w:t>from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FE00BD">
        <w:rPr>
          <w:rFonts w:cs="Times New Roman"/>
          <w:color w:val="000000" w:themeColor="text1"/>
          <w:szCs w:val="24"/>
          <w:lang w:val="en"/>
        </w:rPr>
        <w:t>sheet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FE00BD">
        <w:rPr>
          <w:rFonts w:cs="Times New Roman"/>
          <w:color w:val="000000" w:themeColor="text1"/>
          <w:szCs w:val="24"/>
          <w:lang w:val="en"/>
        </w:rPr>
        <w:t>gasket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FE00BD">
        <w:rPr>
          <w:rFonts w:cs="Times New Roman"/>
          <w:color w:val="000000" w:themeColor="text1"/>
          <w:szCs w:val="24"/>
          <w:lang w:val="en"/>
        </w:rPr>
        <w:t>processing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FE00BD">
        <w:rPr>
          <w:rFonts w:cs="Times New Roman"/>
          <w:color w:val="000000" w:themeColor="text1"/>
          <w:szCs w:val="24"/>
          <w:lang w:val="en"/>
        </w:rPr>
        <w:t>and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FE00BD">
        <w:rPr>
          <w:rFonts w:cs="Times New Roman"/>
          <w:color w:val="000000" w:themeColor="text1"/>
          <w:szCs w:val="24"/>
          <w:lang w:val="en"/>
        </w:rPr>
        <w:t>use</w:t>
      </w:r>
      <w:r w:rsidRPr="00C317BB" w:rsidR="00392CFF">
        <w:rPr>
          <w:rFonts w:cs="Times New Roman"/>
          <w:color w:val="000000" w:themeColor="text1"/>
          <w:szCs w:val="24"/>
          <w:lang w:val="en"/>
        </w:rPr>
        <w:t>,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392CFF">
        <w:rPr>
          <w:rFonts w:cs="Times New Roman"/>
          <w:color w:val="000000" w:themeColor="text1"/>
          <w:szCs w:val="24"/>
          <w:lang w:val="en"/>
        </w:rPr>
        <w:t>because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392CFF">
        <w:rPr>
          <w:rFonts w:cs="Times New Roman"/>
          <w:color w:val="000000" w:themeColor="text1"/>
          <w:szCs w:val="24"/>
          <w:lang w:val="en"/>
        </w:rPr>
        <w:t>EPA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392CFF">
        <w:rPr>
          <w:rFonts w:cs="Times New Roman"/>
          <w:color w:val="000000" w:themeColor="text1"/>
          <w:szCs w:val="24"/>
          <w:lang w:val="en"/>
        </w:rPr>
        <w:t>did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392CFF">
        <w:rPr>
          <w:rFonts w:cs="Times New Roman"/>
          <w:color w:val="000000" w:themeColor="text1"/>
          <w:szCs w:val="24"/>
          <w:lang w:val="en"/>
        </w:rPr>
        <w:t>not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392CFF">
        <w:rPr>
          <w:rFonts w:cs="Times New Roman"/>
          <w:color w:val="000000" w:themeColor="text1"/>
          <w:szCs w:val="24"/>
          <w:lang w:val="en"/>
        </w:rPr>
        <w:t>find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392CFF">
        <w:rPr>
          <w:rFonts w:cs="Times New Roman"/>
          <w:color w:val="000000" w:themeColor="text1"/>
          <w:szCs w:val="24"/>
          <w:lang w:val="en"/>
        </w:rPr>
        <w:t>unreasonable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392CFF">
        <w:rPr>
          <w:rFonts w:cs="Times New Roman"/>
          <w:color w:val="000000" w:themeColor="text1"/>
          <w:szCs w:val="24"/>
          <w:lang w:val="en"/>
        </w:rPr>
        <w:t>risk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392CFF">
        <w:rPr>
          <w:rFonts w:cs="Times New Roman"/>
          <w:color w:val="000000" w:themeColor="text1"/>
          <w:szCs w:val="24"/>
          <w:lang w:val="en"/>
        </w:rPr>
        <w:t>for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392CFF">
        <w:rPr>
          <w:rFonts w:cs="Times New Roman"/>
          <w:color w:val="000000" w:themeColor="text1"/>
          <w:szCs w:val="24"/>
          <w:lang w:val="en"/>
        </w:rPr>
        <w:t>the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392CFF">
        <w:rPr>
          <w:rFonts w:cs="Times New Roman"/>
          <w:color w:val="000000" w:themeColor="text1"/>
          <w:szCs w:val="24"/>
          <w:lang w:val="en"/>
        </w:rPr>
        <w:t>disposal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392CFF">
        <w:rPr>
          <w:rFonts w:cs="Times New Roman"/>
          <w:color w:val="000000" w:themeColor="text1"/>
          <w:szCs w:val="24"/>
          <w:lang w:val="en"/>
        </w:rPr>
        <w:t>of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392CFF">
        <w:rPr>
          <w:rFonts w:cs="Times New Roman"/>
          <w:color w:val="000000" w:themeColor="text1"/>
          <w:szCs w:val="24"/>
          <w:lang w:val="en"/>
        </w:rPr>
        <w:t>sheet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392CFF">
        <w:rPr>
          <w:rFonts w:cs="Times New Roman"/>
          <w:color w:val="000000" w:themeColor="text1"/>
          <w:szCs w:val="24"/>
          <w:lang w:val="en"/>
        </w:rPr>
        <w:t>gaskets.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392CFF">
        <w:rPr>
          <w:rFonts w:cs="Times New Roman"/>
          <w:color w:val="000000" w:themeColor="text1"/>
          <w:szCs w:val="24"/>
          <w:lang w:val="en"/>
        </w:rPr>
        <w:t>However,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392CFF">
        <w:rPr>
          <w:rFonts w:cs="Times New Roman"/>
          <w:color w:val="000000" w:themeColor="text1"/>
          <w:szCs w:val="24"/>
          <w:lang w:val="en"/>
        </w:rPr>
        <w:t>EPA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FA08DB">
        <w:rPr>
          <w:rFonts w:cs="Times New Roman"/>
          <w:color w:val="000000" w:themeColor="text1"/>
          <w:szCs w:val="24"/>
          <w:lang w:val="en"/>
        </w:rPr>
        <w:t>is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FA08DB">
        <w:rPr>
          <w:rFonts w:cs="Times New Roman"/>
          <w:color w:val="000000" w:themeColor="text1"/>
          <w:szCs w:val="24"/>
          <w:lang w:val="en"/>
        </w:rPr>
        <w:t>requesting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FA08DB">
        <w:rPr>
          <w:rFonts w:cs="Times New Roman"/>
          <w:color w:val="000000" w:themeColor="text1"/>
          <w:szCs w:val="24"/>
          <w:lang w:val="en"/>
        </w:rPr>
        <w:t>comment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FA08DB">
        <w:rPr>
          <w:rFonts w:cs="Times New Roman"/>
          <w:color w:val="000000" w:themeColor="text1"/>
          <w:szCs w:val="24"/>
          <w:lang w:val="en"/>
        </w:rPr>
        <w:t>on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E4040B">
        <w:rPr>
          <w:rFonts w:cs="Times New Roman"/>
          <w:color w:val="000000" w:themeColor="text1"/>
          <w:szCs w:val="24"/>
          <w:lang w:val="en"/>
        </w:rPr>
        <w:t>this</w:t>
      </w:r>
      <w:r w:rsidRPr="00C317BB" w:rsidR="00FA08DB">
        <w:rPr>
          <w:rFonts w:cs="Times New Roman"/>
          <w:color w:val="000000" w:themeColor="text1"/>
          <w:szCs w:val="24"/>
          <w:lang w:val="en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E00BD">
        <w:rPr>
          <w:rFonts w:cs="Times New Roman"/>
          <w:color w:val="000000" w:themeColor="text1"/>
          <w:szCs w:val="24"/>
          <w:lang w:val="en"/>
        </w:rPr>
        <w:t>since,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FE00BD">
        <w:rPr>
          <w:rFonts w:cs="Times New Roman"/>
          <w:color w:val="000000" w:themeColor="text1"/>
          <w:szCs w:val="24"/>
          <w:lang w:val="en"/>
        </w:rPr>
        <w:t>according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FE00BD">
        <w:rPr>
          <w:rFonts w:cs="Times New Roman"/>
          <w:color w:val="000000" w:themeColor="text1"/>
          <w:szCs w:val="24"/>
          <w:lang w:val="en"/>
        </w:rPr>
        <w:t>to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FE00BD">
        <w:rPr>
          <w:rFonts w:cs="Times New Roman"/>
          <w:color w:val="000000" w:themeColor="text1"/>
          <w:szCs w:val="24"/>
          <w:lang w:val="en"/>
        </w:rPr>
        <w:t>industry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FE00BD">
        <w:rPr>
          <w:rFonts w:cs="Times New Roman"/>
          <w:color w:val="000000" w:themeColor="text1"/>
          <w:szCs w:val="24"/>
          <w:lang w:val="en"/>
        </w:rPr>
        <w:t>communications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FE00BD">
        <w:rPr>
          <w:rFonts w:cs="Times New Roman"/>
          <w:color w:val="000000" w:themeColor="text1"/>
          <w:szCs w:val="24"/>
          <w:lang w:val="en"/>
        </w:rPr>
        <w:t>to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FE00BD">
        <w:rPr>
          <w:rFonts w:cs="Times New Roman"/>
          <w:color w:val="000000" w:themeColor="text1"/>
          <w:szCs w:val="24"/>
          <w:lang w:val="en"/>
        </w:rPr>
        <w:t>EPA,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FE00BD">
        <w:rPr>
          <w:rFonts w:cs="Times New Roman"/>
          <w:color w:val="000000" w:themeColor="text1"/>
          <w:szCs w:val="24"/>
          <w:lang w:val="en"/>
        </w:rPr>
        <w:t>they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FE00BD">
        <w:rPr>
          <w:rFonts w:cs="Times New Roman"/>
          <w:color w:val="000000" w:themeColor="text1"/>
          <w:szCs w:val="24"/>
          <w:lang w:val="en"/>
        </w:rPr>
        <w:t>already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FE00BD">
        <w:rPr>
          <w:rFonts w:cs="Times New Roman"/>
          <w:color w:val="000000" w:themeColor="text1"/>
          <w:szCs w:val="24"/>
          <w:lang w:val="en"/>
        </w:rPr>
        <w:t>follow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FE00BD">
        <w:rPr>
          <w:rFonts w:cs="Times New Roman"/>
          <w:color w:val="000000" w:themeColor="text1"/>
          <w:szCs w:val="24"/>
          <w:lang w:val="en"/>
        </w:rPr>
        <w:t>these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FE00BD">
        <w:rPr>
          <w:rFonts w:cs="Times New Roman"/>
          <w:color w:val="000000" w:themeColor="text1"/>
          <w:szCs w:val="24"/>
          <w:lang w:val="en"/>
        </w:rPr>
        <w:t>work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FE00BD">
        <w:rPr>
          <w:rFonts w:cs="Times New Roman"/>
          <w:color w:val="000000" w:themeColor="text1"/>
          <w:szCs w:val="24"/>
          <w:lang w:val="en"/>
        </w:rPr>
        <w:t>practices.</w:t>
      </w:r>
      <w:bookmarkEnd w:id="33"/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</w:p>
    <w:p w:rsidRPr="00C317BB" w:rsidR="00422FB9" w:rsidP="00F27167" w:rsidRDefault="00D87BCB" w14:paraId="146736B9" w14:textId="4A6430E5">
      <w:pPr>
        <w:ind w:firstLine="720"/>
        <w:rPr>
          <w:rFonts w:cs="Times New Roman"/>
          <w:color w:val="000000" w:themeColor="text1"/>
          <w:szCs w:val="24"/>
          <w:lang w:val="en"/>
        </w:rPr>
      </w:pPr>
      <w:r w:rsidRPr="00C317BB">
        <w:rPr>
          <w:rFonts w:cs="Times New Roman"/>
          <w:color w:val="000000" w:themeColor="text1"/>
          <w:szCs w:val="24"/>
          <w:lang w:val="en"/>
        </w:rPr>
        <w:t>EPA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is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also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proposing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to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EC57A8">
        <w:rPr>
          <w:rFonts w:cs="Times New Roman"/>
          <w:color w:val="000000" w:themeColor="text1"/>
          <w:szCs w:val="24"/>
          <w:lang w:val="en"/>
        </w:rPr>
        <w:t>require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EC57A8">
        <w:rPr>
          <w:rFonts w:cs="Times New Roman"/>
          <w:color w:val="000000" w:themeColor="text1"/>
          <w:szCs w:val="24"/>
          <w:lang w:val="en"/>
        </w:rPr>
        <w:t>that,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EC57A8">
        <w:rPr>
          <w:rFonts w:cs="Times New Roman"/>
          <w:color w:val="000000" w:themeColor="text1"/>
          <w:szCs w:val="24"/>
          <w:lang w:val="en"/>
        </w:rPr>
        <w:t>upon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EC57A8">
        <w:rPr>
          <w:rFonts w:cs="Times New Roman"/>
          <w:color w:val="000000" w:themeColor="text1"/>
          <w:szCs w:val="24"/>
          <w:lang w:val="en"/>
        </w:rPr>
        <w:t>disposal,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each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manufacturer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(including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importer),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processor,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and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distributor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of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chrysotile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asbestos,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including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DF5675">
        <w:rPr>
          <w:rFonts w:cs="Times New Roman"/>
          <w:color w:val="000000" w:themeColor="text1"/>
          <w:szCs w:val="24"/>
          <w:lang w:val="en"/>
        </w:rPr>
        <w:t>as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DF5675">
        <w:rPr>
          <w:rFonts w:cs="Times New Roman"/>
          <w:color w:val="000000" w:themeColor="text1"/>
          <w:szCs w:val="24"/>
          <w:lang w:val="en"/>
        </w:rPr>
        <w:t>part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DF5675">
        <w:rPr>
          <w:rFonts w:cs="Times New Roman"/>
          <w:color w:val="000000" w:themeColor="text1"/>
          <w:szCs w:val="24"/>
          <w:lang w:val="en"/>
        </w:rPr>
        <w:t>of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products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and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articles,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for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consumer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uses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subject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to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this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proposed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regulation,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dispose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of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such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items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in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accordance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with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specified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disposal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provisions.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These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consumer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uses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are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aftermarket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automotive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brakes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and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linings,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and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other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gaskets.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These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consumer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use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supply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chain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disposal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requirements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are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consistent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with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those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proposed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for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disposers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of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aftermarket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automotive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brakes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and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linings,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and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other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gaskets,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intended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for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commercial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use.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EPA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does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not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BD44D8">
        <w:rPr>
          <w:rFonts w:cs="Times New Roman"/>
          <w:color w:val="000000" w:themeColor="text1"/>
          <w:szCs w:val="24"/>
          <w:lang w:val="en"/>
        </w:rPr>
        <w:t>generally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have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TSCA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section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6(a)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authority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to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directly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regulate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consumer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use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and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disposal,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but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660616">
        <w:rPr>
          <w:rFonts w:cs="Times New Roman"/>
          <w:color w:val="000000" w:themeColor="text1"/>
          <w:szCs w:val="24"/>
          <w:lang w:val="en"/>
        </w:rPr>
        <w:t>under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660616">
        <w:rPr>
          <w:rFonts w:cs="Times New Roman"/>
          <w:color w:val="000000" w:themeColor="text1"/>
          <w:szCs w:val="24"/>
          <w:lang w:val="en"/>
        </w:rPr>
        <w:t>TSCA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8071A7">
        <w:rPr>
          <w:rFonts w:cs="Times New Roman"/>
          <w:color w:val="000000" w:themeColor="text1"/>
          <w:szCs w:val="24"/>
          <w:lang w:val="en"/>
        </w:rPr>
        <w:t>section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8071A7">
        <w:rPr>
          <w:rFonts w:cs="Times New Roman"/>
          <w:color w:val="000000" w:themeColor="text1"/>
          <w:szCs w:val="24"/>
          <w:lang w:val="en"/>
        </w:rPr>
        <w:t>6(a)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513843">
        <w:rPr>
          <w:rFonts w:cs="Times New Roman"/>
          <w:color w:val="000000" w:themeColor="text1"/>
          <w:szCs w:val="24"/>
          <w:lang w:val="en"/>
        </w:rPr>
        <w:t>EPA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332567">
        <w:rPr>
          <w:rFonts w:cs="Times New Roman"/>
          <w:color w:val="000000" w:themeColor="text1"/>
          <w:szCs w:val="24"/>
          <w:lang w:val="en"/>
        </w:rPr>
        <w:t>may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8071A7">
        <w:rPr>
          <w:rFonts w:cs="Times New Roman"/>
          <w:color w:val="000000" w:themeColor="text1"/>
          <w:szCs w:val="24"/>
          <w:lang w:val="en"/>
        </w:rPr>
        <w:t>nonetheless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regulate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the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disposal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activity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of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suppliers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of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these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products,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including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importers,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wholesalers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and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retailers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of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asbestos-containing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aftermarket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automotive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brakes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and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linings,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and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other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gaskets</w:t>
      </w:r>
      <w:r w:rsidRPr="00C317BB" w:rsidR="0089439D">
        <w:rPr>
          <w:rFonts w:cs="Times New Roman"/>
          <w:color w:val="000000" w:themeColor="text1"/>
          <w:szCs w:val="24"/>
          <w:lang w:val="en"/>
        </w:rPr>
        <w:t>.</w:t>
      </w:r>
    </w:p>
    <w:p w:rsidRPr="00C317BB" w:rsidR="0098716D" w:rsidP="00F27167" w:rsidRDefault="00240AF8" w14:paraId="2DF5E4EA" w14:textId="3E70EFC7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disposal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requirements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take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effect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180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days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after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effective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final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rule.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5472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5472">
        <w:rPr>
          <w:rFonts w:cs="Times New Roman"/>
          <w:color w:val="000000" w:themeColor="text1"/>
          <w:szCs w:val="24"/>
        </w:rPr>
        <w:t>has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5472">
        <w:rPr>
          <w:rFonts w:cs="Times New Roman"/>
          <w:color w:val="000000" w:themeColor="text1"/>
          <w:szCs w:val="24"/>
        </w:rPr>
        <w:t>no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5472">
        <w:rPr>
          <w:rFonts w:cs="Times New Roman"/>
          <w:color w:val="000000" w:themeColor="text1"/>
          <w:szCs w:val="24"/>
        </w:rPr>
        <w:t>information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5472">
        <w:rPr>
          <w:rFonts w:cs="Times New Roman"/>
          <w:color w:val="000000" w:themeColor="text1"/>
          <w:szCs w:val="24"/>
        </w:rPr>
        <w:t>indicating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5472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E29A7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5472">
        <w:rPr>
          <w:rFonts w:cs="Times New Roman"/>
          <w:color w:val="000000" w:themeColor="text1"/>
          <w:szCs w:val="24"/>
        </w:rPr>
        <w:t>180-day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E29A7">
        <w:rPr>
          <w:rFonts w:cs="Times New Roman"/>
          <w:color w:val="000000" w:themeColor="text1"/>
          <w:szCs w:val="24"/>
        </w:rPr>
        <w:t>compliance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5472">
        <w:rPr>
          <w:rFonts w:cs="Times New Roman"/>
          <w:color w:val="000000" w:themeColor="text1"/>
          <w:szCs w:val="24"/>
        </w:rPr>
        <w:t>period</w:t>
      </w:r>
      <w:r w:rsidRPr="00C317BB" w:rsidR="008B3243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7C5E">
        <w:rPr>
          <w:rFonts w:cs="Times New Roman"/>
          <w:color w:val="000000" w:themeColor="text1"/>
          <w:szCs w:val="24"/>
        </w:rPr>
        <w:t>after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435AA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435AA">
        <w:rPr>
          <w:rFonts w:cs="Times New Roman"/>
          <w:color w:val="000000" w:themeColor="text1"/>
          <w:szCs w:val="24"/>
        </w:rPr>
        <w:t>60-day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435AA">
        <w:rPr>
          <w:rFonts w:cs="Times New Roman"/>
          <w:color w:val="000000" w:themeColor="text1"/>
          <w:szCs w:val="24"/>
        </w:rPr>
        <w:t>effective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435AA">
        <w:rPr>
          <w:rFonts w:cs="Times New Roman"/>
          <w:color w:val="000000" w:themeColor="text1"/>
          <w:szCs w:val="24"/>
        </w:rPr>
        <w:t>date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435AA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435AA">
        <w:rPr>
          <w:rFonts w:cs="Times New Roman"/>
          <w:color w:val="000000" w:themeColor="text1"/>
          <w:szCs w:val="24"/>
        </w:rPr>
        <w:t>t</w:t>
      </w:r>
      <w:r w:rsidRPr="00C317BB" w:rsidR="002212A4">
        <w:rPr>
          <w:rFonts w:cs="Times New Roman"/>
          <w:color w:val="000000" w:themeColor="text1"/>
          <w:szCs w:val="24"/>
        </w:rPr>
        <w:t>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876AE">
        <w:rPr>
          <w:rFonts w:cs="Times New Roman"/>
          <w:color w:val="000000" w:themeColor="text1"/>
          <w:szCs w:val="24"/>
        </w:rPr>
        <w:t>final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212A4">
        <w:rPr>
          <w:rFonts w:cs="Times New Roman"/>
          <w:color w:val="000000" w:themeColor="text1"/>
          <w:szCs w:val="24"/>
        </w:rPr>
        <w:t>rule</w:t>
      </w:r>
      <w:r w:rsidRPr="00C317BB" w:rsidR="008B3243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5472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5472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5472">
        <w:rPr>
          <w:rFonts w:cs="Times New Roman"/>
          <w:color w:val="000000" w:themeColor="text1"/>
          <w:szCs w:val="24"/>
        </w:rPr>
        <w:t>practicable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5472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5472">
        <w:rPr>
          <w:rFonts w:cs="Times New Roman"/>
          <w:color w:val="000000" w:themeColor="text1"/>
          <w:szCs w:val="24"/>
        </w:rPr>
        <w:t>regulated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5472">
        <w:rPr>
          <w:rFonts w:cs="Times New Roman"/>
          <w:color w:val="000000" w:themeColor="text1"/>
          <w:szCs w:val="24"/>
        </w:rPr>
        <w:t>entities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5472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5472">
        <w:rPr>
          <w:rFonts w:cs="Times New Roman"/>
          <w:color w:val="000000" w:themeColor="text1"/>
          <w:szCs w:val="24"/>
        </w:rPr>
        <w:t>comply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5472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5472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5472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5472">
        <w:rPr>
          <w:rFonts w:cs="Times New Roman"/>
          <w:color w:val="000000" w:themeColor="text1"/>
          <w:szCs w:val="24"/>
        </w:rPr>
        <w:t>disposal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5472">
        <w:rPr>
          <w:rFonts w:cs="Times New Roman"/>
          <w:color w:val="000000" w:themeColor="text1"/>
          <w:szCs w:val="24"/>
        </w:rPr>
        <w:t>provisions;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5472">
        <w:rPr>
          <w:rFonts w:cs="Times New Roman"/>
          <w:color w:val="000000" w:themeColor="text1"/>
          <w:szCs w:val="24"/>
        </w:rPr>
        <w:t>however,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5472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5472">
        <w:rPr>
          <w:rFonts w:cs="Times New Roman"/>
          <w:color w:val="000000" w:themeColor="text1"/>
          <w:szCs w:val="24"/>
        </w:rPr>
        <w:t>requests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5472">
        <w:rPr>
          <w:rFonts w:cs="Times New Roman"/>
          <w:color w:val="000000" w:themeColor="text1"/>
          <w:szCs w:val="24"/>
        </w:rPr>
        <w:t>comment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5472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5472">
        <w:rPr>
          <w:rFonts w:cs="Times New Roman"/>
          <w:color w:val="000000" w:themeColor="text1"/>
          <w:szCs w:val="24"/>
        </w:rPr>
        <w:t>whether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5472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5472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5472">
        <w:rPr>
          <w:rFonts w:cs="Times New Roman"/>
          <w:color w:val="000000" w:themeColor="text1"/>
          <w:szCs w:val="24"/>
        </w:rPr>
        <w:t>time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5472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5472">
        <w:rPr>
          <w:rFonts w:cs="Times New Roman"/>
          <w:color w:val="000000" w:themeColor="text1"/>
          <w:szCs w:val="24"/>
        </w:rPr>
        <w:t>adequate.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5472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5472">
        <w:rPr>
          <w:rFonts w:cs="Times New Roman"/>
          <w:color w:val="000000" w:themeColor="text1"/>
          <w:szCs w:val="24"/>
        </w:rPr>
        <w:t>also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5472">
        <w:rPr>
          <w:rFonts w:cs="Times New Roman"/>
          <w:color w:val="000000" w:themeColor="text1"/>
          <w:szCs w:val="24"/>
        </w:rPr>
        <w:t>requests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5472">
        <w:rPr>
          <w:rFonts w:cs="Times New Roman"/>
          <w:color w:val="000000" w:themeColor="text1"/>
          <w:szCs w:val="24"/>
        </w:rPr>
        <w:t>comments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5472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5472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5472">
        <w:rPr>
          <w:rFonts w:cs="Times New Roman"/>
          <w:color w:val="000000" w:themeColor="text1"/>
          <w:szCs w:val="24"/>
        </w:rPr>
        <w:t>practicability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5472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5472">
        <w:rPr>
          <w:rFonts w:cs="Times New Roman"/>
          <w:color w:val="000000" w:themeColor="text1"/>
          <w:szCs w:val="24"/>
        </w:rPr>
        <w:t>making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5472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5472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336B8">
        <w:rPr>
          <w:rFonts w:cs="Times New Roman"/>
          <w:color w:val="000000" w:themeColor="text1"/>
          <w:szCs w:val="24"/>
        </w:rPr>
        <w:t>disposal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5472">
        <w:rPr>
          <w:rFonts w:cs="Times New Roman"/>
          <w:color w:val="000000" w:themeColor="text1"/>
          <w:szCs w:val="24"/>
        </w:rPr>
        <w:t>requirements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5472">
        <w:rPr>
          <w:rFonts w:cs="Times New Roman"/>
          <w:color w:val="000000" w:themeColor="text1"/>
          <w:szCs w:val="24"/>
        </w:rPr>
        <w:t>take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5472">
        <w:rPr>
          <w:rFonts w:cs="Times New Roman"/>
          <w:color w:val="000000" w:themeColor="text1"/>
          <w:szCs w:val="24"/>
        </w:rPr>
        <w:t>effect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5472">
        <w:rPr>
          <w:rFonts w:cs="Times New Roman"/>
          <w:color w:val="000000" w:themeColor="text1"/>
          <w:szCs w:val="24"/>
        </w:rPr>
        <w:t>sooner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5472">
        <w:rPr>
          <w:rFonts w:cs="Times New Roman"/>
          <w:color w:val="000000" w:themeColor="text1"/>
          <w:szCs w:val="24"/>
        </w:rPr>
        <w:t>than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5472">
        <w:rPr>
          <w:rFonts w:cs="Times New Roman"/>
          <w:color w:val="000000" w:themeColor="text1"/>
          <w:szCs w:val="24"/>
        </w:rPr>
        <w:t>180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5472">
        <w:rPr>
          <w:rFonts w:cs="Times New Roman"/>
          <w:color w:val="000000" w:themeColor="text1"/>
          <w:szCs w:val="24"/>
        </w:rPr>
        <w:t>days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87D43">
        <w:rPr>
          <w:rFonts w:cs="Times New Roman"/>
          <w:color w:val="000000" w:themeColor="text1"/>
          <w:szCs w:val="24"/>
        </w:rPr>
        <w:t>after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87D43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87D43">
        <w:rPr>
          <w:rFonts w:cs="Times New Roman"/>
          <w:color w:val="000000" w:themeColor="text1"/>
          <w:szCs w:val="24"/>
        </w:rPr>
        <w:t>final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87D43">
        <w:rPr>
          <w:rFonts w:cs="Times New Roman"/>
          <w:color w:val="000000" w:themeColor="text1"/>
          <w:szCs w:val="24"/>
        </w:rPr>
        <w:t>rule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87D43">
        <w:rPr>
          <w:rFonts w:cs="Times New Roman"/>
          <w:color w:val="000000" w:themeColor="text1"/>
          <w:szCs w:val="24"/>
        </w:rPr>
        <w:t>effective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87D43">
        <w:rPr>
          <w:rFonts w:cs="Times New Roman"/>
          <w:color w:val="000000" w:themeColor="text1"/>
          <w:szCs w:val="24"/>
        </w:rPr>
        <w:t>date</w:t>
      </w:r>
      <w:r w:rsidRPr="00C317BB" w:rsidR="00CB5472">
        <w:rPr>
          <w:rFonts w:cs="Times New Roman"/>
          <w:color w:val="000000" w:themeColor="text1"/>
          <w:szCs w:val="24"/>
        </w:rPr>
        <w:t>.</w:t>
      </w:r>
    </w:p>
    <w:p w:rsidRPr="00C317BB" w:rsidR="00855617" w:rsidP="00F27167" w:rsidRDefault="00855617" w14:paraId="7AD6514D" w14:textId="44D43C87">
      <w:pPr>
        <w:pStyle w:val="Heading4"/>
        <w:keepNext w:val="0"/>
        <w:keepLines w:val="0"/>
        <w:spacing w:before="0"/>
        <w:ind w:firstLine="720"/>
        <w:rPr>
          <w:rFonts w:cs="Times New Roman"/>
          <w:color w:val="000000" w:themeColor="text1"/>
          <w:szCs w:val="24"/>
        </w:rPr>
      </w:pPr>
      <w:bookmarkStart w:name="_Hlk65752610" w:id="34"/>
      <w:r w:rsidRPr="00C317BB">
        <w:rPr>
          <w:rFonts w:cs="Times New Roman"/>
          <w:color w:val="000000" w:themeColor="text1"/>
          <w:szCs w:val="24"/>
        </w:rPr>
        <w:t>b.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Recordkeeping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disposal</w:t>
      </w:r>
      <w:r w:rsidRPr="00C317BB" w:rsidR="00C070B9">
        <w:rPr>
          <w:rFonts w:cs="Times New Roman"/>
          <w:color w:val="000000" w:themeColor="text1"/>
          <w:szCs w:val="24"/>
        </w:rPr>
        <w:t>:</w:t>
      </w:r>
    </w:p>
    <w:p w:rsidRPr="00C317BB" w:rsidR="008D7A8B" w:rsidP="00F27167" w:rsidRDefault="00E87605" w14:paraId="3F3241AA" w14:textId="038A3BCB">
      <w:pPr>
        <w:ind w:firstLine="720"/>
        <w:rPr>
          <w:rFonts w:cs="Times New Roman"/>
          <w:color w:val="000000" w:themeColor="text1"/>
          <w:szCs w:val="24"/>
          <w:lang w:val="en"/>
        </w:rPr>
      </w:pPr>
      <w:r w:rsidRPr="00C317BB">
        <w:rPr>
          <w:rFonts w:cs="Times New Roman"/>
          <w:color w:val="000000" w:themeColor="text1"/>
          <w:szCs w:val="24"/>
          <w:lang w:val="en"/>
        </w:rPr>
        <w:t>EPA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is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also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proposing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that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2301F1">
        <w:rPr>
          <w:rFonts w:cs="Times New Roman"/>
          <w:color w:val="000000" w:themeColor="text1"/>
          <w:szCs w:val="24"/>
          <w:lang w:val="en"/>
        </w:rPr>
        <w:t>each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2301F1">
        <w:rPr>
          <w:rFonts w:cs="Times New Roman"/>
          <w:color w:val="000000" w:themeColor="text1"/>
          <w:szCs w:val="24"/>
          <w:lang w:val="en"/>
        </w:rPr>
        <w:t>person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2301F1">
        <w:rPr>
          <w:rFonts w:cs="Times New Roman"/>
          <w:color w:val="000000" w:themeColor="text1"/>
          <w:szCs w:val="24"/>
          <w:lang w:val="en"/>
        </w:rPr>
        <w:t>who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2301F1">
        <w:rPr>
          <w:rFonts w:cs="Times New Roman"/>
          <w:color w:val="000000" w:themeColor="text1"/>
          <w:szCs w:val="24"/>
          <w:lang w:val="en"/>
        </w:rPr>
        <w:t>disposes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2301F1">
        <w:rPr>
          <w:rFonts w:cs="Times New Roman"/>
          <w:color w:val="000000" w:themeColor="text1"/>
          <w:szCs w:val="24"/>
          <w:lang w:val="en"/>
        </w:rPr>
        <w:t>of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2301F1">
        <w:rPr>
          <w:rFonts w:cs="Times New Roman"/>
          <w:color w:val="000000" w:themeColor="text1"/>
          <w:szCs w:val="24"/>
          <w:lang w:val="en"/>
        </w:rPr>
        <w:t>any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2301F1">
        <w:rPr>
          <w:rFonts w:cs="Times New Roman"/>
          <w:color w:val="000000" w:themeColor="text1"/>
          <w:szCs w:val="24"/>
          <w:lang w:val="en"/>
        </w:rPr>
        <w:t>chrysotile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2301F1">
        <w:rPr>
          <w:rFonts w:cs="Times New Roman"/>
          <w:color w:val="000000" w:themeColor="text1"/>
          <w:szCs w:val="24"/>
          <w:lang w:val="en"/>
        </w:rPr>
        <w:t>asbestos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2301F1">
        <w:rPr>
          <w:rFonts w:cs="Times New Roman"/>
          <w:color w:val="000000" w:themeColor="text1"/>
          <w:szCs w:val="24"/>
          <w:lang w:val="en"/>
        </w:rPr>
        <w:t>and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2301F1">
        <w:rPr>
          <w:rFonts w:cs="Times New Roman"/>
          <w:color w:val="000000" w:themeColor="text1"/>
          <w:szCs w:val="24"/>
          <w:lang w:val="en"/>
        </w:rPr>
        <w:t>any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2301F1">
        <w:rPr>
          <w:rFonts w:cs="Times New Roman"/>
          <w:color w:val="000000" w:themeColor="text1"/>
          <w:szCs w:val="24"/>
          <w:lang w:val="en"/>
        </w:rPr>
        <w:t>chrysotile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2301F1">
        <w:rPr>
          <w:rFonts w:cs="Times New Roman"/>
          <w:color w:val="000000" w:themeColor="text1"/>
          <w:szCs w:val="24"/>
          <w:lang w:val="en"/>
        </w:rPr>
        <w:t>asbestos-containing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2301F1">
        <w:rPr>
          <w:rFonts w:cs="Times New Roman"/>
          <w:color w:val="000000" w:themeColor="text1"/>
          <w:szCs w:val="24"/>
          <w:lang w:val="en"/>
        </w:rPr>
        <w:t>products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2301F1">
        <w:rPr>
          <w:rFonts w:cs="Times New Roman"/>
          <w:color w:val="000000" w:themeColor="text1"/>
          <w:szCs w:val="24"/>
          <w:lang w:val="en"/>
        </w:rPr>
        <w:t>or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2301F1">
        <w:rPr>
          <w:rFonts w:cs="Times New Roman"/>
          <w:color w:val="000000" w:themeColor="text1"/>
          <w:szCs w:val="24"/>
          <w:lang w:val="en"/>
        </w:rPr>
        <w:t>articles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2301F1">
        <w:rPr>
          <w:rFonts w:cs="Times New Roman"/>
          <w:color w:val="000000" w:themeColor="text1"/>
          <w:szCs w:val="24"/>
          <w:lang w:val="en"/>
        </w:rPr>
        <w:t>subject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2301F1">
        <w:rPr>
          <w:rFonts w:cs="Times New Roman"/>
          <w:color w:val="000000" w:themeColor="text1"/>
          <w:szCs w:val="24"/>
          <w:lang w:val="en"/>
        </w:rPr>
        <w:t>to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2301F1">
        <w:rPr>
          <w:rFonts w:cs="Times New Roman"/>
          <w:color w:val="000000" w:themeColor="text1"/>
          <w:szCs w:val="24"/>
          <w:lang w:val="en"/>
        </w:rPr>
        <w:t>the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2301F1">
        <w:rPr>
          <w:rFonts w:cs="Times New Roman"/>
          <w:color w:val="000000" w:themeColor="text1"/>
          <w:szCs w:val="24"/>
          <w:lang w:val="en"/>
        </w:rPr>
        <w:t>disposal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2301F1">
        <w:rPr>
          <w:rFonts w:cs="Times New Roman"/>
          <w:color w:val="000000" w:themeColor="text1"/>
          <w:szCs w:val="24"/>
          <w:lang w:val="en"/>
        </w:rPr>
        <w:t>provisions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2301F1">
        <w:rPr>
          <w:rFonts w:cs="Times New Roman"/>
          <w:color w:val="000000" w:themeColor="text1"/>
          <w:szCs w:val="24"/>
          <w:lang w:val="en"/>
        </w:rPr>
        <w:t>of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2301F1">
        <w:rPr>
          <w:rFonts w:cs="Times New Roman"/>
          <w:color w:val="000000" w:themeColor="text1"/>
          <w:szCs w:val="24"/>
          <w:lang w:val="en"/>
        </w:rPr>
        <w:t>this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2301F1">
        <w:rPr>
          <w:rFonts w:cs="Times New Roman"/>
          <w:color w:val="000000" w:themeColor="text1"/>
          <w:szCs w:val="24"/>
          <w:lang w:val="en"/>
        </w:rPr>
        <w:t>proposed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2301F1">
        <w:rPr>
          <w:rFonts w:cs="Times New Roman"/>
          <w:color w:val="000000" w:themeColor="text1"/>
          <w:szCs w:val="24"/>
          <w:lang w:val="en"/>
        </w:rPr>
        <w:t>rule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2301F1">
        <w:rPr>
          <w:rFonts w:cs="Times New Roman"/>
          <w:color w:val="000000" w:themeColor="text1"/>
          <w:szCs w:val="24"/>
          <w:lang w:val="en"/>
        </w:rPr>
        <w:t>must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2301F1">
        <w:rPr>
          <w:rFonts w:cs="Times New Roman"/>
          <w:color w:val="000000" w:themeColor="text1"/>
          <w:szCs w:val="24"/>
          <w:lang w:val="en"/>
        </w:rPr>
        <w:t>retain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2301F1">
        <w:rPr>
          <w:rFonts w:cs="Times New Roman"/>
          <w:color w:val="000000" w:themeColor="text1"/>
          <w:szCs w:val="24"/>
          <w:lang w:val="en"/>
        </w:rPr>
        <w:t>any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2301F1">
        <w:rPr>
          <w:rFonts w:cs="Times New Roman"/>
          <w:color w:val="000000" w:themeColor="text1"/>
          <w:szCs w:val="24"/>
          <w:lang w:val="en"/>
        </w:rPr>
        <w:t>records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2301F1">
        <w:rPr>
          <w:rFonts w:cs="Times New Roman"/>
          <w:color w:val="000000" w:themeColor="text1"/>
          <w:szCs w:val="24"/>
          <w:lang w:val="en"/>
        </w:rPr>
        <w:t>generated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2301F1">
        <w:rPr>
          <w:rFonts w:cs="Times New Roman"/>
          <w:color w:val="000000" w:themeColor="text1"/>
          <w:szCs w:val="24"/>
          <w:lang w:val="en"/>
        </w:rPr>
        <w:t>pursuant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2301F1">
        <w:rPr>
          <w:rFonts w:cs="Times New Roman"/>
          <w:color w:val="000000" w:themeColor="text1"/>
          <w:szCs w:val="24"/>
          <w:lang w:val="en"/>
        </w:rPr>
        <w:t>to,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2301F1">
        <w:rPr>
          <w:rFonts w:cs="Times New Roman"/>
          <w:color w:val="000000" w:themeColor="text1"/>
          <w:szCs w:val="24"/>
          <w:lang w:val="en"/>
        </w:rPr>
        <w:t>or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2301F1">
        <w:rPr>
          <w:rFonts w:cs="Times New Roman"/>
          <w:color w:val="000000" w:themeColor="text1"/>
          <w:szCs w:val="24"/>
          <w:lang w:val="en"/>
        </w:rPr>
        <w:t>otherwise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2301F1">
        <w:rPr>
          <w:rFonts w:cs="Times New Roman"/>
          <w:color w:val="000000" w:themeColor="text1"/>
          <w:szCs w:val="24"/>
          <w:lang w:val="en"/>
        </w:rPr>
        <w:t>documenting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2301F1">
        <w:rPr>
          <w:rFonts w:cs="Times New Roman"/>
          <w:color w:val="000000" w:themeColor="text1"/>
          <w:szCs w:val="24"/>
          <w:lang w:val="en"/>
        </w:rPr>
        <w:t>compliance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2301F1">
        <w:rPr>
          <w:rFonts w:cs="Times New Roman"/>
          <w:color w:val="000000" w:themeColor="text1"/>
          <w:szCs w:val="24"/>
          <w:lang w:val="en"/>
        </w:rPr>
        <w:t>with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2301F1">
        <w:rPr>
          <w:rFonts w:cs="Times New Roman"/>
          <w:color w:val="000000" w:themeColor="text1"/>
          <w:szCs w:val="24"/>
          <w:lang w:val="en"/>
        </w:rPr>
        <w:t>specified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2301F1">
        <w:rPr>
          <w:rFonts w:cs="Times New Roman"/>
          <w:color w:val="000000" w:themeColor="text1"/>
          <w:szCs w:val="24"/>
          <w:lang w:val="en"/>
        </w:rPr>
        <w:t>disposal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2301F1">
        <w:rPr>
          <w:rFonts w:cs="Times New Roman"/>
          <w:color w:val="000000" w:themeColor="text1"/>
          <w:szCs w:val="24"/>
          <w:lang w:val="en"/>
        </w:rPr>
        <w:t>regulations.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2301F1">
        <w:rPr>
          <w:rFonts w:cs="Times New Roman"/>
          <w:color w:val="000000" w:themeColor="text1"/>
          <w:szCs w:val="24"/>
          <w:lang w:val="en"/>
        </w:rPr>
        <w:t>These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2301F1">
        <w:rPr>
          <w:rFonts w:cs="Times New Roman"/>
          <w:color w:val="000000" w:themeColor="text1"/>
          <w:szCs w:val="24"/>
          <w:lang w:val="en"/>
        </w:rPr>
        <w:t>records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2301F1">
        <w:rPr>
          <w:rFonts w:cs="Times New Roman"/>
          <w:color w:val="000000" w:themeColor="text1"/>
          <w:szCs w:val="24"/>
          <w:lang w:val="en"/>
        </w:rPr>
        <w:t>must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2301F1">
        <w:rPr>
          <w:rFonts w:cs="Times New Roman"/>
          <w:color w:val="000000" w:themeColor="text1"/>
          <w:szCs w:val="24"/>
          <w:lang w:val="en"/>
        </w:rPr>
        <w:t>be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2301F1">
        <w:rPr>
          <w:rFonts w:cs="Times New Roman"/>
          <w:color w:val="000000" w:themeColor="text1"/>
          <w:szCs w:val="24"/>
          <w:lang w:val="en"/>
        </w:rPr>
        <w:t>retained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2301F1">
        <w:rPr>
          <w:rFonts w:cs="Times New Roman"/>
          <w:color w:val="000000" w:themeColor="text1"/>
          <w:szCs w:val="24"/>
          <w:lang w:val="en"/>
        </w:rPr>
        <w:t>in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2301F1">
        <w:rPr>
          <w:rFonts w:cs="Times New Roman"/>
          <w:color w:val="000000" w:themeColor="text1"/>
          <w:szCs w:val="24"/>
          <w:lang w:val="en"/>
        </w:rPr>
        <w:t>one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2301F1">
        <w:rPr>
          <w:rFonts w:cs="Times New Roman"/>
          <w:color w:val="000000" w:themeColor="text1"/>
          <w:szCs w:val="24"/>
          <w:lang w:val="en"/>
        </w:rPr>
        <w:t>location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2301F1">
        <w:rPr>
          <w:rFonts w:cs="Times New Roman"/>
          <w:color w:val="000000" w:themeColor="text1"/>
          <w:szCs w:val="24"/>
          <w:lang w:val="en"/>
        </w:rPr>
        <w:t>at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2301F1">
        <w:rPr>
          <w:rFonts w:cs="Times New Roman"/>
          <w:color w:val="000000" w:themeColor="text1"/>
          <w:szCs w:val="24"/>
          <w:lang w:val="en"/>
        </w:rPr>
        <w:t>the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2301F1">
        <w:rPr>
          <w:rFonts w:cs="Times New Roman"/>
          <w:color w:val="000000" w:themeColor="text1"/>
          <w:szCs w:val="24"/>
          <w:lang w:val="en"/>
        </w:rPr>
        <w:t>headquarters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2301F1">
        <w:rPr>
          <w:rFonts w:cs="Times New Roman"/>
          <w:color w:val="000000" w:themeColor="text1"/>
          <w:szCs w:val="24"/>
          <w:lang w:val="en"/>
        </w:rPr>
        <w:t>of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2301F1">
        <w:rPr>
          <w:rFonts w:cs="Times New Roman"/>
          <w:color w:val="000000" w:themeColor="text1"/>
          <w:szCs w:val="24"/>
          <w:lang w:val="en"/>
        </w:rPr>
        <w:t>the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2301F1">
        <w:rPr>
          <w:rFonts w:cs="Times New Roman"/>
          <w:color w:val="000000" w:themeColor="text1"/>
          <w:szCs w:val="24"/>
          <w:lang w:val="en"/>
        </w:rPr>
        <w:t>company,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2301F1">
        <w:rPr>
          <w:rFonts w:cs="Times New Roman"/>
          <w:color w:val="000000" w:themeColor="text1"/>
          <w:szCs w:val="24"/>
          <w:lang w:val="en"/>
        </w:rPr>
        <w:t>or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2301F1">
        <w:rPr>
          <w:rFonts w:cs="Times New Roman"/>
          <w:color w:val="000000" w:themeColor="text1"/>
          <w:szCs w:val="24"/>
          <w:lang w:val="en"/>
        </w:rPr>
        <w:t>at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2301F1">
        <w:rPr>
          <w:rFonts w:cs="Times New Roman"/>
          <w:color w:val="000000" w:themeColor="text1"/>
          <w:szCs w:val="24"/>
          <w:lang w:val="en"/>
        </w:rPr>
        <w:t>the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2301F1">
        <w:rPr>
          <w:rFonts w:cs="Times New Roman"/>
          <w:color w:val="000000" w:themeColor="text1"/>
          <w:szCs w:val="24"/>
          <w:lang w:val="en"/>
        </w:rPr>
        <w:t>facility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2301F1">
        <w:rPr>
          <w:rFonts w:cs="Times New Roman"/>
          <w:color w:val="000000" w:themeColor="text1"/>
          <w:szCs w:val="24"/>
          <w:lang w:val="en"/>
        </w:rPr>
        <w:t>for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2301F1">
        <w:rPr>
          <w:rFonts w:cs="Times New Roman"/>
          <w:color w:val="000000" w:themeColor="text1"/>
          <w:szCs w:val="24"/>
          <w:lang w:val="en"/>
        </w:rPr>
        <w:t>which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2301F1">
        <w:rPr>
          <w:rFonts w:cs="Times New Roman"/>
          <w:color w:val="000000" w:themeColor="text1"/>
          <w:szCs w:val="24"/>
          <w:lang w:val="en"/>
        </w:rPr>
        <w:t>the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2301F1">
        <w:rPr>
          <w:rFonts w:cs="Times New Roman"/>
          <w:color w:val="000000" w:themeColor="text1"/>
          <w:szCs w:val="24"/>
          <w:lang w:val="en"/>
        </w:rPr>
        <w:t>records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2301F1">
        <w:rPr>
          <w:rFonts w:cs="Times New Roman"/>
          <w:color w:val="000000" w:themeColor="text1"/>
          <w:szCs w:val="24"/>
          <w:lang w:val="en"/>
        </w:rPr>
        <w:t>were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2301F1">
        <w:rPr>
          <w:rFonts w:cs="Times New Roman"/>
          <w:color w:val="000000" w:themeColor="text1"/>
          <w:szCs w:val="24"/>
          <w:lang w:val="en"/>
        </w:rPr>
        <w:t>generated</w:t>
      </w:r>
      <w:r w:rsidRPr="00C317BB" w:rsidR="00C5235E">
        <w:rPr>
          <w:rFonts w:cs="Times New Roman"/>
          <w:color w:val="000000" w:themeColor="text1"/>
          <w:szCs w:val="24"/>
          <w:lang w:val="en"/>
        </w:rPr>
        <w:t>,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2301F1">
        <w:rPr>
          <w:rFonts w:cs="Times New Roman"/>
          <w:color w:val="000000" w:themeColor="text1"/>
          <w:szCs w:val="24"/>
          <w:lang w:val="en"/>
        </w:rPr>
        <w:t>and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DC06F5">
        <w:rPr>
          <w:rFonts w:cs="Times New Roman"/>
          <w:color w:val="000000" w:themeColor="text1"/>
          <w:szCs w:val="24"/>
          <w:lang w:val="en"/>
        </w:rPr>
        <w:t>they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2301F1">
        <w:rPr>
          <w:rFonts w:cs="Times New Roman"/>
          <w:color w:val="000000" w:themeColor="text1"/>
          <w:szCs w:val="24"/>
          <w:lang w:val="en"/>
        </w:rPr>
        <w:t>must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2301F1">
        <w:rPr>
          <w:rFonts w:cs="Times New Roman"/>
          <w:color w:val="000000" w:themeColor="text1"/>
          <w:szCs w:val="24"/>
          <w:lang w:val="en"/>
        </w:rPr>
        <w:t>be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2301F1">
        <w:rPr>
          <w:rFonts w:cs="Times New Roman"/>
          <w:color w:val="000000" w:themeColor="text1"/>
          <w:szCs w:val="24"/>
          <w:lang w:val="en"/>
        </w:rPr>
        <w:t>retained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2301F1">
        <w:rPr>
          <w:rFonts w:cs="Times New Roman"/>
          <w:color w:val="000000" w:themeColor="text1"/>
          <w:szCs w:val="24"/>
          <w:lang w:val="en"/>
        </w:rPr>
        <w:t>for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8B3243">
        <w:rPr>
          <w:rFonts w:cs="Times New Roman"/>
          <w:color w:val="000000" w:themeColor="text1"/>
          <w:szCs w:val="24"/>
          <w:lang w:val="en"/>
        </w:rPr>
        <w:t>five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2301F1">
        <w:rPr>
          <w:rFonts w:cs="Times New Roman"/>
          <w:color w:val="000000" w:themeColor="text1"/>
          <w:szCs w:val="24"/>
          <w:lang w:val="en"/>
        </w:rPr>
        <w:t>years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2301F1">
        <w:rPr>
          <w:rFonts w:cs="Times New Roman"/>
          <w:color w:val="000000" w:themeColor="text1"/>
          <w:szCs w:val="24"/>
          <w:lang w:val="en"/>
        </w:rPr>
        <w:t>from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2301F1">
        <w:rPr>
          <w:rFonts w:cs="Times New Roman"/>
          <w:color w:val="000000" w:themeColor="text1"/>
          <w:szCs w:val="24"/>
          <w:lang w:val="en"/>
        </w:rPr>
        <w:t>the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2301F1">
        <w:rPr>
          <w:rFonts w:cs="Times New Roman"/>
          <w:color w:val="000000" w:themeColor="text1"/>
          <w:szCs w:val="24"/>
          <w:lang w:val="en"/>
        </w:rPr>
        <w:t>date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2301F1">
        <w:rPr>
          <w:rFonts w:cs="Times New Roman"/>
          <w:color w:val="000000" w:themeColor="text1"/>
          <w:szCs w:val="24"/>
          <w:lang w:val="en"/>
        </w:rPr>
        <w:t>of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2301F1">
        <w:rPr>
          <w:rFonts w:cs="Times New Roman"/>
          <w:color w:val="000000" w:themeColor="text1"/>
          <w:szCs w:val="24"/>
          <w:lang w:val="en"/>
        </w:rPr>
        <w:t>generation.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421230">
        <w:rPr>
          <w:rFonts w:cs="Times New Roman"/>
          <w:color w:val="000000" w:themeColor="text1"/>
          <w:szCs w:val="24"/>
          <w:lang w:val="en"/>
        </w:rPr>
        <w:t>I</w:t>
      </w:r>
      <w:r w:rsidRPr="00C317BB" w:rsidR="00EA4AEC">
        <w:rPr>
          <w:rFonts w:cs="Times New Roman"/>
          <w:color w:val="000000" w:themeColor="text1"/>
          <w:szCs w:val="24"/>
          <w:lang w:val="en"/>
        </w:rPr>
        <w:t>n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421230">
        <w:rPr>
          <w:rFonts w:cs="Times New Roman"/>
          <w:color w:val="000000" w:themeColor="text1"/>
          <w:szCs w:val="24"/>
          <w:lang w:val="en"/>
        </w:rPr>
        <w:t>addition,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421230">
        <w:rPr>
          <w:rFonts w:cs="Times New Roman"/>
          <w:color w:val="000000" w:themeColor="text1"/>
          <w:szCs w:val="24"/>
          <w:lang w:val="en"/>
        </w:rPr>
        <w:t>EPA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557E76">
        <w:rPr>
          <w:rFonts w:cs="Times New Roman"/>
          <w:color w:val="000000" w:themeColor="text1"/>
          <w:szCs w:val="24"/>
          <w:lang w:val="en"/>
        </w:rPr>
        <w:t>is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557E76">
        <w:rPr>
          <w:rFonts w:cs="Times New Roman"/>
          <w:color w:val="000000" w:themeColor="text1"/>
          <w:szCs w:val="24"/>
          <w:lang w:val="en"/>
        </w:rPr>
        <w:t>ex</w:t>
      </w:r>
      <w:r w:rsidRPr="00C317BB" w:rsidR="00005C75">
        <w:rPr>
          <w:rFonts w:cs="Times New Roman"/>
          <w:color w:val="000000" w:themeColor="text1"/>
          <w:szCs w:val="24"/>
          <w:lang w:val="en"/>
        </w:rPr>
        <w:t>ercising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005C75">
        <w:rPr>
          <w:rFonts w:cs="Times New Roman"/>
          <w:color w:val="000000" w:themeColor="text1"/>
          <w:szCs w:val="24"/>
          <w:lang w:val="en"/>
        </w:rPr>
        <w:t>it</w:t>
      </w:r>
      <w:r w:rsidRPr="00C317BB" w:rsidR="00D32539">
        <w:rPr>
          <w:rFonts w:cs="Times New Roman"/>
          <w:color w:val="000000" w:themeColor="text1"/>
          <w:szCs w:val="24"/>
          <w:lang w:val="en"/>
        </w:rPr>
        <w:t>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EA4AEC">
        <w:rPr>
          <w:rFonts w:cs="Times New Roman"/>
          <w:color w:val="000000" w:themeColor="text1"/>
          <w:szCs w:val="24"/>
          <w:lang w:val="en"/>
        </w:rPr>
        <w:t>authority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EA4AEC">
        <w:rPr>
          <w:rFonts w:cs="Times New Roman"/>
          <w:color w:val="000000" w:themeColor="text1"/>
          <w:szCs w:val="24"/>
          <w:lang w:val="en"/>
        </w:rPr>
        <w:t>under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EA4AEC">
        <w:rPr>
          <w:rFonts w:cs="Times New Roman"/>
          <w:color w:val="000000" w:themeColor="text1"/>
          <w:szCs w:val="24"/>
          <w:lang w:val="en"/>
        </w:rPr>
        <w:t>TSCA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C61F7F">
        <w:rPr>
          <w:rFonts w:cs="Times New Roman"/>
          <w:color w:val="000000" w:themeColor="text1"/>
          <w:szCs w:val="24"/>
          <w:lang w:val="en"/>
        </w:rPr>
        <w:t>s</w:t>
      </w:r>
      <w:r w:rsidRPr="00C317BB" w:rsidR="00EA4AEC">
        <w:rPr>
          <w:rFonts w:cs="Times New Roman"/>
          <w:color w:val="000000" w:themeColor="text1"/>
          <w:szCs w:val="24"/>
          <w:lang w:val="en"/>
        </w:rPr>
        <w:t>ection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EA4AEC">
        <w:rPr>
          <w:rFonts w:cs="Times New Roman"/>
          <w:color w:val="000000" w:themeColor="text1"/>
          <w:szCs w:val="24"/>
          <w:lang w:val="en"/>
        </w:rPr>
        <w:t>6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EA4AEC">
        <w:rPr>
          <w:rFonts w:cs="Times New Roman"/>
          <w:color w:val="000000" w:themeColor="text1"/>
          <w:szCs w:val="24"/>
          <w:lang w:val="en"/>
        </w:rPr>
        <w:t>to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EA4AEC">
        <w:rPr>
          <w:rFonts w:cs="Times New Roman"/>
          <w:color w:val="000000" w:themeColor="text1"/>
          <w:szCs w:val="24"/>
          <w:lang w:val="en"/>
        </w:rPr>
        <w:t>apply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EA4AEC">
        <w:rPr>
          <w:rFonts w:cs="Times New Roman"/>
          <w:color w:val="000000" w:themeColor="text1"/>
          <w:szCs w:val="24"/>
          <w:lang w:val="en"/>
        </w:rPr>
        <w:t>recordkeeping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EA4AEC">
        <w:rPr>
          <w:rFonts w:cs="Times New Roman"/>
          <w:color w:val="000000" w:themeColor="text1"/>
          <w:szCs w:val="24"/>
          <w:lang w:val="en"/>
        </w:rPr>
        <w:t>requirements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EA4AEC">
        <w:rPr>
          <w:rFonts w:cs="Times New Roman"/>
          <w:color w:val="000000" w:themeColor="text1"/>
          <w:szCs w:val="24"/>
          <w:lang w:val="en"/>
        </w:rPr>
        <w:t>to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EA4AEC">
        <w:rPr>
          <w:rFonts w:cs="Times New Roman"/>
          <w:color w:val="000000" w:themeColor="text1"/>
          <w:szCs w:val="24"/>
          <w:lang w:val="en"/>
        </w:rPr>
        <w:t>distributors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EA4AEC">
        <w:rPr>
          <w:rFonts w:cs="Times New Roman"/>
          <w:color w:val="000000" w:themeColor="text1"/>
          <w:szCs w:val="24"/>
          <w:lang w:val="en"/>
        </w:rPr>
        <w:t>of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EA4AEC">
        <w:rPr>
          <w:rFonts w:cs="Times New Roman"/>
          <w:color w:val="000000" w:themeColor="text1"/>
          <w:szCs w:val="24"/>
          <w:lang w:val="en"/>
        </w:rPr>
        <w:t>asbestos-containing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EA4AEC">
        <w:rPr>
          <w:rFonts w:cs="Times New Roman"/>
          <w:color w:val="000000" w:themeColor="text1"/>
          <w:szCs w:val="24"/>
          <w:lang w:val="en"/>
        </w:rPr>
        <w:t>products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EA4AEC">
        <w:rPr>
          <w:rFonts w:cs="Times New Roman"/>
          <w:color w:val="000000" w:themeColor="text1"/>
          <w:szCs w:val="24"/>
          <w:lang w:val="en"/>
        </w:rPr>
        <w:t>who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EA4AEC">
        <w:rPr>
          <w:rFonts w:cs="Times New Roman"/>
          <w:color w:val="000000" w:themeColor="text1"/>
          <w:szCs w:val="24"/>
          <w:lang w:val="en"/>
        </w:rPr>
        <w:t>are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EA4AEC">
        <w:rPr>
          <w:rFonts w:cs="Times New Roman"/>
          <w:color w:val="000000" w:themeColor="text1"/>
          <w:szCs w:val="24"/>
          <w:lang w:val="en"/>
        </w:rPr>
        <w:t>not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EA4AEC">
        <w:rPr>
          <w:rFonts w:cs="Times New Roman"/>
          <w:color w:val="000000" w:themeColor="text1"/>
          <w:szCs w:val="24"/>
          <w:lang w:val="en"/>
        </w:rPr>
        <w:t>also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EA4AEC">
        <w:rPr>
          <w:rFonts w:cs="Times New Roman"/>
          <w:color w:val="000000" w:themeColor="text1"/>
          <w:szCs w:val="24"/>
          <w:lang w:val="en"/>
        </w:rPr>
        <w:t>manufacturers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617632">
        <w:rPr>
          <w:rFonts w:cs="Times New Roman"/>
          <w:color w:val="000000" w:themeColor="text1"/>
          <w:szCs w:val="24"/>
          <w:lang w:val="en"/>
        </w:rPr>
        <w:t>(including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EA4AEC">
        <w:rPr>
          <w:rFonts w:cs="Times New Roman"/>
          <w:color w:val="000000" w:themeColor="text1"/>
          <w:szCs w:val="24"/>
          <w:lang w:val="en"/>
        </w:rPr>
        <w:t>importers</w:t>
      </w:r>
      <w:r w:rsidRPr="00C317BB" w:rsidR="00617632">
        <w:rPr>
          <w:rFonts w:cs="Times New Roman"/>
          <w:color w:val="000000" w:themeColor="text1"/>
          <w:szCs w:val="24"/>
          <w:lang w:val="en"/>
        </w:rPr>
        <w:t>)</w:t>
      </w:r>
      <w:r w:rsidRPr="00C317BB" w:rsidR="00EA4AEC">
        <w:rPr>
          <w:rFonts w:cs="Times New Roman"/>
          <w:color w:val="000000" w:themeColor="text1"/>
          <w:szCs w:val="24"/>
          <w:lang w:val="en"/>
        </w:rPr>
        <w:t>,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EA4AEC">
        <w:rPr>
          <w:rFonts w:cs="Times New Roman"/>
          <w:color w:val="000000" w:themeColor="text1"/>
          <w:szCs w:val="24"/>
          <w:lang w:val="en"/>
        </w:rPr>
        <w:t>or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EA4AEC">
        <w:rPr>
          <w:rFonts w:cs="Times New Roman"/>
          <w:color w:val="000000" w:themeColor="text1"/>
          <w:szCs w:val="24"/>
          <w:lang w:val="en"/>
        </w:rPr>
        <w:t>processors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EA4AEC">
        <w:rPr>
          <w:rFonts w:cs="Times New Roman"/>
          <w:color w:val="000000" w:themeColor="text1"/>
          <w:szCs w:val="24"/>
          <w:lang w:val="en"/>
        </w:rPr>
        <w:t>identified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EA4AEC">
        <w:rPr>
          <w:rFonts w:cs="Times New Roman"/>
          <w:color w:val="000000" w:themeColor="text1"/>
          <w:szCs w:val="24"/>
          <w:lang w:val="en"/>
        </w:rPr>
        <w:t>in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EA4AEC">
        <w:rPr>
          <w:rFonts w:cs="Times New Roman"/>
          <w:color w:val="000000" w:themeColor="text1"/>
          <w:szCs w:val="24"/>
          <w:lang w:val="en"/>
        </w:rPr>
        <w:t>the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EA4AEC">
        <w:rPr>
          <w:rFonts w:cs="Times New Roman"/>
          <w:color w:val="000000" w:themeColor="text1"/>
          <w:szCs w:val="24"/>
          <w:lang w:val="en"/>
        </w:rPr>
        <w:t>risk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EA4AEC">
        <w:rPr>
          <w:rFonts w:cs="Times New Roman"/>
          <w:color w:val="000000" w:themeColor="text1"/>
          <w:szCs w:val="24"/>
          <w:lang w:val="en"/>
        </w:rPr>
        <w:t>evaluation.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</w:p>
    <w:p w:rsidRPr="00C317BB" w:rsidR="00C517E2" w:rsidP="00F27167" w:rsidRDefault="00C517E2" w14:paraId="77AEDB13" w14:textId="308E1B79">
      <w:pPr>
        <w:ind w:firstLine="720"/>
        <w:rPr>
          <w:rFonts w:cs="Times New Roman"/>
          <w:color w:val="000000" w:themeColor="text1"/>
          <w:szCs w:val="24"/>
          <w:lang w:val="en"/>
        </w:rPr>
      </w:pP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recordkeeping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requirements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take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effect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3EC6">
        <w:rPr>
          <w:rFonts w:cs="Times New Roman"/>
          <w:color w:val="000000" w:themeColor="text1"/>
          <w:szCs w:val="24"/>
        </w:rPr>
        <w:t>180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days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after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effective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final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rule.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information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indicating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3EC6">
        <w:rPr>
          <w:rFonts w:cs="Times New Roman"/>
          <w:color w:val="000000" w:themeColor="text1"/>
          <w:szCs w:val="24"/>
        </w:rPr>
        <w:t>180</w:t>
      </w:r>
      <w:r w:rsidRPr="00C317BB" w:rsidR="00850096">
        <w:rPr>
          <w:rFonts w:cs="Times New Roman"/>
          <w:color w:val="000000" w:themeColor="text1"/>
          <w:szCs w:val="24"/>
        </w:rPr>
        <w:t>-</w:t>
      </w:r>
      <w:r w:rsidRPr="00C317BB" w:rsidR="002859AA">
        <w:rPr>
          <w:rFonts w:cs="Times New Roman"/>
          <w:color w:val="000000" w:themeColor="text1"/>
          <w:szCs w:val="24"/>
        </w:rPr>
        <w:t>day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period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bookmarkStart w:name="_Hlk73710342" w:id="35"/>
      <w:r w:rsidRPr="00C317BB" w:rsidR="008E2E0C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E2E0C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E2E0C">
        <w:rPr>
          <w:rFonts w:cs="Times New Roman"/>
          <w:color w:val="000000" w:themeColor="text1"/>
          <w:szCs w:val="24"/>
        </w:rPr>
        <w:t>practicable</w:t>
      </w:r>
      <w:bookmarkEnd w:id="35"/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regulated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entities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modify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their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recordkeeping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systems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comply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rule;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however,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requests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comment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whether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time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adequate.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54477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54477">
        <w:rPr>
          <w:rFonts w:cs="Times New Roman"/>
          <w:color w:val="000000" w:themeColor="text1"/>
          <w:szCs w:val="24"/>
        </w:rPr>
        <w:t>also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54477">
        <w:rPr>
          <w:rFonts w:cs="Times New Roman"/>
          <w:color w:val="000000" w:themeColor="text1"/>
          <w:szCs w:val="24"/>
        </w:rPr>
        <w:t>requests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54477">
        <w:rPr>
          <w:rFonts w:cs="Times New Roman"/>
          <w:color w:val="000000" w:themeColor="text1"/>
          <w:szCs w:val="24"/>
        </w:rPr>
        <w:t>comments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54477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C06A9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C06A9">
        <w:rPr>
          <w:rFonts w:cs="Times New Roman"/>
          <w:color w:val="000000" w:themeColor="text1"/>
          <w:szCs w:val="24"/>
        </w:rPr>
        <w:t>practicability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C06A9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54477">
        <w:rPr>
          <w:rFonts w:cs="Times New Roman"/>
          <w:color w:val="000000" w:themeColor="text1"/>
          <w:szCs w:val="24"/>
        </w:rPr>
        <w:t>making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4A9F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4A9F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54477">
        <w:rPr>
          <w:rFonts w:cs="Times New Roman"/>
          <w:color w:val="000000" w:themeColor="text1"/>
          <w:szCs w:val="24"/>
        </w:rPr>
        <w:t>recordkeeping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54477">
        <w:rPr>
          <w:rFonts w:cs="Times New Roman"/>
          <w:color w:val="000000" w:themeColor="text1"/>
          <w:szCs w:val="24"/>
        </w:rPr>
        <w:t>requirements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54477">
        <w:rPr>
          <w:rFonts w:cs="Times New Roman"/>
          <w:color w:val="000000" w:themeColor="text1"/>
          <w:szCs w:val="24"/>
        </w:rPr>
        <w:t>take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54477">
        <w:rPr>
          <w:rFonts w:cs="Times New Roman"/>
          <w:color w:val="000000" w:themeColor="text1"/>
          <w:szCs w:val="24"/>
        </w:rPr>
        <w:t>effect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41ECC">
        <w:rPr>
          <w:rFonts w:cs="Times New Roman"/>
          <w:color w:val="000000" w:themeColor="text1"/>
          <w:szCs w:val="24"/>
        </w:rPr>
        <w:t>sooner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41ECC">
        <w:rPr>
          <w:rFonts w:cs="Times New Roman"/>
          <w:color w:val="000000" w:themeColor="text1"/>
          <w:szCs w:val="24"/>
        </w:rPr>
        <w:t>than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41ECC">
        <w:rPr>
          <w:rFonts w:cs="Times New Roman"/>
          <w:color w:val="000000" w:themeColor="text1"/>
          <w:szCs w:val="24"/>
        </w:rPr>
        <w:t>180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41ECC">
        <w:rPr>
          <w:rFonts w:cs="Times New Roman"/>
          <w:color w:val="000000" w:themeColor="text1"/>
          <w:szCs w:val="24"/>
        </w:rPr>
        <w:t>days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E60F4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E60F4">
        <w:rPr>
          <w:rFonts w:cs="Times New Roman"/>
          <w:color w:val="000000" w:themeColor="text1"/>
          <w:szCs w:val="24"/>
        </w:rPr>
        <w:t>whether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E60F4">
        <w:rPr>
          <w:rFonts w:cs="Times New Roman"/>
          <w:color w:val="000000" w:themeColor="text1"/>
          <w:szCs w:val="24"/>
        </w:rPr>
        <w:t>additional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E60F4">
        <w:rPr>
          <w:rFonts w:cs="Times New Roman"/>
          <w:color w:val="000000" w:themeColor="text1"/>
          <w:szCs w:val="24"/>
        </w:rPr>
        <w:t>recordkeeping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E60F4">
        <w:rPr>
          <w:rFonts w:cs="Times New Roman"/>
          <w:color w:val="000000" w:themeColor="text1"/>
          <w:szCs w:val="24"/>
        </w:rPr>
        <w:t>requirement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E60F4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E60F4">
        <w:rPr>
          <w:rFonts w:cs="Times New Roman"/>
          <w:color w:val="000000" w:themeColor="text1"/>
          <w:szCs w:val="24"/>
        </w:rPr>
        <w:t>necessary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E60F4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B10A5">
        <w:rPr>
          <w:rFonts w:cs="Times New Roman"/>
          <w:color w:val="000000" w:themeColor="text1"/>
          <w:szCs w:val="24"/>
        </w:rPr>
        <w:t>further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E60F4">
        <w:rPr>
          <w:rFonts w:cs="Times New Roman"/>
          <w:color w:val="000000" w:themeColor="text1"/>
          <w:szCs w:val="24"/>
        </w:rPr>
        <w:t>document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E60F4">
        <w:rPr>
          <w:rFonts w:cs="Times New Roman"/>
          <w:color w:val="000000" w:themeColor="text1"/>
          <w:szCs w:val="24"/>
        </w:rPr>
        <w:t>compliance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E60F4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E60F4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E60F4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E60F4">
        <w:rPr>
          <w:rFonts w:cs="Times New Roman"/>
          <w:color w:val="000000" w:themeColor="text1"/>
          <w:szCs w:val="24"/>
        </w:rPr>
        <w:t>rule</w:t>
      </w:r>
      <w:r w:rsidRPr="00C317BB" w:rsidR="00B41ECC">
        <w:rPr>
          <w:rFonts w:cs="Times New Roman"/>
          <w:color w:val="000000" w:themeColor="text1"/>
          <w:szCs w:val="24"/>
        </w:rPr>
        <w:t>.</w:t>
      </w:r>
    </w:p>
    <w:bookmarkEnd w:id="31"/>
    <w:bookmarkEnd w:id="34"/>
    <w:p w:rsidRPr="00C317BB" w:rsidR="008A2BE9" w:rsidP="00F27167" w:rsidRDefault="008F1B3E" w14:paraId="7AEB7A1F" w14:textId="0F823504">
      <w:pPr>
        <w:pStyle w:val="Heading2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B</w:t>
      </w:r>
      <w:r w:rsidRPr="00C317BB" w:rsidR="008A2BE9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bookmarkStart w:name="_Hlk83738723" w:id="36"/>
      <w:r w:rsidRPr="00C317BB" w:rsidR="00724B70">
        <w:rPr>
          <w:rFonts w:cs="Times New Roman"/>
          <w:color w:val="000000" w:themeColor="text1"/>
          <w:szCs w:val="24"/>
        </w:rPr>
        <w:t>Primary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74FE4">
        <w:rPr>
          <w:rFonts w:cs="Times New Roman"/>
          <w:color w:val="000000" w:themeColor="text1"/>
          <w:szCs w:val="24"/>
        </w:rPr>
        <w:t>a</w:t>
      </w:r>
      <w:r w:rsidRPr="00C317BB" w:rsidR="008A2BE9">
        <w:rPr>
          <w:rFonts w:cs="Times New Roman"/>
          <w:color w:val="000000" w:themeColor="text1"/>
          <w:szCs w:val="24"/>
        </w:rPr>
        <w:t>lternative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2BE9">
        <w:rPr>
          <w:rFonts w:cs="Times New Roman"/>
          <w:color w:val="000000" w:themeColor="text1"/>
          <w:szCs w:val="24"/>
        </w:rPr>
        <w:t>regulatory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2BE9">
        <w:rPr>
          <w:rFonts w:cs="Times New Roman"/>
          <w:color w:val="000000" w:themeColor="text1"/>
          <w:szCs w:val="24"/>
        </w:rPr>
        <w:t>action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bookmarkEnd w:id="36"/>
    </w:p>
    <w:p w:rsidRPr="00C317BB" w:rsidR="00B32761" w:rsidP="00F27167" w:rsidRDefault="009E02A1" w14:paraId="4F883BA3" w14:textId="04DC183D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  <w:shd w:val="clear" w:color="auto" w:fill="FFFFFF"/>
        </w:rPr>
        <w:t>As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>
        <w:rPr>
          <w:rFonts w:cs="Times New Roman"/>
          <w:color w:val="000000" w:themeColor="text1"/>
          <w:szCs w:val="24"/>
          <w:shd w:val="clear" w:color="auto" w:fill="FFFFFF"/>
        </w:rPr>
        <w:t>indicated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>
        <w:rPr>
          <w:rFonts w:cs="Times New Roman"/>
          <w:color w:val="000000" w:themeColor="text1"/>
          <w:szCs w:val="24"/>
          <w:shd w:val="clear" w:color="auto" w:fill="FFFFFF"/>
        </w:rPr>
        <w:t>by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>
        <w:rPr>
          <w:rFonts w:cs="Times New Roman"/>
          <w:color w:val="000000" w:themeColor="text1"/>
          <w:szCs w:val="24"/>
          <w:shd w:val="clear" w:color="auto" w:fill="FFFFFF"/>
        </w:rPr>
        <w:t>TSCA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>
        <w:rPr>
          <w:rFonts w:cs="Times New Roman"/>
          <w:color w:val="000000" w:themeColor="text1"/>
          <w:szCs w:val="24"/>
          <w:shd w:val="clear" w:color="auto" w:fill="FFFFFF"/>
        </w:rPr>
        <w:t>section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>
        <w:rPr>
          <w:rFonts w:cs="Times New Roman"/>
          <w:color w:val="000000" w:themeColor="text1"/>
          <w:szCs w:val="24"/>
          <w:shd w:val="clear" w:color="auto" w:fill="FFFFFF"/>
        </w:rPr>
        <w:t>6(c)(2)(A),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>
        <w:rPr>
          <w:rFonts w:cs="Times New Roman"/>
          <w:color w:val="000000" w:themeColor="text1"/>
          <w:szCs w:val="24"/>
          <w:shd w:val="clear" w:color="auto" w:fill="FFFFFF"/>
        </w:rPr>
        <w:t>EPA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>
        <w:rPr>
          <w:rFonts w:cs="Times New Roman"/>
          <w:color w:val="000000" w:themeColor="text1"/>
          <w:szCs w:val="24"/>
          <w:shd w:val="clear" w:color="auto" w:fill="FFFFFF"/>
        </w:rPr>
        <w:t>must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>
        <w:rPr>
          <w:rFonts w:cs="Times New Roman"/>
          <w:color w:val="000000" w:themeColor="text1"/>
          <w:szCs w:val="24"/>
          <w:shd w:val="clear" w:color="auto" w:fill="FFFFFF"/>
        </w:rPr>
        <w:t>consider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>
        <w:rPr>
          <w:rFonts w:cs="Times New Roman"/>
          <w:color w:val="000000" w:themeColor="text1"/>
          <w:szCs w:val="24"/>
          <w:shd w:val="clear" w:color="auto" w:fill="FFFFFF"/>
        </w:rPr>
        <w:t>the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>
        <w:rPr>
          <w:rFonts w:cs="Times New Roman"/>
          <w:color w:val="000000" w:themeColor="text1"/>
          <w:szCs w:val="24"/>
          <w:shd w:val="clear" w:color="auto" w:fill="FFFFFF"/>
        </w:rPr>
        <w:t>cost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>
        <w:rPr>
          <w:rFonts w:cs="Times New Roman"/>
          <w:color w:val="000000" w:themeColor="text1"/>
          <w:szCs w:val="24"/>
          <w:shd w:val="clear" w:color="auto" w:fill="FFFFFF"/>
        </w:rPr>
        <w:t>and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>
        <w:rPr>
          <w:rFonts w:cs="Times New Roman"/>
          <w:color w:val="000000" w:themeColor="text1"/>
          <w:szCs w:val="24"/>
          <w:shd w:val="clear" w:color="auto" w:fill="FFFFFF"/>
        </w:rPr>
        <w:t>benefits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>
        <w:rPr>
          <w:rFonts w:cs="Times New Roman"/>
          <w:color w:val="000000" w:themeColor="text1"/>
          <w:szCs w:val="24"/>
          <w:shd w:val="clear" w:color="auto" w:fill="FFFFFF"/>
        </w:rPr>
        <w:t>and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>
        <w:rPr>
          <w:rFonts w:cs="Times New Roman"/>
          <w:color w:val="000000" w:themeColor="text1"/>
          <w:szCs w:val="24"/>
          <w:shd w:val="clear" w:color="auto" w:fill="FFFFFF"/>
        </w:rPr>
        <w:t>the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>
        <w:rPr>
          <w:rFonts w:cs="Times New Roman"/>
          <w:color w:val="000000" w:themeColor="text1"/>
          <w:szCs w:val="24"/>
          <w:shd w:val="clear" w:color="auto" w:fill="FFFFFF"/>
        </w:rPr>
        <w:t>cost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>
        <w:rPr>
          <w:rFonts w:cs="Times New Roman"/>
          <w:color w:val="000000" w:themeColor="text1"/>
          <w:szCs w:val="24"/>
          <w:shd w:val="clear" w:color="auto" w:fill="FFFFFF"/>
        </w:rPr>
        <w:t>effectiveness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>
        <w:rPr>
          <w:rFonts w:cs="Times New Roman"/>
          <w:color w:val="000000" w:themeColor="text1"/>
          <w:szCs w:val="24"/>
          <w:shd w:val="clear" w:color="auto" w:fill="FFFFFF"/>
        </w:rPr>
        <w:t>of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>
        <w:rPr>
          <w:rFonts w:cs="Times New Roman"/>
          <w:color w:val="000000" w:themeColor="text1"/>
          <w:szCs w:val="24"/>
          <w:shd w:val="clear" w:color="auto" w:fill="FFFFFF"/>
        </w:rPr>
        <w:t>the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>
        <w:rPr>
          <w:rFonts w:cs="Times New Roman"/>
          <w:color w:val="000000" w:themeColor="text1"/>
          <w:szCs w:val="24"/>
          <w:shd w:val="clear" w:color="auto" w:fill="FFFFFF"/>
        </w:rPr>
        <w:t>proposed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>
        <w:rPr>
          <w:rFonts w:cs="Times New Roman"/>
          <w:color w:val="000000" w:themeColor="text1"/>
          <w:szCs w:val="24"/>
          <w:shd w:val="clear" w:color="auto" w:fill="FFFFFF"/>
        </w:rPr>
        <w:t>regulatory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>
        <w:rPr>
          <w:rFonts w:cs="Times New Roman"/>
          <w:color w:val="000000" w:themeColor="text1"/>
          <w:szCs w:val="24"/>
          <w:shd w:val="clear" w:color="auto" w:fill="FFFFFF"/>
        </w:rPr>
        <w:t>action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>
        <w:rPr>
          <w:rFonts w:cs="Times New Roman"/>
          <w:color w:val="000000" w:themeColor="text1"/>
          <w:szCs w:val="24"/>
          <w:shd w:val="clear" w:color="auto" w:fill="FFFFFF"/>
        </w:rPr>
        <w:t>and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>
        <w:rPr>
          <w:rFonts w:cs="Times New Roman"/>
          <w:color w:val="000000" w:themeColor="text1"/>
          <w:szCs w:val="24"/>
          <w:shd w:val="clear" w:color="auto" w:fill="FFFFFF"/>
        </w:rPr>
        <w:t>one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>
        <w:rPr>
          <w:rFonts w:cs="Times New Roman"/>
          <w:color w:val="000000" w:themeColor="text1"/>
          <w:szCs w:val="24"/>
          <w:shd w:val="clear" w:color="auto" w:fill="FFFFFF"/>
        </w:rPr>
        <w:t>or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>
        <w:rPr>
          <w:rFonts w:cs="Times New Roman"/>
          <w:color w:val="000000" w:themeColor="text1"/>
          <w:szCs w:val="24"/>
          <w:shd w:val="clear" w:color="auto" w:fill="FFFFFF"/>
        </w:rPr>
        <w:t>more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24B70">
        <w:rPr>
          <w:rFonts w:cs="Times New Roman"/>
          <w:color w:val="000000" w:themeColor="text1"/>
          <w:szCs w:val="24"/>
          <w:shd w:val="clear" w:color="auto" w:fill="FFFFFF"/>
        </w:rPr>
        <w:t>primary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>
        <w:rPr>
          <w:rFonts w:cs="Times New Roman"/>
          <w:color w:val="000000" w:themeColor="text1"/>
          <w:szCs w:val="24"/>
          <w:shd w:val="clear" w:color="auto" w:fill="FFFFFF"/>
        </w:rPr>
        <w:t>alternative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>
        <w:rPr>
          <w:rFonts w:cs="Times New Roman"/>
          <w:color w:val="000000" w:themeColor="text1"/>
          <w:szCs w:val="24"/>
          <w:shd w:val="clear" w:color="auto" w:fill="FFFFFF"/>
        </w:rPr>
        <w:t>regulatory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>
        <w:rPr>
          <w:rFonts w:cs="Times New Roman"/>
          <w:color w:val="000000" w:themeColor="text1"/>
          <w:szCs w:val="24"/>
          <w:shd w:val="clear" w:color="auto" w:fill="FFFFFF"/>
        </w:rPr>
        <w:t>actions.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86149">
        <w:rPr>
          <w:rFonts w:cs="Times New Roman"/>
          <w:color w:val="000000" w:themeColor="text1"/>
          <w:szCs w:val="24"/>
          <w:shd w:val="clear" w:color="auto" w:fill="FFFFFF"/>
        </w:rPr>
        <w:t>EPA’s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24B70">
        <w:rPr>
          <w:rFonts w:cs="Times New Roman"/>
          <w:color w:val="000000" w:themeColor="text1"/>
          <w:szCs w:val="24"/>
          <w:shd w:val="clear" w:color="auto" w:fill="FFFFFF"/>
        </w:rPr>
        <w:t>primary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86149">
        <w:rPr>
          <w:rFonts w:cs="Times New Roman"/>
          <w:color w:val="000000" w:themeColor="text1"/>
          <w:szCs w:val="24"/>
          <w:shd w:val="clear" w:color="auto" w:fill="FFFFFF"/>
        </w:rPr>
        <w:t>alternative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86149">
        <w:rPr>
          <w:rFonts w:cs="Times New Roman"/>
          <w:color w:val="000000" w:themeColor="text1"/>
          <w:szCs w:val="24"/>
          <w:shd w:val="clear" w:color="auto" w:fill="FFFFFF"/>
        </w:rPr>
        <w:t>regulatory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86149">
        <w:rPr>
          <w:rFonts w:cs="Times New Roman"/>
          <w:color w:val="000000" w:themeColor="text1"/>
          <w:szCs w:val="24"/>
          <w:shd w:val="clear" w:color="auto" w:fill="FFFFFF"/>
        </w:rPr>
        <w:t>action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86149">
        <w:rPr>
          <w:rFonts w:cs="Times New Roman"/>
          <w:color w:val="000000" w:themeColor="text1"/>
          <w:szCs w:val="24"/>
          <w:shd w:val="clear" w:color="auto" w:fill="FFFFFF"/>
        </w:rPr>
        <w:t>is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86149">
        <w:rPr>
          <w:rFonts w:cs="Times New Roman"/>
          <w:color w:val="000000" w:themeColor="text1"/>
          <w:szCs w:val="24"/>
          <w:shd w:val="clear" w:color="auto" w:fill="FFFFFF"/>
        </w:rPr>
        <w:t>to: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86149">
        <w:rPr>
          <w:rFonts w:cs="Times New Roman"/>
          <w:color w:val="000000" w:themeColor="text1"/>
          <w:szCs w:val="24"/>
          <w:shd w:val="clear" w:color="auto" w:fill="FFFFFF"/>
        </w:rPr>
        <w:t>prohibit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86149">
        <w:rPr>
          <w:rFonts w:cs="Times New Roman"/>
          <w:color w:val="000000" w:themeColor="text1"/>
          <w:szCs w:val="24"/>
          <w:shd w:val="clear" w:color="auto" w:fill="FFFFFF"/>
        </w:rPr>
        <w:t>manufacture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86149">
        <w:rPr>
          <w:rFonts w:cs="Times New Roman"/>
          <w:color w:val="000000" w:themeColor="text1"/>
          <w:szCs w:val="24"/>
          <w:shd w:val="clear" w:color="auto" w:fill="FFFFFF"/>
        </w:rPr>
        <w:t>(including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86149">
        <w:rPr>
          <w:rFonts w:cs="Times New Roman"/>
          <w:color w:val="000000" w:themeColor="text1"/>
          <w:szCs w:val="24"/>
          <w:shd w:val="clear" w:color="auto" w:fill="FFFFFF"/>
        </w:rPr>
        <w:t>import),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86149">
        <w:rPr>
          <w:rFonts w:cs="Times New Roman"/>
          <w:color w:val="000000" w:themeColor="text1"/>
          <w:szCs w:val="24"/>
          <w:shd w:val="clear" w:color="auto" w:fill="FFFFFF"/>
        </w:rPr>
        <w:t>processing,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86149">
        <w:rPr>
          <w:rFonts w:cs="Times New Roman"/>
          <w:color w:val="000000" w:themeColor="text1"/>
          <w:szCs w:val="24"/>
          <w:shd w:val="clear" w:color="auto" w:fill="FFFFFF"/>
        </w:rPr>
        <w:t>distribution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86149">
        <w:rPr>
          <w:rFonts w:cs="Times New Roman"/>
          <w:color w:val="000000" w:themeColor="text1"/>
          <w:szCs w:val="24"/>
          <w:shd w:val="clear" w:color="auto" w:fill="FFFFFF"/>
        </w:rPr>
        <w:t>in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86149">
        <w:rPr>
          <w:rFonts w:cs="Times New Roman"/>
          <w:color w:val="000000" w:themeColor="text1"/>
          <w:szCs w:val="24"/>
          <w:shd w:val="clear" w:color="auto" w:fill="FFFFFF"/>
        </w:rPr>
        <w:t>commerce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86149">
        <w:rPr>
          <w:rFonts w:cs="Times New Roman"/>
          <w:color w:val="000000" w:themeColor="text1"/>
          <w:szCs w:val="24"/>
          <w:shd w:val="clear" w:color="auto" w:fill="FFFFFF"/>
        </w:rPr>
        <w:t>and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86149">
        <w:rPr>
          <w:rFonts w:cs="Times New Roman"/>
          <w:color w:val="000000" w:themeColor="text1"/>
          <w:szCs w:val="24"/>
          <w:shd w:val="clear" w:color="auto" w:fill="FFFFFF"/>
        </w:rPr>
        <w:t>commercial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86149">
        <w:rPr>
          <w:rFonts w:cs="Times New Roman"/>
          <w:color w:val="000000" w:themeColor="text1"/>
          <w:szCs w:val="24"/>
          <w:shd w:val="clear" w:color="auto" w:fill="FFFFFF"/>
        </w:rPr>
        <w:t>use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86149">
        <w:rPr>
          <w:rFonts w:cs="Times New Roman"/>
          <w:color w:val="000000" w:themeColor="text1"/>
          <w:szCs w:val="24"/>
          <w:shd w:val="clear" w:color="auto" w:fill="FFFFFF"/>
        </w:rPr>
        <w:t>of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86149">
        <w:rPr>
          <w:rFonts w:cs="Times New Roman"/>
          <w:color w:val="000000" w:themeColor="text1"/>
          <w:szCs w:val="24"/>
          <w:shd w:val="clear" w:color="auto" w:fill="FFFFFF"/>
        </w:rPr>
        <w:t>chrysotile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86149">
        <w:rPr>
          <w:rFonts w:cs="Times New Roman"/>
          <w:color w:val="000000" w:themeColor="text1"/>
          <w:szCs w:val="24"/>
          <w:shd w:val="clear" w:color="auto" w:fill="FFFFFF"/>
        </w:rPr>
        <w:t>asbestos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B01576">
        <w:rPr>
          <w:rFonts w:cs="Times New Roman"/>
          <w:color w:val="000000" w:themeColor="text1"/>
          <w:szCs w:val="24"/>
          <w:shd w:val="clear" w:color="auto" w:fill="FFFFFF"/>
        </w:rPr>
        <w:t>in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B01576">
        <w:rPr>
          <w:rFonts w:cs="Times New Roman"/>
          <w:color w:val="000000" w:themeColor="text1"/>
          <w:szCs w:val="24"/>
          <w:shd w:val="clear" w:color="auto" w:fill="FFFFFF"/>
        </w:rPr>
        <w:t>bulk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B01576">
        <w:rPr>
          <w:rFonts w:cs="Times New Roman"/>
          <w:color w:val="000000" w:themeColor="text1"/>
          <w:szCs w:val="24"/>
          <w:shd w:val="clear" w:color="auto" w:fill="FFFFFF"/>
        </w:rPr>
        <w:t>form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B01576">
        <w:rPr>
          <w:rFonts w:cs="Times New Roman"/>
          <w:color w:val="000000" w:themeColor="text1"/>
          <w:szCs w:val="24"/>
          <w:shd w:val="clear" w:color="auto" w:fill="FFFFFF"/>
        </w:rPr>
        <w:t>or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B01576">
        <w:rPr>
          <w:rFonts w:cs="Times New Roman"/>
          <w:color w:val="000000" w:themeColor="text1"/>
          <w:szCs w:val="24"/>
          <w:shd w:val="clear" w:color="auto" w:fill="FFFFFF"/>
        </w:rPr>
        <w:t>as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B01576">
        <w:rPr>
          <w:rFonts w:cs="Times New Roman"/>
          <w:color w:val="000000" w:themeColor="text1"/>
          <w:szCs w:val="24"/>
          <w:shd w:val="clear" w:color="auto" w:fill="FFFFFF"/>
        </w:rPr>
        <w:t>part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B01576">
        <w:rPr>
          <w:rFonts w:cs="Times New Roman"/>
          <w:color w:val="000000" w:themeColor="text1"/>
          <w:szCs w:val="24"/>
          <w:shd w:val="clear" w:color="auto" w:fill="FFFFFF"/>
        </w:rPr>
        <w:t>of</w:t>
      </w:r>
      <w:r w:rsidRPr="00C317BB" w:rsidR="00786149">
        <w:rPr>
          <w:rFonts w:cs="Times New Roman"/>
          <w:color w:val="000000" w:themeColor="text1"/>
          <w:szCs w:val="24"/>
          <w:shd w:val="clear" w:color="auto" w:fill="FFFFFF"/>
        </w:rPr>
        <w:t>: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86149">
        <w:rPr>
          <w:rFonts w:cs="Times New Roman"/>
          <w:color w:val="000000" w:themeColor="text1"/>
          <w:szCs w:val="24"/>
          <w:shd w:val="clear" w:color="auto" w:fill="FFFFFF"/>
        </w:rPr>
        <w:t>chrysotile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86149">
        <w:rPr>
          <w:rFonts w:cs="Times New Roman"/>
          <w:color w:val="000000" w:themeColor="text1"/>
          <w:szCs w:val="24"/>
          <w:shd w:val="clear" w:color="auto" w:fill="FFFFFF"/>
        </w:rPr>
        <w:t>asbestos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86149">
        <w:rPr>
          <w:rFonts w:cs="Times New Roman"/>
          <w:color w:val="000000" w:themeColor="text1"/>
          <w:szCs w:val="24"/>
          <w:shd w:val="clear" w:color="auto" w:fill="FFFFFF"/>
        </w:rPr>
        <w:t>diaphragms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86149">
        <w:rPr>
          <w:rFonts w:cs="Times New Roman"/>
          <w:color w:val="000000" w:themeColor="text1"/>
          <w:szCs w:val="24"/>
          <w:shd w:val="clear" w:color="auto" w:fill="FFFFFF"/>
        </w:rPr>
        <w:t>in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86149">
        <w:rPr>
          <w:rFonts w:cs="Times New Roman"/>
          <w:color w:val="000000" w:themeColor="text1"/>
          <w:szCs w:val="24"/>
          <w:shd w:val="clear" w:color="auto" w:fill="FFFFFF"/>
        </w:rPr>
        <w:t>the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86149">
        <w:rPr>
          <w:rFonts w:cs="Times New Roman"/>
          <w:color w:val="000000" w:themeColor="text1"/>
          <w:szCs w:val="24"/>
          <w:shd w:val="clear" w:color="auto" w:fill="FFFFFF"/>
        </w:rPr>
        <w:t>chlor-alkali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86149">
        <w:rPr>
          <w:rFonts w:cs="Times New Roman"/>
          <w:color w:val="000000" w:themeColor="text1"/>
          <w:szCs w:val="24"/>
          <w:shd w:val="clear" w:color="auto" w:fill="FFFFFF"/>
        </w:rPr>
        <w:t>industry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031891">
        <w:rPr>
          <w:rFonts w:cs="Times New Roman"/>
          <w:color w:val="000000" w:themeColor="text1"/>
          <w:szCs w:val="24"/>
          <w:shd w:val="clear" w:color="auto" w:fill="FFFFFF"/>
        </w:rPr>
        <w:t>and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FD0CAC">
        <w:rPr>
          <w:rFonts w:cs="Times New Roman"/>
          <w:color w:val="000000" w:themeColor="text1"/>
          <w:szCs w:val="24"/>
          <w:shd w:val="clear" w:color="auto" w:fill="FFFFFF"/>
        </w:rPr>
        <w:t>for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86149">
        <w:rPr>
          <w:rFonts w:cs="Times New Roman"/>
          <w:color w:val="000000" w:themeColor="text1"/>
          <w:szCs w:val="24"/>
          <w:shd w:val="clear" w:color="auto" w:fill="FFFFFF"/>
        </w:rPr>
        <w:t>chrysotile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86149">
        <w:rPr>
          <w:rFonts w:cs="Times New Roman"/>
          <w:color w:val="000000" w:themeColor="text1"/>
          <w:szCs w:val="24"/>
          <w:shd w:val="clear" w:color="auto" w:fill="FFFFFF"/>
        </w:rPr>
        <w:t>asbestos-containing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86149">
        <w:rPr>
          <w:rFonts w:cs="Times New Roman"/>
          <w:color w:val="000000" w:themeColor="text1"/>
          <w:szCs w:val="24"/>
          <w:shd w:val="clear" w:color="auto" w:fill="FFFFFF"/>
        </w:rPr>
        <w:t>sheet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86149">
        <w:rPr>
          <w:rFonts w:cs="Times New Roman"/>
          <w:color w:val="000000" w:themeColor="text1"/>
          <w:szCs w:val="24"/>
          <w:shd w:val="clear" w:color="auto" w:fill="FFFFFF"/>
        </w:rPr>
        <w:t>gaskets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86149">
        <w:rPr>
          <w:rFonts w:cs="Times New Roman"/>
          <w:color w:val="000000" w:themeColor="text1"/>
          <w:szCs w:val="24"/>
          <w:shd w:val="clear" w:color="auto" w:fill="FFFFFF"/>
        </w:rPr>
        <w:t>in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86149">
        <w:rPr>
          <w:rFonts w:cs="Times New Roman"/>
          <w:color w:val="000000" w:themeColor="text1"/>
          <w:szCs w:val="24"/>
          <w:shd w:val="clear" w:color="auto" w:fill="FFFFFF"/>
        </w:rPr>
        <w:t>chemical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86149">
        <w:rPr>
          <w:rFonts w:cs="Times New Roman"/>
          <w:color w:val="000000" w:themeColor="text1"/>
          <w:szCs w:val="24"/>
          <w:shd w:val="clear" w:color="auto" w:fill="FFFFFF"/>
        </w:rPr>
        <w:t>production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86149">
        <w:rPr>
          <w:rFonts w:cs="Times New Roman"/>
          <w:color w:val="000000" w:themeColor="text1"/>
          <w:szCs w:val="24"/>
          <w:shd w:val="clear" w:color="auto" w:fill="FFFFFF"/>
        </w:rPr>
        <w:t>(with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86149">
        <w:rPr>
          <w:rFonts w:cs="Times New Roman"/>
          <w:color w:val="000000" w:themeColor="text1"/>
          <w:szCs w:val="24"/>
          <w:shd w:val="clear" w:color="auto" w:fill="FFFFFF"/>
        </w:rPr>
        <w:t>prohibitions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86149">
        <w:rPr>
          <w:rFonts w:cs="Times New Roman"/>
          <w:color w:val="000000" w:themeColor="text1"/>
          <w:szCs w:val="24"/>
          <w:shd w:val="clear" w:color="auto" w:fill="FFFFFF"/>
        </w:rPr>
        <w:t>taking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86149">
        <w:rPr>
          <w:rFonts w:cs="Times New Roman"/>
          <w:color w:val="000000" w:themeColor="text1"/>
          <w:szCs w:val="24"/>
          <w:shd w:val="clear" w:color="auto" w:fill="FFFFFF"/>
        </w:rPr>
        <w:t>effect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86149">
        <w:rPr>
          <w:rFonts w:cs="Times New Roman"/>
          <w:color w:val="000000" w:themeColor="text1"/>
          <w:szCs w:val="24"/>
          <w:shd w:val="clear" w:color="auto" w:fill="FFFFFF"/>
        </w:rPr>
        <w:t>five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86149">
        <w:rPr>
          <w:rFonts w:cs="Times New Roman"/>
          <w:color w:val="000000" w:themeColor="text1"/>
          <w:szCs w:val="24"/>
          <w:shd w:val="clear" w:color="auto" w:fill="FFFFFF"/>
        </w:rPr>
        <w:t>years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86149">
        <w:rPr>
          <w:rFonts w:cs="Times New Roman"/>
          <w:color w:val="000000" w:themeColor="text1"/>
          <w:szCs w:val="24"/>
          <w:shd w:val="clear" w:color="auto" w:fill="FFFFFF"/>
        </w:rPr>
        <w:t>after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86149">
        <w:rPr>
          <w:rFonts w:cs="Times New Roman"/>
          <w:color w:val="000000" w:themeColor="text1"/>
          <w:szCs w:val="24"/>
          <w:shd w:val="clear" w:color="auto" w:fill="FFFFFF"/>
        </w:rPr>
        <w:t>the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86149">
        <w:rPr>
          <w:rFonts w:cs="Times New Roman"/>
          <w:color w:val="000000" w:themeColor="text1"/>
          <w:szCs w:val="24"/>
          <w:shd w:val="clear" w:color="auto" w:fill="FFFFFF"/>
        </w:rPr>
        <w:t>effective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86149">
        <w:rPr>
          <w:rFonts w:cs="Times New Roman"/>
          <w:color w:val="000000" w:themeColor="text1"/>
          <w:szCs w:val="24"/>
          <w:shd w:val="clear" w:color="auto" w:fill="FFFFFF"/>
        </w:rPr>
        <w:t>date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86149">
        <w:rPr>
          <w:rFonts w:cs="Times New Roman"/>
          <w:color w:val="000000" w:themeColor="text1"/>
          <w:szCs w:val="24"/>
          <w:shd w:val="clear" w:color="auto" w:fill="FFFFFF"/>
        </w:rPr>
        <w:t>of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86149">
        <w:rPr>
          <w:rFonts w:cs="Times New Roman"/>
          <w:color w:val="000000" w:themeColor="text1"/>
          <w:szCs w:val="24"/>
          <w:shd w:val="clear" w:color="auto" w:fill="FFFFFF"/>
        </w:rPr>
        <w:t>the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86149">
        <w:rPr>
          <w:rFonts w:cs="Times New Roman"/>
          <w:color w:val="000000" w:themeColor="text1"/>
          <w:szCs w:val="24"/>
          <w:shd w:val="clear" w:color="auto" w:fill="FFFFFF"/>
        </w:rPr>
        <w:t>final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86149">
        <w:rPr>
          <w:rFonts w:cs="Times New Roman"/>
          <w:color w:val="000000" w:themeColor="text1"/>
          <w:szCs w:val="24"/>
          <w:shd w:val="clear" w:color="auto" w:fill="FFFFFF"/>
        </w:rPr>
        <w:t>rule</w:t>
      </w:r>
      <w:r w:rsidRPr="00C317BB" w:rsidR="00BE7EDA">
        <w:rPr>
          <w:rFonts w:cs="Times New Roman"/>
          <w:color w:val="000000" w:themeColor="text1"/>
          <w:szCs w:val="24"/>
          <w:shd w:val="clear" w:color="auto" w:fill="FFFFFF"/>
        </w:rPr>
        <w:t>)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E213E5">
        <w:rPr>
          <w:rFonts w:cs="Times New Roman"/>
          <w:color w:val="000000" w:themeColor="text1"/>
          <w:szCs w:val="24"/>
          <w:shd w:val="clear" w:color="auto" w:fill="FFFFFF"/>
        </w:rPr>
        <w:t>and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9C491F">
        <w:rPr>
          <w:rFonts w:cs="Times New Roman"/>
          <w:color w:val="000000" w:themeColor="text1"/>
          <w:szCs w:val="24"/>
          <w:shd w:val="clear" w:color="auto" w:fill="FFFFFF"/>
        </w:rPr>
        <w:t>require,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9C491F">
        <w:rPr>
          <w:rFonts w:cs="Times New Roman"/>
          <w:color w:val="000000" w:themeColor="text1"/>
          <w:szCs w:val="24"/>
          <w:shd w:val="clear" w:color="auto" w:fill="FFFFFF"/>
        </w:rPr>
        <w:t>prior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9C491F">
        <w:rPr>
          <w:rFonts w:cs="Times New Roman"/>
          <w:color w:val="000000" w:themeColor="text1"/>
          <w:szCs w:val="24"/>
          <w:shd w:val="clear" w:color="auto" w:fill="FFFFFF"/>
        </w:rPr>
        <w:t>to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9C491F">
        <w:rPr>
          <w:rFonts w:cs="Times New Roman"/>
          <w:color w:val="000000" w:themeColor="text1"/>
          <w:szCs w:val="24"/>
          <w:shd w:val="clear" w:color="auto" w:fill="FFFFFF"/>
        </w:rPr>
        <w:t>the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9C491F">
        <w:rPr>
          <w:rFonts w:cs="Times New Roman"/>
          <w:color w:val="000000" w:themeColor="text1"/>
          <w:szCs w:val="24"/>
          <w:shd w:val="clear" w:color="auto" w:fill="FFFFFF"/>
        </w:rPr>
        <w:t>prohibition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9C491F">
        <w:rPr>
          <w:rFonts w:cs="Times New Roman"/>
          <w:color w:val="000000" w:themeColor="text1"/>
          <w:szCs w:val="24"/>
          <w:shd w:val="clear" w:color="auto" w:fill="FFFFFF"/>
        </w:rPr>
        <w:t>taking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9C491F">
        <w:rPr>
          <w:rFonts w:cs="Times New Roman"/>
          <w:color w:val="000000" w:themeColor="text1"/>
          <w:szCs w:val="24"/>
          <w:shd w:val="clear" w:color="auto" w:fill="FFFFFF"/>
        </w:rPr>
        <w:t>effect,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9C491F">
        <w:rPr>
          <w:rFonts w:cs="Times New Roman"/>
          <w:color w:val="000000" w:themeColor="text1"/>
          <w:szCs w:val="24"/>
          <w:shd w:val="clear" w:color="auto" w:fill="FFFFFF"/>
        </w:rPr>
        <w:t>compliance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9C491F">
        <w:rPr>
          <w:rFonts w:cs="Times New Roman"/>
          <w:color w:val="000000" w:themeColor="text1"/>
          <w:szCs w:val="24"/>
          <w:shd w:val="clear" w:color="auto" w:fill="FFFFFF"/>
        </w:rPr>
        <w:t>with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E213E5">
        <w:rPr>
          <w:rFonts w:cs="Times New Roman"/>
          <w:color w:val="000000" w:themeColor="text1"/>
          <w:szCs w:val="24"/>
          <w:shd w:val="clear" w:color="auto" w:fill="FFFFFF"/>
        </w:rPr>
        <w:t>an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E213E5">
        <w:rPr>
          <w:rFonts w:cs="Times New Roman"/>
          <w:color w:val="000000" w:themeColor="text1"/>
          <w:szCs w:val="24"/>
          <w:shd w:val="clear" w:color="auto" w:fill="FFFFFF"/>
        </w:rPr>
        <w:t>existing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E213E5">
        <w:rPr>
          <w:rFonts w:cs="Times New Roman"/>
          <w:color w:val="000000" w:themeColor="text1"/>
          <w:szCs w:val="24"/>
          <w:shd w:val="clear" w:color="auto" w:fill="FFFFFF"/>
        </w:rPr>
        <w:t>chemicals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E213E5">
        <w:rPr>
          <w:rFonts w:cs="Times New Roman"/>
          <w:color w:val="000000" w:themeColor="text1"/>
          <w:szCs w:val="24"/>
          <w:shd w:val="clear" w:color="auto" w:fill="FFFFFF"/>
        </w:rPr>
        <w:t>exposure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E213E5">
        <w:rPr>
          <w:rFonts w:cs="Times New Roman"/>
          <w:color w:val="000000" w:themeColor="text1"/>
          <w:szCs w:val="24"/>
          <w:shd w:val="clear" w:color="auto" w:fill="FFFFFF"/>
        </w:rPr>
        <w:t>limit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E213E5">
        <w:rPr>
          <w:rFonts w:cs="Times New Roman"/>
          <w:color w:val="000000" w:themeColor="text1"/>
          <w:szCs w:val="24"/>
          <w:shd w:val="clear" w:color="auto" w:fill="FFFFFF"/>
        </w:rPr>
        <w:t>(ECEL)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C06617">
        <w:rPr>
          <w:rFonts w:cs="Times New Roman"/>
          <w:color w:val="000000" w:themeColor="text1"/>
          <w:szCs w:val="24"/>
          <w:shd w:val="clear" w:color="auto" w:fill="FFFFFF"/>
        </w:rPr>
        <w:t>for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C06617">
        <w:rPr>
          <w:rFonts w:cs="Times New Roman"/>
          <w:color w:val="000000" w:themeColor="text1"/>
          <w:szCs w:val="24"/>
          <w:shd w:val="clear" w:color="auto" w:fill="FFFFFF"/>
        </w:rPr>
        <w:t>the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C06617">
        <w:rPr>
          <w:rFonts w:cs="Times New Roman"/>
          <w:color w:val="000000" w:themeColor="text1"/>
          <w:szCs w:val="24"/>
          <w:shd w:val="clear" w:color="auto" w:fill="FFFFFF"/>
        </w:rPr>
        <w:t>processing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C06617">
        <w:rPr>
          <w:rFonts w:cs="Times New Roman"/>
          <w:color w:val="000000" w:themeColor="text1"/>
          <w:szCs w:val="24"/>
          <w:shd w:val="clear" w:color="auto" w:fill="FFFFFF"/>
        </w:rPr>
        <w:t>and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C06617">
        <w:rPr>
          <w:rFonts w:cs="Times New Roman"/>
          <w:color w:val="000000" w:themeColor="text1"/>
          <w:szCs w:val="24"/>
          <w:shd w:val="clear" w:color="auto" w:fill="FFFFFF"/>
        </w:rPr>
        <w:t>commercial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C06617">
        <w:rPr>
          <w:rFonts w:cs="Times New Roman"/>
          <w:color w:val="000000" w:themeColor="text1"/>
          <w:szCs w:val="24"/>
          <w:shd w:val="clear" w:color="auto" w:fill="FFFFFF"/>
        </w:rPr>
        <w:t>use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C06617">
        <w:rPr>
          <w:rFonts w:cs="Times New Roman"/>
          <w:color w:val="000000" w:themeColor="text1"/>
          <w:szCs w:val="24"/>
          <w:shd w:val="clear" w:color="auto" w:fill="FFFFFF"/>
        </w:rPr>
        <w:t>of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C06617">
        <w:rPr>
          <w:rFonts w:cs="Times New Roman"/>
          <w:color w:val="000000" w:themeColor="text1"/>
          <w:szCs w:val="24"/>
          <w:shd w:val="clear" w:color="auto" w:fill="FFFFFF"/>
        </w:rPr>
        <w:t>chrysotile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C06617">
        <w:rPr>
          <w:rFonts w:cs="Times New Roman"/>
          <w:color w:val="000000" w:themeColor="text1"/>
          <w:szCs w:val="24"/>
          <w:shd w:val="clear" w:color="auto" w:fill="FFFFFF"/>
        </w:rPr>
        <w:t>asbestos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C06617">
        <w:rPr>
          <w:rFonts w:cs="Times New Roman"/>
          <w:color w:val="000000" w:themeColor="text1"/>
          <w:szCs w:val="24"/>
          <w:shd w:val="clear" w:color="auto" w:fill="FFFFFF"/>
        </w:rPr>
        <w:t>for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C06617">
        <w:rPr>
          <w:rFonts w:cs="Times New Roman"/>
          <w:color w:val="000000" w:themeColor="text1"/>
          <w:szCs w:val="24"/>
          <w:shd w:val="clear" w:color="auto" w:fill="FFFFFF"/>
        </w:rPr>
        <w:t>these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C06617">
        <w:rPr>
          <w:rFonts w:cs="Times New Roman"/>
          <w:color w:val="000000" w:themeColor="text1"/>
          <w:szCs w:val="24"/>
          <w:shd w:val="clear" w:color="auto" w:fill="FFFFFF"/>
        </w:rPr>
        <w:t>uses</w:t>
      </w:r>
      <w:r w:rsidRPr="00C317BB" w:rsidR="00786149">
        <w:rPr>
          <w:rFonts w:cs="Times New Roman"/>
          <w:color w:val="000000" w:themeColor="text1"/>
          <w:szCs w:val="24"/>
          <w:shd w:val="clear" w:color="auto" w:fill="FFFFFF"/>
        </w:rPr>
        <w:t>;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C06617">
        <w:rPr>
          <w:rFonts w:cs="Times New Roman"/>
          <w:color w:val="000000" w:themeColor="text1"/>
          <w:szCs w:val="24"/>
          <w:shd w:val="clear" w:color="auto" w:fill="FFFFFF"/>
        </w:rPr>
        <w:t>and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C06617">
        <w:rPr>
          <w:rFonts w:cs="Times New Roman"/>
          <w:color w:val="000000" w:themeColor="text1"/>
          <w:szCs w:val="24"/>
          <w:shd w:val="clear" w:color="auto" w:fill="FFFFFF"/>
        </w:rPr>
        <w:t>to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C06617">
        <w:rPr>
          <w:rFonts w:cs="Times New Roman"/>
          <w:color w:val="000000" w:themeColor="text1"/>
          <w:szCs w:val="24"/>
          <w:shd w:val="clear" w:color="auto" w:fill="FFFFFF"/>
        </w:rPr>
        <w:t>prohibit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C06617">
        <w:rPr>
          <w:rFonts w:cs="Times New Roman"/>
          <w:color w:val="000000" w:themeColor="text1"/>
          <w:szCs w:val="24"/>
          <w:shd w:val="clear" w:color="auto" w:fill="FFFFFF"/>
        </w:rPr>
        <w:t>manufacture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C06617">
        <w:rPr>
          <w:rFonts w:cs="Times New Roman"/>
          <w:color w:val="000000" w:themeColor="text1"/>
          <w:szCs w:val="24"/>
          <w:shd w:val="clear" w:color="auto" w:fill="FFFFFF"/>
        </w:rPr>
        <w:t>(including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C06617">
        <w:rPr>
          <w:rFonts w:cs="Times New Roman"/>
          <w:color w:val="000000" w:themeColor="text1"/>
          <w:szCs w:val="24"/>
          <w:shd w:val="clear" w:color="auto" w:fill="FFFFFF"/>
        </w:rPr>
        <w:t>import),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C06617">
        <w:rPr>
          <w:rFonts w:cs="Times New Roman"/>
          <w:color w:val="000000" w:themeColor="text1"/>
          <w:szCs w:val="24"/>
          <w:shd w:val="clear" w:color="auto" w:fill="FFFFFF"/>
        </w:rPr>
        <w:t>processing,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C06617">
        <w:rPr>
          <w:rFonts w:cs="Times New Roman"/>
          <w:color w:val="000000" w:themeColor="text1"/>
          <w:szCs w:val="24"/>
          <w:shd w:val="clear" w:color="auto" w:fill="FFFFFF"/>
        </w:rPr>
        <w:t>distribution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C06617">
        <w:rPr>
          <w:rFonts w:cs="Times New Roman"/>
          <w:color w:val="000000" w:themeColor="text1"/>
          <w:szCs w:val="24"/>
          <w:shd w:val="clear" w:color="auto" w:fill="FFFFFF"/>
        </w:rPr>
        <w:t>in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C06617">
        <w:rPr>
          <w:rFonts w:cs="Times New Roman"/>
          <w:color w:val="000000" w:themeColor="text1"/>
          <w:szCs w:val="24"/>
          <w:shd w:val="clear" w:color="auto" w:fill="FFFFFF"/>
        </w:rPr>
        <w:t>commerce,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C06617">
        <w:rPr>
          <w:rFonts w:cs="Times New Roman"/>
          <w:color w:val="000000" w:themeColor="text1"/>
          <w:szCs w:val="24"/>
          <w:shd w:val="clear" w:color="auto" w:fill="FFFFFF"/>
        </w:rPr>
        <w:t>and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C06617">
        <w:rPr>
          <w:rFonts w:cs="Times New Roman"/>
          <w:color w:val="000000" w:themeColor="text1"/>
          <w:szCs w:val="24"/>
          <w:shd w:val="clear" w:color="auto" w:fill="FFFFFF"/>
        </w:rPr>
        <w:t>commercial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C06617">
        <w:rPr>
          <w:rFonts w:cs="Times New Roman"/>
          <w:color w:val="000000" w:themeColor="text1"/>
          <w:szCs w:val="24"/>
          <w:shd w:val="clear" w:color="auto" w:fill="FFFFFF"/>
        </w:rPr>
        <w:t>use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C06617">
        <w:rPr>
          <w:rFonts w:cs="Times New Roman"/>
          <w:color w:val="000000" w:themeColor="text1"/>
          <w:szCs w:val="24"/>
          <w:shd w:val="clear" w:color="auto" w:fill="FFFFFF"/>
        </w:rPr>
        <w:t>of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86149">
        <w:rPr>
          <w:rFonts w:cs="Times New Roman"/>
          <w:color w:val="000000" w:themeColor="text1"/>
          <w:szCs w:val="24"/>
          <w:shd w:val="clear" w:color="auto" w:fill="FFFFFF"/>
        </w:rPr>
        <w:t>chrysotile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86149">
        <w:rPr>
          <w:rFonts w:cs="Times New Roman"/>
          <w:color w:val="000000" w:themeColor="text1"/>
          <w:szCs w:val="24"/>
          <w:shd w:val="clear" w:color="auto" w:fill="FFFFFF"/>
        </w:rPr>
        <w:t>asbestos-containing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86149">
        <w:rPr>
          <w:rFonts w:cs="Times New Roman"/>
          <w:color w:val="000000" w:themeColor="text1"/>
          <w:szCs w:val="24"/>
          <w:shd w:val="clear" w:color="auto" w:fill="FFFFFF"/>
        </w:rPr>
        <w:t>brake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86149">
        <w:rPr>
          <w:rFonts w:cs="Times New Roman"/>
          <w:color w:val="000000" w:themeColor="text1"/>
          <w:szCs w:val="24"/>
          <w:shd w:val="clear" w:color="auto" w:fill="FFFFFF"/>
        </w:rPr>
        <w:t>blocks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86149">
        <w:rPr>
          <w:rFonts w:cs="Times New Roman"/>
          <w:color w:val="000000" w:themeColor="text1"/>
          <w:szCs w:val="24"/>
          <w:shd w:val="clear" w:color="auto" w:fill="FFFFFF"/>
        </w:rPr>
        <w:t>in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86149">
        <w:rPr>
          <w:rFonts w:cs="Times New Roman"/>
          <w:color w:val="000000" w:themeColor="text1"/>
          <w:szCs w:val="24"/>
          <w:shd w:val="clear" w:color="auto" w:fill="FFFFFF"/>
        </w:rPr>
        <w:t>the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86149">
        <w:rPr>
          <w:rFonts w:cs="Times New Roman"/>
          <w:color w:val="000000" w:themeColor="text1"/>
          <w:szCs w:val="24"/>
          <w:shd w:val="clear" w:color="auto" w:fill="FFFFFF"/>
        </w:rPr>
        <w:t>oil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86149">
        <w:rPr>
          <w:rFonts w:cs="Times New Roman"/>
          <w:color w:val="000000" w:themeColor="text1"/>
          <w:szCs w:val="24"/>
          <w:shd w:val="clear" w:color="auto" w:fill="FFFFFF"/>
        </w:rPr>
        <w:t>industry;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86149">
        <w:rPr>
          <w:rFonts w:cs="Times New Roman"/>
          <w:color w:val="000000" w:themeColor="text1"/>
          <w:szCs w:val="24"/>
          <w:shd w:val="clear" w:color="auto" w:fill="FFFFFF"/>
        </w:rPr>
        <w:t>aftermarket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86149">
        <w:rPr>
          <w:rFonts w:cs="Times New Roman"/>
          <w:color w:val="000000" w:themeColor="text1"/>
          <w:szCs w:val="24"/>
          <w:shd w:val="clear" w:color="auto" w:fill="FFFFFF"/>
        </w:rPr>
        <w:t>automotive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86149">
        <w:rPr>
          <w:rFonts w:cs="Times New Roman"/>
          <w:color w:val="000000" w:themeColor="text1"/>
          <w:szCs w:val="24"/>
          <w:shd w:val="clear" w:color="auto" w:fill="FFFFFF"/>
        </w:rPr>
        <w:t>chrysotile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86149">
        <w:rPr>
          <w:rFonts w:cs="Times New Roman"/>
          <w:color w:val="000000" w:themeColor="text1"/>
          <w:szCs w:val="24"/>
          <w:shd w:val="clear" w:color="auto" w:fill="FFFFFF"/>
        </w:rPr>
        <w:t>asbestos-containing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86149">
        <w:rPr>
          <w:rFonts w:cs="Times New Roman"/>
          <w:color w:val="000000" w:themeColor="text1"/>
          <w:szCs w:val="24"/>
          <w:shd w:val="clear" w:color="auto" w:fill="FFFFFF"/>
        </w:rPr>
        <w:t>brakes/linings;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86149">
        <w:rPr>
          <w:rFonts w:cs="Times New Roman"/>
          <w:color w:val="000000" w:themeColor="text1"/>
          <w:szCs w:val="24"/>
          <w:shd w:val="clear" w:color="auto" w:fill="FFFFFF"/>
        </w:rPr>
        <w:t>and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86149">
        <w:rPr>
          <w:rFonts w:cs="Times New Roman"/>
          <w:color w:val="000000" w:themeColor="text1"/>
          <w:szCs w:val="24"/>
          <w:shd w:val="clear" w:color="auto" w:fill="FFFFFF"/>
        </w:rPr>
        <w:t>other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86149">
        <w:rPr>
          <w:rFonts w:cs="Times New Roman"/>
          <w:color w:val="000000" w:themeColor="text1"/>
          <w:szCs w:val="24"/>
          <w:shd w:val="clear" w:color="auto" w:fill="FFFFFF"/>
        </w:rPr>
        <w:t>vehicle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86149">
        <w:rPr>
          <w:rFonts w:cs="Times New Roman"/>
          <w:color w:val="000000" w:themeColor="text1"/>
          <w:szCs w:val="24"/>
          <w:shd w:val="clear" w:color="auto" w:fill="FFFFFF"/>
        </w:rPr>
        <w:t>friction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86149">
        <w:rPr>
          <w:rFonts w:cs="Times New Roman"/>
          <w:color w:val="000000" w:themeColor="text1"/>
          <w:szCs w:val="24"/>
          <w:shd w:val="clear" w:color="auto" w:fill="FFFFFF"/>
        </w:rPr>
        <w:t>products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86149">
        <w:rPr>
          <w:rFonts w:cs="Times New Roman"/>
          <w:color w:val="000000" w:themeColor="text1"/>
          <w:szCs w:val="24"/>
          <w:shd w:val="clear" w:color="auto" w:fill="FFFFFF"/>
        </w:rPr>
        <w:t>(with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86149">
        <w:rPr>
          <w:rFonts w:cs="Times New Roman"/>
          <w:color w:val="000000" w:themeColor="text1"/>
          <w:szCs w:val="24"/>
          <w:shd w:val="clear" w:color="auto" w:fill="FFFFFF"/>
        </w:rPr>
        <w:t>prohibitions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86149">
        <w:rPr>
          <w:rFonts w:cs="Times New Roman"/>
          <w:color w:val="000000" w:themeColor="text1"/>
          <w:szCs w:val="24"/>
          <w:shd w:val="clear" w:color="auto" w:fill="FFFFFF"/>
        </w:rPr>
        <w:t>taking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86149">
        <w:rPr>
          <w:rFonts w:cs="Times New Roman"/>
          <w:color w:val="000000" w:themeColor="text1"/>
          <w:szCs w:val="24"/>
          <w:shd w:val="clear" w:color="auto" w:fill="FFFFFF"/>
        </w:rPr>
        <w:t>effect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E213E5">
        <w:rPr>
          <w:rFonts w:cs="Times New Roman"/>
          <w:color w:val="000000" w:themeColor="text1"/>
          <w:szCs w:val="24"/>
          <w:shd w:val="clear" w:color="auto" w:fill="FFFFFF"/>
        </w:rPr>
        <w:t>two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E213E5">
        <w:rPr>
          <w:rFonts w:cs="Times New Roman"/>
          <w:color w:val="000000" w:themeColor="text1"/>
          <w:szCs w:val="24"/>
          <w:shd w:val="clear" w:color="auto" w:fill="FFFFFF"/>
        </w:rPr>
        <w:t>years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E213E5">
        <w:rPr>
          <w:rFonts w:cs="Times New Roman"/>
          <w:color w:val="000000" w:themeColor="text1"/>
          <w:szCs w:val="24"/>
          <w:shd w:val="clear" w:color="auto" w:fill="FFFFFF"/>
        </w:rPr>
        <w:t>after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E213E5">
        <w:rPr>
          <w:rFonts w:cs="Times New Roman"/>
          <w:color w:val="000000" w:themeColor="text1"/>
          <w:szCs w:val="24"/>
          <w:shd w:val="clear" w:color="auto" w:fill="FFFFFF"/>
        </w:rPr>
        <w:t>the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E213E5">
        <w:rPr>
          <w:rFonts w:cs="Times New Roman"/>
          <w:color w:val="000000" w:themeColor="text1"/>
          <w:szCs w:val="24"/>
          <w:shd w:val="clear" w:color="auto" w:fill="FFFFFF"/>
        </w:rPr>
        <w:t>effective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E213E5">
        <w:rPr>
          <w:rFonts w:cs="Times New Roman"/>
          <w:color w:val="000000" w:themeColor="text1"/>
          <w:szCs w:val="24"/>
          <w:shd w:val="clear" w:color="auto" w:fill="FFFFFF"/>
        </w:rPr>
        <w:t>date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E213E5">
        <w:rPr>
          <w:rFonts w:cs="Times New Roman"/>
          <w:color w:val="000000" w:themeColor="text1"/>
          <w:szCs w:val="24"/>
          <w:shd w:val="clear" w:color="auto" w:fill="FFFFFF"/>
        </w:rPr>
        <w:t>of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E213E5">
        <w:rPr>
          <w:rFonts w:cs="Times New Roman"/>
          <w:color w:val="000000" w:themeColor="text1"/>
          <w:szCs w:val="24"/>
          <w:shd w:val="clear" w:color="auto" w:fill="FFFFFF"/>
        </w:rPr>
        <w:t>the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E213E5">
        <w:rPr>
          <w:rFonts w:cs="Times New Roman"/>
          <w:color w:val="000000" w:themeColor="text1"/>
          <w:szCs w:val="24"/>
          <w:shd w:val="clear" w:color="auto" w:fill="FFFFFF"/>
        </w:rPr>
        <w:t>final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E213E5">
        <w:rPr>
          <w:rFonts w:cs="Times New Roman"/>
          <w:color w:val="000000" w:themeColor="text1"/>
          <w:szCs w:val="24"/>
          <w:shd w:val="clear" w:color="auto" w:fill="FFFFFF"/>
        </w:rPr>
        <w:t>rule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830B12">
        <w:rPr>
          <w:rFonts w:cs="Times New Roman"/>
          <w:color w:val="000000" w:themeColor="text1"/>
          <w:szCs w:val="24"/>
          <w:shd w:val="clear" w:color="auto" w:fill="FFFFFF"/>
        </w:rPr>
        <w:t>and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8D58B1">
        <w:rPr>
          <w:rFonts w:cs="Times New Roman"/>
          <w:color w:val="000000" w:themeColor="text1"/>
          <w:szCs w:val="24"/>
          <w:shd w:val="clear" w:color="auto" w:fill="FFFFFF"/>
        </w:rPr>
        <w:t>with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8D58B1">
        <w:rPr>
          <w:rFonts w:cs="Times New Roman"/>
          <w:color w:val="000000" w:themeColor="text1"/>
          <w:szCs w:val="24"/>
          <w:shd w:val="clear" w:color="auto" w:fill="FFFFFF"/>
        </w:rPr>
        <w:t>additional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8D58B1">
        <w:rPr>
          <w:rFonts w:cs="Times New Roman"/>
          <w:color w:val="000000" w:themeColor="text1"/>
          <w:szCs w:val="24"/>
          <w:shd w:val="clear" w:color="auto" w:fill="FFFFFF"/>
        </w:rPr>
        <w:t>requirements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8D58B1">
        <w:rPr>
          <w:rFonts w:cs="Times New Roman"/>
          <w:color w:val="000000" w:themeColor="text1"/>
          <w:szCs w:val="24"/>
          <w:shd w:val="clear" w:color="auto" w:fill="FFFFFF"/>
        </w:rPr>
        <w:t>for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8D58B1">
        <w:rPr>
          <w:rFonts w:cs="Times New Roman"/>
          <w:color w:val="000000" w:themeColor="text1"/>
          <w:szCs w:val="24"/>
          <w:shd w:val="clear" w:color="auto" w:fill="FFFFFF"/>
        </w:rPr>
        <w:t>disposal</w:t>
      </w:r>
      <w:r w:rsidRPr="00C317BB" w:rsidR="00786149">
        <w:rPr>
          <w:rFonts w:cs="Times New Roman"/>
          <w:color w:val="000000" w:themeColor="text1"/>
          <w:szCs w:val="24"/>
          <w:shd w:val="clear" w:color="auto" w:fill="FFFFFF"/>
        </w:rPr>
        <w:t>).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86149">
        <w:rPr>
          <w:rFonts w:cs="Times New Roman"/>
          <w:color w:val="000000" w:themeColor="text1"/>
          <w:szCs w:val="24"/>
          <w:shd w:val="clear" w:color="auto" w:fill="FFFFFF"/>
        </w:rPr>
        <w:t>The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24B70">
        <w:rPr>
          <w:rFonts w:cs="Times New Roman"/>
          <w:color w:val="000000" w:themeColor="text1"/>
          <w:szCs w:val="24"/>
          <w:shd w:val="clear" w:color="auto" w:fill="FFFFFF"/>
        </w:rPr>
        <w:t>primary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86149">
        <w:rPr>
          <w:rFonts w:cs="Times New Roman"/>
          <w:color w:val="000000" w:themeColor="text1"/>
          <w:szCs w:val="24"/>
          <w:shd w:val="clear" w:color="auto" w:fill="FFFFFF"/>
        </w:rPr>
        <w:t>alternative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86149">
        <w:rPr>
          <w:rFonts w:cs="Times New Roman"/>
          <w:color w:val="000000" w:themeColor="text1"/>
          <w:szCs w:val="24"/>
          <w:shd w:val="clear" w:color="auto" w:fill="FFFFFF"/>
        </w:rPr>
        <w:t>regulatory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86149">
        <w:rPr>
          <w:rFonts w:cs="Times New Roman"/>
          <w:color w:val="000000" w:themeColor="text1"/>
          <w:szCs w:val="24"/>
          <w:shd w:val="clear" w:color="auto" w:fill="FFFFFF"/>
        </w:rPr>
        <w:t>action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86149">
        <w:rPr>
          <w:rFonts w:cs="Times New Roman"/>
          <w:color w:val="000000" w:themeColor="text1"/>
          <w:szCs w:val="24"/>
          <w:shd w:val="clear" w:color="auto" w:fill="FFFFFF"/>
        </w:rPr>
        <w:t>also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86149">
        <w:rPr>
          <w:rFonts w:cs="Times New Roman"/>
          <w:color w:val="000000" w:themeColor="text1"/>
          <w:szCs w:val="24"/>
          <w:shd w:val="clear" w:color="auto" w:fill="FFFFFF"/>
        </w:rPr>
        <w:t>includes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86149">
        <w:rPr>
          <w:rFonts w:cs="Times New Roman"/>
          <w:color w:val="000000" w:themeColor="text1"/>
          <w:szCs w:val="24"/>
          <w:shd w:val="clear" w:color="auto" w:fill="FFFFFF"/>
        </w:rPr>
        <w:t>prohibitions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86149">
        <w:rPr>
          <w:rFonts w:cs="Times New Roman"/>
          <w:color w:val="000000" w:themeColor="text1"/>
          <w:szCs w:val="24"/>
          <w:shd w:val="clear" w:color="auto" w:fill="FFFFFF"/>
        </w:rPr>
        <w:t>on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86149">
        <w:rPr>
          <w:rFonts w:cs="Times New Roman"/>
          <w:color w:val="000000" w:themeColor="text1"/>
          <w:szCs w:val="24"/>
          <w:shd w:val="clear" w:color="auto" w:fill="FFFFFF"/>
        </w:rPr>
        <w:t>manufacture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86149">
        <w:rPr>
          <w:rFonts w:cs="Times New Roman"/>
          <w:color w:val="000000" w:themeColor="text1"/>
          <w:szCs w:val="24"/>
          <w:shd w:val="clear" w:color="auto" w:fill="FFFFFF"/>
        </w:rPr>
        <w:t>(including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86149">
        <w:rPr>
          <w:rFonts w:cs="Times New Roman"/>
          <w:color w:val="000000" w:themeColor="text1"/>
          <w:szCs w:val="24"/>
          <w:shd w:val="clear" w:color="auto" w:fill="FFFFFF"/>
        </w:rPr>
        <w:t>import),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86149">
        <w:rPr>
          <w:rFonts w:cs="Times New Roman"/>
          <w:color w:val="000000" w:themeColor="text1"/>
          <w:szCs w:val="24"/>
          <w:shd w:val="clear" w:color="auto" w:fill="FFFFFF"/>
        </w:rPr>
        <w:t>processing,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86149">
        <w:rPr>
          <w:rFonts w:cs="Times New Roman"/>
          <w:color w:val="000000" w:themeColor="text1"/>
          <w:szCs w:val="24"/>
          <w:shd w:val="clear" w:color="auto" w:fill="FFFFFF"/>
        </w:rPr>
        <w:t>and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86149">
        <w:rPr>
          <w:rFonts w:cs="Times New Roman"/>
          <w:color w:val="000000" w:themeColor="text1"/>
          <w:szCs w:val="24"/>
          <w:shd w:val="clear" w:color="auto" w:fill="FFFFFF"/>
        </w:rPr>
        <w:t>distribution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86149">
        <w:rPr>
          <w:rFonts w:cs="Times New Roman"/>
          <w:color w:val="000000" w:themeColor="text1"/>
          <w:szCs w:val="24"/>
          <w:shd w:val="clear" w:color="auto" w:fill="FFFFFF"/>
        </w:rPr>
        <w:t>in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86149">
        <w:rPr>
          <w:rFonts w:cs="Times New Roman"/>
          <w:color w:val="000000" w:themeColor="text1"/>
          <w:szCs w:val="24"/>
          <w:shd w:val="clear" w:color="auto" w:fill="FFFFFF"/>
        </w:rPr>
        <w:t>commerce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86149">
        <w:rPr>
          <w:rFonts w:cs="Times New Roman"/>
          <w:color w:val="000000" w:themeColor="text1"/>
          <w:szCs w:val="24"/>
          <w:shd w:val="clear" w:color="auto" w:fill="FFFFFF"/>
        </w:rPr>
        <w:t>of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86149">
        <w:rPr>
          <w:rFonts w:cs="Times New Roman"/>
          <w:color w:val="000000" w:themeColor="text1"/>
          <w:szCs w:val="24"/>
          <w:shd w:val="clear" w:color="auto" w:fill="FFFFFF"/>
        </w:rPr>
        <w:t>aftermarket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86149">
        <w:rPr>
          <w:rFonts w:cs="Times New Roman"/>
          <w:color w:val="000000" w:themeColor="text1"/>
          <w:szCs w:val="24"/>
          <w:shd w:val="clear" w:color="auto" w:fill="FFFFFF"/>
        </w:rPr>
        <w:t>automotive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86149">
        <w:rPr>
          <w:rFonts w:cs="Times New Roman"/>
          <w:color w:val="000000" w:themeColor="text1"/>
          <w:szCs w:val="24"/>
          <w:shd w:val="clear" w:color="auto" w:fill="FFFFFF"/>
        </w:rPr>
        <w:t>chrysotile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86149">
        <w:rPr>
          <w:rFonts w:cs="Times New Roman"/>
          <w:color w:val="000000" w:themeColor="text1"/>
          <w:szCs w:val="24"/>
          <w:shd w:val="clear" w:color="auto" w:fill="FFFFFF"/>
        </w:rPr>
        <w:t>asbestos-containing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86149">
        <w:rPr>
          <w:rFonts w:cs="Times New Roman"/>
          <w:color w:val="000000" w:themeColor="text1"/>
          <w:szCs w:val="24"/>
          <w:shd w:val="clear" w:color="auto" w:fill="FFFFFF"/>
        </w:rPr>
        <w:t>brakes/linings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647DF0">
        <w:rPr>
          <w:rFonts w:cs="Times New Roman"/>
          <w:color w:val="000000" w:themeColor="text1"/>
          <w:szCs w:val="24"/>
          <w:shd w:val="clear" w:color="auto" w:fill="FFFFFF"/>
        </w:rPr>
        <w:t>for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647DF0">
        <w:rPr>
          <w:rFonts w:cs="Times New Roman"/>
          <w:color w:val="000000" w:themeColor="text1"/>
          <w:szCs w:val="24"/>
          <w:shd w:val="clear" w:color="auto" w:fill="FFFFFF"/>
        </w:rPr>
        <w:t>consumer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647DF0">
        <w:rPr>
          <w:rFonts w:cs="Times New Roman"/>
          <w:color w:val="000000" w:themeColor="text1"/>
          <w:szCs w:val="24"/>
          <w:shd w:val="clear" w:color="auto" w:fill="FFFFFF"/>
        </w:rPr>
        <w:t>use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86149">
        <w:rPr>
          <w:rFonts w:cs="Times New Roman"/>
          <w:color w:val="000000" w:themeColor="text1"/>
          <w:szCs w:val="24"/>
          <w:shd w:val="clear" w:color="auto" w:fill="FFFFFF"/>
        </w:rPr>
        <w:t>and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86149">
        <w:rPr>
          <w:rFonts w:cs="Times New Roman"/>
          <w:color w:val="000000" w:themeColor="text1"/>
          <w:szCs w:val="24"/>
          <w:shd w:val="clear" w:color="auto" w:fill="FFFFFF"/>
        </w:rPr>
        <w:t>other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86149">
        <w:rPr>
          <w:rFonts w:cs="Times New Roman"/>
          <w:color w:val="000000" w:themeColor="text1"/>
          <w:szCs w:val="24"/>
          <w:shd w:val="clear" w:color="auto" w:fill="FFFFFF"/>
        </w:rPr>
        <w:t>chrysotile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86149">
        <w:rPr>
          <w:rFonts w:cs="Times New Roman"/>
          <w:color w:val="000000" w:themeColor="text1"/>
          <w:szCs w:val="24"/>
          <w:shd w:val="clear" w:color="auto" w:fill="FFFFFF"/>
        </w:rPr>
        <w:t>asbestos-containing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86149">
        <w:rPr>
          <w:rFonts w:cs="Times New Roman"/>
          <w:color w:val="000000" w:themeColor="text1"/>
          <w:szCs w:val="24"/>
          <w:shd w:val="clear" w:color="auto" w:fill="FFFFFF"/>
        </w:rPr>
        <w:t>gaskets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86149">
        <w:rPr>
          <w:rFonts w:cs="Times New Roman"/>
          <w:color w:val="000000" w:themeColor="text1"/>
          <w:szCs w:val="24"/>
          <w:shd w:val="clear" w:color="auto" w:fill="FFFFFF"/>
        </w:rPr>
        <w:t>for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86149">
        <w:rPr>
          <w:rFonts w:cs="Times New Roman"/>
          <w:color w:val="000000" w:themeColor="text1"/>
          <w:szCs w:val="24"/>
          <w:shd w:val="clear" w:color="auto" w:fill="FFFFFF"/>
        </w:rPr>
        <w:t>consumer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86149">
        <w:rPr>
          <w:rFonts w:cs="Times New Roman"/>
          <w:color w:val="000000" w:themeColor="text1"/>
          <w:szCs w:val="24"/>
          <w:shd w:val="clear" w:color="auto" w:fill="FFFFFF"/>
        </w:rPr>
        <w:t>use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86149">
        <w:rPr>
          <w:rFonts w:cs="Times New Roman"/>
          <w:color w:val="000000" w:themeColor="text1"/>
          <w:szCs w:val="24"/>
          <w:shd w:val="clear" w:color="auto" w:fill="FFFFFF"/>
        </w:rPr>
        <w:t>(with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86149">
        <w:rPr>
          <w:rFonts w:cs="Times New Roman"/>
          <w:color w:val="000000" w:themeColor="text1"/>
          <w:szCs w:val="24"/>
          <w:shd w:val="clear" w:color="auto" w:fill="FFFFFF"/>
        </w:rPr>
        <w:t>prohibitions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86149">
        <w:rPr>
          <w:rFonts w:cs="Times New Roman"/>
          <w:color w:val="000000" w:themeColor="text1"/>
          <w:szCs w:val="24"/>
          <w:shd w:val="clear" w:color="auto" w:fill="FFFFFF"/>
        </w:rPr>
        <w:t>taking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86149">
        <w:rPr>
          <w:rFonts w:cs="Times New Roman"/>
          <w:color w:val="000000" w:themeColor="text1"/>
          <w:szCs w:val="24"/>
          <w:shd w:val="clear" w:color="auto" w:fill="FFFFFF"/>
        </w:rPr>
        <w:t>effect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3B5507">
        <w:rPr>
          <w:rFonts w:cs="Times New Roman"/>
          <w:color w:val="000000" w:themeColor="text1"/>
          <w:szCs w:val="24"/>
          <w:shd w:val="clear" w:color="auto" w:fill="FFFFFF"/>
        </w:rPr>
        <w:t>two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3B5507">
        <w:rPr>
          <w:rFonts w:cs="Times New Roman"/>
          <w:color w:val="000000" w:themeColor="text1"/>
          <w:szCs w:val="24"/>
          <w:shd w:val="clear" w:color="auto" w:fill="FFFFFF"/>
        </w:rPr>
        <w:t>years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3B5507">
        <w:rPr>
          <w:rFonts w:cs="Times New Roman"/>
          <w:color w:val="000000" w:themeColor="text1"/>
          <w:szCs w:val="24"/>
          <w:shd w:val="clear" w:color="auto" w:fill="FFFFFF"/>
        </w:rPr>
        <w:t>after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3B5507">
        <w:rPr>
          <w:rFonts w:cs="Times New Roman"/>
          <w:color w:val="000000" w:themeColor="text1"/>
          <w:szCs w:val="24"/>
          <w:shd w:val="clear" w:color="auto" w:fill="FFFFFF"/>
        </w:rPr>
        <w:t>the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3B5507">
        <w:rPr>
          <w:rFonts w:cs="Times New Roman"/>
          <w:color w:val="000000" w:themeColor="text1"/>
          <w:szCs w:val="24"/>
          <w:shd w:val="clear" w:color="auto" w:fill="FFFFFF"/>
        </w:rPr>
        <w:t>effective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3B5507">
        <w:rPr>
          <w:rFonts w:cs="Times New Roman"/>
          <w:color w:val="000000" w:themeColor="text1"/>
          <w:szCs w:val="24"/>
          <w:shd w:val="clear" w:color="auto" w:fill="FFFFFF"/>
        </w:rPr>
        <w:t>date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3B5507">
        <w:rPr>
          <w:rFonts w:cs="Times New Roman"/>
          <w:color w:val="000000" w:themeColor="text1"/>
          <w:szCs w:val="24"/>
          <w:shd w:val="clear" w:color="auto" w:fill="FFFFFF"/>
        </w:rPr>
        <w:t>of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3B5507">
        <w:rPr>
          <w:rFonts w:cs="Times New Roman"/>
          <w:color w:val="000000" w:themeColor="text1"/>
          <w:szCs w:val="24"/>
          <w:shd w:val="clear" w:color="auto" w:fill="FFFFFF"/>
        </w:rPr>
        <w:t>the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3B5507">
        <w:rPr>
          <w:rFonts w:cs="Times New Roman"/>
          <w:color w:val="000000" w:themeColor="text1"/>
          <w:szCs w:val="24"/>
          <w:shd w:val="clear" w:color="auto" w:fill="FFFFFF"/>
        </w:rPr>
        <w:t>final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3B5507">
        <w:rPr>
          <w:rFonts w:cs="Times New Roman"/>
          <w:color w:val="000000" w:themeColor="text1"/>
          <w:szCs w:val="24"/>
          <w:shd w:val="clear" w:color="auto" w:fill="FFFFFF"/>
        </w:rPr>
        <w:t>rule)</w:t>
      </w:r>
      <w:r w:rsidRPr="00C317BB" w:rsidR="00E213E5">
        <w:rPr>
          <w:rFonts w:cs="Times New Roman"/>
          <w:color w:val="000000" w:themeColor="text1"/>
          <w:szCs w:val="24"/>
          <w:shd w:val="clear" w:color="auto" w:fill="FFFFFF"/>
        </w:rPr>
        <w:t>.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E213E5">
        <w:rPr>
          <w:rFonts w:cs="Times New Roman"/>
          <w:color w:val="000000" w:themeColor="text1"/>
          <w:szCs w:val="24"/>
          <w:shd w:val="clear" w:color="auto" w:fill="FFFFFF"/>
        </w:rPr>
        <w:t>The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24B70">
        <w:rPr>
          <w:rFonts w:cs="Times New Roman"/>
          <w:color w:val="000000" w:themeColor="text1"/>
          <w:szCs w:val="24"/>
          <w:shd w:val="clear" w:color="auto" w:fill="FFFFFF"/>
        </w:rPr>
        <w:t>primary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E213E5">
        <w:rPr>
          <w:rFonts w:cs="Times New Roman"/>
          <w:color w:val="000000" w:themeColor="text1"/>
          <w:szCs w:val="24"/>
          <w:shd w:val="clear" w:color="auto" w:fill="FFFFFF"/>
        </w:rPr>
        <w:t>alternative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E213E5">
        <w:rPr>
          <w:rFonts w:cs="Times New Roman"/>
          <w:color w:val="000000" w:themeColor="text1"/>
          <w:szCs w:val="24"/>
          <w:shd w:val="clear" w:color="auto" w:fill="FFFFFF"/>
        </w:rPr>
        <w:t>regulatory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E213E5">
        <w:rPr>
          <w:rFonts w:cs="Times New Roman"/>
          <w:color w:val="000000" w:themeColor="text1"/>
          <w:szCs w:val="24"/>
          <w:shd w:val="clear" w:color="auto" w:fill="FFFFFF"/>
        </w:rPr>
        <w:t>action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E213E5">
        <w:rPr>
          <w:rFonts w:cs="Times New Roman"/>
          <w:color w:val="000000" w:themeColor="text1"/>
          <w:szCs w:val="24"/>
          <w:shd w:val="clear" w:color="auto" w:fill="FFFFFF"/>
        </w:rPr>
        <w:t>also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E213E5">
        <w:rPr>
          <w:rFonts w:cs="Times New Roman"/>
          <w:color w:val="000000" w:themeColor="text1"/>
          <w:szCs w:val="24"/>
          <w:shd w:val="clear" w:color="auto" w:fill="FFFFFF"/>
        </w:rPr>
        <w:t>would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E213E5">
        <w:rPr>
          <w:rFonts w:cs="Times New Roman"/>
          <w:color w:val="000000" w:themeColor="text1"/>
          <w:szCs w:val="24"/>
          <w:shd w:val="clear" w:color="auto" w:fill="FFFFFF"/>
        </w:rPr>
        <w:t>require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E213E5">
        <w:rPr>
          <w:rFonts w:cs="Times New Roman"/>
          <w:color w:val="000000" w:themeColor="text1"/>
          <w:szCs w:val="24"/>
          <w:shd w:val="clear" w:color="auto" w:fill="FFFFFF"/>
        </w:rPr>
        <w:t>disposal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E213E5">
        <w:rPr>
          <w:rFonts w:cs="Times New Roman"/>
          <w:color w:val="000000" w:themeColor="text1"/>
          <w:szCs w:val="24"/>
          <w:shd w:val="clear" w:color="auto" w:fill="FFFFFF"/>
        </w:rPr>
        <w:t>of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E213E5">
        <w:rPr>
          <w:rFonts w:cs="Times New Roman"/>
          <w:color w:val="000000" w:themeColor="text1"/>
          <w:szCs w:val="24"/>
          <w:shd w:val="clear" w:color="auto" w:fill="FFFFFF"/>
        </w:rPr>
        <w:t>chrysotile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E213E5">
        <w:rPr>
          <w:rFonts w:cs="Times New Roman"/>
          <w:color w:val="000000" w:themeColor="text1"/>
          <w:szCs w:val="24"/>
          <w:shd w:val="clear" w:color="auto" w:fill="FFFFFF"/>
        </w:rPr>
        <w:t>asbestos-containing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E213E5">
        <w:rPr>
          <w:rFonts w:cs="Times New Roman"/>
          <w:color w:val="000000" w:themeColor="text1"/>
          <w:szCs w:val="24"/>
          <w:shd w:val="clear" w:color="auto" w:fill="FFFFFF"/>
        </w:rPr>
        <w:t>materials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E213E5">
        <w:rPr>
          <w:rFonts w:cs="Times New Roman"/>
          <w:color w:val="000000" w:themeColor="text1"/>
          <w:szCs w:val="24"/>
          <w:shd w:val="clear" w:color="auto" w:fill="FFFFFF"/>
        </w:rPr>
        <w:t>in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E213E5">
        <w:rPr>
          <w:rFonts w:cs="Times New Roman"/>
          <w:color w:val="000000" w:themeColor="text1"/>
          <w:szCs w:val="24"/>
          <w:shd w:val="clear" w:color="auto" w:fill="FFFFFF"/>
        </w:rPr>
        <w:t>a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E213E5">
        <w:rPr>
          <w:rFonts w:cs="Times New Roman"/>
          <w:color w:val="000000" w:themeColor="text1"/>
          <w:szCs w:val="24"/>
          <w:shd w:val="clear" w:color="auto" w:fill="FFFFFF"/>
        </w:rPr>
        <w:t>manner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C30257">
        <w:rPr>
          <w:rFonts w:cs="Times New Roman"/>
          <w:color w:val="000000" w:themeColor="text1"/>
          <w:szCs w:val="24"/>
          <w:shd w:val="clear" w:color="auto" w:fill="FFFFFF"/>
        </w:rPr>
        <w:t>identical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C30257">
        <w:rPr>
          <w:rFonts w:cs="Times New Roman"/>
          <w:color w:val="000000" w:themeColor="text1"/>
          <w:szCs w:val="24"/>
          <w:shd w:val="clear" w:color="auto" w:fill="FFFFFF"/>
        </w:rPr>
        <w:t>to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C30257">
        <w:rPr>
          <w:rFonts w:cs="Times New Roman"/>
          <w:color w:val="000000" w:themeColor="text1"/>
          <w:szCs w:val="24"/>
          <w:shd w:val="clear" w:color="auto" w:fill="FFFFFF"/>
        </w:rPr>
        <w:t>the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C30257">
        <w:rPr>
          <w:rFonts w:cs="Times New Roman"/>
          <w:color w:val="000000" w:themeColor="text1"/>
          <w:szCs w:val="24"/>
          <w:shd w:val="clear" w:color="auto" w:fill="FFFFFF"/>
        </w:rPr>
        <w:t>proposed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C30257">
        <w:rPr>
          <w:rFonts w:cs="Times New Roman"/>
          <w:color w:val="000000" w:themeColor="text1"/>
          <w:szCs w:val="24"/>
          <w:shd w:val="clear" w:color="auto" w:fill="FFFFFF"/>
        </w:rPr>
        <w:t>optio</w:t>
      </w:r>
      <w:r w:rsidRPr="00C317BB" w:rsidR="00237E69">
        <w:rPr>
          <w:rFonts w:cs="Times New Roman"/>
          <w:color w:val="000000" w:themeColor="text1"/>
          <w:szCs w:val="24"/>
          <w:shd w:val="clear" w:color="auto" w:fill="FFFFFF"/>
        </w:rPr>
        <w:t>n</w:t>
      </w:r>
      <w:r w:rsidRPr="00C317BB" w:rsidR="00E213E5">
        <w:rPr>
          <w:rFonts w:cs="Times New Roman"/>
          <w:color w:val="000000" w:themeColor="text1"/>
          <w:szCs w:val="24"/>
          <w:shd w:val="clear" w:color="auto" w:fill="FFFFFF"/>
        </w:rPr>
        <w:t>,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E213E5">
        <w:rPr>
          <w:rFonts w:cs="Times New Roman"/>
          <w:color w:val="000000" w:themeColor="text1"/>
          <w:szCs w:val="24"/>
          <w:shd w:val="clear" w:color="auto" w:fill="FFFFFF"/>
        </w:rPr>
        <w:t>with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E213E5">
        <w:rPr>
          <w:rFonts w:cs="Times New Roman"/>
          <w:color w:val="000000" w:themeColor="text1"/>
          <w:szCs w:val="24"/>
          <w:shd w:val="clear" w:color="auto" w:fill="FFFFFF"/>
        </w:rPr>
        <w:t>additional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E213E5">
        <w:rPr>
          <w:rFonts w:cs="Times New Roman"/>
          <w:color w:val="000000" w:themeColor="text1"/>
          <w:szCs w:val="24"/>
          <w:shd w:val="clear" w:color="auto" w:fill="FFFFFF"/>
        </w:rPr>
        <w:t>provisions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E213E5">
        <w:rPr>
          <w:rFonts w:cs="Times New Roman"/>
          <w:color w:val="000000" w:themeColor="text1"/>
          <w:szCs w:val="24"/>
          <w:shd w:val="clear" w:color="auto" w:fill="FFFFFF"/>
        </w:rPr>
        <w:t>for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E213E5">
        <w:rPr>
          <w:rFonts w:cs="Times New Roman"/>
          <w:color w:val="000000" w:themeColor="text1"/>
          <w:szCs w:val="24"/>
          <w:shd w:val="clear" w:color="auto" w:fill="FFFFFF"/>
        </w:rPr>
        <w:t>downstream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E213E5">
        <w:rPr>
          <w:rFonts w:cs="Times New Roman"/>
          <w:color w:val="000000" w:themeColor="text1"/>
          <w:szCs w:val="24"/>
          <w:shd w:val="clear" w:color="auto" w:fill="FFFFFF"/>
        </w:rPr>
        <w:t>notification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E213E5">
        <w:rPr>
          <w:rFonts w:cs="Times New Roman"/>
          <w:color w:val="000000" w:themeColor="text1"/>
          <w:szCs w:val="24"/>
          <w:shd w:val="clear" w:color="auto" w:fill="FFFFFF"/>
        </w:rPr>
        <w:t>and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2B013E">
        <w:rPr>
          <w:rFonts w:cs="Times New Roman"/>
          <w:color w:val="000000" w:themeColor="text1"/>
          <w:szCs w:val="24"/>
          <w:shd w:val="clear" w:color="auto" w:fill="FFFFFF"/>
        </w:rPr>
        <w:t>signage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2B013E">
        <w:rPr>
          <w:rFonts w:cs="Times New Roman"/>
          <w:color w:val="000000" w:themeColor="text1"/>
          <w:szCs w:val="24"/>
          <w:shd w:val="clear" w:color="auto" w:fill="FFFFFF"/>
        </w:rPr>
        <w:t>and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2B013E">
        <w:rPr>
          <w:rFonts w:cs="Times New Roman"/>
          <w:color w:val="000000" w:themeColor="text1"/>
          <w:szCs w:val="24"/>
          <w:shd w:val="clear" w:color="auto" w:fill="FFFFFF"/>
        </w:rPr>
        <w:t>labeling</w:t>
      </w:r>
      <w:r w:rsidRPr="00C317BB" w:rsidR="00E213E5">
        <w:rPr>
          <w:rFonts w:cs="Times New Roman"/>
          <w:color w:val="000000" w:themeColor="text1"/>
          <w:szCs w:val="24"/>
          <w:shd w:val="clear" w:color="auto" w:fill="FFFFFF"/>
        </w:rPr>
        <w:t>.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982B0F">
        <w:rPr>
          <w:rFonts w:cs="Times New Roman"/>
          <w:color w:val="000000" w:themeColor="text1"/>
          <w:szCs w:val="24"/>
          <w:shd w:val="clear" w:color="auto" w:fill="FFFFFF"/>
        </w:rPr>
        <w:t>EPA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982B0F">
        <w:rPr>
          <w:rFonts w:cs="Times New Roman"/>
          <w:color w:val="000000" w:themeColor="text1"/>
          <w:szCs w:val="24"/>
          <w:shd w:val="clear" w:color="auto" w:fill="FFFFFF"/>
        </w:rPr>
        <w:t>does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982B0F">
        <w:rPr>
          <w:rFonts w:cs="Times New Roman"/>
          <w:color w:val="000000" w:themeColor="text1"/>
          <w:szCs w:val="24"/>
          <w:shd w:val="clear" w:color="auto" w:fill="FFFFFF"/>
        </w:rPr>
        <w:t>not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982B0F">
        <w:rPr>
          <w:rFonts w:cs="Times New Roman"/>
          <w:color w:val="000000" w:themeColor="text1"/>
          <w:szCs w:val="24"/>
          <w:shd w:val="clear" w:color="auto" w:fill="FFFFFF"/>
        </w:rPr>
        <w:t>intend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982B0F">
        <w:rPr>
          <w:rFonts w:cs="Times New Roman"/>
          <w:color w:val="000000" w:themeColor="text1"/>
          <w:szCs w:val="24"/>
          <w:shd w:val="clear" w:color="auto" w:fill="FFFFFF"/>
        </w:rPr>
        <w:t>the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982B0F">
        <w:rPr>
          <w:rFonts w:cs="Times New Roman"/>
          <w:color w:val="000000" w:themeColor="text1"/>
          <w:szCs w:val="24"/>
          <w:shd w:val="clear" w:color="auto" w:fill="FFFFFF"/>
        </w:rPr>
        <w:t>primary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982B0F">
        <w:rPr>
          <w:rFonts w:cs="Times New Roman"/>
          <w:color w:val="000000" w:themeColor="text1"/>
          <w:szCs w:val="24"/>
          <w:shd w:val="clear" w:color="auto" w:fill="FFFFFF"/>
        </w:rPr>
        <w:t>alternative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982B0F">
        <w:rPr>
          <w:rFonts w:cs="Times New Roman"/>
          <w:color w:val="000000" w:themeColor="text1"/>
          <w:szCs w:val="24"/>
          <w:shd w:val="clear" w:color="auto" w:fill="FFFFFF"/>
        </w:rPr>
        <w:t>regulatory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982B0F">
        <w:rPr>
          <w:rFonts w:cs="Times New Roman"/>
          <w:color w:val="000000" w:themeColor="text1"/>
          <w:szCs w:val="24"/>
          <w:shd w:val="clear" w:color="auto" w:fill="FFFFFF"/>
        </w:rPr>
        <w:t>action’s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982B0F">
        <w:rPr>
          <w:rFonts w:cs="Times New Roman"/>
          <w:color w:val="000000" w:themeColor="text1"/>
          <w:szCs w:val="24"/>
          <w:shd w:val="clear" w:color="auto" w:fill="FFFFFF"/>
        </w:rPr>
        <w:t>prohibitions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982B0F">
        <w:rPr>
          <w:rFonts w:cs="Times New Roman"/>
          <w:color w:val="000000" w:themeColor="text1"/>
          <w:szCs w:val="24"/>
          <w:shd w:val="clear" w:color="auto" w:fill="FFFFFF"/>
        </w:rPr>
        <w:t>on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982B0F">
        <w:rPr>
          <w:rFonts w:cs="Times New Roman"/>
          <w:color w:val="000000" w:themeColor="text1"/>
          <w:szCs w:val="24"/>
          <w:shd w:val="clear" w:color="auto" w:fill="FFFFFF"/>
        </w:rPr>
        <w:t>processing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982B0F">
        <w:rPr>
          <w:rFonts w:cs="Times New Roman"/>
          <w:color w:val="000000" w:themeColor="text1"/>
          <w:szCs w:val="24"/>
          <w:shd w:val="clear" w:color="auto" w:fill="FFFFFF"/>
        </w:rPr>
        <w:t>or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982B0F">
        <w:rPr>
          <w:rFonts w:cs="Times New Roman"/>
          <w:color w:val="000000" w:themeColor="text1"/>
          <w:szCs w:val="24"/>
          <w:shd w:val="clear" w:color="auto" w:fill="FFFFFF"/>
        </w:rPr>
        <w:t>distribution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982B0F">
        <w:rPr>
          <w:rFonts w:cs="Times New Roman"/>
          <w:color w:val="000000" w:themeColor="text1"/>
          <w:szCs w:val="24"/>
          <w:shd w:val="clear" w:color="auto" w:fill="FFFFFF"/>
        </w:rPr>
        <w:t>in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982B0F">
        <w:rPr>
          <w:rFonts w:cs="Times New Roman"/>
          <w:color w:val="000000" w:themeColor="text1"/>
          <w:szCs w:val="24"/>
          <w:shd w:val="clear" w:color="auto" w:fill="FFFFFF"/>
        </w:rPr>
        <w:t>commerce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982B0F">
        <w:rPr>
          <w:rFonts w:cs="Times New Roman"/>
          <w:color w:val="000000" w:themeColor="text1"/>
          <w:szCs w:val="24"/>
          <w:shd w:val="clear" w:color="auto" w:fill="FFFFFF"/>
        </w:rPr>
        <w:t>to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982B0F">
        <w:rPr>
          <w:rFonts w:cs="Times New Roman"/>
          <w:color w:val="000000" w:themeColor="text1"/>
          <w:szCs w:val="24"/>
          <w:shd w:val="clear" w:color="auto" w:fill="FFFFFF"/>
        </w:rPr>
        <w:t>prohibit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982B0F">
        <w:rPr>
          <w:rFonts w:cs="Times New Roman"/>
          <w:color w:val="000000" w:themeColor="text1"/>
          <w:szCs w:val="24"/>
          <w:shd w:val="clear" w:color="auto" w:fill="FFFFFF"/>
        </w:rPr>
        <w:t>any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982B0F">
        <w:rPr>
          <w:rFonts w:cs="Times New Roman"/>
          <w:color w:val="000000" w:themeColor="text1"/>
          <w:szCs w:val="24"/>
          <w:shd w:val="clear" w:color="auto" w:fill="FFFFFF"/>
        </w:rPr>
        <w:t>processing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982B0F">
        <w:rPr>
          <w:rFonts w:cs="Times New Roman"/>
          <w:color w:val="000000" w:themeColor="text1"/>
          <w:szCs w:val="24"/>
          <w:shd w:val="clear" w:color="auto" w:fill="FFFFFF"/>
        </w:rPr>
        <w:t>or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982B0F">
        <w:rPr>
          <w:rFonts w:cs="Times New Roman"/>
          <w:color w:val="000000" w:themeColor="text1"/>
          <w:szCs w:val="24"/>
          <w:shd w:val="clear" w:color="auto" w:fill="FFFFFF"/>
        </w:rPr>
        <w:t>distribution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982B0F">
        <w:rPr>
          <w:rFonts w:cs="Times New Roman"/>
          <w:color w:val="000000" w:themeColor="text1"/>
          <w:szCs w:val="24"/>
          <w:shd w:val="clear" w:color="auto" w:fill="FFFFFF"/>
        </w:rPr>
        <w:t>in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982B0F">
        <w:rPr>
          <w:rFonts w:cs="Times New Roman"/>
          <w:color w:val="000000" w:themeColor="text1"/>
          <w:szCs w:val="24"/>
          <w:shd w:val="clear" w:color="auto" w:fill="FFFFFF"/>
        </w:rPr>
        <w:t>commerce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982B0F">
        <w:rPr>
          <w:rFonts w:cs="Times New Roman"/>
          <w:color w:val="000000" w:themeColor="text1"/>
          <w:szCs w:val="24"/>
          <w:shd w:val="clear" w:color="auto" w:fill="FFFFFF"/>
        </w:rPr>
        <w:t>incidental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982B0F">
        <w:rPr>
          <w:rFonts w:cs="Times New Roman"/>
          <w:color w:val="000000" w:themeColor="text1"/>
          <w:szCs w:val="24"/>
          <w:shd w:val="clear" w:color="auto" w:fill="FFFFFF"/>
        </w:rPr>
        <w:t>to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982B0F">
        <w:rPr>
          <w:rFonts w:cs="Times New Roman"/>
          <w:color w:val="000000" w:themeColor="text1"/>
          <w:szCs w:val="24"/>
          <w:shd w:val="clear" w:color="auto" w:fill="FFFFFF"/>
        </w:rPr>
        <w:t>disposal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982B0F">
        <w:rPr>
          <w:rFonts w:cs="Times New Roman"/>
          <w:color w:val="000000" w:themeColor="text1"/>
          <w:szCs w:val="24"/>
          <w:shd w:val="clear" w:color="auto" w:fill="FFFFFF"/>
        </w:rPr>
        <w:t>of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982B0F">
        <w:rPr>
          <w:rFonts w:cs="Times New Roman"/>
          <w:color w:val="000000" w:themeColor="text1"/>
          <w:szCs w:val="24"/>
          <w:shd w:val="clear" w:color="auto" w:fill="FFFFFF"/>
        </w:rPr>
        <w:t>the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982B0F">
        <w:rPr>
          <w:rFonts w:cs="Times New Roman"/>
          <w:color w:val="000000" w:themeColor="text1"/>
          <w:szCs w:val="24"/>
          <w:shd w:val="clear" w:color="auto" w:fill="FFFFFF"/>
        </w:rPr>
        <w:t>chrysotile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982B0F">
        <w:rPr>
          <w:rFonts w:cs="Times New Roman"/>
          <w:color w:val="000000" w:themeColor="text1"/>
          <w:szCs w:val="24"/>
          <w:shd w:val="clear" w:color="auto" w:fill="FFFFFF"/>
        </w:rPr>
        <w:t>asbestos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982B0F">
        <w:rPr>
          <w:rFonts w:cs="Times New Roman"/>
          <w:color w:val="000000" w:themeColor="text1"/>
          <w:szCs w:val="24"/>
          <w:shd w:val="clear" w:color="auto" w:fill="FFFFFF"/>
        </w:rPr>
        <w:t>waste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982B0F">
        <w:rPr>
          <w:rFonts w:cs="Times New Roman"/>
          <w:color w:val="000000" w:themeColor="text1"/>
          <w:szCs w:val="24"/>
          <w:shd w:val="clear" w:color="auto" w:fill="FFFFFF"/>
        </w:rPr>
        <w:t>in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982B0F">
        <w:rPr>
          <w:rFonts w:cs="Times New Roman"/>
          <w:color w:val="000000" w:themeColor="text1"/>
          <w:szCs w:val="24"/>
          <w:shd w:val="clear" w:color="auto" w:fill="FFFFFF"/>
        </w:rPr>
        <w:t>accordance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982B0F">
        <w:rPr>
          <w:rFonts w:cs="Times New Roman"/>
          <w:color w:val="000000" w:themeColor="text1"/>
          <w:szCs w:val="24"/>
          <w:shd w:val="clear" w:color="auto" w:fill="FFFFFF"/>
        </w:rPr>
        <w:t>with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982B0F">
        <w:rPr>
          <w:rFonts w:cs="Times New Roman"/>
          <w:color w:val="000000" w:themeColor="text1"/>
          <w:szCs w:val="24"/>
          <w:shd w:val="clear" w:color="auto" w:fill="FFFFFF"/>
        </w:rPr>
        <w:t>the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982B0F">
        <w:rPr>
          <w:rFonts w:cs="Times New Roman"/>
          <w:color w:val="000000" w:themeColor="text1"/>
          <w:szCs w:val="24"/>
          <w:shd w:val="clear" w:color="auto" w:fill="FFFFFF"/>
        </w:rPr>
        <w:t>proposed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982B0F">
        <w:rPr>
          <w:rFonts w:cs="Times New Roman"/>
          <w:color w:val="000000" w:themeColor="text1"/>
          <w:szCs w:val="24"/>
          <w:shd w:val="clear" w:color="auto" w:fill="FFFFFF"/>
        </w:rPr>
        <w:t>requirements.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</w:p>
    <w:p w:rsidRPr="00C317BB" w:rsidR="001C566B" w:rsidP="00F27167" w:rsidRDefault="001C566B" w14:paraId="1FB4E24D" w14:textId="2240DE30">
      <w:pPr>
        <w:pStyle w:val="Heading3"/>
        <w:ind w:firstLine="720"/>
        <w:rPr>
          <w:rFonts w:cs="Times New Roman"/>
          <w:color w:val="000000" w:themeColor="text1"/>
          <w:szCs w:val="24"/>
          <w:lang w:val="en"/>
        </w:rPr>
      </w:pPr>
      <w:r w:rsidRPr="00C317BB">
        <w:rPr>
          <w:rFonts w:cs="Times New Roman"/>
          <w:color w:val="000000" w:themeColor="text1"/>
          <w:szCs w:val="24"/>
          <w:lang w:val="en"/>
        </w:rPr>
        <w:t>1.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724B70">
        <w:rPr>
          <w:rFonts w:cs="Times New Roman"/>
          <w:color w:val="000000" w:themeColor="text1"/>
          <w:szCs w:val="24"/>
          <w:lang w:val="en"/>
        </w:rPr>
        <w:t>Primary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724B70">
        <w:rPr>
          <w:rFonts w:cs="Times New Roman"/>
          <w:color w:val="000000" w:themeColor="text1"/>
          <w:szCs w:val="24"/>
          <w:lang w:val="en"/>
        </w:rPr>
        <w:t>a</w:t>
      </w:r>
      <w:r w:rsidRPr="00C317BB">
        <w:rPr>
          <w:rFonts w:cs="Times New Roman"/>
          <w:color w:val="000000" w:themeColor="text1"/>
          <w:szCs w:val="24"/>
          <w:lang w:val="en"/>
        </w:rPr>
        <w:t>lternative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regulatory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action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59780B">
        <w:rPr>
          <w:rFonts w:cs="Times New Roman"/>
          <w:color w:val="000000" w:themeColor="text1"/>
          <w:szCs w:val="24"/>
          <w:lang w:val="en"/>
        </w:rPr>
        <w:t>for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943F01">
        <w:rPr>
          <w:rFonts w:cs="Times New Roman"/>
          <w:color w:val="000000" w:themeColor="text1"/>
          <w:szCs w:val="24"/>
          <w:lang w:val="en"/>
        </w:rPr>
        <w:t>prohibition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943F01">
        <w:rPr>
          <w:rFonts w:cs="Times New Roman"/>
          <w:color w:val="000000" w:themeColor="text1"/>
          <w:szCs w:val="24"/>
          <w:lang w:val="en"/>
        </w:rPr>
        <w:t>of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0B61DE">
        <w:rPr>
          <w:rFonts w:cs="Times New Roman"/>
          <w:color w:val="000000" w:themeColor="text1"/>
          <w:szCs w:val="24"/>
          <w:lang w:val="en"/>
        </w:rPr>
        <w:t>manufacture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0B61DE">
        <w:rPr>
          <w:rFonts w:cs="Times New Roman"/>
          <w:color w:val="000000" w:themeColor="text1"/>
          <w:szCs w:val="24"/>
          <w:lang w:val="en"/>
        </w:rPr>
        <w:t>(including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0B61DE">
        <w:rPr>
          <w:rFonts w:cs="Times New Roman"/>
          <w:color w:val="000000" w:themeColor="text1"/>
          <w:szCs w:val="24"/>
          <w:lang w:val="en"/>
        </w:rPr>
        <w:t>import),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6428BD">
        <w:rPr>
          <w:rFonts w:cs="Times New Roman"/>
          <w:color w:val="000000" w:themeColor="text1"/>
          <w:szCs w:val="24"/>
          <w:lang w:val="en"/>
        </w:rPr>
        <w:t>p</w:t>
      </w:r>
      <w:r w:rsidRPr="00C317BB" w:rsidR="0059780B">
        <w:rPr>
          <w:rFonts w:cs="Times New Roman"/>
          <w:color w:val="000000" w:themeColor="text1"/>
          <w:szCs w:val="24"/>
          <w:lang w:val="en"/>
        </w:rPr>
        <w:t>rocessing</w:t>
      </w:r>
      <w:r w:rsidRPr="00C317BB" w:rsidR="000D24A9">
        <w:rPr>
          <w:rFonts w:cs="Times New Roman"/>
          <w:color w:val="000000" w:themeColor="text1"/>
          <w:szCs w:val="24"/>
          <w:lang w:val="en"/>
        </w:rPr>
        <w:t>,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0D24A9">
        <w:rPr>
          <w:rFonts w:cs="Times New Roman"/>
          <w:color w:val="000000" w:themeColor="text1"/>
          <w:szCs w:val="24"/>
          <w:lang w:val="en"/>
        </w:rPr>
        <w:t>distribution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0D24A9">
        <w:rPr>
          <w:rFonts w:cs="Times New Roman"/>
          <w:color w:val="000000" w:themeColor="text1"/>
          <w:szCs w:val="24"/>
          <w:lang w:val="en"/>
        </w:rPr>
        <w:t>in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0D24A9">
        <w:rPr>
          <w:rFonts w:cs="Times New Roman"/>
          <w:color w:val="000000" w:themeColor="text1"/>
          <w:szCs w:val="24"/>
          <w:lang w:val="en"/>
        </w:rPr>
        <w:t>commerce</w:t>
      </w:r>
      <w:r w:rsidRPr="00C317BB" w:rsidR="00C06617">
        <w:rPr>
          <w:rFonts w:cs="Times New Roman"/>
          <w:color w:val="000000" w:themeColor="text1"/>
          <w:szCs w:val="24"/>
          <w:lang w:val="en"/>
        </w:rPr>
        <w:t>,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59780B">
        <w:rPr>
          <w:rFonts w:cs="Times New Roman"/>
          <w:color w:val="000000" w:themeColor="text1"/>
          <w:szCs w:val="24"/>
          <w:lang w:val="en"/>
        </w:rPr>
        <w:t>and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BB3DBC">
        <w:rPr>
          <w:rFonts w:cs="Times New Roman"/>
          <w:color w:val="000000" w:themeColor="text1"/>
          <w:szCs w:val="24"/>
          <w:lang w:val="en"/>
        </w:rPr>
        <w:t>commercial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2356AC">
        <w:rPr>
          <w:rFonts w:cs="Times New Roman"/>
          <w:color w:val="000000" w:themeColor="text1"/>
          <w:szCs w:val="24"/>
          <w:lang w:val="en"/>
        </w:rPr>
        <w:t>u</w:t>
      </w:r>
      <w:r w:rsidRPr="00C317BB" w:rsidR="0059780B">
        <w:rPr>
          <w:rFonts w:cs="Times New Roman"/>
          <w:color w:val="000000" w:themeColor="text1"/>
          <w:szCs w:val="24"/>
          <w:lang w:val="en"/>
        </w:rPr>
        <w:t>se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59780B">
        <w:rPr>
          <w:rFonts w:cs="Times New Roman"/>
          <w:color w:val="000000" w:themeColor="text1"/>
          <w:szCs w:val="24"/>
          <w:lang w:val="en"/>
        </w:rPr>
        <w:t>of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2356AC">
        <w:rPr>
          <w:rFonts w:cs="Times New Roman"/>
          <w:color w:val="000000" w:themeColor="text1"/>
          <w:szCs w:val="24"/>
          <w:lang w:val="en"/>
        </w:rPr>
        <w:t>c</w:t>
      </w:r>
      <w:r w:rsidRPr="00C317BB" w:rsidR="0059780B">
        <w:rPr>
          <w:rFonts w:cs="Times New Roman"/>
          <w:color w:val="000000" w:themeColor="text1"/>
          <w:szCs w:val="24"/>
          <w:lang w:val="en"/>
        </w:rPr>
        <w:t>hrysotile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2356AC">
        <w:rPr>
          <w:rFonts w:cs="Times New Roman"/>
          <w:color w:val="000000" w:themeColor="text1"/>
          <w:szCs w:val="24"/>
          <w:lang w:val="en"/>
        </w:rPr>
        <w:t>a</w:t>
      </w:r>
      <w:r w:rsidRPr="00C317BB" w:rsidR="0059780B">
        <w:rPr>
          <w:rFonts w:cs="Times New Roman"/>
          <w:color w:val="000000" w:themeColor="text1"/>
          <w:szCs w:val="24"/>
          <w:lang w:val="en"/>
        </w:rPr>
        <w:t>sbestos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3D0B90">
        <w:rPr>
          <w:rFonts w:cs="Times New Roman"/>
          <w:color w:val="000000" w:themeColor="text1"/>
          <w:szCs w:val="24"/>
          <w:lang w:val="en"/>
        </w:rPr>
        <w:t>in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3D0B90">
        <w:rPr>
          <w:rFonts w:cs="Times New Roman"/>
          <w:color w:val="000000" w:themeColor="text1"/>
          <w:szCs w:val="24"/>
          <w:lang w:val="en"/>
        </w:rPr>
        <w:t>bulk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3D0B90">
        <w:rPr>
          <w:rFonts w:cs="Times New Roman"/>
          <w:color w:val="000000" w:themeColor="text1"/>
          <w:szCs w:val="24"/>
          <w:lang w:val="en"/>
        </w:rPr>
        <w:t>form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3D0B90">
        <w:rPr>
          <w:rFonts w:cs="Times New Roman"/>
          <w:color w:val="000000" w:themeColor="text1"/>
          <w:szCs w:val="24"/>
          <w:lang w:val="en"/>
        </w:rPr>
        <w:t>or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3D0B90">
        <w:rPr>
          <w:rFonts w:cs="Times New Roman"/>
          <w:color w:val="000000" w:themeColor="text1"/>
          <w:szCs w:val="24"/>
          <w:lang w:val="en"/>
        </w:rPr>
        <w:t>as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3D0B90">
        <w:rPr>
          <w:rFonts w:cs="Times New Roman"/>
          <w:color w:val="000000" w:themeColor="text1"/>
          <w:szCs w:val="24"/>
          <w:lang w:val="en"/>
        </w:rPr>
        <w:t>part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3D0B90">
        <w:rPr>
          <w:rFonts w:cs="Times New Roman"/>
          <w:color w:val="000000" w:themeColor="text1"/>
          <w:szCs w:val="24"/>
          <w:lang w:val="en"/>
        </w:rPr>
        <w:t>of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EB71B8">
        <w:rPr>
          <w:rFonts w:cs="Times New Roman"/>
          <w:color w:val="000000" w:themeColor="text1"/>
          <w:szCs w:val="24"/>
          <w:lang w:val="en"/>
        </w:rPr>
        <w:t>chrysotile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EB71B8">
        <w:rPr>
          <w:rFonts w:cs="Times New Roman"/>
          <w:color w:val="000000" w:themeColor="text1"/>
          <w:szCs w:val="24"/>
          <w:lang w:val="en"/>
        </w:rPr>
        <w:t>asbestos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2356AC">
        <w:rPr>
          <w:rFonts w:cs="Times New Roman"/>
          <w:color w:val="000000" w:themeColor="text1"/>
          <w:szCs w:val="24"/>
          <w:lang w:val="en"/>
        </w:rPr>
        <w:t>d</w:t>
      </w:r>
      <w:r w:rsidRPr="00C317BB" w:rsidR="0059780B">
        <w:rPr>
          <w:rFonts w:cs="Times New Roman"/>
          <w:color w:val="000000" w:themeColor="text1"/>
          <w:szCs w:val="24"/>
          <w:lang w:val="en"/>
        </w:rPr>
        <w:t>iaphragms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59780B">
        <w:rPr>
          <w:rFonts w:cs="Times New Roman"/>
          <w:color w:val="000000" w:themeColor="text1"/>
          <w:szCs w:val="24"/>
          <w:lang w:val="en"/>
        </w:rPr>
        <w:t>in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59780B">
        <w:rPr>
          <w:rFonts w:cs="Times New Roman"/>
          <w:color w:val="000000" w:themeColor="text1"/>
          <w:szCs w:val="24"/>
          <w:lang w:val="en"/>
        </w:rPr>
        <w:t>the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5F6036">
        <w:rPr>
          <w:rFonts w:cs="Times New Roman"/>
          <w:color w:val="000000" w:themeColor="text1"/>
          <w:szCs w:val="24"/>
          <w:lang w:val="en"/>
        </w:rPr>
        <w:t>c</w:t>
      </w:r>
      <w:r w:rsidRPr="00C317BB" w:rsidR="0059780B">
        <w:rPr>
          <w:rFonts w:cs="Times New Roman"/>
          <w:color w:val="000000" w:themeColor="text1"/>
          <w:szCs w:val="24"/>
          <w:lang w:val="en"/>
        </w:rPr>
        <w:t>hlor-</w:t>
      </w:r>
      <w:r w:rsidRPr="00C317BB" w:rsidR="00315B2F">
        <w:rPr>
          <w:rFonts w:cs="Times New Roman"/>
          <w:color w:val="000000" w:themeColor="text1"/>
          <w:szCs w:val="24"/>
          <w:lang w:val="en"/>
        </w:rPr>
        <w:t>a</w:t>
      </w:r>
      <w:r w:rsidRPr="00C317BB" w:rsidR="0059780B">
        <w:rPr>
          <w:rFonts w:cs="Times New Roman"/>
          <w:color w:val="000000" w:themeColor="text1"/>
          <w:szCs w:val="24"/>
          <w:lang w:val="en"/>
        </w:rPr>
        <w:t>lkali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315B2F">
        <w:rPr>
          <w:rFonts w:cs="Times New Roman"/>
          <w:color w:val="000000" w:themeColor="text1"/>
          <w:szCs w:val="24"/>
          <w:lang w:val="en"/>
        </w:rPr>
        <w:t>i</w:t>
      </w:r>
      <w:r w:rsidRPr="00C317BB" w:rsidR="0059780B">
        <w:rPr>
          <w:rFonts w:cs="Times New Roman"/>
          <w:color w:val="000000" w:themeColor="text1"/>
          <w:szCs w:val="24"/>
          <w:lang w:val="en"/>
        </w:rPr>
        <w:t>ndustry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C6757A">
        <w:rPr>
          <w:rFonts w:cs="Times New Roman"/>
          <w:color w:val="000000" w:themeColor="text1"/>
          <w:szCs w:val="24"/>
          <w:lang w:val="en"/>
        </w:rPr>
        <w:t>and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FD0CAC">
        <w:rPr>
          <w:rFonts w:cs="Times New Roman"/>
          <w:color w:val="000000" w:themeColor="text1"/>
          <w:szCs w:val="24"/>
          <w:lang w:val="en"/>
        </w:rPr>
        <w:t>for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315B2F">
        <w:rPr>
          <w:rFonts w:cs="Times New Roman"/>
          <w:color w:val="000000" w:themeColor="text1"/>
          <w:szCs w:val="24"/>
          <w:lang w:val="en"/>
        </w:rPr>
        <w:t>c</w:t>
      </w:r>
      <w:r w:rsidRPr="00C317BB" w:rsidR="00C506FB">
        <w:rPr>
          <w:rFonts w:cs="Times New Roman"/>
          <w:color w:val="000000" w:themeColor="text1"/>
          <w:szCs w:val="24"/>
          <w:lang w:val="en"/>
        </w:rPr>
        <w:t>hrysotile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315B2F">
        <w:rPr>
          <w:rFonts w:cs="Times New Roman"/>
          <w:color w:val="000000" w:themeColor="text1"/>
          <w:szCs w:val="24"/>
          <w:lang w:val="en"/>
        </w:rPr>
        <w:t>a</w:t>
      </w:r>
      <w:r w:rsidRPr="00C317BB" w:rsidR="00C506FB">
        <w:rPr>
          <w:rFonts w:cs="Times New Roman"/>
          <w:color w:val="000000" w:themeColor="text1"/>
          <w:szCs w:val="24"/>
          <w:lang w:val="en"/>
        </w:rPr>
        <w:t>sbestos-containing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315B2F">
        <w:rPr>
          <w:rFonts w:cs="Times New Roman"/>
          <w:color w:val="000000" w:themeColor="text1"/>
          <w:szCs w:val="24"/>
          <w:lang w:val="en"/>
        </w:rPr>
        <w:t>s</w:t>
      </w:r>
      <w:r w:rsidRPr="00C317BB" w:rsidR="00C506FB">
        <w:rPr>
          <w:rFonts w:cs="Times New Roman"/>
          <w:color w:val="000000" w:themeColor="text1"/>
          <w:szCs w:val="24"/>
          <w:lang w:val="en"/>
        </w:rPr>
        <w:t>heet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315B2F">
        <w:rPr>
          <w:rFonts w:cs="Times New Roman"/>
          <w:color w:val="000000" w:themeColor="text1"/>
          <w:szCs w:val="24"/>
          <w:lang w:val="en"/>
        </w:rPr>
        <w:t>g</w:t>
      </w:r>
      <w:r w:rsidRPr="00C317BB" w:rsidR="00C506FB">
        <w:rPr>
          <w:rFonts w:cs="Times New Roman"/>
          <w:color w:val="000000" w:themeColor="text1"/>
          <w:szCs w:val="24"/>
          <w:lang w:val="en"/>
        </w:rPr>
        <w:t>askets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C506FB">
        <w:rPr>
          <w:rFonts w:cs="Times New Roman"/>
          <w:color w:val="000000" w:themeColor="text1"/>
          <w:szCs w:val="24"/>
          <w:lang w:val="en"/>
        </w:rPr>
        <w:t>in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315B2F">
        <w:rPr>
          <w:rFonts w:cs="Times New Roman"/>
          <w:color w:val="000000" w:themeColor="text1"/>
          <w:szCs w:val="24"/>
          <w:lang w:val="en"/>
        </w:rPr>
        <w:t>c</w:t>
      </w:r>
      <w:r w:rsidRPr="00C317BB" w:rsidR="00C506FB">
        <w:rPr>
          <w:rFonts w:cs="Times New Roman"/>
          <w:color w:val="000000" w:themeColor="text1"/>
          <w:szCs w:val="24"/>
          <w:lang w:val="en"/>
        </w:rPr>
        <w:t>hemical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BB3DBC">
        <w:rPr>
          <w:rFonts w:cs="Times New Roman"/>
          <w:color w:val="000000" w:themeColor="text1"/>
          <w:szCs w:val="24"/>
          <w:lang w:val="en"/>
        </w:rPr>
        <w:t>production</w:t>
      </w:r>
      <w:r w:rsidRPr="00C317BB" w:rsidR="00C070B9">
        <w:rPr>
          <w:rFonts w:cs="Times New Roman"/>
          <w:color w:val="000000" w:themeColor="text1"/>
          <w:szCs w:val="24"/>
          <w:lang w:val="en"/>
        </w:rPr>
        <w:t>.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</w:p>
    <w:p w:rsidRPr="00C317BB" w:rsidR="00711FB4" w:rsidP="00F27167" w:rsidRDefault="00523FDA" w14:paraId="75BB6306" w14:textId="07F1C07F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described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IV.A,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B5D7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B5D7B">
        <w:rPr>
          <w:rFonts w:cs="Times New Roman"/>
          <w:color w:val="000000" w:themeColor="text1"/>
          <w:szCs w:val="24"/>
        </w:rPr>
        <w:t>consulted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B5D7B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B5D7B">
        <w:rPr>
          <w:rFonts w:cs="Times New Roman"/>
          <w:color w:val="000000" w:themeColor="text1"/>
          <w:szCs w:val="24"/>
        </w:rPr>
        <w:t>several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B5D7B">
        <w:rPr>
          <w:rFonts w:cs="Times New Roman"/>
          <w:color w:val="000000" w:themeColor="text1"/>
          <w:szCs w:val="24"/>
        </w:rPr>
        <w:t>companies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E7D2F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E7D2F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E7D2F">
        <w:rPr>
          <w:rFonts w:cs="Times New Roman"/>
          <w:color w:val="000000" w:themeColor="text1"/>
          <w:szCs w:val="24"/>
        </w:rPr>
        <w:t>chlor-alkali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E7D2F">
        <w:rPr>
          <w:rFonts w:cs="Times New Roman"/>
          <w:color w:val="000000" w:themeColor="text1"/>
          <w:szCs w:val="24"/>
        </w:rPr>
        <w:t>industry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B434E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44ABA">
        <w:rPr>
          <w:rFonts w:cs="Times New Roman"/>
          <w:color w:val="000000" w:themeColor="text1"/>
          <w:szCs w:val="24"/>
        </w:rPr>
        <w:t>companies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E7D2F">
        <w:rPr>
          <w:rFonts w:cs="Times New Roman"/>
          <w:color w:val="000000" w:themeColor="text1"/>
          <w:szCs w:val="24"/>
        </w:rPr>
        <w:t>process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E7D2F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E7D2F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E7D2F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E7D2F">
        <w:rPr>
          <w:rFonts w:cs="Times New Roman"/>
          <w:color w:val="000000" w:themeColor="text1"/>
          <w:szCs w:val="24"/>
        </w:rPr>
        <w:t>asbestos-containing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E7D2F">
        <w:rPr>
          <w:rFonts w:cs="Times New Roman"/>
          <w:color w:val="000000" w:themeColor="text1"/>
          <w:szCs w:val="24"/>
        </w:rPr>
        <w:t>sheet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E7D2F">
        <w:rPr>
          <w:rFonts w:cs="Times New Roman"/>
          <w:color w:val="000000" w:themeColor="text1"/>
          <w:szCs w:val="24"/>
        </w:rPr>
        <w:t>gaskets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E7D2F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E7D2F">
        <w:rPr>
          <w:rFonts w:cs="Times New Roman"/>
          <w:color w:val="000000" w:themeColor="text1"/>
          <w:szCs w:val="24"/>
        </w:rPr>
        <w:t>chemical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E7D2F">
        <w:rPr>
          <w:rFonts w:cs="Times New Roman"/>
          <w:color w:val="000000" w:themeColor="text1"/>
          <w:szCs w:val="24"/>
        </w:rPr>
        <w:t>product</w:t>
      </w:r>
      <w:r w:rsidRPr="00C317BB" w:rsidR="00BE2F08">
        <w:rPr>
          <w:rFonts w:cs="Times New Roman"/>
          <w:color w:val="000000" w:themeColor="text1"/>
          <w:szCs w:val="24"/>
        </w:rPr>
        <w:t>ion</w:t>
      </w:r>
      <w:r w:rsidRPr="00C317BB" w:rsidR="00DE7D2F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While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expects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</w:t>
      </w:r>
      <w:r w:rsidRPr="00C317BB" w:rsidR="00AF3D16">
        <w:rPr>
          <w:rFonts w:cs="Times New Roman"/>
          <w:color w:val="000000" w:themeColor="text1"/>
          <w:szCs w:val="24"/>
        </w:rPr>
        <w:t>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compliance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regulatory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option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feasible,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possible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required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changes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take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longer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expected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E7D2F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E7D2F">
        <w:rPr>
          <w:rFonts w:cs="Times New Roman"/>
          <w:color w:val="000000" w:themeColor="text1"/>
          <w:szCs w:val="24"/>
        </w:rPr>
        <w:t>implement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B1D2A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B1D2A">
        <w:rPr>
          <w:rFonts w:cs="Times New Roman"/>
          <w:color w:val="000000" w:themeColor="text1"/>
          <w:szCs w:val="24"/>
        </w:rPr>
        <w:t>some</w:t>
      </w:r>
      <w:r w:rsidRPr="00C317BB" w:rsidR="00082139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AE5BEC" w:rsidP="00F27167" w:rsidRDefault="001533B7" w14:paraId="29A1A199" w14:textId="75741A96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Accordingly</w:t>
      </w:r>
      <w:r w:rsidRPr="00C317BB" w:rsidR="000A0720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30D30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30D30">
        <w:rPr>
          <w:rFonts w:cs="Times New Roman"/>
          <w:color w:val="000000" w:themeColor="text1"/>
          <w:szCs w:val="24"/>
        </w:rPr>
        <w:t>pursuant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30D30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30D30">
        <w:rPr>
          <w:rFonts w:cs="Times New Roman"/>
          <w:color w:val="000000" w:themeColor="text1"/>
          <w:szCs w:val="24"/>
        </w:rPr>
        <w:t>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30D30">
        <w:rPr>
          <w:rFonts w:cs="Times New Roman"/>
          <w:color w:val="000000" w:themeColor="text1"/>
          <w:szCs w:val="24"/>
        </w:rPr>
        <w:t>6(a)(2)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30D30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30D30">
        <w:rPr>
          <w:rFonts w:cs="Times New Roman"/>
          <w:color w:val="000000" w:themeColor="text1"/>
          <w:szCs w:val="24"/>
        </w:rPr>
        <w:t>6(a)(5)</w:t>
      </w:r>
      <w:r w:rsidRPr="00C317BB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6149">
        <w:rPr>
          <w:rFonts w:cs="Times New Roman"/>
          <w:color w:val="000000" w:themeColor="text1"/>
          <w:szCs w:val="24"/>
        </w:rPr>
        <w:t>presents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30D30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24B70">
        <w:rPr>
          <w:rFonts w:cs="Times New Roman"/>
          <w:color w:val="000000" w:themeColor="text1"/>
          <w:szCs w:val="24"/>
        </w:rPr>
        <w:t>primary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alternative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11FB4">
        <w:rPr>
          <w:rFonts w:cs="Times New Roman"/>
          <w:color w:val="000000" w:themeColor="text1"/>
          <w:szCs w:val="24"/>
        </w:rPr>
        <w:t>regulatory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17C5C">
        <w:rPr>
          <w:rFonts w:cs="Times New Roman"/>
          <w:color w:val="000000" w:themeColor="text1"/>
          <w:szCs w:val="24"/>
        </w:rPr>
        <w:t>action,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prohibition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</w:t>
      </w:r>
      <w:r w:rsidRPr="00C317BB" w:rsidR="00CF7DF7">
        <w:rPr>
          <w:rFonts w:cs="Times New Roman"/>
          <w:color w:val="000000" w:themeColor="text1"/>
          <w:szCs w:val="24"/>
        </w:rPr>
        <w:t>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F7DF7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30D30">
        <w:rPr>
          <w:rFonts w:cs="Times New Roman"/>
          <w:color w:val="000000" w:themeColor="text1"/>
          <w:szCs w:val="24"/>
        </w:rPr>
        <w:t>manufacture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11FB4">
        <w:rPr>
          <w:rFonts w:cs="Times New Roman"/>
          <w:color w:val="000000" w:themeColor="text1"/>
          <w:szCs w:val="24"/>
        </w:rPr>
        <w:t>(including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11FB4">
        <w:rPr>
          <w:rFonts w:cs="Times New Roman"/>
          <w:color w:val="000000" w:themeColor="text1"/>
          <w:szCs w:val="24"/>
        </w:rPr>
        <w:t>import)</w:t>
      </w:r>
      <w:r w:rsidRPr="00C317BB" w:rsidR="00AC596C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596C">
        <w:rPr>
          <w:rFonts w:cs="Times New Roman"/>
          <w:color w:val="000000" w:themeColor="text1"/>
          <w:szCs w:val="24"/>
        </w:rPr>
        <w:t>processing,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11FB4">
        <w:rPr>
          <w:rFonts w:cs="Times New Roman"/>
          <w:color w:val="000000" w:themeColor="text1"/>
          <w:szCs w:val="24"/>
        </w:rPr>
        <w:t>distribution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11FB4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11FB4">
        <w:rPr>
          <w:rFonts w:cs="Times New Roman"/>
          <w:color w:val="000000" w:themeColor="text1"/>
          <w:szCs w:val="24"/>
        </w:rPr>
        <w:t>commerce,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596C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02F20">
        <w:rPr>
          <w:rFonts w:cs="Times New Roman"/>
          <w:color w:val="000000" w:themeColor="text1"/>
          <w:szCs w:val="24"/>
        </w:rPr>
        <w:t>commercial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596C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17252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B5514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B5514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07D5A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07D5A">
        <w:rPr>
          <w:rFonts w:cs="Times New Roman"/>
          <w:color w:val="000000" w:themeColor="text1"/>
          <w:szCs w:val="24"/>
        </w:rPr>
        <w:t>bulk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07D5A">
        <w:rPr>
          <w:rFonts w:cs="Times New Roman"/>
          <w:color w:val="000000" w:themeColor="text1"/>
          <w:szCs w:val="24"/>
        </w:rPr>
        <w:t>form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07D5A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07D5A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07D5A">
        <w:rPr>
          <w:rFonts w:cs="Times New Roman"/>
          <w:color w:val="000000" w:themeColor="text1"/>
          <w:szCs w:val="24"/>
        </w:rPr>
        <w:t>part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07D5A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021A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021A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D51CF">
        <w:rPr>
          <w:rFonts w:cs="Times New Roman"/>
          <w:color w:val="000000" w:themeColor="text1"/>
          <w:szCs w:val="24"/>
        </w:rPr>
        <w:t>diaphragm</w:t>
      </w:r>
      <w:r w:rsidRPr="00C317BB" w:rsidR="00245970">
        <w:rPr>
          <w:rFonts w:cs="Times New Roman"/>
          <w:color w:val="000000" w:themeColor="text1"/>
          <w:szCs w:val="24"/>
        </w:rPr>
        <w:t>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45970">
        <w:rPr>
          <w:rFonts w:cs="Times New Roman"/>
          <w:color w:val="000000" w:themeColor="text1"/>
          <w:szCs w:val="24"/>
        </w:rPr>
        <w:t>used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45970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45970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45970">
        <w:rPr>
          <w:rFonts w:cs="Times New Roman"/>
          <w:color w:val="000000" w:themeColor="text1"/>
          <w:szCs w:val="24"/>
        </w:rPr>
        <w:t>chlor-alkali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45970">
        <w:rPr>
          <w:rFonts w:cs="Times New Roman"/>
          <w:color w:val="000000" w:themeColor="text1"/>
          <w:szCs w:val="24"/>
        </w:rPr>
        <w:t>industry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D51CF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D0CAC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D51CF">
        <w:rPr>
          <w:rFonts w:cs="Times New Roman"/>
          <w:color w:val="000000" w:themeColor="text1"/>
          <w:szCs w:val="24"/>
        </w:rPr>
        <w:t>sheet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D51CF">
        <w:rPr>
          <w:rFonts w:cs="Times New Roman"/>
          <w:color w:val="000000" w:themeColor="text1"/>
          <w:szCs w:val="24"/>
        </w:rPr>
        <w:t>gasket</w:t>
      </w:r>
      <w:r w:rsidRPr="00C317BB" w:rsidR="00445D44">
        <w:rPr>
          <w:rFonts w:cs="Times New Roman"/>
          <w:color w:val="000000" w:themeColor="text1"/>
          <w:szCs w:val="24"/>
        </w:rPr>
        <w:t>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5CC5">
        <w:rPr>
          <w:rFonts w:cs="Times New Roman"/>
          <w:color w:val="000000" w:themeColor="text1"/>
          <w:szCs w:val="24"/>
        </w:rPr>
        <w:t>used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D51CF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D51CF">
        <w:rPr>
          <w:rFonts w:cs="Times New Roman"/>
          <w:color w:val="000000" w:themeColor="text1"/>
          <w:szCs w:val="24"/>
        </w:rPr>
        <w:t>chemical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D51CF">
        <w:rPr>
          <w:rFonts w:cs="Times New Roman"/>
          <w:color w:val="000000" w:themeColor="text1"/>
          <w:szCs w:val="24"/>
        </w:rPr>
        <w:t>production,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11FB4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11FB4">
        <w:rPr>
          <w:rFonts w:cs="Times New Roman"/>
          <w:color w:val="000000" w:themeColor="text1"/>
          <w:szCs w:val="24"/>
        </w:rPr>
        <w:t>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11FB4">
        <w:rPr>
          <w:rFonts w:cs="Times New Roman"/>
          <w:color w:val="000000" w:themeColor="text1"/>
          <w:szCs w:val="24"/>
        </w:rPr>
        <w:t>effective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4350B">
        <w:rPr>
          <w:rFonts w:cs="Times New Roman"/>
          <w:color w:val="000000" w:themeColor="text1"/>
          <w:szCs w:val="24"/>
        </w:rPr>
        <w:t>date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72581">
        <w:rPr>
          <w:rFonts w:cs="Times New Roman"/>
          <w:color w:val="000000" w:themeColor="text1"/>
          <w:szCs w:val="24"/>
        </w:rPr>
        <w:t>five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2F84">
        <w:rPr>
          <w:rFonts w:cs="Times New Roman"/>
          <w:color w:val="000000" w:themeColor="text1"/>
          <w:szCs w:val="24"/>
        </w:rPr>
        <w:t>years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435E">
        <w:rPr>
          <w:rFonts w:cs="Times New Roman"/>
          <w:color w:val="000000" w:themeColor="text1"/>
          <w:szCs w:val="24"/>
        </w:rPr>
        <w:t>after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435E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435E">
        <w:rPr>
          <w:rFonts w:cs="Times New Roman"/>
          <w:color w:val="000000" w:themeColor="text1"/>
          <w:szCs w:val="24"/>
        </w:rPr>
        <w:t>effective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435E">
        <w:rPr>
          <w:rFonts w:cs="Times New Roman"/>
          <w:color w:val="000000" w:themeColor="text1"/>
          <w:szCs w:val="24"/>
        </w:rPr>
        <w:t>date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435E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2F84">
        <w:rPr>
          <w:rFonts w:cs="Times New Roman"/>
          <w:color w:val="000000" w:themeColor="text1"/>
          <w:szCs w:val="24"/>
        </w:rPr>
        <w:t>th</w:t>
      </w:r>
      <w:r w:rsidRPr="00C317BB" w:rsidR="0084350B">
        <w:rPr>
          <w:rFonts w:cs="Times New Roman"/>
          <w:color w:val="000000" w:themeColor="text1"/>
          <w:szCs w:val="24"/>
        </w:rPr>
        <w:t>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62DF7">
        <w:rPr>
          <w:rFonts w:cs="Times New Roman"/>
          <w:color w:val="000000" w:themeColor="text1"/>
          <w:szCs w:val="24"/>
        </w:rPr>
        <w:t>final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2F84">
        <w:rPr>
          <w:rFonts w:cs="Times New Roman"/>
          <w:color w:val="000000" w:themeColor="text1"/>
          <w:szCs w:val="24"/>
        </w:rPr>
        <w:t>rule</w:t>
      </w:r>
      <w:r w:rsidRPr="00C317BB" w:rsidR="00943F01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3F01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3F01">
        <w:rPr>
          <w:rFonts w:cs="Times New Roman"/>
          <w:color w:val="000000" w:themeColor="text1"/>
          <w:szCs w:val="24"/>
        </w:rPr>
        <w:t>interim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3F01">
        <w:rPr>
          <w:rFonts w:cs="Times New Roman"/>
          <w:color w:val="000000" w:themeColor="text1"/>
          <w:szCs w:val="24"/>
        </w:rPr>
        <w:t>controls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6617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6617">
        <w:rPr>
          <w:rFonts w:cs="Times New Roman"/>
          <w:color w:val="000000" w:themeColor="text1"/>
          <w:szCs w:val="24"/>
        </w:rPr>
        <w:t>processing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6617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6617">
        <w:rPr>
          <w:rFonts w:cs="Times New Roman"/>
          <w:color w:val="000000" w:themeColor="text1"/>
          <w:szCs w:val="24"/>
        </w:rPr>
        <w:t>commercial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6617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3F01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3F01">
        <w:rPr>
          <w:rFonts w:cs="Times New Roman"/>
          <w:color w:val="000000" w:themeColor="text1"/>
          <w:szCs w:val="24"/>
        </w:rPr>
        <w:t>described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3F01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3F01">
        <w:rPr>
          <w:rFonts w:cs="Times New Roman"/>
          <w:color w:val="000000" w:themeColor="text1"/>
          <w:szCs w:val="24"/>
        </w:rPr>
        <w:t>Unit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3F01">
        <w:rPr>
          <w:rFonts w:cs="Times New Roman"/>
          <w:color w:val="000000" w:themeColor="text1"/>
          <w:szCs w:val="24"/>
        </w:rPr>
        <w:t>IV.B.2</w:t>
      </w:r>
      <w:r w:rsidRPr="00C317BB">
        <w:rPr>
          <w:rFonts w:cs="Times New Roman"/>
          <w:color w:val="000000" w:themeColor="text1"/>
          <w:szCs w:val="24"/>
        </w:rPr>
        <w:t>.</w:t>
      </w:r>
    </w:p>
    <w:p w:rsidRPr="00C317BB" w:rsidR="0094118F" w:rsidP="00F27167" w:rsidRDefault="00737FA0" w14:paraId="787A9251" w14:textId="3AF771C5">
      <w:pPr>
        <w:pStyle w:val="Heading3"/>
        <w:ind w:firstLine="720"/>
        <w:rPr>
          <w:rFonts w:cs="Times New Roman"/>
          <w:color w:val="000000" w:themeColor="text1"/>
          <w:szCs w:val="24"/>
          <w:lang w:val="en"/>
        </w:rPr>
      </w:pPr>
      <w:r w:rsidRPr="00C317BB">
        <w:rPr>
          <w:rFonts w:cs="Times New Roman"/>
          <w:color w:val="000000" w:themeColor="text1"/>
          <w:szCs w:val="24"/>
          <w:lang w:val="en"/>
        </w:rPr>
        <w:t>2.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83353D">
        <w:rPr>
          <w:rFonts w:cs="Times New Roman"/>
          <w:color w:val="000000" w:themeColor="text1"/>
          <w:szCs w:val="24"/>
          <w:lang w:val="en"/>
        </w:rPr>
        <w:t>Requiring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943F01">
        <w:rPr>
          <w:rFonts w:cs="Times New Roman"/>
          <w:color w:val="000000" w:themeColor="text1"/>
          <w:szCs w:val="24"/>
          <w:lang w:val="en"/>
        </w:rPr>
        <w:t>as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E44D82">
        <w:rPr>
          <w:rFonts w:cs="Times New Roman"/>
          <w:color w:val="000000" w:themeColor="text1"/>
          <w:szCs w:val="24"/>
          <w:lang w:val="en"/>
        </w:rPr>
        <w:t>i</w:t>
      </w:r>
      <w:r w:rsidRPr="00C317BB" w:rsidR="0083353D">
        <w:rPr>
          <w:rFonts w:cs="Times New Roman"/>
          <w:color w:val="000000" w:themeColor="text1"/>
          <w:szCs w:val="24"/>
          <w:lang w:val="en"/>
        </w:rPr>
        <w:t>nterim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E44D82">
        <w:rPr>
          <w:rFonts w:cs="Times New Roman"/>
          <w:color w:val="000000" w:themeColor="text1"/>
          <w:szCs w:val="24"/>
          <w:lang w:val="en"/>
        </w:rPr>
        <w:t>c</w:t>
      </w:r>
      <w:r w:rsidRPr="00C317BB" w:rsidR="0083353D">
        <w:rPr>
          <w:rFonts w:cs="Times New Roman"/>
          <w:color w:val="000000" w:themeColor="text1"/>
          <w:szCs w:val="24"/>
          <w:lang w:val="en"/>
        </w:rPr>
        <w:t>ontrol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83353D">
        <w:rPr>
          <w:rFonts w:cs="Times New Roman"/>
          <w:color w:val="000000" w:themeColor="text1"/>
          <w:szCs w:val="24"/>
          <w:lang w:val="en"/>
        </w:rPr>
        <w:t>an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1B35F3">
        <w:rPr>
          <w:rFonts w:cs="Times New Roman"/>
          <w:color w:val="000000" w:themeColor="text1"/>
          <w:szCs w:val="24"/>
          <w:lang w:val="en"/>
        </w:rPr>
        <w:t>e</w:t>
      </w:r>
      <w:r w:rsidRPr="00C317BB" w:rsidR="0083353D">
        <w:rPr>
          <w:rFonts w:cs="Times New Roman"/>
          <w:color w:val="000000" w:themeColor="text1"/>
          <w:szCs w:val="24"/>
          <w:lang w:val="en"/>
        </w:rPr>
        <w:t>xisting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1B35F3">
        <w:rPr>
          <w:rFonts w:cs="Times New Roman"/>
          <w:color w:val="000000" w:themeColor="text1"/>
          <w:szCs w:val="24"/>
          <w:lang w:val="en"/>
        </w:rPr>
        <w:t>c</w:t>
      </w:r>
      <w:r w:rsidRPr="00C317BB" w:rsidR="0083353D">
        <w:rPr>
          <w:rFonts w:cs="Times New Roman"/>
          <w:color w:val="000000" w:themeColor="text1"/>
          <w:szCs w:val="24"/>
          <w:lang w:val="en"/>
        </w:rPr>
        <w:t>hemical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1B35F3">
        <w:rPr>
          <w:rFonts w:cs="Times New Roman"/>
          <w:color w:val="000000" w:themeColor="text1"/>
          <w:szCs w:val="24"/>
          <w:lang w:val="en"/>
        </w:rPr>
        <w:t>e</w:t>
      </w:r>
      <w:r w:rsidRPr="00C317BB" w:rsidR="0083353D">
        <w:rPr>
          <w:rFonts w:cs="Times New Roman"/>
          <w:color w:val="000000" w:themeColor="text1"/>
          <w:szCs w:val="24"/>
          <w:lang w:val="en"/>
        </w:rPr>
        <w:t>xposure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1B35F3">
        <w:rPr>
          <w:rFonts w:cs="Times New Roman"/>
          <w:color w:val="000000" w:themeColor="text1"/>
          <w:szCs w:val="24"/>
          <w:lang w:val="en"/>
        </w:rPr>
        <w:t>l</w:t>
      </w:r>
      <w:r w:rsidRPr="00C317BB" w:rsidR="0083353D">
        <w:rPr>
          <w:rFonts w:cs="Times New Roman"/>
          <w:color w:val="000000" w:themeColor="text1"/>
          <w:szCs w:val="24"/>
          <w:lang w:val="en"/>
        </w:rPr>
        <w:t>imit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83353D">
        <w:rPr>
          <w:rFonts w:cs="Times New Roman"/>
          <w:color w:val="000000" w:themeColor="text1"/>
          <w:szCs w:val="24"/>
          <w:lang w:val="en"/>
        </w:rPr>
        <w:t>(ECEL)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83353D">
        <w:rPr>
          <w:rFonts w:cs="Times New Roman"/>
          <w:color w:val="000000" w:themeColor="text1"/>
          <w:szCs w:val="24"/>
          <w:lang w:val="en"/>
        </w:rPr>
        <w:t>for</w:t>
      </w:r>
      <w:r w:rsidRPr="00C317BB" w:rsidR="00E44D82">
        <w:rPr>
          <w:rFonts w:cs="Times New Roman"/>
          <w:color w:val="000000" w:themeColor="text1"/>
          <w:szCs w:val="24"/>
          <w:lang w:val="en"/>
        </w:rPr>
        <w:t>: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CE42D7">
        <w:rPr>
          <w:rFonts w:cs="Times New Roman"/>
          <w:color w:val="000000" w:themeColor="text1"/>
          <w:szCs w:val="24"/>
          <w:lang w:val="en"/>
        </w:rPr>
        <w:t>processing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CE42D7">
        <w:rPr>
          <w:rFonts w:cs="Times New Roman"/>
          <w:color w:val="000000" w:themeColor="text1"/>
          <w:szCs w:val="24"/>
          <w:lang w:val="en"/>
        </w:rPr>
        <w:t>and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CE42D7">
        <w:rPr>
          <w:rFonts w:cs="Times New Roman"/>
          <w:color w:val="000000" w:themeColor="text1"/>
          <w:szCs w:val="24"/>
          <w:lang w:val="en"/>
        </w:rPr>
        <w:t>commercial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CE42D7">
        <w:rPr>
          <w:rFonts w:cs="Times New Roman"/>
          <w:color w:val="000000" w:themeColor="text1"/>
          <w:szCs w:val="24"/>
          <w:lang w:val="en"/>
        </w:rPr>
        <w:t>use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CE42D7">
        <w:rPr>
          <w:rFonts w:cs="Times New Roman"/>
          <w:color w:val="000000" w:themeColor="text1"/>
          <w:szCs w:val="24"/>
          <w:lang w:val="en"/>
        </w:rPr>
        <w:t>of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CE42D7">
        <w:rPr>
          <w:rFonts w:cs="Times New Roman"/>
          <w:color w:val="000000" w:themeColor="text1"/>
          <w:szCs w:val="24"/>
          <w:lang w:val="en"/>
        </w:rPr>
        <w:t>chrysotile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CE42D7">
        <w:rPr>
          <w:rFonts w:cs="Times New Roman"/>
          <w:color w:val="000000" w:themeColor="text1"/>
          <w:szCs w:val="24"/>
          <w:lang w:val="en"/>
        </w:rPr>
        <w:t>asbestos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CE42D7">
        <w:rPr>
          <w:rFonts w:cs="Times New Roman"/>
          <w:color w:val="000000" w:themeColor="text1"/>
          <w:szCs w:val="24"/>
          <w:lang w:val="en"/>
        </w:rPr>
        <w:t>diaphragms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CE42D7">
        <w:rPr>
          <w:rFonts w:cs="Times New Roman"/>
          <w:color w:val="000000" w:themeColor="text1"/>
          <w:szCs w:val="24"/>
          <w:lang w:val="en"/>
        </w:rPr>
        <w:t>in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CE42D7">
        <w:rPr>
          <w:rFonts w:cs="Times New Roman"/>
          <w:color w:val="000000" w:themeColor="text1"/>
          <w:szCs w:val="24"/>
          <w:lang w:val="en"/>
        </w:rPr>
        <w:t>the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CE42D7">
        <w:rPr>
          <w:rFonts w:cs="Times New Roman"/>
          <w:color w:val="000000" w:themeColor="text1"/>
          <w:szCs w:val="24"/>
          <w:lang w:val="en"/>
        </w:rPr>
        <w:t>chlor-alkali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CE42D7">
        <w:rPr>
          <w:rFonts w:cs="Times New Roman"/>
          <w:color w:val="000000" w:themeColor="text1"/>
          <w:szCs w:val="24"/>
          <w:lang w:val="en"/>
        </w:rPr>
        <w:t>industry</w:t>
      </w:r>
      <w:r w:rsidRPr="00C317BB" w:rsidR="0083353D">
        <w:rPr>
          <w:rFonts w:cs="Times New Roman"/>
          <w:color w:val="000000" w:themeColor="text1"/>
          <w:szCs w:val="24"/>
          <w:lang w:val="en"/>
        </w:rPr>
        <w:t>;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E44D82">
        <w:rPr>
          <w:rFonts w:cs="Times New Roman"/>
          <w:color w:val="000000" w:themeColor="text1"/>
          <w:szCs w:val="24"/>
          <w:lang w:val="en"/>
        </w:rPr>
        <w:t>and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095DFF">
        <w:rPr>
          <w:rFonts w:cs="Times New Roman"/>
          <w:color w:val="000000" w:themeColor="text1"/>
          <w:szCs w:val="24"/>
          <w:lang w:val="en"/>
        </w:rPr>
        <w:t>c</w:t>
      </w:r>
      <w:r w:rsidRPr="00C317BB" w:rsidR="0083353D">
        <w:rPr>
          <w:rFonts w:cs="Times New Roman"/>
          <w:color w:val="000000" w:themeColor="text1"/>
          <w:szCs w:val="24"/>
          <w:lang w:val="en"/>
        </w:rPr>
        <w:t>hrysotile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095DFF">
        <w:rPr>
          <w:rFonts w:cs="Times New Roman"/>
          <w:color w:val="000000" w:themeColor="text1"/>
          <w:szCs w:val="24"/>
          <w:lang w:val="en"/>
        </w:rPr>
        <w:t>a</w:t>
      </w:r>
      <w:r w:rsidRPr="00C317BB" w:rsidR="0083353D">
        <w:rPr>
          <w:rFonts w:cs="Times New Roman"/>
          <w:color w:val="000000" w:themeColor="text1"/>
          <w:szCs w:val="24"/>
          <w:lang w:val="en"/>
        </w:rPr>
        <w:t>sbestos-containing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095DFF">
        <w:rPr>
          <w:rFonts w:cs="Times New Roman"/>
          <w:color w:val="000000" w:themeColor="text1"/>
          <w:szCs w:val="24"/>
          <w:lang w:val="en"/>
        </w:rPr>
        <w:t>s</w:t>
      </w:r>
      <w:r w:rsidRPr="00C317BB" w:rsidR="0083353D">
        <w:rPr>
          <w:rFonts w:cs="Times New Roman"/>
          <w:color w:val="000000" w:themeColor="text1"/>
          <w:szCs w:val="24"/>
          <w:lang w:val="en"/>
        </w:rPr>
        <w:t>heet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095DFF">
        <w:rPr>
          <w:rFonts w:cs="Times New Roman"/>
          <w:color w:val="000000" w:themeColor="text1"/>
          <w:szCs w:val="24"/>
          <w:lang w:val="en"/>
        </w:rPr>
        <w:t>g</w:t>
      </w:r>
      <w:r w:rsidRPr="00C317BB" w:rsidR="0083353D">
        <w:rPr>
          <w:rFonts w:cs="Times New Roman"/>
          <w:color w:val="000000" w:themeColor="text1"/>
          <w:szCs w:val="24"/>
          <w:lang w:val="en"/>
        </w:rPr>
        <w:t>askets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83353D">
        <w:rPr>
          <w:rFonts w:cs="Times New Roman"/>
          <w:color w:val="000000" w:themeColor="text1"/>
          <w:szCs w:val="24"/>
          <w:lang w:val="en"/>
        </w:rPr>
        <w:t>in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095DFF">
        <w:rPr>
          <w:rFonts w:cs="Times New Roman"/>
          <w:color w:val="000000" w:themeColor="text1"/>
          <w:szCs w:val="24"/>
          <w:lang w:val="en"/>
        </w:rPr>
        <w:t>c</w:t>
      </w:r>
      <w:r w:rsidRPr="00C317BB" w:rsidR="0083353D">
        <w:rPr>
          <w:rFonts w:cs="Times New Roman"/>
          <w:color w:val="000000" w:themeColor="text1"/>
          <w:szCs w:val="24"/>
          <w:lang w:val="en"/>
        </w:rPr>
        <w:t>hemical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095DFF">
        <w:rPr>
          <w:rFonts w:cs="Times New Roman"/>
          <w:color w:val="000000" w:themeColor="text1"/>
          <w:szCs w:val="24"/>
          <w:lang w:val="en"/>
        </w:rPr>
        <w:t>p</w:t>
      </w:r>
      <w:r w:rsidRPr="00C317BB" w:rsidR="0083353D">
        <w:rPr>
          <w:rFonts w:cs="Times New Roman"/>
          <w:color w:val="000000" w:themeColor="text1"/>
          <w:szCs w:val="24"/>
          <w:lang w:val="en"/>
        </w:rPr>
        <w:t>rodu</w:t>
      </w:r>
      <w:r w:rsidRPr="00C317BB" w:rsidR="002A14B2">
        <w:rPr>
          <w:rFonts w:cs="Times New Roman"/>
          <w:color w:val="000000" w:themeColor="text1"/>
          <w:szCs w:val="24"/>
          <w:lang w:val="en"/>
        </w:rPr>
        <w:t>ction</w:t>
      </w:r>
      <w:r w:rsidRPr="00C317BB" w:rsidR="00C070B9">
        <w:rPr>
          <w:rFonts w:cs="Times New Roman"/>
          <w:color w:val="000000" w:themeColor="text1"/>
          <w:szCs w:val="24"/>
          <w:lang w:val="en"/>
        </w:rPr>
        <w:t>.</w:t>
      </w:r>
    </w:p>
    <w:p w:rsidRPr="00C317BB" w:rsidR="0094118F" w:rsidP="00F27167" w:rsidRDefault="00E213E5" w14:paraId="114C3054" w14:textId="5DA9B24D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part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D4F1E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24B70">
        <w:rPr>
          <w:rFonts w:cs="Times New Roman"/>
          <w:color w:val="000000" w:themeColor="text1"/>
          <w:szCs w:val="24"/>
        </w:rPr>
        <w:t>primary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D4F1E">
        <w:rPr>
          <w:rFonts w:cs="Times New Roman"/>
          <w:color w:val="000000" w:themeColor="text1"/>
          <w:szCs w:val="24"/>
        </w:rPr>
        <w:t>alternative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D4F1E">
        <w:rPr>
          <w:rFonts w:cs="Times New Roman"/>
          <w:color w:val="000000" w:themeColor="text1"/>
          <w:szCs w:val="24"/>
        </w:rPr>
        <w:t>regulatory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D4F1E">
        <w:rPr>
          <w:rFonts w:cs="Times New Roman"/>
          <w:color w:val="000000" w:themeColor="text1"/>
          <w:szCs w:val="24"/>
        </w:rPr>
        <w:t>action,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D4F1E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D4F1E">
        <w:rPr>
          <w:rFonts w:cs="Times New Roman"/>
          <w:color w:val="000000" w:themeColor="text1"/>
          <w:szCs w:val="24"/>
        </w:rPr>
        <w:t>require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31B46">
        <w:rPr>
          <w:rFonts w:cs="Times New Roman"/>
          <w:color w:val="000000" w:themeColor="text1"/>
          <w:szCs w:val="24"/>
        </w:rPr>
        <w:t>processors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570EF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570EF">
        <w:rPr>
          <w:rFonts w:cs="Times New Roman"/>
          <w:color w:val="000000" w:themeColor="text1"/>
          <w:szCs w:val="24"/>
        </w:rPr>
        <w:t>commerc</w:t>
      </w:r>
      <w:r w:rsidRPr="00C317BB" w:rsidR="00E52AE4">
        <w:rPr>
          <w:rFonts w:cs="Times New Roman"/>
          <w:color w:val="000000" w:themeColor="text1"/>
          <w:szCs w:val="24"/>
        </w:rPr>
        <w:t>i</w:t>
      </w:r>
      <w:r w:rsidRPr="00C317BB" w:rsidR="003570EF">
        <w:rPr>
          <w:rFonts w:cs="Times New Roman"/>
          <w:color w:val="000000" w:themeColor="text1"/>
          <w:szCs w:val="24"/>
        </w:rPr>
        <w:t>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570EF">
        <w:rPr>
          <w:rFonts w:cs="Times New Roman"/>
          <w:color w:val="000000" w:themeColor="text1"/>
          <w:szCs w:val="24"/>
        </w:rPr>
        <w:t>users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13AF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13AF">
        <w:rPr>
          <w:rFonts w:cs="Times New Roman"/>
          <w:color w:val="000000" w:themeColor="text1"/>
          <w:szCs w:val="24"/>
        </w:rPr>
        <w:t>comply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13AF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720F">
        <w:rPr>
          <w:rFonts w:cs="Times New Roman"/>
          <w:color w:val="000000" w:themeColor="text1"/>
          <w:szCs w:val="24"/>
        </w:rPr>
        <w:t>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720F">
        <w:rPr>
          <w:rFonts w:cs="Times New Roman"/>
          <w:color w:val="000000" w:themeColor="text1"/>
          <w:szCs w:val="24"/>
        </w:rPr>
        <w:t>8-hour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720F">
        <w:rPr>
          <w:rFonts w:cs="Times New Roman"/>
          <w:color w:val="000000" w:themeColor="text1"/>
          <w:szCs w:val="24"/>
        </w:rPr>
        <w:t>existing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720F">
        <w:rPr>
          <w:rFonts w:cs="Times New Roman"/>
          <w:color w:val="000000" w:themeColor="text1"/>
          <w:szCs w:val="24"/>
        </w:rPr>
        <w:t>chemical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720F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720F">
        <w:rPr>
          <w:rFonts w:cs="Times New Roman"/>
          <w:color w:val="000000" w:themeColor="text1"/>
          <w:szCs w:val="24"/>
        </w:rPr>
        <w:t>limit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720F">
        <w:rPr>
          <w:rFonts w:cs="Times New Roman"/>
          <w:color w:val="000000" w:themeColor="text1"/>
          <w:szCs w:val="24"/>
        </w:rPr>
        <w:t>(ECEL)</w:t>
      </w:r>
      <w:r w:rsidRPr="00C317BB" w:rsidR="005F097A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2327">
        <w:rPr>
          <w:rFonts w:cs="Times New Roman"/>
          <w:color w:val="000000" w:themeColor="text1"/>
          <w:szCs w:val="24"/>
        </w:rPr>
        <w:t>during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2327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2327">
        <w:rPr>
          <w:rFonts w:cs="Times New Roman"/>
          <w:color w:val="000000" w:themeColor="text1"/>
          <w:szCs w:val="24"/>
        </w:rPr>
        <w:t>interim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2327">
        <w:rPr>
          <w:rFonts w:cs="Times New Roman"/>
          <w:color w:val="000000" w:themeColor="text1"/>
          <w:szCs w:val="24"/>
        </w:rPr>
        <w:t>period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32300">
        <w:rPr>
          <w:rFonts w:cs="Times New Roman"/>
          <w:color w:val="000000" w:themeColor="text1"/>
          <w:szCs w:val="24"/>
        </w:rPr>
        <w:t>prior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32300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32300">
        <w:rPr>
          <w:rFonts w:cs="Times New Roman"/>
          <w:color w:val="000000" w:themeColor="text1"/>
          <w:szCs w:val="24"/>
        </w:rPr>
        <w:t>prohibition,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F0F8A">
        <w:rPr>
          <w:rFonts w:cs="Times New Roman"/>
          <w:color w:val="000000" w:themeColor="text1"/>
          <w:szCs w:val="24"/>
        </w:rPr>
        <w:t>beginning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F0F8A">
        <w:rPr>
          <w:rFonts w:cs="Times New Roman"/>
          <w:color w:val="000000" w:themeColor="text1"/>
          <w:szCs w:val="24"/>
        </w:rPr>
        <w:t>180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F0F8A">
        <w:rPr>
          <w:rFonts w:cs="Times New Roman"/>
          <w:color w:val="000000" w:themeColor="text1"/>
          <w:szCs w:val="24"/>
        </w:rPr>
        <w:t>days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F0F8A">
        <w:rPr>
          <w:rFonts w:cs="Times New Roman"/>
          <w:color w:val="000000" w:themeColor="text1"/>
          <w:szCs w:val="24"/>
        </w:rPr>
        <w:t>after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A1E74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A1E74">
        <w:rPr>
          <w:rFonts w:cs="Times New Roman"/>
          <w:color w:val="000000" w:themeColor="text1"/>
          <w:szCs w:val="24"/>
        </w:rPr>
        <w:t>effective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A1E74">
        <w:rPr>
          <w:rFonts w:cs="Times New Roman"/>
          <w:color w:val="000000" w:themeColor="text1"/>
          <w:szCs w:val="24"/>
        </w:rPr>
        <w:t>date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A1E74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A1E74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F0F8A">
        <w:rPr>
          <w:rFonts w:cs="Times New Roman"/>
          <w:color w:val="000000" w:themeColor="text1"/>
          <w:szCs w:val="24"/>
        </w:rPr>
        <w:t>final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F0F8A">
        <w:rPr>
          <w:rFonts w:cs="Times New Roman"/>
          <w:color w:val="000000" w:themeColor="text1"/>
          <w:szCs w:val="24"/>
        </w:rPr>
        <w:t>rule,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31B46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31B46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31B46">
        <w:rPr>
          <w:rFonts w:cs="Times New Roman"/>
          <w:color w:val="000000" w:themeColor="text1"/>
          <w:szCs w:val="24"/>
        </w:rPr>
        <w:t>following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31B46">
        <w:rPr>
          <w:rFonts w:cs="Times New Roman"/>
          <w:color w:val="000000" w:themeColor="text1"/>
          <w:szCs w:val="24"/>
        </w:rPr>
        <w:t>conditions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31B46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31B46">
        <w:rPr>
          <w:rFonts w:cs="Times New Roman"/>
          <w:color w:val="000000" w:themeColor="text1"/>
          <w:szCs w:val="24"/>
        </w:rPr>
        <w:t>use</w:t>
      </w:r>
      <w:r w:rsidRPr="00C317BB" w:rsidR="00A56181">
        <w:rPr>
          <w:rFonts w:cs="Times New Roman"/>
          <w:color w:val="000000" w:themeColor="text1"/>
          <w:szCs w:val="24"/>
        </w:rPr>
        <w:t>: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03F34">
        <w:rPr>
          <w:rFonts w:cs="Times New Roman"/>
          <w:color w:val="000000" w:themeColor="text1"/>
          <w:szCs w:val="24"/>
        </w:rPr>
        <w:t>1)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263E9">
        <w:rPr>
          <w:rFonts w:cs="Times New Roman"/>
          <w:color w:val="000000" w:themeColor="text1"/>
          <w:szCs w:val="24"/>
        </w:rPr>
        <w:t>processing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263E9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263E9">
        <w:rPr>
          <w:rFonts w:cs="Times New Roman"/>
          <w:color w:val="000000" w:themeColor="text1"/>
          <w:szCs w:val="24"/>
        </w:rPr>
        <w:t>industrial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263E9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263E9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263E9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263E9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644D9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644D9">
        <w:rPr>
          <w:rFonts w:cs="Times New Roman"/>
          <w:color w:val="000000" w:themeColor="text1"/>
          <w:szCs w:val="24"/>
        </w:rPr>
        <w:t>bulk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644D9">
        <w:rPr>
          <w:rFonts w:cs="Times New Roman"/>
          <w:color w:val="000000" w:themeColor="text1"/>
          <w:szCs w:val="24"/>
        </w:rPr>
        <w:t>form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644D9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644D9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644D9">
        <w:rPr>
          <w:rFonts w:cs="Times New Roman"/>
          <w:color w:val="000000" w:themeColor="text1"/>
          <w:szCs w:val="24"/>
        </w:rPr>
        <w:t>part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644D9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644D9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644D9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263E9">
        <w:rPr>
          <w:rFonts w:cs="Times New Roman"/>
          <w:color w:val="000000" w:themeColor="text1"/>
          <w:szCs w:val="24"/>
        </w:rPr>
        <w:t>diaphragms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03F34">
        <w:rPr>
          <w:rFonts w:cs="Times New Roman"/>
          <w:color w:val="000000" w:themeColor="text1"/>
          <w:szCs w:val="24"/>
        </w:rPr>
        <w:t>used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263E9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263E9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263E9">
        <w:rPr>
          <w:rFonts w:cs="Times New Roman"/>
          <w:color w:val="000000" w:themeColor="text1"/>
          <w:szCs w:val="24"/>
        </w:rPr>
        <w:t>chlor-alkali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263E9">
        <w:rPr>
          <w:rFonts w:cs="Times New Roman"/>
          <w:color w:val="000000" w:themeColor="text1"/>
          <w:szCs w:val="24"/>
        </w:rPr>
        <w:t>industry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263E9">
        <w:rPr>
          <w:rFonts w:cs="Times New Roman"/>
          <w:color w:val="000000" w:themeColor="text1"/>
          <w:szCs w:val="24"/>
        </w:rPr>
        <w:t>a</w:t>
      </w:r>
      <w:r w:rsidRPr="00C317BB" w:rsidR="00307DA1">
        <w:rPr>
          <w:rFonts w:cs="Times New Roman"/>
          <w:color w:val="000000" w:themeColor="text1"/>
          <w:szCs w:val="24"/>
        </w:rPr>
        <w:t>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03F34">
        <w:rPr>
          <w:rFonts w:cs="Times New Roman"/>
          <w:color w:val="000000" w:themeColor="text1"/>
          <w:szCs w:val="24"/>
        </w:rPr>
        <w:t>2)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A05DB">
        <w:rPr>
          <w:rFonts w:cs="Times New Roman"/>
          <w:color w:val="000000" w:themeColor="text1"/>
          <w:szCs w:val="24"/>
        </w:rPr>
        <w:t>p</w:t>
      </w:r>
      <w:r w:rsidRPr="00C317BB" w:rsidR="00307DA1">
        <w:rPr>
          <w:rFonts w:cs="Times New Roman"/>
          <w:color w:val="000000" w:themeColor="text1"/>
          <w:szCs w:val="24"/>
        </w:rPr>
        <w:t>rocessing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07DA1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A05DB">
        <w:rPr>
          <w:rFonts w:cs="Times New Roman"/>
          <w:color w:val="000000" w:themeColor="text1"/>
          <w:szCs w:val="24"/>
        </w:rPr>
        <w:t>i</w:t>
      </w:r>
      <w:r w:rsidRPr="00C317BB" w:rsidR="00307DA1">
        <w:rPr>
          <w:rFonts w:cs="Times New Roman"/>
          <w:color w:val="000000" w:themeColor="text1"/>
          <w:szCs w:val="24"/>
        </w:rPr>
        <w:t>ndustrial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07DA1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07DA1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A05DB">
        <w:rPr>
          <w:rFonts w:cs="Times New Roman"/>
          <w:color w:val="000000" w:themeColor="text1"/>
          <w:szCs w:val="24"/>
        </w:rPr>
        <w:t>c</w:t>
      </w:r>
      <w:r w:rsidRPr="00C317BB" w:rsidR="00307DA1">
        <w:rPr>
          <w:rFonts w:cs="Times New Roman"/>
          <w:color w:val="000000" w:themeColor="text1"/>
          <w:szCs w:val="24"/>
        </w:rPr>
        <w:t>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A05DB">
        <w:rPr>
          <w:rFonts w:cs="Times New Roman"/>
          <w:color w:val="000000" w:themeColor="text1"/>
          <w:szCs w:val="24"/>
        </w:rPr>
        <w:t>a</w:t>
      </w:r>
      <w:r w:rsidRPr="00C317BB" w:rsidR="00307DA1">
        <w:rPr>
          <w:rFonts w:cs="Times New Roman"/>
          <w:color w:val="000000" w:themeColor="text1"/>
          <w:szCs w:val="24"/>
        </w:rPr>
        <w:t>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A05DB">
        <w:rPr>
          <w:rFonts w:cs="Times New Roman"/>
          <w:color w:val="000000" w:themeColor="text1"/>
          <w:szCs w:val="24"/>
        </w:rPr>
        <w:t>s</w:t>
      </w:r>
      <w:r w:rsidRPr="00C317BB" w:rsidR="00307DA1">
        <w:rPr>
          <w:rFonts w:cs="Times New Roman"/>
          <w:color w:val="000000" w:themeColor="text1"/>
          <w:szCs w:val="24"/>
        </w:rPr>
        <w:t>heet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A05DB">
        <w:rPr>
          <w:rFonts w:cs="Times New Roman"/>
          <w:color w:val="000000" w:themeColor="text1"/>
          <w:szCs w:val="24"/>
        </w:rPr>
        <w:t>g</w:t>
      </w:r>
      <w:r w:rsidRPr="00C317BB" w:rsidR="00307DA1">
        <w:rPr>
          <w:rFonts w:cs="Times New Roman"/>
          <w:color w:val="000000" w:themeColor="text1"/>
          <w:szCs w:val="24"/>
        </w:rPr>
        <w:t>askets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941DF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A05DB">
        <w:rPr>
          <w:rFonts w:cs="Times New Roman"/>
          <w:color w:val="000000" w:themeColor="text1"/>
          <w:szCs w:val="24"/>
        </w:rPr>
        <w:t>c</w:t>
      </w:r>
      <w:r w:rsidRPr="00C317BB" w:rsidR="009941DF">
        <w:rPr>
          <w:rFonts w:cs="Times New Roman"/>
          <w:color w:val="000000" w:themeColor="text1"/>
          <w:szCs w:val="24"/>
        </w:rPr>
        <w:t>hemical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A05DB">
        <w:rPr>
          <w:rFonts w:cs="Times New Roman"/>
          <w:color w:val="000000" w:themeColor="text1"/>
          <w:szCs w:val="24"/>
        </w:rPr>
        <w:t>p</w:t>
      </w:r>
      <w:r w:rsidRPr="00C317BB" w:rsidR="009941DF">
        <w:rPr>
          <w:rFonts w:cs="Times New Roman"/>
          <w:color w:val="000000" w:themeColor="text1"/>
          <w:szCs w:val="24"/>
        </w:rPr>
        <w:t>roducts.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36652">
        <w:rPr>
          <w:rFonts w:cs="Times New Roman"/>
          <w:color w:val="000000" w:themeColor="text1"/>
          <w:szCs w:val="24"/>
        </w:rPr>
        <w:t>calculated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36652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A4581">
        <w:rPr>
          <w:rFonts w:cs="Times New Roman"/>
          <w:color w:val="000000" w:themeColor="text1"/>
          <w:szCs w:val="24"/>
        </w:rPr>
        <w:t>ECEL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D7EE6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D7EE6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Del="00F55A77" w:rsidR="0094118F">
        <w:rPr>
          <w:rFonts w:cs="Times New Roman"/>
          <w:color w:val="000000" w:themeColor="text1"/>
          <w:szCs w:val="24"/>
        </w:rPr>
        <w:t>0.0</w:t>
      </w:r>
      <w:r w:rsidRPr="00C317BB" w:rsidR="0094118F">
        <w:rPr>
          <w:rFonts w:cs="Times New Roman"/>
          <w:color w:val="000000" w:themeColor="text1"/>
          <w:szCs w:val="24"/>
        </w:rPr>
        <w:t>0</w:t>
      </w:r>
      <w:r w:rsidRPr="00C317BB" w:rsidDel="00F55A77" w:rsidR="0094118F">
        <w:rPr>
          <w:rFonts w:cs="Times New Roman"/>
          <w:color w:val="000000" w:themeColor="text1"/>
          <w:szCs w:val="24"/>
        </w:rPr>
        <w:t>5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fiber</w:t>
      </w:r>
      <w:r w:rsidRPr="00C317BB" w:rsidR="00F56267">
        <w:rPr>
          <w:rFonts w:cs="Times New Roman"/>
          <w:color w:val="000000" w:themeColor="text1"/>
          <w:szCs w:val="24"/>
        </w:rPr>
        <w:t>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B6F38">
        <w:rPr>
          <w:rFonts w:cs="Times New Roman"/>
          <w:color w:val="000000" w:themeColor="text1"/>
          <w:szCs w:val="24"/>
        </w:rPr>
        <w:t>(f)</w:t>
      </w:r>
      <w:r w:rsidRPr="00C317BB" w:rsidR="0094118F">
        <w:rPr>
          <w:rFonts w:cs="Times New Roman"/>
          <w:color w:val="000000" w:themeColor="text1"/>
          <w:szCs w:val="24"/>
        </w:rPr>
        <w:t>/c</w:t>
      </w:r>
      <w:r w:rsidRPr="00C317BB" w:rsidR="00320800">
        <w:rPr>
          <w:rFonts w:cs="Times New Roman"/>
          <w:color w:val="000000" w:themeColor="text1"/>
          <w:szCs w:val="24"/>
        </w:rPr>
        <w:t>ubic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c</w:t>
      </w:r>
      <w:r w:rsidRPr="00C317BB" w:rsidR="00320800">
        <w:rPr>
          <w:rFonts w:cs="Times New Roman"/>
          <w:color w:val="000000" w:themeColor="text1"/>
          <w:szCs w:val="24"/>
        </w:rPr>
        <w:t>entimeter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20800">
        <w:rPr>
          <w:rFonts w:cs="Times New Roman"/>
          <w:color w:val="000000" w:themeColor="text1"/>
          <w:szCs w:val="24"/>
        </w:rPr>
        <w:t>(cc)</w:t>
      </w:r>
      <w:r w:rsidRPr="00C317BB" w:rsidR="0094118F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1559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1559">
        <w:rPr>
          <w:rFonts w:cs="Times New Roman"/>
          <w:color w:val="000000" w:themeColor="text1"/>
          <w:szCs w:val="24"/>
        </w:rPr>
        <w:t>inhalation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1559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1559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1559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1559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199B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199B">
        <w:rPr>
          <w:rFonts w:cs="Times New Roman"/>
          <w:color w:val="000000" w:themeColor="text1"/>
          <w:szCs w:val="24"/>
        </w:rPr>
        <w:t>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199B">
        <w:rPr>
          <w:rFonts w:cs="Times New Roman"/>
          <w:color w:val="000000" w:themeColor="text1"/>
          <w:szCs w:val="24"/>
        </w:rPr>
        <w:t>8-hour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923B5">
        <w:rPr>
          <w:rFonts w:cs="Times New Roman"/>
          <w:color w:val="000000" w:themeColor="text1"/>
          <w:szCs w:val="24"/>
        </w:rPr>
        <w:t>time-weighted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B21EA">
        <w:rPr>
          <w:rFonts w:cs="Times New Roman"/>
          <w:color w:val="000000" w:themeColor="text1"/>
          <w:szCs w:val="24"/>
        </w:rPr>
        <w:t>average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B21EA">
        <w:rPr>
          <w:rFonts w:cs="Times New Roman"/>
          <w:color w:val="000000" w:themeColor="text1"/>
          <w:szCs w:val="24"/>
        </w:rPr>
        <w:t>(TWA)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workplace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settings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based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incidence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lung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cancer,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mesothelioma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cancers.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F7888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5BE9">
        <w:rPr>
          <w:rFonts w:cs="Times New Roman"/>
          <w:color w:val="000000" w:themeColor="text1"/>
          <w:szCs w:val="24"/>
        </w:rPr>
        <w:t>alternative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D03DF">
        <w:rPr>
          <w:rFonts w:cs="Times New Roman"/>
          <w:color w:val="000000" w:themeColor="text1"/>
          <w:szCs w:val="24"/>
        </w:rPr>
        <w:t>action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371E">
        <w:rPr>
          <w:rFonts w:cs="Times New Roman"/>
          <w:color w:val="000000" w:themeColor="text1"/>
          <w:szCs w:val="24"/>
        </w:rPr>
        <w:t>would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F7888">
        <w:rPr>
          <w:rFonts w:cs="Times New Roman"/>
          <w:color w:val="000000" w:themeColor="text1"/>
          <w:szCs w:val="24"/>
        </w:rPr>
        <w:t>include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D03DF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D03DF">
        <w:rPr>
          <w:rFonts w:cs="Times New Roman"/>
          <w:color w:val="000000" w:themeColor="text1"/>
          <w:szCs w:val="24"/>
        </w:rPr>
        <w:t>interim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D03DF">
        <w:rPr>
          <w:rFonts w:cs="Times New Roman"/>
          <w:color w:val="000000" w:themeColor="text1"/>
          <w:szCs w:val="24"/>
        </w:rPr>
        <w:t>measure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D03DF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D03DF">
        <w:rPr>
          <w:rFonts w:cs="Times New Roman"/>
          <w:color w:val="000000" w:themeColor="text1"/>
          <w:szCs w:val="24"/>
        </w:rPr>
        <w:t>reduce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D03DF">
        <w:rPr>
          <w:rFonts w:cs="Times New Roman"/>
          <w:color w:val="000000" w:themeColor="text1"/>
          <w:szCs w:val="24"/>
        </w:rPr>
        <w:t>exposures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D03DF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D03DF">
        <w:rPr>
          <w:rFonts w:cs="Times New Roman"/>
          <w:color w:val="000000" w:themeColor="text1"/>
          <w:szCs w:val="24"/>
        </w:rPr>
        <w:t>address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D03DF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unreasonable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60032">
        <w:rPr>
          <w:rFonts w:cs="Times New Roman"/>
          <w:color w:val="000000" w:themeColor="text1"/>
          <w:szCs w:val="24"/>
        </w:rPr>
        <w:t>injury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60032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60032">
        <w:rPr>
          <w:rFonts w:cs="Times New Roman"/>
          <w:color w:val="000000" w:themeColor="text1"/>
          <w:szCs w:val="24"/>
        </w:rPr>
        <w:t>health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7D6B">
        <w:rPr>
          <w:rFonts w:cs="Times New Roman"/>
          <w:color w:val="000000" w:themeColor="text1"/>
          <w:szCs w:val="24"/>
        </w:rPr>
        <w:t>resulting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7D6B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7D6B">
        <w:rPr>
          <w:rFonts w:cs="Times New Roman"/>
          <w:color w:val="000000" w:themeColor="text1"/>
          <w:szCs w:val="24"/>
        </w:rPr>
        <w:t>inhalation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7D6B">
        <w:rPr>
          <w:rFonts w:cs="Times New Roman"/>
          <w:color w:val="000000" w:themeColor="text1"/>
          <w:szCs w:val="24"/>
        </w:rPr>
        <w:t>exposures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D03DF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D03DF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D03DF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7D6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7D6B">
        <w:rPr>
          <w:rFonts w:cs="Times New Roman"/>
          <w:color w:val="000000" w:themeColor="text1"/>
          <w:szCs w:val="24"/>
        </w:rPr>
        <w:t>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7D6B">
        <w:rPr>
          <w:rFonts w:cs="Times New Roman"/>
          <w:color w:val="000000" w:themeColor="text1"/>
          <w:szCs w:val="24"/>
        </w:rPr>
        <w:t>occupational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7D6B">
        <w:rPr>
          <w:rFonts w:cs="Times New Roman"/>
          <w:color w:val="000000" w:themeColor="text1"/>
          <w:szCs w:val="24"/>
        </w:rPr>
        <w:t>setting</w:t>
      </w:r>
      <w:r w:rsidRPr="00C317BB" w:rsidR="0094118F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C624F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C624F">
        <w:rPr>
          <w:rFonts w:cs="Times New Roman"/>
          <w:color w:val="000000" w:themeColor="text1"/>
          <w:szCs w:val="24"/>
        </w:rPr>
        <w:t>expects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C624F">
        <w:rPr>
          <w:rFonts w:cs="Times New Roman"/>
          <w:color w:val="000000" w:themeColor="text1"/>
          <w:szCs w:val="24"/>
        </w:rPr>
        <w:t>that,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F7888">
        <w:rPr>
          <w:rFonts w:cs="Times New Roman"/>
          <w:color w:val="000000" w:themeColor="text1"/>
          <w:szCs w:val="24"/>
        </w:rPr>
        <w:t>if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F7888">
        <w:rPr>
          <w:rFonts w:cs="Times New Roman"/>
          <w:color w:val="000000" w:themeColor="text1"/>
          <w:szCs w:val="24"/>
        </w:rPr>
        <w:t>inhalation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F7888">
        <w:rPr>
          <w:rFonts w:cs="Times New Roman"/>
          <w:color w:val="000000" w:themeColor="text1"/>
          <w:szCs w:val="24"/>
        </w:rPr>
        <w:t>exposures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F7888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F7888">
        <w:rPr>
          <w:rFonts w:cs="Times New Roman"/>
          <w:color w:val="000000" w:themeColor="text1"/>
          <w:szCs w:val="24"/>
        </w:rPr>
        <w:t>occupational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F7888">
        <w:rPr>
          <w:rFonts w:cs="Times New Roman"/>
          <w:color w:val="000000" w:themeColor="text1"/>
          <w:szCs w:val="24"/>
        </w:rPr>
        <w:t>settings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F7888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F7888">
        <w:rPr>
          <w:rFonts w:cs="Times New Roman"/>
          <w:color w:val="000000" w:themeColor="text1"/>
          <w:szCs w:val="24"/>
        </w:rPr>
        <w:t>kept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F7888">
        <w:rPr>
          <w:rFonts w:cs="Times New Roman"/>
          <w:color w:val="000000" w:themeColor="text1"/>
          <w:szCs w:val="24"/>
        </w:rPr>
        <w:t>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F7888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F7888">
        <w:rPr>
          <w:rFonts w:cs="Times New Roman"/>
          <w:color w:val="000000" w:themeColor="text1"/>
          <w:szCs w:val="24"/>
        </w:rPr>
        <w:t>below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C624F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C624F">
        <w:rPr>
          <w:rFonts w:cs="Times New Roman"/>
          <w:color w:val="000000" w:themeColor="text1"/>
          <w:szCs w:val="24"/>
        </w:rPr>
        <w:t>ECEL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C624F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C624F">
        <w:rPr>
          <w:rFonts w:cs="Times New Roman"/>
          <w:color w:val="000000" w:themeColor="text1"/>
          <w:szCs w:val="24"/>
        </w:rPr>
        <w:t>0.0</w:t>
      </w:r>
      <w:r w:rsidRPr="00C317BB" w:rsidR="003B6C2F">
        <w:rPr>
          <w:rFonts w:cs="Times New Roman"/>
          <w:color w:val="000000" w:themeColor="text1"/>
          <w:szCs w:val="24"/>
        </w:rPr>
        <w:t>05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390B">
        <w:rPr>
          <w:rFonts w:cs="Times New Roman"/>
          <w:color w:val="000000" w:themeColor="text1"/>
          <w:szCs w:val="24"/>
        </w:rPr>
        <w:t>f/cc</w:t>
      </w:r>
      <w:r w:rsidRPr="00C317BB" w:rsidR="00EC624F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C624F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C624F">
        <w:rPr>
          <w:rFonts w:cs="Times New Roman"/>
          <w:color w:val="000000" w:themeColor="text1"/>
          <w:szCs w:val="24"/>
        </w:rPr>
        <w:t>person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C624F">
        <w:rPr>
          <w:rFonts w:cs="Times New Roman"/>
          <w:color w:val="000000" w:themeColor="text1"/>
          <w:szCs w:val="24"/>
        </w:rPr>
        <w:t>reasonably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C624F">
        <w:rPr>
          <w:rFonts w:cs="Times New Roman"/>
          <w:color w:val="000000" w:themeColor="text1"/>
          <w:szCs w:val="24"/>
        </w:rPr>
        <w:t>likely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C624F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C624F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C624F">
        <w:rPr>
          <w:rFonts w:cs="Times New Roman"/>
          <w:color w:val="000000" w:themeColor="text1"/>
          <w:szCs w:val="24"/>
        </w:rPr>
        <w:t>exposed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C624F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C624F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C624F">
        <w:rPr>
          <w:rFonts w:cs="Times New Roman"/>
          <w:color w:val="000000" w:themeColor="text1"/>
          <w:szCs w:val="24"/>
        </w:rPr>
        <w:t>workplace,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C624F">
        <w:rPr>
          <w:rFonts w:cs="Times New Roman"/>
          <w:color w:val="000000" w:themeColor="text1"/>
          <w:szCs w:val="24"/>
        </w:rPr>
        <w:t>including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C624F">
        <w:rPr>
          <w:rFonts w:cs="Times New Roman"/>
          <w:color w:val="000000" w:themeColor="text1"/>
          <w:szCs w:val="24"/>
        </w:rPr>
        <w:t>workers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C624F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C624F">
        <w:rPr>
          <w:rFonts w:cs="Times New Roman"/>
          <w:color w:val="000000" w:themeColor="text1"/>
          <w:szCs w:val="24"/>
        </w:rPr>
        <w:t>occupational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C624F">
        <w:rPr>
          <w:rFonts w:cs="Times New Roman"/>
          <w:color w:val="000000" w:themeColor="text1"/>
          <w:szCs w:val="24"/>
        </w:rPr>
        <w:t>non-users,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A6144">
        <w:rPr>
          <w:rFonts w:cs="Times New Roman"/>
          <w:color w:val="000000" w:themeColor="text1"/>
          <w:szCs w:val="24"/>
        </w:rPr>
        <w:t>would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A6144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C624F">
        <w:rPr>
          <w:rFonts w:cs="Times New Roman"/>
          <w:color w:val="000000" w:themeColor="text1"/>
          <w:szCs w:val="24"/>
        </w:rPr>
        <w:t>protected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7753B">
        <w:rPr>
          <w:rFonts w:cs="Times New Roman"/>
          <w:color w:val="000000" w:themeColor="text1"/>
          <w:szCs w:val="24"/>
        </w:rPr>
        <w:t>against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31964">
        <w:rPr>
          <w:rFonts w:cs="Times New Roman"/>
          <w:color w:val="000000" w:themeColor="text1"/>
          <w:szCs w:val="24"/>
        </w:rPr>
        <w:t>excess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31964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31964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7753B">
        <w:rPr>
          <w:rFonts w:cs="Times New Roman"/>
          <w:color w:val="000000" w:themeColor="text1"/>
          <w:szCs w:val="24"/>
        </w:rPr>
        <w:t>cancer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31964">
        <w:rPr>
          <w:rFonts w:cs="Times New Roman"/>
          <w:color w:val="000000" w:themeColor="text1"/>
          <w:szCs w:val="24"/>
        </w:rPr>
        <w:t>above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31964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31964">
        <w:rPr>
          <w:rFonts w:cs="Times New Roman"/>
          <w:color w:val="000000" w:themeColor="text1"/>
          <w:szCs w:val="24"/>
        </w:rPr>
        <w:t>1x10</w:t>
      </w:r>
      <w:r w:rsidRPr="00C317BB" w:rsidR="00B31964">
        <w:rPr>
          <w:rFonts w:cs="Times New Roman"/>
          <w:color w:val="000000" w:themeColor="text1"/>
          <w:szCs w:val="24"/>
          <w:vertAlign w:val="superscript"/>
        </w:rPr>
        <w:t>4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E0C65">
        <w:rPr>
          <w:rFonts w:cs="Times New Roman"/>
          <w:color w:val="000000" w:themeColor="text1"/>
          <w:szCs w:val="24"/>
        </w:rPr>
        <w:t>(1</w:t>
      </w:r>
      <w:r w:rsidRPr="00C317BB" w:rsidR="000C098F">
        <w:rPr>
          <w:rFonts w:cs="Times New Roman"/>
          <w:color w:val="000000" w:themeColor="text1"/>
          <w:szCs w:val="24"/>
        </w:rPr>
        <w:t>E-4)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31964">
        <w:rPr>
          <w:rFonts w:cs="Times New Roman"/>
          <w:color w:val="000000" w:themeColor="text1"/>
          <w:szCs w:val="24"/>
        </w:rPr>
        <w:t>benchmark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31964">
        <w:rPr>
          <w:rFonts w:cs="Times New Roman"/>
          <w:color w:val="000000" w:themeColor="text1"/>
          <w:szCs w:val="24"/>
        </w:rPr>
        <w:t>resulting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C0FB1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C624F">
        <w:rPr>
          <w:rFonts w:cs="Times New Roman"/>
          <w:color w:val="000000" w:themeColor="text1"/>
          <w:szCs w:val="24"/>
        </w:rPr>
        <w:t>chronic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C624F">
        <w:rPr>
          <w:rFonts w:cs="Times New Roman"/>
          <w:color w:val="000000" w:themeColor="text1"/>
          <w:szCs w:val="24"/>
        </w:rPr>
        <w:t>occupational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C624F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52750">
        <w:rPr>
          <w:rFonts w:cs="Times New Roman"/>
          <w:color w:val="000000" w:themeColor="text1"/>
          <w:szCs w:val="24"/>
        </w:rPr>
        <w:t>(Ref</w:t>
      </w:r>
      <w:r w:rsidRPr="00C317BB" w:rsidR="006442A3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105F2">
        <w:rPr>
          <w:rFonts w:cs="Times New Roman"/>
          <w:color w:val="000000" w:themeColor="text1"/>
          <w:szCs w:val="24"/>
        </w:rPr>
        <w:t>1</w:t>
      </w:r>
      <w:r w:rsidRPr="00C317BB" w:rsidR="008C56A6">
        <w:rPr>
          <w:rFonts w:cs="Times New Roman"/>
          <w:color w:val="000000" w:themeColor="text1"/>
          <w:szCs w:val="24"/>
        </w:rPr>
        <w:t>3</w:t>
      </w:r>
      <w:r w:rsidRPr="00C317BB" w:rsidR="00F52750">
        <w:rPr>
          <w:rFonts w:cs="Times New Roman"/>
          <w:color w:val="000000" w:themeColor="text1"/>
          <w:szCs w:val="24"/>
        </w:rPr>
        <w:t>)</w:t>
      </w:r>
      <w:r w:rsidRPr="00C317BB" w:rsidR="00EC624F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3D55">
        <w:rPr>
          <w:rFonts w:cs="Times New Roman"/>
          <w:color w:val="000000" w:themeColor="text1"/>
          <w:szCs w:val="24"/>
        </w:rPr>
        <w:t>Based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3D55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3D55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3D55">
        <w:rPr>
          <w:rFonts w:cs="Times New Roman"/>
          <w:color w:val="000000" w:themeColor="text1"/>
          <w:szCs w:val="24"/>
        </w:rPr>
        <w:t>ECEL,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5465F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5BE9">
        <w:rPr>
          <w:rFonts w:cs="Times New Roman"/>
          <w:color w:val="000000" w:themeColor="text1"/>
          <w:szCs w:val="24"/>
        </w:rPr>
        <w:t>alternative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D03DF">
        <w:rPr>
          <w:rFonts w:cs="Times New Roman"/>
          <w:color w:val="000000" w:themeColor="text1"/>
          <w:szCs w:val="24"/>
        </w:rPr>
        <w:t>action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5465F">
        <w:rPr>
          <w:rFonts w:cs="Times New Roman"/>
          <w:color w:val="000000" w:themeColor="text1"/>
          <w:szCs w:val="24"/>
        </w:rPr>
        <w:t>includes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3D55">
        <w:rPr>
          <w:rFonts w:cs="Times New Roman"/>
          <w:color w:val="000000" w:themeColor="text1"/>
          <w:szCs w:val="24"/>
        </w:rPr>
        <w:t>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66620">
        <w:rPr>
          <w:rFonts w:cs="Times New Roman"/>
          <w:color w:val="000000" w:themeColor="text1"/>
          <w:szCs w:val="24"/>
        </w:rPr>
        <w:t>ECEL-</w:t>
      </w:r>
      <w:r w:rsidRPr="00C317BB" w:rsidR="00D53D55">
        <w:rPr>
          <w:rFonts w:cs="Times New Roman"/>
          <w:color w:val="000000" w:themeColor="text1"/>
          <w:szCs w:val="24"/>
        </w:rPr>
        <w:t>action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3D55">
        <w:rPr>
          <w:rFonts w:cs="Times New Roman"/>
          <w:color w:val="000000" w:themeColor="text1"/>
          <w:szCs w:val="24"/>
        </w:rPr>
        <w:t>level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3D55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3D55">
        <w:rPr>
          <w:rFonts w:cs="Times New Roman"/>
          <w:color w:val="000000" w:themeColor="text1"/>
          <w:szCs w:val="24"/>
        </w:rPr>
        <w:t>0.0025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62332">
        <w:rPr>
          <w:rFonts w:cs="Times New Roman"/>
          <w:color w:val="000000" w:themeColor="text1"/>
          <w:szCs w:val="24"/>
        </w:rPr>
        <w:t>f/cc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3D55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3D55">
        <w:rPr>
          <w:rFonts w:cs="Times New Roman"/>
          <w:color w:val="000000" w:themeColor="text1"/>
          <w:szCs w:val="24"/>
        </w:rPr>
        <w:t>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3D55">
        <w:rPr>
          <w:rFonts w:cs="Times New Roman"/>
          <w:color w:val="000000" w:themeColor="text1"/>
          <w:szCs w:val="24"/>
        </w:rPr>
        <w:t>8-hour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3D55">
        <w:rPr>
          <w:rFonts w:cs="Times New Roman"/>
          <w:color w:val="000000" w:themeColor="text1"/>
          <w:szCs w:val="24"/>
        </w:rPr>
        <w:t>TWA,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65B35">
        <w:rPr>
          <w:rFonts w:cs="Times New Roman"/>
          <w:color w:val="000000" w:themeColor="text1"/>
          <w:szCs w:val="24"/>
        </w:rPr>
        <w:t>which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65B35">
        <w:rPr>
          <w:rFonts w:cs="Times New Roman"/>
          <w:color w:val="000000" w:themeColor="text1"/>
          <w:szCs w:val="24"/>
        </w:rPr>
        <w:t>initiates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65B35">
        <w:rPr>
          <w:rFonts w:cs="Times New Roman"/>
          <w:color w:val="000000" w:themeColor="text1"/>
          <w:szCs w:val="24"/>
        </w:rPr>
        <w:t>certain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65B35">
        <w:rPr>
          <w:rFonts w:cs="Times New Roman"/>
          <w:color w:val="000000" w:themeColor="text1"/>
          <w:szCs w:val="24"/>
        </w:rPr>
        <w:t>required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65B35">
        <w:rPr>
          <w:rFonts w:cs="Times New Roman"/>
          <w:color w:val="000000" w:themeColor="text1"/>
          <w:szCs w:val="24"/>
        </w:rPr>
        <w:t>activities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65B35">
        <w:rPr>
          <w:rFonts w:cs="Times New Roman"/>
          <w:color w:val="000000" w:themeColor="text1"/>
          <w:szCs w:val="24"/>
        </w:rPr>
        <w:t>such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65B35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65B35">
        <w:rPr>
          <w:rFonts w:cs="Times New Roman"/>
          <w:color w:val="000000" w:themeColor="text1"/>
          <w:szCs w:val="24"/>
        </w:rPr>
        <w:t>periodic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65B35">
        <w:rPr>
          <w:rFonts w:cs="Times New Roman"/>
          <w:color w:val="000000" w:themeColor="text1"/>
          <w:szCs w:val="24"/>
        </w:rPr>
        <w:t>monitoring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65B35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65B35">
        <w:rPr>
          <w:rFonts w:cs="Times New Roman"/>
          <w:color w:val="000000" w:themeColor="text1"/>
          <w:szCs w:val="24"/>
        </w:rPr>
        <w:t>exposures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65B35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65B35">
        <w:rPr>
          <w:rFonts w:cs="Times New Roman"/>
          <w:color w:val="000000" w:themeColor="text1"/>
          <w:szCs w:val="24"/>
        </w:rPr>
        <w:t>c</w:t>
      </w:r>
      <w:r w:rsidRPr="00C317BB" w:rsidR="008E1C34">
        <w:rPr>
          <w:rFonts w:cs="Times New Roman"/>
          <w:color w:val="000000" w:themeColor="text1"/>
          <w:szCs w:val="24"/>
        </w:rPr>
        <w:t>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E1C34">
        <w:rPr>
          <w:rFonts w:cs="Times New Roman"/>
          <w:color w:val="000000" w:themeColor="text1"/>
          <w:szCs w:val="24"/>
        </w:rPr>
        <w:t>asbestos</w:t>
      </w:r>
      <w:r w:rsidRPr="00C317BB" w:rsidR="00565B35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65B35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65B35">
        <w:rPr>
          <w:rFonts w:cs="Times New Roman"/>
          <w:color w:val="000000" w:themeColor="text1"/>
          <w:szCs w:val="24"/>
        </w:rPr>
        <w:t>described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42546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42546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42546">
        <w:rPr>
          <w:rFonts w:cs="Times New Roman"/>
          <w:color w:val="000000" w:themeColor="text1"/>
          <w:szCs w:val="24"/>
        </w:rPr>
        <w:t>unit.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D03DF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D03DF">
        <w:rPr>
          <w:rFonts w:cs="Times New Roman"/>
          <w:color w:val="000000" w:themeColor="text1"/>
          <w:szCs w:val="24"/>
        </w:rPr>
        <w:t>described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D03DF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Unit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III.B.3.</w:t>
      </w:r>
      <w:r w:rsidRPr="00C317BB" w:rsidR="00CD03DF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7AD9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7AD9">
        <w:rPr>
          <w:rFonts w:cs="Times New Roman"/>
          <w:color w:val="000000" w:themeColor="text1"/>
          <w:szCs w:val="24"/>
        </w:rPr>
        <w:t>recognizes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7AD9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7AD9">
        <w:rPr>
          <w:rFonts w:cs="Times New Roman"/>
          <w:color w:val="000000" w:themeColor="text1"/>
          <w:szCs w:val="24"/>
        </w:rPr>
        <w:t>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7AD9">
        <w:rPr>
          <w:rFonts w:cs="Times New Roman"/>
          <w:color w:val="000000" w:themeColor="text1"/>
          <w:szCs w:val="24"/>
        </w:rPr>
        <w:t>ECEL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7AD9">
        <w:rPr>
          <w:rFonts w:cs="Times New Roman"/>
          <w:color w:val="000000" w:themeColor="text1"/>
          <w:szCs w:val="24"/>
        </w:rPr>
        <w:t>will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7AD9">
        <w:rPr>
          <w:rFonts w:cs="Times New Roman"/>
          <w:color w:val="000000" w:themeColor="text1"/>
          <w:szCs w:val="24"/>
        </w:rPr>
        <w:t>require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7AD9">
        <w:rPr>
          <w:rFonts w:cs="Times New Roman"/>
          <w:color w:val="000000" w:themeColor="text1"/>
          <w:szCs w:val="24"/>
        </w:rPr>
        <w:t>time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7AD9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7AD9">
        <w:rPr>
          <w:rFonts w:cs="Times New Roman"/>
          <w:color w:val="000000" w:themeColor="text1"/>
          <w:szCs w:val="24"/>
        </w:rPr>
        <w:t>resources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7AD9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7AD9">
        <w:rPr>
          <w:rFonts w:cs="Times New Roman"/>
          <w:color w:val="000000" w:themeColor="text1"/>
          <w:szCs w:val="24"/>
        </w:rPr>
        <w:t>prepare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7AD9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7AD9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7AD9">
        <w:rPr>
          <w:rFonts w:cs="Times New Roman"/>
          <w:color w:val="000000" w:themeColor="text1"/>
          <w:szCs w:val="24"/>
        </w:rPr>
        <w:t>therefore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7AD9">
        <w:rPr>
          <w:rFonts w:cs="Times New Roman"/>
          <w:color w:val="000000" w:themeColor="text1"/>
          <w:szCs w:val="24"/>
        </w:rPr>
        <w:t>did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7AD9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7AD9">
        <w:rPr>
          <w:rFonts w:cs="Times New Roman"/>
          <w:color w:val="000000" w:themeColor="text1"/>
          <w:szCs w:val="24"/>
        </w:rPr>
        <w:t>propose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7AD9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7AD9">
        <w:rPr>
          <w:rFonts w:cs="Times New Roman"/>
          <w:color w:val="000000" w:themeColor="text1"/>
          <w:szCs w:val="24"/>
        </w:rPr>
        <w:t>include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7AD9">
        <w:rPr>
          <w:rFonts w:cs="Times New Roman"/>
          <w:color w:val="000000" w:themeColor="text1"/>
          <w:szCs w:val="24"/>
        </w:rPr>
        <w:t>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7AD9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7AD9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7AD9">
        <w:rPr>
          <w:rFonts w:cs="Times New Roman"/>
          <w:color w:val="000000" w:themeColor="text1"/>
          <w:szCs w:val="24"/>
        </w:rPr>
        <w:t>two-year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7AD9">
        <w:rPr>
          <w:rFonts w:cs="Times New Roman"/>
          <w:color w:val="000000" w:themeColor="text1"/>
          <w:szCs w:val="24"/>
        </w:rPr>
        <w:t>interim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7AD9">
        <w:rPr>
          <w:rFonts w:cs="Times New Roman"/>
          <w:color w:val="000000" w:themeColor="text1"/>
          <w:szCs w:val="24"/>
        </w:rPr>
        <w:t>period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7AD9">
        <w:rPr>
          <w:rFonts w:cs="Times New Roman"/>
          <w:color w:val="000000" w:themeColor="text1"/>
          <w:szCs w:val="24"/>
        </w:rPr>
        <w:t>prior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7AD9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7AD9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7AD9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7AD9">
        <w:rPr>
          <w:rFonts w:cs="Times New Roman"/>
          <w:color w:val="000000" w:themeColor="text1"/>
          <w:szCs w:val="24"/>
        </w:rPr>
        <w:t>prohibition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7AD9">
        <w:rPr>
          <w:rFonts w:cs="Times New Roman"/>
          <w:color w:val="000000" w:themeColor="text1"/>
          <w:szCs w:val="24"/>
        </w:rPr>
        <w:t>date.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7AD9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361D">
        <w:rPr>
          <w:rFonts w:cs="Times New Roman"/>
          <w:color w:val="000000" w:themeColor="text1"/>
          <w:szCs w:val="24"/>
        </w:rPr>
        <w:t>part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361D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361D">
        <w:rPr>
          <w:rFonts w:cs="Times New Roman"/>
          <w:color w:val="000000" w:themeColor="text1"/>
          <w:szCs w:val="24"/>
        </w:rPr>
        <w:t>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361D">
        <w:rPr>
          <w:rFonts w:cs="Times New Roman"/>
          <w:color w:val="000000" w:themeColor="text1"/>
          <w:szCs w:val="24"/>
        </w:rPr>
        <w:t>interim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361D">
        <w:rPr>
          <w:rFonts w:cs="Times New Roman"/>
          <w:color w:val="000000" w:themeColor="text1"/>
          <w:szCs w:val="24"/>
        </w:rPr>
        <w:t>control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361D">
        <w:rPr>
          <w:rFonts w:cs="Times New Roman"/>
          <w:color w:val="000000" w:themeColor="text1"/>
          <w:szCs w:val="24"/>
        </w:rPr>
        <w:t>measure,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361D">
        <w:rPr>
          <w:rFonts w:cs="Times New Roman"/>
          <w:color w:val="000000" w:themeColor="text1"/>
          <w:szCs w:val="24"/>
        </w:rPr>
        <w:t>requirements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361D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361D">
        <w:rPr>
          <w:rFonts w:cs="Times New Roman"/>
          <w:color w:val="000000" w:themeColor="text1"/>
          <w:szCs w:val="24"/>
        </w:rPr>
        <w:t>meet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361D">
        <w:rPr>
          <w:rFonts w:cs="Times New Roman"/>
          <w:color w:val="000000" w:themeColor="text1"/>
          <w:szCs w:val="24"/>
        </w:rPr>
        <w:t>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361D">
        <w:rPr>
          <w:rFonts w:cs="Times New Roman"/>
          <w:color w:val="000000" w:themeColor="text1"/>
          <w:szCs w:val="24"/>
        </w:rPr>
        <w:t>ECEL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91117">
        <w:rPr>
          <w:rFonts w:cs="Times New Roman"/>
          <w:color w:val="000000" w:themeColor="text1"/>
          <w:szCs w:val="24"/>
        </w:rPr>
        <w:t>c</w:t>
      </w:r>
      <w:r w:rsidRPr="00C317BB" w:rsidR="0055361D">
        <w:rPr>
          <w:rFonts w:cs="Times New Roman"/>
          <w:color w:val="000000" w:themeColor="text1"/>
          <w:szCs w:val="24"/>
        </w:rPr>
        <w:t>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361D">
        <w:rPr>
          <w:rFonts w:cs="Times New Roman"/>
          <w:color w:val="000000" w:themeColor="text1"/>
          <w:szCs w:val="24"/>
        </w:rPr>
        <w:t>reduce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361D">
        <w:rPr>
          <w:rFonts w:cs="Times New Roman"/>
          <w:color w:val="000000" w:themeColor="text1"/>
          <w:szCs w:val="24"/>
        </w:rPr>
        <w:t>exposures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361D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361D">
        <w:rPr>
          <w:rFonts w:cs="Times New Roman"/>
          <w:color w:val="000000" w:themeColor="text1"/>
          <w:szCs w:val="24"/>
        </w:rPr>
        <w:t>address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361D">
        <w:rPr>
          <w:rFonts w:cs="Times New Roman"/>
          <w:color w:val="000000" w:themeColor="text1"/>
          <w:szCs w:val="24"/>
        </w:rPr>
        <w:t>unreasonable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361D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361D">
        <w:rPr>
          <w:rFonts w:cs="Times New Roman"/>
          <w:color w:val="000000" w:themeColor="text1"/>
          <w:szCs w:val="24"/>
        </w:rPr>
        <w:t>during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361D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361D">
        <w:rPr>
          <w:rFonts w:cs="Times New Roman"/>
          <w:color w:val="000000" w:themeColor="text1"/>
          <w:szCs w:val="24"/>
        </w:rPr>
        <w:t>in</w:t>
      </w:r>
      <w:r w:rsidRPr="00C317BB" w:rsidR="00391117">
        <w:rPr>
          <w:rFonts w:cs="Times New Roman"/>
          <w:color w:val="000000" w:themeColor="text1"/>
          <w:szCs w:val="24"/>
        </w:rPr>
        <w:t>terim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370C">
        <w:rPr>
          <w:rFonts w:cs="Times New Roman"/>
          <w:color w:val="000000" w:themeColor="text1"/>
          <w:szCs w:val="24"/>
        </w:rPr>
        <w:t>period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370C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361D">
        <w:rPr>
          <w:rFonts w:cs="Times New Roman"/>
          <w:color w:val="000000" w:themeColor="text1"/>
          <w:szCs w:val="24"/>
        </w:rPr>
        <w:t>time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361D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361D">
        <w:rPr>
          <w:rFonts w:cs="Times New Roman"/>
          <w:color w:val="000000" w:themeColor="text1"/>
          <w:szCs w:val="24"/>
        </w:rPr>
        <w:t>regulated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361D">
        <w:rPr>
          <w:rFonts w:cs="Times New Roman"/>
          <w:color w:val="000000" w:themeColor="text1"/>
          <w:szCs w:val="24"/>
        </w:rPr>
        <w:t>entities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361D">
        <w:rPr>
          <w:rFonts w:cs="Times New Roman"/>
          <w:color w:val="000000" w:themeColor="text1"/>
          <w:szCs w:val="24"/>
        </w:rPr>
        <w:t>need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361D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361D">
        <w:rPr>
          <w:rFonts w:cs="Times New Roman"/>
          <w:color w:val="000000" w:themeColor="text1"/>
          <w:szCs w:val="24"/>
        </w:rPr>
        <w:t>implementing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361D">
        <w:rPr>
          <w:rFonts w:cs="Times New Roman"/>
          <w:color w:val="000000" w:themeColor="text1"/>
          <w:szCs w:val="24"/>
        </w:rPr>
        <w:t>prohibitions.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361D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361D">
        <w:rPr>
          <w:rFonts w:cs="Times New Roman"/>
          <w:color w:val="000000" w:themeColor="text1"/>
          <w:szCs w:val="24"/>
        </w:rPr>
        <w:t>Unit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provides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additional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details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regarding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E1AA2">
        <w:rPr>
          <w:rFonts w:cs="Times New Roman"/>
          <w:color w:val="000000" w:themeColor="text1"/>
          <w:szCs w:val="24"/>
        </w:rPr>
        <w:t>implementation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E1AA2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E1AA2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ECEL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a</w:t>
      </w:r>
      <w:r w:rsidRPr="00C317BB" w:rsidR="00EE1AA2">
        <w:rPr>
          <w:rFonts w:cs="Times New Roman"/>
          <w:color w:val="000000" w:themeColor="text1"/>
          <w:szCs w:val="24"/>
        </w:rPr>
        <w:t>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361D">
        <w:rPr>
          <w:rFonts w:cs="Times New Roman"/>
          <w:color w:val="000000" w:themeColor="text1"/>
          <w:szCs w:val="24"/>
        </w:rPr>
        <w:t>interim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361D">
        <w:rPr>
          <w:rFonts w:cs="Times New Roman"/>
          <w:color w:val="000000" w:themeColor="text1"/>
          <w:szCs w:val="24"/>
        </w:rPr>
        <w:t>control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361D">
        <w:rPr>
          <w:rFonts w:cs="Times New Roman"/>
          <w:color w:val="000000" w:themeColor="text1"/>
          <w:szCs w:val="24"/>
        </w:rPr>
        <w:t>measure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361D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361D">
        <w:rPr>
          <w:rFonts w:cs="Times New Roman"/>
          <w:color w:val="000000" w:themeColor="text1"/>
          <w:szCs w:val="24"/>
        </w:rPr>
        <w:t>part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361D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361D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24B70">
        <w:rPr>
          <w:rFonts w:cs="Times New Roman"/>
          <w:color w:val="000000" w:themeColor="text1"/>
          <w:szCs w:val="24"/>
        </w:rPr>
        <w:t>primary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E1AA2">
        <w:rPr>
          <w:rFonts w:cs="Times New Roman"/>
          <w:color w:val="000000" w:themeColor="text1"/>
          <w:szCs w:val="24"/>
        </w:rPr>
        <w:t>alternative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regulatory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361D">
        <w:rPr>
          <w:rFonts w:cs="Times New Roman"/>
          <w:color w:val="000000" w:themeColor="text1"/>
          <w:szCs w:val="24"/>
        </w:rPr>
        <w:t>action</w:t>
      </w:r>
      <w:r w:rsidRPr="00C317BB" w:rsidR="0094118F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E52CEF" w:rsidP="00F27167" w:rsidRDefault="004A04C8" w14:paraId="5F165B47" w14:textId="4F21C1FF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expects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24B70">
        <w:rPr>
          <w:rFonts w:cs="Times New Roman"/>
          <w:color w:val="000000" w:themeColor="text1"/>
          <w:szCs w:val="24"/>
        </w:rPr>
        <w:t>primary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alternative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regulatory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were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24134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24134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implemented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two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24134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24134">
        <w:rPr>
          <w:rFonts w:cs="Times New Roman"/>
          <w:color w:val="000000" w:themeColor="text1"/>
          <w:szCs w:val="24"/>
        </w:rPr>
        <w:t>categories</w:t>
      </w:r>
      <w:r w:rsidRPr="00C317BB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workplaces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523AF">
        <w:rPr>
          <w:rFonts w:cs="Times New Roman"/>
          <w:color w:val="000000" w:themeColor="text1"/>
          <w:szCs w:val="24"/>
        </w:rPr>
        <w:t>may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523AF">
        <w:rPr>
          <w:rFonts w:cs="Times New Roman"/>
          <w:color w:val="000000" w:themeColor="text1"/>
          <w:szCs w:val="24"/>
        </w:rPr>
        <w:t>have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523AF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523AF">
        <w:rPr>
          <w:rFonts w:cs="Times New Roman"/>
          <w:color w:val="000000" w:themeColor="text1"/>
          <w:szCs w:val="24"/>
        </w:rPr>
        <w:t>ability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523AF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implement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ECEL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part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industrial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hygiene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program.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E305B">
        <w:rPr>
          <w:rFonts w:cs="Times New Roman"/>
          <w:color w:val="000000" w:themeColor="text1"/>
          <w:szCs w:val="24"/>
        </w:rPr>
        <w:t>NIOSH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hierarchy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E305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E305B">
        <w:rPr>
          <w:rFonts w:cs="Times New Roman"/>
          <w:color w:val="000000" w:themeColor="text1"/>
          <w:szCs w:val="24"/>
        </w:rPr>
        <w:t>controls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4EB7">
        <w:rPr>
          <w:rFonts w:cs="Times New Roman"/>
          <w:color w:val="000000" w:themeColor="text1"/>
          <w:szCs w:val="24"/>
        </w:rPr>
        <w:t>(Ref.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4EB7">
        <w:rPr>
          <w:rFonts w:cs="Times New Roman"/>
          <w:color w:val="000000" w:themeColor="text1"/>
          <w:szCs w:val="24"/>
        </w:rPr>
        <w:t>27)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71559">
        <w:rPr>
          <w:rFonts w:cs="Times New Roman"/>
          <w:color w:val="000000" w:themeColor="text1"/>
          <w:szCs w:val="24"/>
        </w:rPr>
        <w:t>(</w:t>
      </w:r>
      <w:r w:rsidRPr="00C317BB" w:rsidR="00582305">
        <w:rPr>
          <w:rFonts w:cs="Times New Roman"/>
          <w:color w:val="000000" w:themeColor="text1"/>
          <w:szCs w:val="24"/>
        </w:rPr>
        <w:t>i.e.</w:t>
      </w:r>
      <w:r w:rsidRPr="00C317BB" w:rsidR="00271559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60092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60092">
        <w:rPr>
          <w:rFonts w:cs="Times New Roman"/>
          <w:color w:val="000000" w:themeColor="text1"/>
          <w:szCs w:val="24"/>
        </w:rPr>
        <w:t>sequential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60092">
        <w:rPr>
          <w:rFonts w:cs="Times New Roman"/>
          <w:color w:val="000000" w:themeColor="text1"/>
          <w:szCs w:val="24"/>
        </w:rPr>
        <w:t>order: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71559">
        <w:rPr>
          <w:rFonts w:cs="Times New Roman"/>
          <w:color w:val="000000" w:themeColor="text1"/>
          <w:szCs w:val="24"/>
        </w:rPr>
        <w:t>elimination,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71559">
        <w:rPr>
          <w:rFonts w:cs="Times New Roman"/>
          <w:color w:val="000000" w:themeColor="text1"/>
          <w:szCs w:val="24"/>
        </w:rPr>
        <w:t>substitution,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71559">
        <w:rPr>
          <w:rFonts w:cs="Times New Roman"/>
          <w:color w:val="000000" w:themeColor="text1"/>
          <w:szCs w:val="24"/>
        </w:rPr>
        <w:t>engineering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71559">
        <w:rPr>
          <w:rFonts w:cs="Times New Roman"/>
          <w:color w:val="000000" w:themeColor="text1"/>
          <w:szCs w:val="24"/>
        </w:rPr>
        <w:t>controls,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71559">
        <w:rPr>
          <w:rFonts w:cs="Times New Roman"/>
          <w:color w:val="000000" w:themeColor="text1"/>
          <w:szCs w:val="24"/>
        </w:rPr>
        <w:t>administrative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71559">
        <w:rPr>
          <w:rFonts w:cs="Times New Roman"/>
          <w:color w:val="000000" w:themeColor="text1"/>
          <w:szCs w:val="24"/>
        </w:rPr>
        <w:t>controls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71559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4693F">
        <w:rPr>
          <w:rFonts w:cs="Times New Roman"/>
          <w:color w:val="000000" w:themeColor="text1"/>
          <w:szCs w:val="24"/>
        </w:rPr>
        <w:t>personal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4693F">
        <w:rPr>
          <w:rFonts w:cs="Times New Roman"/>
          <w:color w:val="000000" w:themeColor="text1"/>
          <w:szCs w:val="24"/>
        </w:rPr>
        <w:t>protective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4693F">
        <w:rPr>
          <w:rFonts w:cs="Times New Roman"/>
          <w:color w:val="000000" w:themeColor="text1"/>
          <w:szCs w:val="24"/>
        </w:rPr>
        <w:t>equipment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4693F">
        <w:rPr>
          <w:rFonts w:cs="Times New Roman"/>
          <w:color w:val="000000" w:themeColor="text1"/>
          <w:szCs w:val="24"/>
        </w:rPr>
        <w:t>(</w:t>
      </w:r>
      <w:r w:rsidRPr="00C317BB" w:rsidR="00271559">
        <w:rPr>
          <w:rFonts w:cs="Times New Roman"/>
          <w:color w:val="000000" w:themeColor="text1"/>
          <w:szCs w:val="24"/>
        </w:rPr>
        <w:t>PPE</w:t>
      </w:r>
      <w:r w:rsidRPr="00C317BB" w:rsidR="0034693F">
        <w:rPr>
          <w:rFonts w:cs="Times New Roman"/>
          <w:color w:val="000000" w:themeColor="text1"/>
          <w:szCs w:val="24"/>
        </w:rPr>
        <w:t>)</w:t>
      </w:r>
      <w:r w:rsidRPr="00C317BB" w:rsidR="00163A41">
        <w:rPr>
          <w:rFonts w:cs="Times New Roman"/>
          <w:color w:val="000000" w:themeColor="text1"/>
          <w:szCs w:val="24"/>
        </w:rPr>
        <w:t>)</w:t>
      </w:r>
      <w:r w:rsidRPr="00C317BB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workpla</w:t>
      </w:r>
      <w:r w:rsidRPr="00C317BB" w:rsidR="00F03648">
        <w:rPr>
          <w:rFonts w:cs="Times New Roman"/>
          <w:color w:val="000000" w:themeColor="text1"/>
          <w:szCs w:val="24"/>
        </w:rPr>
        <w:t>ces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57023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57023">
        <w:rPr>
          <w:rFonts w:cs="Times New Roman"/>
          <w:color w:val="000000" w:themeColor="text1"/>
          <w:szCs w:val="24"/>
        </w:rPr>
        <w:t>cannot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57023">
        <w:rPr>
          <w:rFonts w:cs="Times New Roman"/>
          <w:color w:val="000000" w:themeColor="text1"/>
          <w:szCs w:val="24"/>
        </w:rPr>
        <w:t>eliminate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57023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57023">
        <w:rPr>
          <w:rFonts w:cs="Times New Roman"/>
          <w:color w:val="000000" w:themeColor="text1"/>
          <w:szCs w:val="24"/>
        </w:rPr>
        <w:t>source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57023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677F8">
        <w:rPr>
          <w:rFonts w:cs="Times New Roman"/>
          <w:color w:val="000000" w:themeColor="text1"/>
          <w:szCs w:val="24"/>
        </w:rPr>
        <w:t>replace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677F8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41B8A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15B7C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15B7C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15B7C">
        <w:rPr>
          <w:rFonts w:cs="Times New Roman"/>
          <w:color w:val="000000" w:themeColor="text1"/>
          <w:szCs w:val="24"/>
        </w:rPr>
        <w:t>substitute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16287">
        <w:rPr>
          <w:rFonts w:cs="Times New Roman"/>
          <w:color w:val="000000" w:themeColor="text1"/>
          <w:szCs w:val="24"/>
        </w:rPr>
        <w:t>could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engineering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7AD9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administrative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controls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implement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process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changes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reduce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05E79">
        <w:rPr>
          <w:rFonts w:cs="Times New Roman"/>
          <w:color w:val="000000" w:themeColor="text1"/>
          <w:szCs w:val="24"/>
        </w:rPr>
        <w:t>exposures</w:t>
      </w:r>
      <w:r w:rsidRPr="00C317BB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also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expects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workplaces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establish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monitoring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program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demonstrate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compliance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ECEL.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F4A6D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F4A6D">
        <w:rPr>
          <w:rFonts w:cs="Times New Roman"/>
          <w:color w:val="000000" w:themeColor="text1"/>
          <w:szCs w:val="24"/>
        </w:rPr>
        <w:t>example,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75CF">
        <w:rPr>
          <w:rFonts w:cs="Times New Roman"/>
          <w:color w:val="000000" w:themeColor="text1"/>
          <w:szCs w:val="24"/>
        </w:rPr>
        <w:t>workplaces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75CF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75CF">
        <w:rPr>
          <w:rFonts w:cs="Times New Roman"/>
          <w:color w:val="000000" w:themeColor="text1"/>
          <w:szCs w:val="24"/>
        </w:rPr>
        <w:t>may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75CF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75CF">
        <w:rPr>
          <w:rFonts w:cs="Times New Roman"/>
          <w:color w:val="000000" w:themeColor="text1"/>
          <w:szCs w:val="24"/>
        </w:rPr>
        <w:t>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75CF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51B50">
        <w:rPr>
          <w:rFonts w:cs="Times New Roman"/>
          <w:color w:val="000000" w:themeColor="text1"/>
          <w:szCs w:val="24"/>
        </w:rPr>
        <w:t>implement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51B50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51B50">
        <w:rPr>
          <w:rFonts w:cs="Times New Roman"/>
          <w:color w:val="000000" w:themeColor="text1"/>
          <w:szCs w:val="24"/>
        </w:rPr>
        <w:t>ECEL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4496">
        <w:rPr>
          <w:rFonts w:cs="Times New Roman"/>
          <w:color w:val="000000" w:themeColor="text1"/>
          <w:szCs w:val="24"/>
        </w:rPr>
        <w:t>include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4496">
        <w:rPr>
          <w:rFonts w:cs="Times New Roman"/>
          <w:color w:val="000000" w:themeColor="text1"/>
          <w:szCs w:val="24"/>
        </w:rPr>
        <w:t>those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F469D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F469D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F469D">
        <w:rPr>
          <w:rFonts w:cs="Times New Roman"/>
          <w:color w:val="000000" w:themeColor="text1"/>
          <w:szCs w:val="24"/>
        </w:rPr>
        <w:t>im</w:t>
      </w:r>
      <w:r w:rsidRPr="00C317BB" w:rsidR="004D73E9">
        <w:rPr>
          <w:rFonts w:cs="Times New Roman"/>
          <w:color w:val="000000" w:themeColor="text1"/>
          <w:szCs w:val="24"/>
        </w:rPr>
        <w:t>plementing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8-hour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threshold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limit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value-time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weighted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average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(TLV-TWA)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American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Conference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Governmental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Industrial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Hygienists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(ACGIH),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OSHA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Permissible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Limit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(PEL)</w:t>
      </w:r>
      <w:r w:rsidRPr="00C317BB" w:rsidR="002523AF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C749C">
        <w:rPr>
          <w:rFonts w:cs="Times New Roman"/>
          <w:color w:val="000000" w:themeColor="text1"/>
          <w:szCs w:val="24"/>
        </w:rPr>
        <w:t>which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C749C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C749C">
        <w:rPr>
          <w:rFonts w:cs="Times New Roman"/>
          <w:color w:val="000000" w:themeColor="text1"/>
          <w:szCs w:val="24"/>
        </w:rPr>
        <w:t>both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C749C">
        <w:rPr>
          <w:rFonts w:cs="Times New Roman"/>
          <w:color w:val="000000" w:themeColor="text1"/>
          <w:szCs w:val="24"/>
        </w:rPr>
        <w:t>0.1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C749C">
        <w:rPr>
          <w:rFonts w:cs="Times New Roman"/>
          <w:color w:val="000000" w:themeColor="text1"/>
          <w:szCs w:val="24"/>
        </w:rPr>
        <w:t>f/cc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523AF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523AF">
        <w:rPr>
          <w:rFonts w:cs="Times New Roman"/>
          <w:color w:val="000000" w:themeColor="text1"/>
          <w:szCs w:val="24"/>
        </w:rPr>
        <w:t>asbestos</w:t>
      </w:r>
      <w:r w:rsidRPr="00C317BB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7278C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7278C">
        <w:rPr>
          <w:rFonts w:cs="Times New Roman"/>
          <w:color w:val="000000" w:themeColor="text1"/>
          <w:szCs w:val="24"/>
        </w:rPr>
        <w:t>expects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7278C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7278C">
        <w:rPr>
          <w:rFonts w:cs="Times New Roman"/>
          <w:color w:val="000000" w:themeColor="text1"/>
          <w:szCs w:val="24"/>
        </w:rPr>
        <w:t>workplaces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7278C">
        <w:rPr>
          <w:rFonts w:cs="Times New Roman"/>
          <w:color w:val="000000" w:themeColor="text1"/>
          <w:szCs w:val="24"/>
        </w:rPr>
        <w:t>engaged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7278C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7278C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7278C">
        <w:rPr>
          <w:rFonts w:cs="Times New Roman"/>
          <w:color w:val="000000" w:themeColor="text1"/>
          <w:szCs w:val="24"/>
        </w:rPr>
        <w:t>following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7278C">
        <w:rPr>
          <w:rFonts w:cs="Times New Roman"/>
          <w:color w:val="000000" w:themeColor="text1"/>
          <w:szCs w:val="24"/>
        </w:rPr>
        <w:t>conditions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7278C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7278C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7278C">
        <w:rPr>
          <w:rFonts w:cs="Times New Roman"/>
          <w:color w:val="000000" w:themeColor="text1"/>
          <w:szCs w:val="24"/>
        </w:rPr>
        <w:t>may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7278C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7278C">
        <w:rPr>
          <w:rFonts w:cs="Times New Roman"/>
          <w:color w:val="000000" w:themeColor="text1"/>
          <w:szCs w:val="24"/>
        </w:rPr>
        <w:t>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7278C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7278C">
        <w:rPr>
          <w:rFonts w:cs="Times New Roman"/>
          <w:color w:val="000000" w:themeColor="text1"/>
          <w:szCs w:val="24"/>
        </w:rPr>
        <w:t>implement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7278C">
        <w:rPr>
          <w:rFonts w:cs="Times New Roman"/>
          <w:color w:val="000000" w:themeColor="text1"/>
          <w:szCs w:val="24"/>
        </w:rPr>
        <w:t>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7278C">
        <w:rPr>
          <w:rFonts w:cs="Times New Roman"/>
          <w:color w:val="000000" w:themeColor="text1"/>
          <w:szCs w:val="24"/>
        </w:rPr>
        <w:t>ECEL</w:t>
      </w:r>
      <w:r w:rsidRPr="00C317BB" w:rsidR="00703D43">
        <w:rPr>
          <w:rFonts w:cs="Times New Roman"/>
          <w:color w:val="000000" w:themeColor="text1"/>
          <w:szCs w:val="24"/>
        </w:rPr>
        <w:t>: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03D43">
        <w:rPr>
          <w:rFonts w:cs="Times New Roman"/>
          <w:color w:val="000000" w:themeColor="text1"/>
          <w:szCs w:val="24"/>
        </w:rPr>
        <w:t>processing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03D43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03D43">
        <w:rPr>
          <w:rFonts w:cs="Times New Roman"/>
          <w:color w:val="000000" w:themeColor="text1"/>
          <w:szCs w:val="24"/>
        </w:rPr>
        <w:t>industrial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03D43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03D43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03D43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03D43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03D43">
        <w:rPr>
          <w:rFonts w:cs="Times New Roman"/>
          <w:color w:val="000000" w:themeColor="text1"/>
          <w:szCs w:val="24"/>
        </w:rPr>
        <w:t>diaphragms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03D43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03D43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03D43">
        <w:rPr>
          <w:rFonts w:cs="Times New Roman"/>
          <w:color w:val="000000" w:themeColor="text1"/>
          <w:szCs w:val="24"/>
        </w:rPr>
        <w:t>chlor-alkali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03D43">
        <w:rPr>
          <w:rFonts w:cs="Times New Roman"/>
          <w:color w:val="000000" w:themeColor="text1"/>
          <w:szCs w:val="24"/>
        </w:rPr>
        <w:t>industry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03D43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03D43">
        <w:rPr>
          <w:rFonts w:cs="Times New Roman"/>
          <w:color w:val="000000" w:themeColor="text1"/>
          <w:szCs w:val="24"/>
        </w:rPr>
        <w:t>processing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03D43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03D43">
        <w:rPr>
          <w:rFonts w:cs="Times New Roman"/>
          <w:color w:val="000000" w:themeColor="text1"/>
          <w:szCs w:val="24"/>
        </w:rPr>
        <w:t>industrial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03D43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03D43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03D43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03D43">
        <w:rPr>
          <w:rFonts w:cs="Times New Roman"/>
          <w:color w:val="000000" w:themeColor="text1"/>
          <w:szCs w:val="24"/>
        </w:rPr>
        <w:t>asbestos-containing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03D43">
        <w:rPr>
          <w:rFonts w:cs="Times New Roman"/>
          <w:color w:val="000000" w:themeColor="text1"/>
          <w:szCs w:val="24"/>
        </w:rPr>
        <w:t>sheet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03D43">
        <w:rPr>
          <w:rFonts w:cs="Times New Roman"/>
          <w:color w:val="000000" w:themeColor="text1"/>
          <w:szCs w:val="24"/>
        </w:rPr>
        <w:t>gaskets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03D43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03D43">
        <w:rPr>
          <w:rFonts w:cs="Times New Roman"/>
          <w:color w:val="000000" w:themeColor="text1"/>
          <w:szCs w:val="24"/>
        </w:rPr>
        <w:t>chemical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03D43">
        <w:rPr>
          <w:rFonts w:cs="Times New Roman"/>
          <w:color w:val="000000" w:themeColor="text1"/>
          <w:szCs w:val="24"/>
        </w:rPr>
        <w:t>products.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52CEF">
        <w:rPr>
          <w:rFonts w:cs="Times New Roman"/>
          <w:color w:val="000000" w:themeColor="text1"/>
          <w:szCs w:val="24"/>
        </w:rPr>
        <w:t>Therefore,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3EB1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3EB1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87A9B">
        <w:rPr>
          <w:rFonts w:cs="Times New Roman"/>
          <w:color w:val="000000" w:themeColor="text1"/>
          <w:szCs w:val="24"/>
        </w:rPr>
        <w:t>primary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3EB1">
        <w:rPr>
          <w:rFonts w:cs="Times New Roman"/>
          <w:color w:val="000000" w:themeColor="text1"/>
          <w:szCs w:val="24"/>
        </w:rPr>
        <w:t>alternative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3EB1">
        <w:rPr>
          <w:rFonts w:cs="Times New Roman"/>
          <w:color w:val="000000" w:themeColor="text1"/>
          <w:szCs w:val="24"/>
        </w:rPr>
        <w:t>regulatory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87A9B">
        <w:rPr>
          <w:rFonts w:cs="Times New Roman"/>
          <w:color w:val="000000" w:themeColor="text1"/>
          <w:szCs w:val="24"/>
        </w:rPr>
        <w:t>action</w:t>
      </w:r>
      <w:r w:rsidRPr="00C317BB" w:rsidR="00783EB1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52CEF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D03DF">
        <w:rPr>
          <w:rFonts w:cs="Times New Roman"/>
          <w:color w:val="000000" w:themeColor="text1"/>
          <w:szCs w:val="24"/>
        </w:rPr>
        <w:t>would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908E0">
        <w:rPr>
          <w:rFonts w:cs="Times New Roman"/>
          <w:color w:val="000000" w:themeColor="text1"/>
          <w:szCs w:val="24"/>
        </w:rPr>
        <w:t>require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52CEF">
        <w:rPr>
          <w:rFonts w:cs="Times New Roman"/>
          <w:color w:val="000000" w:themeColor="text1"/>
          <w:szCs w:val="24"/>
        </w:rPr>
        <w:t>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52CEF">
        <w:rPr>
          <w:rFonts w:cs="Times New Roman"/>
          <w:color w:val="000000" w:themeColor="text1"/>
          <w:szCs w:val="24"/>
        </w:rPr>
        <w:t>ECEL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52CEF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52CEF">
        <w:rPr>
          <w:rFonts w:cs="Times New Roman"/>
          <w:color w:val="000000" w:themeColor="text1"/>
          <w:szCs w:val="24"/>
        </w:rPr>
        <w:t>these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52CEF">
        <w:rPr>
          <w:rFonts w:cs="Times New Roman"/>
          <w:color w:val="000000" w:themeColor="text1"/>
          <w:szCs w:val="24"/>
        </w:rPr>
        <w:t>conditions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52CEF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52CEF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52CEF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52CEF">
        <w:rPr>
          <w:rFonts w:cs="Times New Roman"/>
          <w:color w:val="000000" w:themeColor="text1"/>
          <w:szCs w:val="24"/>
        </w:rPr>
        <w:t>any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52CEF">
        <w:rPr>
          <w:rFonts w:cs="Times New Roman"/>
          <w:color w:val="000000" w:themeColor="text1"/>
          <w:szCs w:val="24"/>
        </w:rPr>
        <w:t>facility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52CEF">
        <w:rPr>
          <w:rFonts w:cs="Times New Roman"/>
          <w:color w:val="000000" w:themeColor="text1"/>
          <w:szCs w:val="24"/>
        </w:rPr>
        <w:t>engaged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52CEF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52CEF">
        <w:rPr>
          <w:rFonts w:cs="Times New Roman"/>
          <w:color w:val="000000" w:themeColor="text1"/>
          <w:szCs w:val="24"/>
        </w:rPr>
        <w:t>these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52CEF">
        <w:rPr>
          <w:rFonts w:cs="Times New Roman"/>
          <w:color w:val="000000" w:themeColor="text1"/>
          <w:szCs w:val="24"/>
        </w:rPr>
        <w:t>conditions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52CEF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52CEF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52CEF">
        <w:rPr>
          <w:rFonts w:cs="Times New Roman"/>
          <w:color w:val="000000" w:themeColor="text1"/>
          <w:szCs w:val="24"/>
        </w:rPr>
        <w:t>would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52CEF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52CEF">
        <w:rPr>
          <w:rFonts w:cs="Times New Roman"/>
          <w:color w:val="000000" w:themeColor="text1"/>
          <w:szCs w:val="24"/>
        </w:rPr>
        <w:t>considered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52CEF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52CEF">
        <w:rPr>
          <w:rFonts w:cs="Times New Roman"/>
          <w:color w:val="000000" w:themeColor="text1"/>
          <w:szCs w:val="24"/>
        </w:rPr>
        <w:t>regulated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52CEF">
        <w:rPr>
          <w:rFonts w:cs="Times New Roman"/>
          <w:color w:val="000000" w:themeColor="text1"/>
          <w:szCs w:val="24"/>
        </w:rPr>
        <w:t>entity.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D6445B" w:rsidP="00F27167" w:rsidRDefault="00B774BE" w14:paraId="0205B12C" w14:textId="7D5C9472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Specifically,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D4F29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D4F29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87A9B">
        <w:rPr>
          <w:rFonts w:cs="Times New Roman"/>
          <w:color w:val="000000" w:themeColor="text1"/>
          <w:szCs w:val="24"/>
        </w:rPr>
        <w:t>primary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D4F29">
        <w:rPr>
          <w:rFonts w:cs="Times New Roman"/>
          <w:color w:val="000000" w:themeColor="text1"/>
          <w:szCs w:val="24"/>
        </w:rPr>
        <w:t>alternative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D4F29">
        <w:rPr>
          <w:rFonts w:cs="Times New Roman"/>
          <w:color w:val="000000" w:themeColor="text1"/>
          <w:szCs w:val="24"/>
        </w:rPr>
        <w:t>regulatory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C45">
        <w:rPr>
          <w:rFonts w:cs="Times New Roman"/>
          <w:color w:val="000000" w:themeColor="text1"/>
          <w:szCs w:val="24"/>
        </w:rPr>
        <w:t>action</w:t>
      </w:r>
      <w:r w:rsidRPr="00C317BB" w:rsidR="004D4F29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24FA8">
        <w:rPr>
          <w:rFonts w:cs="Times New Roman"/>
          <w:color w:val="000000" w:themeColor="text1"/>
          <w:szCs w:val="24"/>
        </w:rPr>
        <w:t>would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24FA8">
        <w:rPr>
          <w:rFonts w:cs="Times New Roman"/>
          <w:color w:val="000000" w:themeColor="text1"/>
          <w:szCs w:val="24"/>
        </w:rPr>
        <w:t>require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regulated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entity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must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ensure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person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workplace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airborne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concentration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A182E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A182E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excess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0.0</w:t>
      </w:r>
      <w:r w:rsidRPr="00C317BB" w:rsidR="005A182E">
        <w:rPr>
          <w:rFonts w:cs="Times New Roman"/>
          <w:color w:val="000000" w:themeColor="text1"/>
          <w:szCs w:val="24"/>
        </w:rPr>
        <w:t>05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A182E">
        <w:rPr>
          <w:rFonts w:cs="Times New Roman"/>
          <w:color w:val="000000" w:themeColor="text1"/>
          <w:szCs w:val="24"/>
        </w:rPr>
        <w:t>f</w:t>
      </w:r>
      <w:r w:rsidRPr="00C317BB" w:rsidR="00B62332">
        <w:rPr>
          <w:rFonts w:cs="Times New Roman"/>
          <w:color w:val="000000" w:themeColor="text1"/>
          <w:szCs w:val="24"/>
        </w:rPr>
        <w:t>/cc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8-hour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TWA.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94118F" w:rsidP="00F27167" w:rsidRDefault="00B52D70" w14:paraId="77EB954B" w14:textId="27562026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i/>
          <w:color w:val="000000" w:themeColor="text1"/>
          <w:szCs w:val="24"/>
        </w:rPr>
        <w:t>Initial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>
        <w:rPr>
          <w:rFonts w:cs="Times New Roman"/>
          <w:i/>
          <w:color w:val="000000" w:themeColor="text1"/>
          <w:szCs w:val="24"/>
        </w:rPr>
        <w:t>exposure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>
        <w:rPr>
          <w:rFonts w:cs="Times New Roman"/>
          <w:i/>
          <w:color w:val="000000" w:themeColor="text1"/>
          <w:szCs w:val="24"/>
        </w:rPr>
        <w:t>monitoring</w:t>
      </w:r>
      <w:r w:rsidRPr="00C317BB" w:rsidR="0094118F">
        <w:rPr>
          <w:rFonts w:cs="Times New Roman"/>
          <w:i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94AC3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94AC3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06010">
        <w:rPr>
          <w:rFonts w:cs="Times New Roman"/>
          <w:color w:val="000000" w:themeColor="text1"/>
          <w:szCs w:val="24"/>
        </w:rPr>
        <w:t>primary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94AC3">
        <w:rPr>
          <w:rFonts w:cs="Times New Roman"/>
          <w:color w:val="000000" w:themeColor="text1"/>
          <w:szCs w:val="24"/>
        </w:rPr>
        <w:t>alternative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94AC3">
        <w:rPr>
          <w:rFonts w:cs="Times New Roman"/>
          <w:color w:val="000000" w:themeColor="text1"/>
          <w:szCs w:val="24"/>
        </w:rPr>
        <w:t>regulatory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51710">
        <w:rPr>
          <w:rFonts w:cs="Times New Roman"/>
          <w:color w:val="000000" w:themeColor="text1"/>
          <w:szCs w:val="24"/>
        </w:rPr>
        <w:t>action</w:t>
      </w:r>
      <w:r w:rsidRPr="00C317BB" w:rsidR="00994AC3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51710">
        <w:rPr>
          <w:rFonts w:cs="Times New Roman"/>
          <w:color w:val="000000" w:themeColor="text1"/>
          <w:szCs w:val="24"/>
        </w:rPr>
        <w:t>would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74FE6">
        <w:rPr>
          <w:rFonts w:cs="Times New Roman"/>
          <w:color w:val="000000" w:themeColor="text1"/>
          <w:szCs w:val="24"/>
        </w:rPr>
        <w:t>require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74FE6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74FE6">
        <w:rPr>
          <w:rFonts w:cs="Times New Roman"/>
          <w:color w:val="000000" w:themeColor="text1"/>
          <w:szCs w:val="24"/>
        </w:rPr>
        <w:t>regulated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74FE6">
        <w:rPr>
          <w:rFonts w:cs="Times New Roman"/>
          <w:color w:val="000000" w:themeColor="text1"/>
          <w:szCs w:val="24"/>
        </w:rPr>
        <w:t>entity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73D6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establish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baseline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implementation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ECEL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monitoring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personal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breathing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zone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4053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4053">
        <w:rPr>
          <w:rFonts w:cs="Times New Roman"/>
          <w:color w:val="000000" w:themeColor="text1"/>
          <w:szCs w:val="24"/>
        </w:rPr>
        <w:t>all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4053">
        <w:rPr>
          <w:rFonts w:cs="Times New Roman"/>
          <w:color w:val="000000" w:themeColor="text1"/>
          <w:szCs w:val="24"/>
        </w:rPr>
        <w:t>persons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4053">
        <w:rPr>
          <w:rFonts w:cs="Times New Roman"/>
          <w:color w:val="000000" w:themeColor="text1"/>
          <w:szCs w:val="24"/>
        </w:rPr>
        <w:t>reasonably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4053">
        <w:rPr>
          <w:rFonts w:cs="Times New Roman"/>
          <w:color w:val="000000" w:themeColor="text1"/>
          <w:szCs w:val="24"/>
        </w:rPr>
        <w:t>likely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4053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4053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4053">
        <w:rPr>
          <w:rFonts w:cs="Times New Roman"/>
          <w:color w:val="000000" w:themeColor="text1"/>
          <w:szCs w:val="24"/>
        </w:rPr>
        <w:t>exposed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(with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personal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monitoring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samples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outside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facepiece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if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person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wearing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respiratory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protective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equi</w:t>
      </w:r>
      <w:r w:rsidRPr="00C317BB" w:rsidR="00D44053">
        <w:rPr>
          <w:rFonts w:cs="Times New Roman"/>
          <w:color w:val="000000" w:themeColor="text1"/>
          <w:szCs w:val="24"/>
        </w:rPr>
        <w:t>p</w:t>
      </w:r>
      <w:r w:rsidRPr="00C317BB" w:rsidR="0094118F">
        <w:rPr>
          <w:rFonts w:cs="Times New Roman"/>
          <w:color w:val="000000" w:themeColor="text1"/>
          <w:szCs w:val="24"/>
        </w:rPr>
        <w:t>ment)</w:t>
      </w:r>
      <w:r w:rsidRPr="00C317BB" w:rsidR="00D44053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54D67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54D67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51710">
        <w:rPr>
          <w:rFonts w:cs="Times New Roman"/>
          <w:color w:val="000000" w:themeColor="text1"/>
          <w:szCs w:val="24"/>
        </w:rPr>
        <w:t>alternative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51710">
        <w:rPr>
          <w:rFonts w:cs="Times New Roman"/>
          <w:color w:val="000000" w:themeColor="text1"/>
          <w:szCs w:val="24"/>
        </w:rPr>
        <w:t>action</w:t>
      </w:r>
      <w:r w:rsidRPr="00C317BB" w:rsidR="00054D67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54D67">
        <w:rPr>
          <w:rFonts w:cs="Times New Roman"/>
          <w:color w:val="000000" w:themeColor="text1"/>
          <w:szCs w:val="24"/>
        </w:rPr>
        <w:t>t</w:t>
      </w:r>
      <w:r w:rsidRPr="00C317BB" w:rsidR="00704641">
        <w:rPr>
          <w:rFonts w:cs="Times New Roman"/>
          <w:color w:val="000000" w:themeColor="text1"/>
          <w:szCs w:val="24"/>
        </w:rPr>
        <w:t>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54D67">
        <w:rPr>
          <w:rFonts w:cs="Times New Roman"/>
          <w:color w:val="000000" w:themeColor="text1"/>
          <w:szCs w:val="24"/>
        </w:rPr>
        <w:t>initial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54D67">
        <w:rPr>
          <w:rFonts w:cs="Times New Roman"/>
          <w:color w:val="000000" w:themeColor="text1"/>
          <w:szCs w:val="24"/>
        </w:rPr>
        <w:t>monitoring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51710">
        <w:rPr>
          <w:rFonts w:cs="Times New Roman"/>
          <w:color w:val="000000" w:themeColor="text1"/>
          <w:szCs w:val="24"/>
        </w:rPr>
        <w:t>would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04641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taken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when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operating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conditions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representative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potential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exposures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persons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C5645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C5645">
        <w:rPr>
          <w:rFonts w:cs="Times New Roman"/>
          <w:color w:val="000000" w:themeColor="text1"/>
          <w:szCs w:val="24"/>
        </w:rPr>
        <w:t>workplace,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C5645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C5645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C5645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C5645">
        <w:rPr>
          <w:rFonts w:cs="Times New Roman"/>
          <w:color w:val="000000" w:themeColor="text1"/>
          <w:szCs w:val="24"/>
        </w:rPr>
        <w:t>representative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C5645">
        <w:rPr>
          <w:rFonts w:cs="Times New Roman"/>
          <w:color w:val="000000" w:themeColor="text1"/>
          <w:szCs w:val="24"/>
        </w:rPr>
        <w:t>sample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C5645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C5645">
        <w:rPr>
          <w:rFonts w:cs="Times New Roman"/>
          <w:color w:val="000000" w:themeColor="text1"/>
          <w:szCs w:val="24"/>
        </w:rPr>
        <w:t>persons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each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type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job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task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05AF2">
        <w:rPr>
          <w:rFonts w:cs="Times New Roman"/>
          <w:color w:val="000000" w:themeColor="text1"/>
          <w:szCs w:val="24"/>
        </w:rPr>
        <w:t>during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05AF2">
        <w:rPr>
          <w:rFonts w:cs="Times New Roman"/>
          <w:color w:val="000000" w:themeColor="text1"/>
          <w:szCs w:val="24"/>
        </w:rPr>
        <w:t>every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05AF2">
        <w:rPr>
          <w:rFonts w:cs="Times New Roman"/>
          <w:color w:val="000000" w:themeColor="text1"/>
          <w:szCs w:val="24"/>
        </w:rPr>
        <w:t>work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05AF2">
        <w:rPr>
          <w:rFonts w:cs="Times New Roman"/>
          <w:color w:val="000000" w:themeColor="text1"/>
          <w:szCs w:val="24"/>
        </w:rPr>
        <w:t>shift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who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reasonabl</w:t>
      </w:r>
      <w:r w:rsidRPr="00C317BB" w:rsidR="00DE3C56">
        <w:rPr>
          <w:rFonts w:cs="Times New Roman"/>
          <w:color w:val="000000" w:themeColor="text1"/>
          <w:szCs w:val="24"/>
        </w:rPr>
        <w:t>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likely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exposed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F236F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F236F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F236F">
        <w:rPr>
          <w:rFonts w:cs="Times New Roman"/>
          <w:color w:val="000000" w:themeColor="text1"/>
          <w:szCs w:val="24"/>
        </w:rPr>
        <w:t>workplace</w:t>
      </w:r>
      <w:r w:rsidRPr="00C317BB" w:rsidR="0094118F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expect</w:t>
      </w:r>
      <w:r w:rsidRPr="00C317BB" w:rsidR="00984180">
        <w:rPr>
          <w:rFonts w:cs="Times New Roman"/>
          <w:color w:val="000000" w:themeColor="text1"/>
          <w:szCs w:val="24"/>
        </w:rPr>
        <w:t>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733CB">
        <w:rPr>
          <w:rFonts w:cs="Times New Roman"/>
          <w:color w:val="000000" w:themeColor="text1"/>
          <w:szCs w:val="24"/>
        </w:rPr>
        <w:t>faci</w:t>
      </w:r>
      <w:r w:rsidRPr="00C317BB" w:rsidR="006613DD">
        <w:rPr>
          <w:rFonts w:cs="Times New Roman"/>
          <w:color w:val="000000" w:themeColor="text1"/>
          <w:szCs w:val="24"/>
        </w:rPr>
        <w:t>lities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613DD">
        <w:rPr>
          <w:rFonts w:cs="Times New Roman"/>
          <w:color w:val="000000" w:themeColor="text1"/>
          <w:szCs w:val="24"/>
        </w:rPr>
        <w:t>would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613DD">
        <w:rPr>
          <w:rFonts w:cs="Times New Roman"/>
          <w:color w:val="000000" w:themeColor="text1"/>
          <w:szCs w:val="24"/>
        </w:rPr>
        <w:t>attempt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A6D6F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A6D6F">
        <w:rPr>
          <w:rFonts w:cs="Times New Roman"/>
          <w:color w:val="000000" w:themeColor="text1"/>
          <w:szCs w:val="24"/>
        </w:rPr>
        <w:t>monitor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5897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5897">
        <w:rPr>
          <w:rFonts w:cs="Times New Roman"/>
          <w:color w:val="000000" w:themeColor="text1"/>
          <w:szCs w:val="24"/>
        </w:rPr>
        <w:t>baseline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2BA2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2BA2">
        <w:rPr>
          <w:rFonts w:cs="Times New Roman"/>
          <w:color w:val="000000" w:themeColor="text1"/>
          <w:szCs w:val="24"/>
        </w:rPr>
        <w:t>all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2BA2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2BA2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2BA2">
        <w:rPr>
          <w:rFonts w:cs="Times New Roman"/>
          <w:color w:val="000000" w:themeColor="text1"/>
          <w:szCs w:val="24"/>
        </w:rPr>
        <w:t>tasks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B50CD">
        <w:rPr>
          <w:rFonts w:cs="Times New Roman"/>
          <w:color w:val="000000" w:themeColor="text1"/>
          <w:szCs w:val="24"/>
        </w:rPr>
        <w:t>during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B50CD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B50CD">
        <w:rPr>
          <w:rFonts w:cs="Times New Roman"/>
          <w:color w:val="000000" w:themeColor="text1"/>
          <w:szCs w:val="24"/>
        </w:rPr>
        <w:t>same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B50CD">
        <w:rPr>
          <w:rFonts w:cs="Times New Roman"/>
          <w:color w:val="000000" w:themeColor="text1"/>
          <w:szCs w:val="24"/>
        </w:rPr>
        <w:t>timeframe</w:t>
      </w:r>
      <w:r w:rsidRPr="00C317BB" w:rsidR="00535F37">
        <w:rPr>
          <w:rFonts w:cs="Times New Roman"/>
          <w:color w:val="000000" w:themeColor="text1"/>
          <w:szCs w:val="24"/>
        </w:rPr>
        <w:t>;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35F37">
        <w:rPr>
          <w:rFonts w:cs="Times New Roman"/>
          <w:color w:val="000000" w:themeColor="text1"/>
          <w:szCs w:val="24"/>
        </w:rPr>
        <w:t>however,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35F37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35F37">
        <w:rPr>
          <w:rFonts w:cs="Times New Roman"/>
          <w:color w:val="000000" w:themeColor="text1"/>
          <w:szCs w:val="24"/>
        </w:rPr>
        <w:t>understands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35F37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6FA9">
        <w:rPr>
          <w:rFonts w:cs="Times New Roman"/>
          <w:color w:val="000000" w:themeColor="text1"/>
          <w:szCs w:val="24"/>
        </w:rPr>
        <w:t>certain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6FA9">
        <w:rPr>
          <w:rFonts w:cs="Times New Roman"/>
          <w:color w:val="000000" w:themeColor="text1"/>
          <w:szCs w:val="24"/>
        </w:rPr>
        <w:t>tasks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96D61">
        <w:rPr>
          <w:rFonts w:cs="Times New Roman"/>
          <w:color w:val="000000" w:themeColor="text1"/>
          <w:szCs w:val="24"/>
        </w:rPr>
        <w:t>occur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96D61">
        <w:rPr>
          <w:rFonts w:cs="Times New Roman"/>
          <w:color w:val="000000" w:themeColor="text1"/>
          <w:szCs w:val="24"/>
        </w:rPr>
        <w:t>less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96D61">
        <w:rPr>
          <w:rFonts w:cs="Times New Roman"/>
          <w:color w:val="000000" w:themeColor="text1"/>
          <w:szCs w:val="24"/>
        </w:rPr>
        <w:t>frequently</w:t>
      </w:r>
      <w:r w:rsidRPr="00C317BB" w:rsidR="00491749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91749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91749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91749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91749">
        <w:rPr>
          <w:rFonts w:cs="Times New Roman"/>
          <w:color w:val="000000" w:themeColor="text1"/>
          <w:szCs w:val="24"/>
        </w:rPr>
        <w:t>soliciting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91749">
        <w:rPr>
          <w:rFonts w:cs="Times New Roman"/>
          <w:color w:val="000000" w:themeColor="text1"/>
          <w:szCs w:val="24"/>
        </w:rPr>
        <w:t>comments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91749">
        <w:rPr>
          <w:rFonts w:cs="Times New Roman"/>
          <w:color w:val="000000" w:themeColor="text1"/>
          <w:szCs w:val="24"/>
        </w:rPr>
        <w:t>regarding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91749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91749">
        <w:rPr>
          <w:rFonts w:cs="Times New Roman"/>
          <w:color w:val="000000" w:themeColor="text1"/>
          <w:szCs w:val="24"/>
        </w:rPr>
        <w:t>timing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A04D8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A04D8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A04D8">
        <w:rPr>
          <w:rFonts w:cs="Times New Roman"/>
          <w:color w:val="000000" w:themeColor="text1"/>
          <w:szCs w:val="24"/>
        </w:rPr>
        <w:t>initial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4FE2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A04D8">
        <w:rPr>
          <w:rFonts w:cs="Times New Roman"/>
          <w:color w:val="000000" w:themeColor="text1"/>
          <w:szCs w:val="24"/>
        </w:rPr>
        <w:t>monitoring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E0D4D">
        <w:rPr>
          <w:rFonts w:cs="Times New Roman"/>
          <w:color w:val="000000" w:themeColor="text1"/>
          <w:szCs w:val="24"/>
        </w:rPr>
        <w:t>so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E0D4D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21C39">
        <w:rPr>
          <w:rFonts w:cs="Times New Roman"/>
          <w:color w:val="000000" w:themeColor="text1"/>
          <w:szCs w:val="24"/>
        </w:rPr>
        <w:t>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21C39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21C39">
        <w:rPr>
          <w:rFonts w:cs="Times New Roman"/>
          <w:color w:val="000000" w:themeColor="text1"/>
          <w:szCs w:val="24"/>
        </w:rPr>
        <w:t>representative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21C39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21C39">
        <w:rPr>
          <w:rFonts w:cs="Times New Roman"/>
          <w:color w:val="000000" w:themeColor="text1"/>
          <w:szCs w:val="24"/>
        </w:rPr>
        <w:t>all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21C39">
        <w:rPr>
          <w:rFonts w:cs="Times New Roman"/>
          <w:color w:val="000000" w:themeColor="text1"/>
          <w:szCs w:val="24"/>
        </w:rPr>
        <w:t>tasks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21C39">
        <w:rPr>
          <w:rFonts w:cs="Times New Roman"/>
          <w:color w:val="000000" w:themeColor="text1"/>
          <w:szCs w:val="24"/>
        </w:rPr>
        <w:t>involving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21C39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21C39">
        <w:rPr>
          <w:rFonts w:cs="Times New Roman"/>
          <w:color w:val="000000" w:themeColor="text1"/>
          <w:szCs w:val="24"/>
        </w:rPr>
        <w:t>asbestos</w:t>
      </w:r>
      <w:r w:rsidRPr="00C317BB" w:rsidR="00A965DE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965DE">
        <w:rPr>
          <w:rFonts w:cs="Times New Roman"/>
          <w:color w:val="000000" w:themeColor="text1"/>
          <w:szCs w:val="24"/>
        </w:rPr>
        <w:t>I</w:t>
      </w:r>
      <w:r w:rsidRPr="00C317BB" w:rsidR="0094118F">
        <w:rPr>
          <w:rFonts w:cs="Times New Roman"/>
          <w:color w:val="000000" w:themeColor="text1"/>
          <w:szCs w:val="24"/>
        </w:rPr>
        <w:t>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regulated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entity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cho</w:t>
      </w:r>
      <w:r w:rsidRPr="00C317BB" w:rsidR="00CF2AA9">
        <w:rPr>
          <w:rFonts w:cs="Times New Roman"/>
          <w:color w:val="000000" w:themeColor="text1"/>
          <w:szCs w:val="24"/>
        </w:rPr>
        <w:t>o</w:t>
      </w:r>
      <w:r w:rsidRPr="00C317BB" w:rsidR="0094118F">
        <w:rPr>
          <w:rFonts w:cs="Times New Roman"/>
          <w:color w:val="000000" w:themeColor="text1"/>
          <w:szCs w:val="24"/>
        </w:rPr>
        <w:t>ses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representative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sample,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such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sampling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will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include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965DE">
        <w:rPr>
          <w:rFonts w:cs="Times New Roman"/>
          <w:color w:val="000000" w:themeColor="text1"/>
          <w:szCs w:val="24"/>
        </w:rPr>
        <w:t>persons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3E7A">
        <w:rPr>
          <w:rFonts w:cs="Times New Roman"/>
          <w:color w:val="000000" w:themeColor="text1"/>
          <w:szCs w:val="24"/>
        </w:rPr>
        <w:t>who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closest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source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asbestos,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so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monitoring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results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738C1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representative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4D3C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4D3C">
        <w:rPr>
          <w:rFonts w:cs="Times New Roman"/>
          <w:color w:val="000000" w:themeColor="text1"/>
          <w:szCs w:val="24"/>
        </w:rPr>
        <w:t>most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4D3C">
        <w:rPr>
          <w:rFonts w:cs="Times New Roman"/>
          <w:color w:val="000000" w:themeColor="text1"/>
          <w:szCs w:val="24"/>
        </w:rPr>
        <w:t>highly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4D3C">
        <w:rPr>
          <w:rFonts w:cs="Times New Roman"/>
          <w:color w:val="000000" w:themeColor="text1"/>
          <w:szCs w:val="24"/>
        </w:rPr>
        <w:t>exposed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162D4">
        <w:rPr>
          <w:rFonts w:cs="Times New Roman"/>
          <w:color w:val="000000" w:themeColor="text1"/>
          <w:szCs w:val="24"/>
        </w:rPr>
        <w:t>persons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162D4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162D4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162D4">
        <w:rPr>
          <w:rFonts w:cs="Times New Roman"/>
          <w:color w:val="000000" w:themeColor="text1"/>
          <w:szCs w:val="24"/>
        </w:rPr>
        <w:t>workplace</w:t>
      </w:r>
      <w:r w:rsidRPr="00C317BB" w:rsidR="0094118F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7566">
        <w:rPr>
          <w:rFonts w:cs="Times New Roman"/>
          <w:color w:val="000000" w:themeColor="text1"/>
          <w:szCs w:val="24"/>
        </w:rPr>
        <w:t>If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7566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7566">
        <w:rPr>
          <w:rFonts w:cs="Times New Roman"/>
          <w:color w:val="000000" w:themeColor="text1"/>
          <w:szCs w:val="24"/>
        </w:rPr>
        <w:t>regulated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7566">
        <w:rPr>
          <w:rFonts w:cs="Times New Roman"/>
          <w:color w:val="000000" w:themeColor="text1"/>
          <w:szCs w:val="24"/>
        </w:rPr>
        <w:t>entity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56DBB">
        <w:rPr>
          <w:rFonts w:cs="Times New Roman"/>
          <w:color w:val="000000" w:themeColor="text1"/>
          <w:szCs w:val="24"/>
        </w:rPr>
        <w:t>has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56DBB">
        <w:rPr>
          <w:rFonts w:cs="Times New Roman"/>
          <w:color w:val="000000" w:themeColor="text1"/>
          <w:szCs w:val="24"/>
        </w:rPr>
        <w:t>existing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C3D2E">
        <w:rPr>
          <w:rFonts w:cs="Times New Roman"/>
          <w:color w:val="000000" w:themeColor="text1"/>
          <w:szCs w:val="24"/>
        </w:rPr>
        <w:t>monitoring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C3D2E">
        <w:rPr>
          <w:rFonts w:cs="Times New Roman"/>
          <w:color w:val="000000" w:themeColor="text1"/>
          <w:szCs w:val="24"/>
        </w:rPr>
        <w:t>data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C3D2E">
        <w:rPr>
          <w:rFonts w:cs="Times New Roman"/>
          <w:color w:val="000000" w:themeColor="text1"/>
          <w:szCs w:val="24"/>
        </w:rPr>
        <w:t>less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C3D2E">
        <w:rPr>
          <w:rFonts w:cs="Times New Roman"/>
          <w:color w:val="000000" w:themeColor="text1"/>
          <w:szCs w:val="24"/>
        </w:rPr>
        <w:t>than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4FE2">
        <w:rPr>
          <w:rFonts w:cs="Times New Roman"/>
          <w:color w:val="000000" w:themeColor="text1"/>
          <w:szCs w:val="24"/>
        </w:rPr>
        <w:t>five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C3D2E">
        <w:rPr>
          <w:rFonts w:cs="Times New Roman"/>
          <w:color w:val="000000" w:themeColor="text1"/>
          <w:szCs w:val="24"/>
        </w:rPr>
        <w:t>years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C3D2E">
        <w:rPr>
          <w:rFonts w:cs="Times New Roman"/>
          <w:color w:val="000000" w:themeColor="text1"/>
          <w:szCs w:val="24"/>
        </w:rPr>
        <w:t>old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77459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30DAC">
        <w:rPr>
          <w:rFonts w:cs="Times New Roman"/>
          <w:color w:val="000000" w:themeColor="text1"/>
          <w:szCs w:val="24"/>
        </w:rPr>
        <w:t>follows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30DAC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30DAC">
        <w:rPr>
          <w:rFonts w:cs="Times New Roman"/>
          <w:color w:val="000000" w:themeColor="text1"/>
          <w:szCs w:val="24"/>
        </w:rPr>
        <w:t>initial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30DAC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30DAC">
        <w:rPr>
          <w:rFonts w:cs="Times New Roman"/>
          <w:color w:val="000000" w:themeColor="text1"/>
          <w:szCs w:val="24"/>
        </w:rPr>
        <w:t>monitoring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35A2">
        <w:rPr>
          <w:rFonts w:cs="Times New Roman"/>
          <w:color w:val="000000" w:themeColor="text1"/>
          <w:szCs w:val="24"/>
        </w:rPr>
        <w:t>criteria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44F40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44F40">
        <w:rPr>
          <w:rFonts w:cs="Times New Roman"/>
          <w:color w:val="000000" w:themeColor="text1"/>
          <w:szCs w:val="24"/>
        </w:rPr>
        <w:t>where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44F40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44F40">
        <w:rPr>
          <w:rFonts w:cs="Times New Roman"/>
          <w:color w:val="000000" w:themeColor="text1"/>
          <w:szCs w:val="24"/>
        </w:rPr>
        <w:t>process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44F40">
        <w:rPr>
          <w:rFonts w:cs="Times New Roman"/>
          <w:color w:val="000000" w:themeColor="text1"/>
          <w:szCs w:val="24"/>
        </w:rPr>
        <w:t>change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44F40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44F40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44F40">
        <w:rPr>
          <w:rFonts w:cs="Times New Roman"/>
          <w:color w:val="000000" w:themeColor="text1"/>
          <w:szCs w:val="24"/>
        </w:rPr>
        <w:t>implicated</w:t>
      </w:r>
      <w:r w:rsidRPr="00C317BB" w:rsidR="00EC3D2E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C3D2E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C3D2E">
        <w:rPr>
          <w:rFonts w:cs="Times New Roman"/>
          <w:color w:val="000000" w:themeColor="text1"/>
          <w:szCs w:val="24"/>
        </w:rPr>
        <w:t>regulated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C3D2E">
        <w:rPr>
          <w:rFonts w:cs="Times New Roman"/>
          <w:color w:val="000000" w:themeColor="text1"/>
          <w:szCs w:val="24"/>
        </w:rPr>
        <w:t>entity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C3D2E">
        <w:rPr>
          <w:rFonts w:cs="Times New Roman"/>
          <w:color w:val="000000" w:themeColor="text1"/>
          <w:szCs w:val="24"/>
        </w:rPr>
        <w:t>could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C3D2E">
        <w:rPr>
          <w:rFonts w:cs="Times New Roman"/>
          <w:color w:val="000000" w:themeColor="text1"/>
          <w:szCs w:val="24"/>
        </w:rPr>
        <w:t>choose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C3D2E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C3D2E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C3D2E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C5655">
        <w:rPr>
          <w:rFonts w:cs="Times New Roman"/>
          <w:color w:val="000000" w:themeColor="text1"/>
          <w:szCs w:val="24"/>
        </w:rPr>
        <w:t>existing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C3D2E">
        <w:rPr>
          <w:rFonts w:cs="Times New Roman"/>
          <w:color w:val="000000" w:themeColor="text1"/>
          <w:szCs w:val="24"/>
        </w:rPr>
        <w:t>data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C3D2E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C3D2E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C3D2E">
        <w:rPr>
          <w:rFonts w:cs="Times New Roman"/>
          <w:color w:val="000000" w:themeColor="text1"/>
          <w:szCs w:val="24"/>
        </w:rPr>
        <w:t>initial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C3D2E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C3D2E">
        <w:rPr>
          <w:rFonts w:cs="Times New Roman"/>
          <w:color w:val="000000" w:themeColor="text1"/>
          <w:szCs w:val="24"/>
        </w:rPr>
        <w:t>monitoring.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374B3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374B3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374B3">
        <w:rPr>
          <w:rFonts w:cs="Times New Roman"/>
          <w:color w:val="000000" w:themeColor="text1"/>
          <w:szCs w:val="24"/>
        </w:rPr>
        <w:t>soliciting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374B3">
        <w:rPr>
          <w:rFonts w:cs="Times New Roman"/>
          <w:color w:val="000000" w:themeColor="text1"/>
          <w:szCs w:val="24"/>
        </w:rPr>
        <w:t>public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374B3">
        <w:rPr>
          <w:rFonts w:cs="Times New Roman"/>
          <w:color w:val="000000" w:themeColor="text1"/>
          <w:szCs w:val="24"/>
        </w:rPr>
        <w:t>comments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374B3">
        <w:rPr>
          <w:rFonts w:cs="Times New Roman"/>
          <w:color w:val="000000" w:themeColor="text1"/>
          <w:szCs w:val="24"/>
        </w:rPr>
        <w:t>regarding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374B3">
        <w:rPr>
          <w:rFonts w:cs="Times New Roman"/>
          <w:color w:val="000000" w:themeColor="text1"/>
          <w:szCs w:val="24"/>
        </w:rPr>
        <w:t>any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374B3">
        <w:rPr>
          <w:rFonts w:cs="Times New Roman"/>
          <w:color w:val="000000" w:themeColor="text1"/>
          <w:szCs w:val="24"/>
        </w:rPr>
        <w:t>addition</w:t>
      </w:r>
      <w:r w:rsidRPr="00C317BB" w:rsidR="001E7A2A">
        <w:rPr>
          <w:rFonts w:cs="Times New Roman"/>
          <w:color w:val="000000" w:themeColor="text1"/>
          <w:szCs w:val="24"/>
        </w:rPr>
        <w:t>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374B3">
        <w:rPr>
          <w:rFonts w:cs="Times New Roman"/>
          <w:color w:val="000000" w:themeColor="text1"/>
          <w:szCs w:val="24"/>
        </w:rPr>
        <w:t>requirement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374B3">
        <w:rPr>
          <w:rFonts w:cs="Times New Roman"/>
          <w:color w:val="000000" w:themeColor="text1"/>
          <w:szCs w:val="24"/>
        </w:rPr>
        <w:t>needed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374B3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374B3">
        <w:rPr>
          <w:rFonts w:cs="Times New Roman"/>
          <w:color w:val="000000" w:themeColor="text1"/>
          <w:szCs w:val="24"/>
        </w:rPr>
        <w:t>ensure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374B3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374B3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374B3">
        <w:rPr>
          <w:rFonts w:cs="Times New Roman"/>
          <w:color w:val="000000" w:themeColor="text1"/>
          <w:szCs w:val="24"/>
        </w:rPr>
        <w:t>initial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374B3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374B3">
        <w:rPr>
          <w:rFonts w:cs="Times New Roman"/>
          <w:color w:val="000000" w:themeColor="text1"/>
          <w:szCs w:val="24"/>
        </w:rPr>
        <w:t>monitoring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374B3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374B3">
        <w:rPr>
          <w:rFonts w:cs="Times New Roman"/>
          <w:color w:val="000000" w:themeColor="text1"/>
          <w:szCs w:val="24"/>
        </w:rPr>
        <w:t>representative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374B3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374B3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374B3">
        <w:rPr>
          <w:rFonts w:cs="Times New Roman"/>
          <w:color w:val="000000" w:themeColor="text1"/>
          <w:szCs w:val="24"/>
        </w:rPr>
        <w:t>exposures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374B3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374B3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374B3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374B3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374B3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374B3">
        <w:rPr>
          <w:rFonts w:cs="Times New Roman"/>
          <w:color w:val="000000" w:themeColor="text1"/>
          <w:szCs w:val="24"/>
        </w:rPr>
        <w:t>workplace.</w:t>
      </w:r>
    </w:p>
    <w:p w:rsidRPr="00C317BB" w:rsidR="0094118F" w:rsidP="00F27167" w:rsidRDefault="0094118F" w14:paraId="23CB4D24" w14:textId="7CAE0C8F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i/>
          <w:color w:val="000000" w:themeColor="text1"/>
          <w:szCs w:val="24"/>
        </w:rPr>
        <w:t>Periodic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>
        <w:rPr>
          <w:rFonts w:cs="Times New Roman"/>
          <w:i/>
          <w:color w:val="000000" w:themeColor="text1"/>
          <w:szCs w:val="24"/>
        </w:rPr>
        <w:t>exposure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>
        <w:rPr>
          <w:rFonts w:cs="Times New Roman"/>
          <w:i/>
          <w:color w:val="000000" w:themeColor="text1"/>
          <w:szCs w:val="24"/>
        </w:rPr>
        <w:t>monitoring.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Based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results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initial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monitoring,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9609F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9609F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77A6E">
        <w:rPr>
          <w:rFonts w:cs="Times New Roman"/>
          <w:color w:val="000000" w:themeColor="text1"/>
          <w:szCs w:val="24"/>
        </w:rPr>
        <w:t>primary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9609F">
        <w:rPr>
          <w:rFonts w:cs="Times New Roman"/>
          <w:color w:val="000000" w:themeColor="text1"/>
          <w:szCs w:val="24"/>
        </w:rPr>
        <w:t>alternative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9609F">
        <w:rPr>
          <w:rFonts w:cs="Times New Roman"/>
          <w:color w:val="000000" w:themeColor="text1"/>
          <w:szCs w:val="24"/>
        </w:rPr>
        <w:t>regulatory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51710">
        <w:rPr>
          <w:rFonts w:cs="Times New Roman"/>
          <w:color w:val="000000" w:themeColor="text1"/>
          <w:szCs w:val="24"/>
        </w:rPr>
        <w:t>action</w:t>
      </w:r>
      <w:r w:rsidRPr="00C317BB" w:rsidR="0009609F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51710">
        <w:rPr>
          <w:rFonts w:cs="Times New Roman"/>
          <w:color w:val="000000" w:themeColor="text1"/>
          <w:szCs w:val="24"/>
        </w:rPr>
        <w:t>would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02CC4">
        <w:rPr>
          <w:rFonts w:cs="Times New Roman"/>
          <w:color w:val="000000" w:themeColor="text1"/>
          <w:szCs w:val="24"/>
        </w:rPr>
        <w:t>require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35B0D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35B0D">
        <w:rPr>
          <w:rFonts w:cs="Times New Roman"/>
          <w:color w:val="000000" w:themeColor="text1"/>
          <w:szCs w:val="24"/>
        </w:rPr>
        <w:t>regulated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35B0D">
        <w:rPr>
          <w:rFonts w:cs="Times New Roman"/>
          <w:color w:val="000000" w:themeColor="text1"/>
          <w:szCs w:val="24"/>
        </w:rPr>
        <w:t>entity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E1AA2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7D09">
        <w:rPr>
          <w:rFonts w:cs="Times New Roman"/>
          <w:color w:val="000000" w:themeColor="text1"/>
          <w:szCs w:val="24"/>
        </w:rPr>
        <w:t>conduct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E5ADC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following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periodic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monitoring: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94118F" w:rsidP="00F27167" w:rsidRDefault="00737FA0" w14:paraId="4A800F6C" w14:textId="2A9FCBD9">
      <w:pPr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ab/>
        <w:t>•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If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any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samples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taken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during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initial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monitoring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reveal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C7204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C7204">
        <w:rPr>
          <w:rFonts w:cs="Times New Roman"/>
          <w:color w:val="000000" w:themeColor="text1"/>
          <w:szCs w:val="24"/>
        </w:rPr>
        <w:t>con</w:t>
      </w:r>
      <w:r w:rsidRPr="00C317BB" w:rsidR="00C12371">
        <w:rPr>
          <w:rFonts w:cs="Times New Roman"/>
          <w:color w:val="000000" w:themeColor="text1"/>
          <w:szCs w:val="24"/>
        </w:rPr>
        <w:t>centration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12371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A778C">
        <w:rPr>
          <w:rFonts w:cs="Times New Roman"/>
          <w:color w:val="000000" w:themeColor="text1"/>
          <w:szCs w:val="24"/>
        </w:rPr>
        <w:t>airborne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A778C">
        <w:rPr>
          <w:rFonts w:cs="Times New Roman"/>
          <w:color w:val="000000" w:themeColor="text1"/>
          <w:szCs w:val="24"/>
        </w:rPr>
        <w:t>ch</w:t>
      </w:r>
      <w:r w:rsidRPr="00C317BB" w:rsidR="009C6B0C">
        <w:rPr>
          <w:rFonts w:cs="Times New Roman"/>
          <w:color w:val="000000" w:themeColor="text1"/>
          <w:szCs w:val="24"/>
        </w:rPr>
        <w:t>r</w:t>
      </w:r>
      <w:r w:rsidRPr="00C317BB" w:rsidR="00BA778C">
        <w:rPr>
          <w:rFonts w:cs="Times New Roman"/>
          <w:color w:val="000000" w:themeColor="text1"/>
          <w:szCs w:val="24"/>
        </w:rPr>
        <w:t>y</w:t>
      </w:r>
      <w:r w:rsidRPr="00C317BB" w:rsidR="009C6B0C">
        <w:rPr>
          <w:rFonts w:cs="Times New Roman"/>
          <w:color w:val="000000" w:themeColor="text1"/>
          <w:szCs w:val="24"/>
        </w:rPr>
        <w:t>s</w:t>
      </w:r>
      <w:r w:rsidRPr="00C317BB" w:rsidR="00BA778C">
        <w:rPr>
          <w:rFonts w:cs="Times New Roman"/>
          <w:color w:val="000000" w:themeColor="text1"/>
          <w:szCs w:val="24"/>
        </w:rPr>
        <w:t>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A778C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759CA">
        <w:rPr>
          <w:rFonts w:cs="Times New Roman"/>
          <w:color w:val="000000" w:themeColor="text1"/>
          <w:szCs w:val="24"/>
        </w:rPr>
        <w:t>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759CA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759CA">
        <w:rPr>
          <w:rFonts w:cs="Times New Roman"/>
          <w:color w:val="000000" w:themeColor="text1"/>
          <w:szCs w:val="24"/>
        </w:rPr>
        <w:t>above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759CA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8154B">
        <w:rPr>
          <w:rFonts w:cs="Times New Roman"/>
          <w:color w:val="000000" w:themeColor="text1"/>
          <w:szCs w:val="24"/>
        </w:rPr>
        <w:t>ECEL-</w:t>
      </w:r>
      <w:r w:rsidRPr="00C317BB" w:rsidR="00B759CA">
        <w:rPr>
          <w:rFonts w:cs="Times New Roman"/>
          <w:color w:val="000000" w:themeColor="text1"/>
          <w:szCs w:val="24"/>
        </w:rPr>
        <w:t>action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759CA">
        <w:rPr>
          <w:rFonts w:cs="Times New Roman"/>
          <w:color w:val="000000" w:themeColor="text1"/>
          <w:szCs w:val="24"/>
        </w:rPr>
        <w:t>level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C2CBF">
        <w:rPr>
          <w:rFonts w:cs="Times New Roman"/>
          <w:color w:val="000000" w:themeColor="text1"/>
          <w:szCs w:val="24"/>
        </w:rPr>
        <w:t>but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C2CBF">
        <w:rPr>
          <w:rFonts w:cs="Times New Roman"/>
          <w:color w:val="000000" w:themeColor="text1"/>
          <w:szCs w:val="24"/>
        </w:rPr>
        <w:t>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C2CBF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E4BF1">
        <w:rPr>
          <w:rFonts w:cs="Times New Roman"/>
          <w:color w:val="000000" w:themeColor="text1"/>
          <w:szCs w:val="24"/>
        </w:rPr>
        <w:t>below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914CC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ECEL,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regulated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entity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must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repeat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monitoring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336EE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336EE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336EE">
        <w:rPr>
          <w:rFonts w:cs="Times New Roman"/>
          <w:color w:val="000000" w:themeColor="text1"/>
          <w:szCs w:val="24"/>
        </w:rPr>
        <w:t>no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336EE">
        <w:rPr>
          <w:rFonts w:cs="Times New Roman"/>
          <w:color w:val="000000" w:themeColor="text1"/>
          <w:szCs w:val="24"/>
        </w:rPr>
        <w:t>case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336EE">
        <w:rPr>
          <w:rFonts w:cs="Times New Roman"/>
          <w:color w:val="000000" w:themeColor="text1"/>
          <w:szCs w:val="24"/>
        </w:rPr>
        <w:t>shall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D0545">
        <w:rPr>
          <w:rFonts w:cs="Times New Roman"/>
          <w:color w:val="000000" w:themeColor="text1"/>
          <w:szCs w:val="24"/>
        </w:rPr>
        <w:t>exceed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74F0F">
        <w:rPr>
          <w:rFonts w:cs="Times New Roman"/>
          <w:color w:val="000000" w:themeColor="text1"/>
          <w:szCs w:val="24"/>
        </w:rPr>
        <w:t>six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months.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A3921">
        <w:rPr>
          <w:rFonts w:cs="Times New Roman"/>
          <w:color w:val="000000" w:themeColor="text1"/>
          <w:szCs w:val="24"/>
        </w:rPr>
        <w:t>However,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if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facility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does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during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those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346">
        <w:rPr>
          <w:rFonts w:cs="Times New Roman"/>
          <w:color w:val="000000" w:themeColor="text1"/>
          <w:szCs w:val="24"/>
        </w:rPr>
        <w:t>six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months,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then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they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do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have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conduct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monitoring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until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next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74F0F">
        <w:rPr>
          <w:rFonts w:cs="Times New Roman"/>
          <w:color w:val="000000" w:themeColor="text1"/>
          <w:szCs w:val="24"/>
        </w:rPr>
        <w:t>six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months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2213D">
        <w:rPr>
          <w:rFonts w:cs="Times New Roman"/>
          <w:color w:val="000000" w:themeColor="text1"/>
          <w:szCs w:val="24"/>
        </w:rPr>
        <w:t>would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2213D">
        <w:rPr>
          <w:rFonts w:cs="Times New Roman"/>
          <w:color w:val="000000" w:themeColor="text1"/>
          <w:szCs w:val="24"/>
        </w:rPr>
        <w:t>need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2213D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document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fact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they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using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asbestos.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102F24" w:rsidP="00F27167" w:rsidRDefault="00737FA0" w14:paraId="5A62F1CA" w14:textId="0F9E7BD3">
      <w:pPr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ab/>
        <w:t>•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E3A0D">
        <w:rPr>
          <w:rFonts w:cs="Times New Roman"/>
          <w:color w:val="000000" w:themeColor="text1"/>
          <w:szCs w:val="24"/>
        </w:rPr>
        <w:t>If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E3A0D">
        <w:rPr>
          <w:rFonts w:cs="Times New Roman"/>
          <w:color w:val="000000" w:themeColor="text1"/>
          <w:szCs w:val="24"/>
        </w:rPr>
        <w:t>any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E3A0D">
        <w:rPr>
          <w:rFonts w:cs="Times New Roman"/>
          <w:color w:val="000000" w:themeColor="text1"/>
          <w:szCs w:val="24"/>
        </w:rPr>
        <w:t>samples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E3A0D">
        <w:rPr>
          <w:rFonts w:cs="Times New Roman"/>
          <w:color w:val="000000" w:themeColor="text1"/>
          <w:szCs w:val="24"/>
        </w:rPr>
        <w:t>taken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E3A0D">
        <w:rPr>
          <w:rFonts w:cs="Times New Roman"/>
          <w:color w:val="000000" w:themeColor="text1"/>
          <w:szCs w:val="24"/>
        </w:rPr>
        <w:t>during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E3A0D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E3A0D">
        <w:rPr>
          <w:rFonts w:cs="Times New Roman"/>
          <w:color w:val="000000" w:themeColor="text1"/>
          <w:szCs w:val="24"/>
        </w:rPr>
        <w:t>initial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E3A0D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E3A0D">
        <w:rPr>
          <w:rFonts w:cs="Times New Roman"/>
          <w:color w:val="000000" w:themeColor="text1"/>
          <w:szCs w:val="24"/>
        </w:rPr>
        <w:t>monitoring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E3A0D">
        <w:rPr>
          <w:rFonts w:cs="Times New Roman"/>
          <w:color w:val="000000" w:themeColor="text1"/>
          <w:szCs w:val="24"/>
        </w:rPr>
        <w:t>reveal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E3A0D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E3A0D">
        <w:rPr>
          <w:rFonts w:cs="Times New Roman"/>
          <w:color w:val="000000" w:themeColor="text1"/>
          <w:szCs w:val="24"/>
        </w:rPr>
        <w:t>concentration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E3A0D">
        <w:rPr>
          <w:rFonts w:cs="Times New Roman"/>
          <w:color w:val="000000" w:themeColor="text1"/>
          <w:szCs w:val="24"/>
        </w:rPr>
        <w:t>above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E3A0D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E3A0D">
        <w:rPr>
          <w:rFonts w:cs="Times New Roman"/>
          <w:color w:val="000000" w:themeColor="text1"/>
          <w:szCs w:val="24"/>
        </w:rPr>
        <w:t>ECEL,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E3A0D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E3A0D">
        <w:rPr>
          <w:rFonts w:cs="Times New Roman"/>
          <w:color w:val="000000" w:themeColor="text1"/>
          <w:szCs w:val="24"/>
        </w:rPr>
        <w:t>regulated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E3A0D">
        <w:rPr>
          <w:rFonts w:cs="Times New Roman"/>
          <w:color w:val="000000" w:themeColor="text1"/>
          <w:szCs w:val="24"/>
        </w:rPr>
        <w:t>entity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E3A0D">
        <w:rPr>
          <w:rFonts w:cs="Times New Roman"/>
          <w:color w:val="000000" w:themeColor="text1"/>
          <w:szCs w:val="24"/>
        </w:rPr>
        <w:t>must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E3A0D">
        <w:rPr>
          <w:rFonts w:cs="Times New Roman"/>
          <w:color w:val="000000" w:themeColor="text1"/>
          <w:szCs w:val="24"/>
        </w:rPr>
        <w:t>repeat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E3A0D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E3A0D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E3A0D">
        <w:rPr>
          <w:rFonts w:cs="Times New Roman"/>
          <w:color w:val="000000" w:themeColor="text1"/>
          <w:szCs w:val="24"/>
        </w:rPr>
        <w:t>monitoring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E3A0D">
        <w:rPr>
          <w:rFonts w:cs="Times New Roman"/>
          <w:color w:val="000000" w:themeColor="text1"/>
          <w:szCs w:val="24"/>
        </w:rPr>
        <w:t>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E3A0D">
        <w:rPr>
          <w:rFonts w:cs="Times New Roman"/>
          <w:color w:val="000000" w:themeColor="text1"/>
          <w:szCs w:val="24"/>
        </w:rPr>
        <w:t>least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E3A0D">
        <w:rPr>
          <w:rFonts w:cs="Times New Roman"/>
          <w:color w:val="000000" w:themeColor="text1"/>
          <w:szCs w:val="24"/>
        </w:rPr>
        <w:t>every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74F0F">
        <w:rPr>
          <w:rFonts w:cs="Times New Roman"/>
          <w:color w:val="000000" w:themeColor="text1"/>
          <w:szCs w:val="24"/>
        </w:rPr>
        <w:t>three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E3A0D">
        <w:rPr>
          <w:rFonts w:cs="Times New Roman"/>
          <w:color w:val="000000" w:themeColor="text1"/>
          <w:szCs w:val="24"/>
        </w:rPr>
        <w:t>months.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2F24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2F24">
        <w:rPr>
          <w:rFonts w:cs="Times New Roman"/>
          <w:color w:val="000000" w:themeColor="text1"/>
          <w:szCs w:val="24"/>
        </w:rPr>
        <w:t>regulated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2F24">
        <w:rPr>
          <w:rFonts w:cs="Times New Roman"/>
          <w:color w:val="000000" w:themeColor="text1"/>
          <w:szCs w:val="24"/>
        </w:rPr>
        <w:t>entity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2F24">
        <w:rPr>
          <w:rFonts w:cs="Times New Roman"/>
          <w:color w:val="000000" w:themeColor="text1"/>
          <w:szCs w:val="24"/>
        </w:rPr>
        <w:t>may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2F24">
        <w:rPr>
          <w:rFonts w:cs="Times New Roman"/>
          <w:color w:val="000000" w:themeColor="text1"/>
          <w:szCs w:val="24"/>
        </w:rPr>
        <w:t>alter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2F24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2F24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2F24">
        <w:rPr>
          <w:rFonts w:cs="Times New Roman"/>
          <w:color w:val="000000" w:themeColor="text1"/>
          <w:szCs w:val="24"/>
        </w:rPr>
        <w:t>monitoring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2F24">
        <w:rPr>
          <w:rFonts w:cs="Times New Roman"/>
          <w:color w:val="000000" w:themeColor="text1"/>
          <w:szCs w:val="24"/>
        </w:rPr>
        <w:t>schedule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2F24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2F24">
        <w:rPr>
          <w:rFonts w:cs="Times New Roman"/>
          <w:color w:val="000000" w:themeColor="text1"/>
          <w:szCs w:val="24"/>
        </w:rPr>
        <w:t>every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74F0F">
        <w:rPr>
          <w:rFonts w:cs="Times New Roman"/>
          <w:color w:val="000000" w:themeColor="text1"/>
          <w:szCs w:val="24"/>
        </w:rPr>
        <w:t>three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2F24">
        <w:rPr>
          <w:rFonts w:cs="Times New Roman"/>
          <w:color w:val="000000" w:themeColor="text1"/>
          <w:szCs w:val="24"/>
        </w:rPr>
        <w:t>months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2F24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2F24">
        <w:rPr>
          <w:rFonts w:cs="Times New Roman"/>
          <w:color w:val="000000" w:themeColor="text1"/>
          <w:szCs w:val="24"/>
        </w:rPr>
        <w:t>every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74F0F">
        <w:rPr>
          <w:rFonts w:cs="Times New Roman"/>
          <w:color w:val="000000" w:themeColor="text1"/>
          <w:szCs w:val="24"/>
        </w:rPr>
        <w:t>six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2F24">
        <w:rPr>
          <w:rFonts w:cs="Times New Roman"/>
          <w:color w:val="000000" w:themeColor="text1"/>
          <w:szCs w:val="24"/>
        </w:rPr>
        <w:t>months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2F24">
        <w:rPr>
          <w:rFonts w:cs="Times New Roman"/>
          <w:color w:val="000000" w:themeColor="text1"/>
          <w:szCs w:val="24"/>
        </w:rPr>
        <w:t>if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2F24">
        <w:rPr>
          <w:rFonts w:cs="Times New Roman"/>
          <w:color w:val="000000" w:themeColor="text1"/>
          <w:szCs w:val="24"/>
        </w:rPr>
        <w:t>two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2F24">
        <w:rPr>
          <w:rFonts w:cs="Times New Roman"/>
          <w:color w:val="000000" w:themeColor="text1"/>
          <w:szCs w:val="24"/>
        </w:rPr>
        <w:t>consecutive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2F24">
        <w:rPr>
          <w:rFonts w:cs="Times New Roman"/>
          <w:color w:val="000000" w:themeColor="text1"/>
          <w:szCs w:val="24"/>
        </w:rPr>
        <w:t>monitoring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2F24">
        <w:rPr>
          <w:rFonts w:cs="Times New Roman"/>
          <w:color w:val="000000" w:themeColor="text1"/>
          <w:szCs w:val="24"/>
        </w:rPr>
        <w:t>events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2F24">
        <w:rPr>
          <w:rFonts w:cs="Times New Roman"/>
          <w:color w:val="000000" w:themeColor="text1"/>
          <w:szCs w:val="24"/>
        </w:rPr>
        <w:t>taken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2F24">
        <w:rPr>
          <w:rFonts w:cs="Times New Roman"/>
          <w:color w:val="000000" w:themeColor="text1"/>
          <w:szCs w:val="24"/>
        </w:rPr>
        <w:t>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2F24">
        <w:rPr>
          <w:rFonts w:cs="Times New Roman"/>
          <w:color w:val="000000" w:themeColor="text1"/>
          <w:szCs w:val="24"/>
        </w:rPr>
        <w:t>least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74F0F">
        <w:rPr>
          <w:rFonts w:cs="Times New Roman"/>
          <w:color w:val="000000" w:themeColor="text1"/>
          <w:szCs w:val="24"/>
        </w:rPr>
        <w:t>seven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2F24">
        <w:rPr>
          <w:rFonts w:cs="Times New Roman"/>
          <w:color w:val="000000" w:themeColor="text1"/>
          <w:szCs w:val="24"/>
        </w:rPr>
        <w:t>days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2F24">
        <w:rPr>
          <w:rFonts w:cs="Times New Roman"/>
          <w:color w:val="000000" w:themeColor="text1"/>
          <w:szCs w:val="24"/>
        </w:rPr>
        <w:t>apart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2F24">
        <w:rPr>
          <w:rFonts w:cs="Times New Roman"/>
          <w:color w:val="000000" w:themeColor="text1"/>
          <w:szCs w:val="24"/>
        </w:rPr>
        <w:t>indicate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2F24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2F24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2F24">
        <w:rPr>
          <w:rFonts w:cs="Times New Roman"/>
          <w:color w:val="000000" w:themeColor="text1"/>
          <w:szCs w:val="24"/>
        </w:rPr>
        <w:t>potential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2F24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2F24">
        <w:rPr>
          <w:rFonts w:cs="Times New Roman"/>
          <w:color w:val="000000" w:themeColor="text1"/>
          <w:szCs w:val="24"/>
        </w:rPr>
        <w:t>has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2F24">
        <w:rPr>
          <w:rFonts w:cs="Times New Roman"/>
          <w:color w:val="000000" w:themeColor="text1"/>
          <w:szCs w:val="24"/>
        </w:rPr>
        <w:t>decreased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2F24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2F24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2F24">
        <w:rPr>
          <w:rFonts w:cs="Times New Roman"/>
          <w:color w:val="000000" w:themeColor="text1"/>
          <w:szCs w:val="24"/>
        </w:rPr>
        <w:t>ECEL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2F24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2F24">
        <w:rPr>
          <w:rFonts w:cs="Times New Roman"/>
          <w:color w:val="000000" w:themeColor="text1"/>
          <w:szCs w:val="24"/>
        </w:rPr>
        <w:t>below,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2F24">
        <w:rPr>
          <w:rFonts w:cs="Times New Roman"/>
          <w:color w:val="000000" w:themeColor="text1"/>
          <w:szCs w:val="24"/>
        </w:rPr>
        <w:t>but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2F24">
        <w:rPr>
          <w:rFonts w:cs="Times New Roman"/>
          <w:color w:val="000000" w:themeColor="text1"/>
          <w:szCs w:val="24"/>
        </w:rPr>
        <w:t>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2F24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2F24">
        <w:rPr>
          <w:rFonts w:cs="Times New Roman"/>
          <w:color w:val="000000" w:themeColor="text1"/>
          <w:szCs w:val="24"/>
        </w:rPr>
        <w:t>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2F24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2F24">
        <w:rPr>
          <w:rFonts w:cs="Times New Roman"/>
          <w:color w:val="000000" w:themeColor="text1"/>
          <w:szCs w:val="24"/>
        </w:rPr>
        <w:t>above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2F24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66BD">
        <w:rPr>
          <w:rFonts w:cs="Times New Roman"/>
          <w:color w:val="000000" w:themeColor="text1"/>
          <w:szCs w:val="24"/>
        </w:rPr>
        <w:t>ECEL-</w:t>
      </w:r>
      <w:r w:rsidRPr="00C317BB" w:rsidR="00102F24">
        <w:rPr>
          <w:rFonts w:cs="Times New Roman"/>
          <w:color w:val="000000" w:themeColor="text1"/>
          <w:szCs w:val="24"/>
        </w:rPr>
        <w:t>action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2F24">
        <w:rPr>
          <w:rFonts w:cs="Times New Roman"/>
          <w:color w:val="000000" w:themeColor="text1"/>
          <w:szCs w:val="24"/>
        </w:rPr>
        <w:t>level.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2F24">
        <w:rPr>
          <w:rFonts w:cs="Times New Roman"/>
          <w:color w:val="000000" w:themeColor="text1"/>
          <w:szCs w:val="24"/>
        </w:rPr>
        <w:t>Also,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2F24">
        <w:rPr>
          <w:rFonts w:cs="Times New Roman"/>
          <w:color w:val="000000" w:themeColor="text1"/>
          <w:szCs w:val="24"/>
        </w:rPr>
        <w:t>if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2F24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2F24">
        <w:rPr>
          <w:rFonts w:cs="Times New Roman"/>
          <w:color w:val="000000" w:themeColor="text1"/>
          <w:szCs w:val="24"/>
        </w:rPr>
        <w:t>facility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2F24">
        <w:rPr>
          <w:rFonts w:cs="Times New Roman"/>
          <w:color w:val="000000" w:themeColor="text1"/>
          <w:szCs w:val="24"/>
        </w:rPr>
        <w:t>does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2F24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2F24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A2E0E">
        <w:rPr>
          <w:rFonts w:cs="Times New Roman"/>
          <w:color w:val="000000" w:themeColor="text1"/>
          <w:szCs w:val="24"/>
        </w:rPr>
        <w:t>chry</w:t>
      </w:r>
      <w:r w:rsidRPr="00C317BB" w:rsidR="005359CA">
        <w:rPr>
          <w:rFonts w:cs="Times New Roman"/>
          <w:color w:val="000000" w:themeColor="text1"/>
          <w:szCs w:val="24"/>
        </w:rPr>
        <w:t>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A2E0E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2F24">
        <w:rPr>
          <w:rFonts w:cs="Times New Roman"/>
          <w:color w:val="000000" w:themeColor="text1"/>
          <w:szCs w:val="24"/>
        </w:rPr>
        <w:t>during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2F24">
        <w:rPr>
          <w:rFonts w:cs="Times New Roman"/>
          <w:color w:val="000000" w:themeColor="text1"/>
          <w:szCs w:val="24"/>
        </w:rPr>
        <w:t>those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74F0F">
        <w:rPr>
          <w:rFonts w:cs="Times New Roman"/>
          <w:color w:val="000000" w:themeColor="text1"/>
          <w:szCs w:val="24"/>
        </w:rPr>
        <w:t>three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2F24">
        <w:rPr>
          <w:rFonts w:cs="Times New Roman"/>
          <w:color w:val="000000" w:themeColor="text1"/>
          <w:szCs w:val="24"/>
        </w:rPr>
        <w:t>months,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2F24">
        <w:rPr>
          <w:rFonts w:cs="Times New Roman"/>
          <w:color w:val="000000" w:themeColor="text1"/>
          <w:szCs w:val="24"/>
        </w:rPr>
        <w:t>then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2F24">
        <w:rPr>
          <w:rFonts w:cs="Times New Roman"/>
          <w:color w:val="000000" w:themeColor="text1"/>
          <w:szCs w:val="24"/>
        </w:rPr>
        <w:t>they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2F24">
        <w:rPr>
          <w:rFonts w:cs="Times New Roman"/>
          <w:color w:val="000000" w:themeColor="text1"/>
          <w:szCs w:val="24"/>
        </w:rPr>
        <w:t>do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2F24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2F24">
        <w:rPr>
          <w:rFonts w:cs="Times New Roman"/>
          <w:color w:val="000000" w:themeColor="text1"/>
          <w:szCs w:val="24"/>
        </w:rPr>
        <w:t>have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2F24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2F24">
        <w:rPr>
          <w:rFonts w:cs="Times New Roman"/>
          <w:color w:val="000000" w:themeColor="text1"/>
          <w:szCs w:val="24"/>
        </w:rPr>
        <w:t>conduct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2F24">
        <w:rPr>
          <w:rFonts w:cs="Times New Roman"/>
          <w:color w:val="000000" w:themeColor="text1"/>
          <w:szCs w:val="24"/>
        </w:rPr>
        <w:t>monitoring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2F24">
        <w:rPr>
          <w:rFonts w:cs="Times New Roman"/>
          <w:color w:val="000000" w:themeColor="text1"/>
          <w:szCs w:val="24"/>
        </w:rPr>
        <w:t>until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2F24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2F24">
        <w:rPr>
          <w:rFonts w:cs="Times New Roman"/>
          <w:color w:val="000000" w:themeColor="text1"/>
          <w:szCs w:val="24"/>
        </w:rPr>
        <w:t>next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74F0F">
        <w:rPr>
          <w:rFonts w:cs="Times New Roman"/>
          <w:color w:val="000000" w:themeColor="text1"/>
          <w:szCs w:val="24"/>
        </w:rPr>
        <w:t>three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2F24">
        <w:rPr>
          <w:rFonts w:cs="Times New Roman"/>
          <w:color w:val="000000" w:themeColor="text1"/>
          <w:szCs w:val="24"/>
        </w:rPr>
        <w:t>months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2F24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16463">
        <w:rPr>
          <w:rFonts w:cs="Times New Roman"/>
          <w:color w:val="000000" w:themeColor="text1"/>
          <w:szCs w:val="24"/>
        </w:rPr>
        <w:t>would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16463">
        <w:rPr>
          <w:rFonts w:cs="Times New Roman"/>
          <w:color w:val="000000" w:themeColor="text1"/>
          <w:szCs w:val="24"/>
        </w:rPr>
        <w:t>need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16463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2F24">
        <w:rPr>
          <w:rFonts w:cs="Times New Roman"/>
          <w:color w:val="000000" w:themeColor="text1"/>
          <w:szCs w:val="24"/>
        </w:rPr>
        <w:t>document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2F24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2F24">
        <w:rPr>
          <w:rFonts w:cs="Times New Roman"/>
          <w:color w:val="000000" w:themeColor="text1"/>
          <w:szCs w:val="24"/>
        </w:rPr>
        <w:t>fact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2F24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2F24">
        <w:rPr>
          <w:rFonts w:cs="Times New Roman"/>
          <w:color w:val="000000" w:themeColor="text1"/>
          <w:szCs w:val="24"/>
        </w:rPr>
        <w:t>they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2F24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2F24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2F24">
        <w:rPr>
          <w:rFonts w:cs="Times New Roman"/>
          <w:color w:val="000000" w:themeColor="text1"/>
          <w:szCs w:val="24"/>
        </w:rPr>
        <w:t>using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A2E0E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A2E0E">
        <w:rPr>
          <w:rFonts w:cs="Times New Roman"/>
          <w:color w:val="000000" w:themeColor="text1"/>
          <w:szCs w:val="24"/>
        </w:rPr>
        <w:t>asbestos</w:t>
      </w:r>
      <w:r w:rsidRPr="00C317BB" w:rsidR="00102F24">
        <w:rPr>
          <w:rFonts w:cs="Times New Roman"/>
          <w:color w:val="000000" w:themeColor="text1"/>
          <w:szCs w:val="24"/>
        </w:rPr>
        <w:t>.</w:t>
      </w:r>
    </w:p>
    <w:p w:rsidRPr="00C317BB" w:rsidR="0094118F" w:rsidP="00F27167" w:rsidRDefault="00737FA0" w14:paraId="2DDC8D02" w14:textId="5FAFE75D">
      <w:pPr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ab/>
        <w:t>•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D6BB7">
        <w:rPr>
          <w:rFonts w:cs="Times New Roman"/>
          <w:color w:val="000000" w:themeColor="text1"/>
          <w:szCs w:val="24"/>
        </w:rPr>
        <w:t>If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D6BB7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D6BB7">
        <w:rPr>
          <w:rFonts w:cs="Times New Roman"/>
          <w:color w:val="000000" w:themeColor="text1"/>
          <w:szCs w:val="24"/>
        </w:rPr>
        <w:t>last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67504">
        <w:rPr>
          <w:rFonts w:cs="Times New Roman"/>
          <w:color w:val="000000" w:themeColor="text1"/>
          <w:szCs w:val="24"/>
        </w:rPr>
        <w:t>m</w:t>
      </w:r>
      <w:r w:rsidRPr="00C317BB" w:rsidR="0094118F">
        <w:rPr>
          <w:rFonts w:cs="Times New Roman"/>
          <w:color w:val="000000" w:themeColor="text1"/>
          <w:szCs w:val="24"/>
        </w:rPr>
        <w:t>onitoring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D6BB7">
        <w:rPr>
          <w:rFonts w:cs="Times New Roman"/>
          <w:color w:val="000000" w:themeColor="text1"/>
          <w:szCs w:val="24"/>
        </w:rPr>
        <w:t>was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conducted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D6BB7">
        <w:rPr>
          <w:rFonts w:cs="Times New Roman"/>
          <w:color w:val="000000" w:themeColor="text1"/>
          <w:szCs w:val="24"/>
        </w:rPr>
        <w:t>more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D6BB7">
        <w:rPr>
          <w:rFonts w:cs="Times New Roman"/>
          <w:color w:val="000000" w:themeColor="text1"/>
          <w:szCs w:val="24"/>
        </w:rPr>
        <w:t>than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75E30">
        <w:rPr>
          <w:rFonts w:cs="Times New Roman"/>
          <w:color w:val="000000" w:themeColor="text1"/>
          <w:szCs w:val="24"/>
        </w:rPr>
        <w:t>five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years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44EEA">
        <w:rPr>
          <w:rFonts w:cs="Times New Roman"/>
          <w:color w:val="000000" w:themeColor="text1"/>
          <w:szCs w:val="24"/>
        </w:rPr>
        <w:t>previously</w:t>
      </w:r>
      <w:r w:rsidRPr="00C317BB" w:rsidR="000D6BB7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D6BB7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D6BB7">
        <w:rPr>
          <w:rFonts w:cs="Times New Roman"/>
          <w:color w:val="000000" w:themeColor="text1"/>
          <w:szCs w:val="24"/>
        </w:rPr>
        <w:t>regulated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D6BB7">
        <w:rPr>
          <w:rFonts w:cs="Times New Roman"/>
          <w:color w:val="000000" w:themeColor="text1"/>
          <w:szCs w:val="24"/>
        </w:rPr>
        <w:t>entity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D6BB7">
        <w:rPr>
          <w:rFonts w:cs="Times New Roman"/>
          <w:color w:val="000000" w:themeColor="text1"/>
          <w:szCs w:val="24"/>
        </w:rPr>
        <w:t>must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D6BB7">
        <w:rPr>
          <w:rFonts w:cs="Times New Roman"/>
          <w:color w:val="000000" w:themeColor="text1"/>
          <w:szCs w:val="24"/>
        </w:rPr>
        <w:t>conduct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D6BB7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D6BB7">
        <w:rPr>
          <w:rFonts w:cs="Times New Roman"/>
          <w:color w:val="000000" w:themeColor="text1"/>
          <w:szCs w:val="24"/>
        </w:rPr>
        <w:t>new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D6BB7">
        <w:rPr>
          <w:rFonts w:cs="Times New Roman"/>
          <w:color w:val="000000" w:themeColor="text1"/>
          <w:szCs w:val="24"/>
        </w:rPr>
        <w:t>baseline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D6BB7">
        <w:rPr>
          <w:rFonts w:cs="Times New Roman"/>
          <w:color w:val="000000" w:themeColor="text1"/>
          <w:szCs w:val="24"/>
        </w:rPr>
        <w:t>monitoring</w:t>
      </w:r>
      <w:r w:rsidRPr="00C317BB" w:rsidR="0094118F">
        <w:rPr>
          <w:rFonts w:cs="Times New Roman"/>
          <w:color w:val="000000" w:themeColor="text1"/>
          <w:szCs w:val="24"/>
        </w:rPr>
        <w:t>.</w:t>
      </w:r>
    </w:p>
    <w:p w:rsidRPr="00C317BB" w:rsidR="000D6BB7" w:rsidP="00F27167" w:rsidRDefault="000D6BB7" w14:paraId="127AC45D" w14:textId="068B14AB">
      <w:pPr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understands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explicitly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increasing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frequency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testing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viable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option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soliciting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comments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regarding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further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shortening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maximum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time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interval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between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monitoring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events.</w:t>
      </w:r>
    </w:p>
    <w:p w:rsidRPr="00C317BB" w:rsidR="0094118F" w:rsidP="00F27167" w:rsidRDefault="00651182" w14:paraId="011A595A" w14:textId="79DFBBFC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i/>
          <w:color w:val="000000" w:themeColor="text1"/>
          <w:szCs w:val="24"/>
        </w:rPr>
        <w:t>Termination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>
        <w:rPr>
          <w:rFonts w:cs="Times New Roman"/>
          <w:i/>
          <w:color w:val="000000" w:themeColor="text1"/>
          <w:szCs w:val="24"/>
        </w:rPr>
        <w:t>of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>
        <w:rPr>
          <w:rFonts w:cs="Times New Roman"/>
          <w:i/>
          <w:color w:val="000000" w:themeColor="text1"/>
          <w:szCs w:val="24"/>
        </w:rPr>
        <w:t>exposure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>
        <w:rPr>
          <w:rFonts w:cs="Times New Roman"/>
          <w:i/>
          <w:color w:val="000000" w:themeColor="text1"/>
          <w:szCs w:val="24"/>
        </w:rPr>
        <w:t>monitoring.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Based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results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initial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monitoring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periodic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monitoring,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E1AA2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E1AA2">
        <w:rPr>
          <w:rFonts w:cs="Times New Roman"/>
          <w:color w:val="000000" w:themeColor="text1"/>
          <w:szCs w:val="24"/>
        </w:rPr>
        <w:t>proposing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E1AA2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E1AA2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26C2A">
        <w:rPr>
          <w:rFonts w:cs="Times New Roman"/>
          <w:color w:val="000000" w:themeColor="text1"/>
          <w:szCs w:val="24"/>
        </w:rPr>
        <w:t>regulated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43B17">
        <w:rPr>
          <w:rFonts w:cs="Times New Roman"/>
          <w:color w:val="000000" w:themeColor="text1"/>
          <w:szCs w:val="24"/>
        </w:rPr>
        <w:t>entity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E1AA2">
        <w:rPr>
          <w:rFonts w:cs="Times New Roman"/>
          <w:color w:val="000000" w:themeColor="text1"/>
          <w:szCs w:val="24"/>
        </w:rPr>
        <w:t>may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termina</w:t>
      </w:r>
      <w:r w:rsidRPr="00C317BB" w:rsidR="00050EDD">
        <w:rPr>
          <w:rFonts w:cs="Times New Roman"/>
          <w:color w:val="000000" w:themeColor="text1"/>
          <w:szCs w:val="24"/>
        </w:rPr>
        <w:t>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E3515">
        <w:rPr>
          <w:rFonts w:cs="Times New Roman"/>
          <w:color w:val="000000" w:themeColor="text1"/>
          <w:szCs w:val="24"/>
        </w:rPr>
        <w:t>periodic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E3515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monitoring: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B358D4" w:rsidP="00F27167" w:rsidRDefault="00737FA0" w14:paraId="7FC759C9" w14:textId="7C492799">
      <w:pPr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ab/>
        <w:t>•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358D4">
        <w:rPr>
          <w:rFonts w:cs="Times New Roman"/>
          <w:color w:val="000000" w:themeColor="text1"/>
          <w:szCs w:val="24"/>
        </w:rPr>
        <w:t>If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358D4">
        <w:rPr>
          <w:rFonts w:cs="Times New Roman"/>
          <w:color w:val="000000" w:themeColor="text1"/>
          <w:szCs w:val="24"/>
        </w:rPr>
        <w:t>all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358D4">
        <w:rPr>
          <w:rFonts w:cs="Times New Roman"/>
          <w:color w:val="000000" w:themeColor="text1"/>
          <w:szCs w:val="24"/>
        </w:rPr>
        <w:t>samples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358D4">
        <w:rPr>
          <w:rFonts w:cs="Times New Roman"/>
          <w:color w:val="000000" w:themeColor="text1"/>
          <w:szCs w:val="24"/>
        </w:rPr>
        <w:t>taken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358D4">
        <w:rPr>
          <w:rFonts w:cs="Times New Roman"/>
          <w:color w:val="000000" w:themeColor="text1"/>
          <w:szCs w:val="24"/>
        </w:rPr>
        <w:t>during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358D4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358D4">
        <w:rPr>
          <w:rFonts w:cs="Times New Roman"/>
          <w:color w:val="000000" w:themeColor="text1"/>
          <w:szCs w:val="24"/>
        </w:rPr>
        <w:t>initial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358D4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358D4">
        <w:rPr>
          <w:rFonts w:cs="Times New Roman"/>
          <w:color w:val="000000" w:themeColor="text1"/>
          <w:szCs w:val="24"/>
        </w:rPr>
        <w:t>monitoring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358D4">
        <w:rPr>
          <w:rFonts w:cs="Times New Roman"/>
          <w:color w:val="000000" w:themeColor="text1"/>
          <w:szCs w:val="24"/>
        </w:rPr>
        <w:t>reveal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358D4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358D4">
        <w:rPr>
          <w:rFonts w:cs="Times New Roman"/>
          <w:color w:val="000000" w:themeColor="text1"/>
          <w:szCs w:val="24"/>
        </w:rPr>
        <w:t>concentration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358D4">
        <w:rPr>
          <w:rFonts w:cs="Times New Roman"/>
          <w:color w:val="000000" w:themeColor="text1"/>
          <w:szCs w:val="24"/>
        </w:rPr>
        <w:t>below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358D4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358D4">
        <w:rPr>
          <w:rFonts w:cs="Times New Roman"/>
          <w:color w:val="000000" w:themeColor="text1"/>
          <w:szCs w:val="24"/>
        </w:rPr>
        <w:t>ECEL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358D4">
        <w:rPr>
          <w:rFonts w:cs="Times New Roman"/>
          <w:color w:val="000000" w:themeColor="text1"/>
          <w:szCs w:val="24"/>
        </w:rPr>
        <w:t>action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358D4">
        <w:rPr>
          <w:rFonts w:cs="Times New Roman"/>
          <w:color w:val="000000" w:themeColor="text1"/>
          <w:szCs w:val="24"/>
        </w:rPr>
        <w:t>level,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358D4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358D4">
        <w:rPr>
          <w:rFonts w:cs="Times New Roman"/>
          <w:color w:val="000000" w:themeColor="text1"/>
          <w:szCs w:val="24"/>
        </w:rPr>
        <w:t>regulated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358D4">
        <w:rPr>
          <w:rFonts w:cs="Times New Roman"/>
          <w:color w:val="000000" w:themeColor="text1"/>
          <w:szCs w:val="24"/>
        </w:rPr>
        <w:t>entity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358D4">
        <w:rPr>
          <w:rFonts w:cs="Times New Roman"/>
          <w:color w:val="000000" w:themeColor="text1"/>
          <w:szCs w:val="24"/>
        </w:rPr>
        <w:t>may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358D4">
        <w:rPr>
          <w:rFonts w:cs="Times New Roman"/>
          <w:color w:val="000000" w:themeColor="text1"/>
          <w:szCs w:val="24"/>
        </w:rPr>
        <w:t>discontinue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358D4">
        <w:rPr>
          <w:rFonts w:cs="Times New Roman"/>
          <w:color w:val="000000" w:themeColor="text1"/>
          <w:szCs w:val="24"/>
        </w:rPr>
        <w:t>monitoring,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358D4">
        <w:rPr>
          <w:rFonts w:cs="Times New Roman"/>
          <w:color w:val="000000" w:themeColor="text1"/>
          <w:szCs w:val="24"/>
        </w:rPr>
        <w:t>except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358D4">
        <w:rPr>
          <w:rFonts w:cs="Times New Roman"/>
          <w:color w:val="000000" w:themeColor="text1"/>
          <w:szCs w:val="24"/>
        </w:rPr>
        <w:t>when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358D4">
        <w:rPr>
          <w:rFonts w:cs="Times New Roman"/>
          <w:color w:val="000000" w:themeColor="text1"/>
          <w:szCs w:val="24"/>
        </w:rPr>
        <w:t>additional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358D4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358D4">
        <w:rPr>
          <w:rFonts w:cs="Times New Roman"/>
          <w:color w:val="000000" w:themeColor="text1"/>
          <w:szCs w:val="24"/>
        </w:rPr>
        <w:t>monitoring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358D4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358D4">
        <w:rPr>
          <w:rFonts w:cs="Times New Roman"/>
          <w:color w:val="000000" w:themeColor="text1"/>
          <w:szCs w:val="24"/>
        </w:rPr>
        <w:t>required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358D4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358D4">
        <w:rPr>
          <w:rFonts w:cs="Times New Roman"/>
          <w:color w:val="000000" w:themeColor="text1"/>
          <w:szCs w:val="24"/>
        </w:rPr>
        <w:t>described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358D4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358D4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358D4">
        <w:rPr>
          <w:rFonts w:cs="Times New Roman"/>
          <w:color w:val="000000" w:themeColor="text1"/>
          <w:szCs w:val="24"/>
        </w:rPr>
        <w:t>unit.</w:t>
      </w:r>
    </w:p>
    <w:p w:rsidRPr="00C317BB" w:rsidR="00020804" w:rsidP="00F27167" w:rsidRDefault="00737FA0" w14:paraId="60AAEB4D" w14:textId="184CB74C">
      <w:pPr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ab/>
        <w:t>•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A6826">
        <w:rPr>
          <w:rFonts w:cs="Times New Roman"/>
          <w:color w:val="000000" w:themeColor="text1"/>
          <w:szCs w:val="24"/>
        </w:rPr>
        <w:t>If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A6826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A6826">
        <w:rPr>
          <w:rFonts w:cs="Times New Roman"/>
          <w:color w:val="000000" w:themeColor="text1"/>
          <w:szCs w:val="24"/>
        </w:rPr>
        <w:t>periodic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A6826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A6826">
        <w:rPr>
          <w:rFonts w:cs="Times New Roman"/>
          <w:color w:val="000000" w:themeColor="text1"/>
          <w:szCs w:val="24"/>
        </w:rPr>
        <w:t>monitoring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70B6F">
        <w:rPr>
          <w:rFonts w:cs="Times New Roman"/>
          <w:color w:val="000000" w:themeColor="text1"/>
          <w:szCs w:val="24"/>
        </w:rPr>
        <w:t>statistically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70B6F">
        <w:rPr>
          <w:rFonts w:cs="Times New Roman"/>
          <w:color w:val="000000" w:themeColor="text1"/>
          <w:szCs w:val="24"/>
        </w:rPr>
        <w:t>indicates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A6826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A6826">
        <w:rPr>
          <w:rFonts w:cs="Times New Roman"/>
          <w:color w:val="000000" w:themeColor="text1"/>
          <w:szCs w:val="24"/>
        </w:rPr>
        <w:t>concentration</w:t>
      </w:r>
      <w:r w:rsidRPr="00C317BB" w:rsidR="00D75E30">
        <w:rPr>
          <w:rFonts w:cs="Times New Roman"/>
          <w:color w:val="000000" w:themeColor="text1"/>
          <w:szCs w:val="24"/>
        </w:rPr>
        <w:t>s</w:t>
      </w:r>
      <w:r w:rsidRPr="00C317BB" w:rsidR="005A6826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A6826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A6826">
        <w:rPr>
          <w:rFonts w:cs="Times New Roman"/>
          <w:color w:val="000000" w:themeColor="text1"/>
          <w:szCs w:val="24"/>
        </w:rPr>
        <w:t>below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A6826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C1CA7">
        <w:rPr>
          <w:rFonts w:cs="Times New Roman"/>
          <w:color w:val="000000" w:themeColor="text1"/>
          <w:szCs w:val="24"/>
        </w:rPr>
        <w:t>ECEL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A6826">
        <w:rPr>
          <w:rFonts w:cs="Times New Roman"/>
          <w:color w:val="000000" w:themeColor="text1"/>
          <w:szCs w:val="24"/>
        </w:rPr>
        <w:t>action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A6826">
        <w:rPr>
          <w:rFonts w:cs="Times New Roman"/>
          <w:color w:val="000000" w:themeColor="text1"/>
          <w:szCs w:val="24"/>
        </w:rPr>
        <w:t>level,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A6826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A6826">
        <w:rPr>
          <w:rFonts w:cs="Times New Roman"/>
          <w:color w:val="000000" w:themeColor="text1"/>
          <w:szCs w:val="24"/>
        </w:rPr>
        <w:t>regulated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A6826">
        <w:rPr>
          <w:rFonts w:cs="Times New Roman"/>
          <w:color w:val="000000" w:themeColor="text1"/>
          <w:szCs w:val="24"/>
        </w:rPr>
        <w:t>entity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A6826">
        <w:rPr>
          <w:rFonts w:cs="Times New Roman"/>
          <w:color w:val="000000" w:themeColor="text1"/>
          <w:szCs w:val="24"/>
        </w:rPr>
        <w:t>may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A6826">
        <w:rPr>
          <w:rFonts w:cs="Times New Roman"/>
          <w:color w:val="000000" w:themeColor="text1"/>
          <w:szCs w:val="24"/>
        </w:rPr>
        <w:t>discontinue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A6826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A6826">
        <w:rPr>
          <w:rFonts w:cs="Times New Roman"/>
          <w:color w:val="000000" w:themeColor="text1"/>
          <w:szCs w:val="24"/>
        </w:rPr>
        <w:t>monitoring,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A6826">
        <w:rPr>
          <w:rFonts w:cs="Times New Roman"/>
          <w:color w:val="000000" w:themeColor="text1"/>
          <w:szCs w:val="24"/>
        </w:rPr>
        <w:t>except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A6826">
        <w:rPr>
          <w:rFonts w:cs="Times New Roman"/>
          <w:color w:val="000000" w:themeColor="text1"/>
          <w:szCs w:val="24"/>
        </w:rPr>
        <w:t>when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A6826">
        <w:rPr>
          <w:rFonts w:cs="Times New Roman"/>
          <w:color w:val="000000" w:themeColor="text1"/>
          <w:szCs w:val="24"/>
        </w:rPr>
        <w:t>additional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A6826">
        <w:rPr>
          <w:rFonts w:cs="Times New Roman"/>
          <w:color w:val="000000" w:themeColor="text1"/>
          <w:szCs w:val="24"/>
        </w:rPr>
        <w:t>monitoring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A6826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A6826">
        <w:rPr>
          <w:rFonts w:cs="Times New Roman"/>
          <w:color w:val="000000" w:themeColor="text1"/>
          <w:szCs w:val="24"/>
        </w:rPr>
        <w:t>required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A6826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A6826">
        <w:rPr>
          <w:rFonts w:cs="Times New Roman"/>
          <w:color w:val="000000" w:themeColor="text1"/>
          <w:szCs w:val="24"/>
        </w:rPr>
        <w:t>described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70B6F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70B6F">
        <w:rPr>
          <w:rFonts w:cs="Times New Roman"/>
          <w:i/>
          <w:color w:val="000000" w:themeColor="text1"/>
          <w:szCs w:val="24"/>
        </w:rPr>
        <w:t>periodic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E70B6F">
        <w:rPr>
          <w:rFonts w:cs="Times New Roman"/>
          <w:i/>
          <w:color w:val="000000" w:themeColor="text1"/>
          <w:szCs w:val="24"/>
        </w:rPr>
        <w:t>exposure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E70B6F">
        <w:rPr>
          <w:rFonts w:cs="Times New Roman"/>
          <w:i/>
          <w:color w:val="000000" w:themeColor="text1"/>
          <w:szCs w:val="24"/>
        </w:rPr>
        <w:t>monitoring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70B6F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70B6F">
        <w:rPr>
          <w:rFonts w:cs="Times New Roman"/>
          <w:i/>
          <w:color w:val="000000" w:themeColor="text1"/>
          <w:szCs w:val="24"/>
        </w:rPr>
        <w:t>additional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E70B6F">
        <w:rPr>
          <w:rFonts w:cs="Times New Roman"/>
          <w:i/>
          <w:color w:val="000000" w:themeColor="text1"/>
          <w:szCs w:val="24"/>
        </w:rPr>
        <w:t>exposure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E70B6F">
        <w:rPr>
          <w:rFonts w:cs="Times New Roman"/>
          <w:i/>
          <w:color w:val="000000" w:themeColor="text1"/>
          <w:szCs w:val="24"/>
        </w:rPr>
        <w:t>monitoring</w:t>
      </w:r>
      <w:r w:rsidRPr="00C317BB" w:rsidR="005A6826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F208D">
        <w:rPr>
          <w:rFonts w:cs="Times New Roman"/>
          <w:color w:val="000000" w:themeColor="text1"/>
          <w:szCs w:val="24"/>
        </w:rPr>
        <w:t>However,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F208D">
        <w:rPr>
          <w:rFonts w:cs="Times New Roman"/>
          <w:color w:val="000000" w:themeColor="text1"/>
          <w:szCs w:val="24"/>
        </w:rPr>
        <w:t>regulated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37A17">
        <w:rPr>
          <w:rFonts w:cs="Times New Roman"/>
          <w:color w:val="000000" w:themeColor="text1"/>
          <w:szCs w:val="24"/>
        </w:rPr>
        <w:t>entities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738B9">
        <w:rPr>
          <w:rFonts w:cs="Times New Roman"/>
          <w:color w:val="000000" w:themeColor="text1"/>
          <w:szCs w:val="24"/>
        </w:rPr>
        <w:t>must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738B9">
        <w:rPr>
          <w:rFonts w:cs="Times New Roman"/>
          <w:color w:val="000000" w:themeColor="text1"/>
          <w:szCs w:val="24"/>
        </w:rPr>
        <w:t>ensure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738B9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738B9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738B9">
        <w:rPr>
          <w:rFonts w:cs="Times New Roman"/>
          <w:color w:val="000000" w:themeColor="text1"/>
          <w:szCs w:val="24"/>
        </w:rPr>
        <w:t>last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738B9">
        <w:rPr>
          <w:rFonts w:cs="Times New Roman"/>
          <w:color w:val="000000" w:themeColor="text1"/>
          <w:szCs w:val="24"/>
        </w:rPr>
        <w:t>baseline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738B9">
        <w:rPr>
          <w:rFonts w:cs="Times New Roman"/>
          <w:color w:val="000000" w:themeColor="text1"/>
          <w:szCs w:val="24"/>
        </w:rPr>
        <w:t>monitoring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21A72">
        <w:rPr>
          <w:rFonts w:cs="Times New Roman"/>
          <w:color w:val="000000" w:themeColor="text1"/>
          <w:szCs w:val="24"/>
        </w:rPr>
        <w:t>event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21A72">
        <w:rPr>
          <w:rFonts w:cs="Times New Roman"/>
          <w:color w:val="000000" w:themeColor="text1"/>
          <w:szCs w:val="24"/>
        </w:rPr>
        <w:t>was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21A72">
        <w:rPr>
          <w:rFonts w:cs="Times New Roman"/>
          <w:color w:val="000000" w:themeColor="text1"/>
          <w:szCs w:val="24"/>
        </w:rPr>
        <w:t>con</w:t>
      </w:r>
      <w:r w:rsidRPr="00C317BB" w:rsidR="00246F05">
        <w:rPr>
          <w:rFonts w:cs="Times New Roman"/>
          <w:color w:val="000000" w:themeColor="text1"/>
          <w:szCs w:val="24"/>
        </w:rPr>
        <w:t>ducted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46F05">
        <w:rPr>
          <w:rFonts w:cs="Times New Roman"/>
          <w:color w:val="000000" w:themeColor="text1"/>
          <w:szCs w:val="24"/>
        </w:rPr>
        <w:t>within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46F05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46F05">
        <w:rPr>
          <w:rFonts w:cs="Times New Roman"/>
          <w:color w:val="000000" w:themeColor="text1"/>
          <w:szCs w:val="24"/>
        </w:rPr>
        <w:t>last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75E30">
        <w:rPr>
          <w:rFonts w:cs="Times New Roman"/>
          <w:color w:val="000000" w:themeColor="text1"/>
          <w:szCs w:val="24"/>
        </w:rPr>
        <w:t>five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B5B87">
        <w:rPr>
          <w:rFonts w:cs="Times New Roman"/>
          <w:color w:val="000000" w:themeColor="text1"/>
          <w:szCs w:val="24"/>
        </w:rPr>
        <w:t>years</w:t>
      </w:r>
      <w:r w:rsidRPr="00C317BB" w:rsidR="00020804">
        <w:rPr>
          <w:rFonts w:cs="Times New Roman"/>
          <w:color w:val="000000" w:themeColor="text1"/>
          <w:szCs w:val="24"/>
        </w:rPr>
        <w:t>.</w:t>
      </w:r>
    </w:p>
    <w:p w:rsidRPr="00C317BB" w:rsidR="005A6826" w:rsidP="00F27167" w:rsidRDefault="00020804" w14:paraId="0123B42F" w14:textId="16217D3E">
      <w:pPr>
        <w:pStyle w:val="ListParagraph"/>
        <w:ind w:left="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ab/>
      </w:r>
      <w:r w:rsidRPr="00C317BB" w:rsidR="0018526E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26E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26E">
        <w:rPr>
          <w:rFonts w:cs="Times New Roman"/>
          <w:color w:val="000000" w:themeColor="text1"/>
          <w:szCs w:val="24"/>
        </w:rPr>
        <w:t>soliciting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26E">
        <w:rPr>
          <w:rFonts w:cs="Times New Roman"/>
          <w:color w:val="000000" w:themeColor="text1"/>
          <w:szCs w:val="24"/>
        </w:rPr>
        <w:t>public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26E">
        <w:rPr>
          <w:rFonts w:cs="Times New Roman"/>
          <w:color w:val="000000" w:themeColor="text1"/>
          <w:szCs w:val="24"/>
        </w:rPr>
        <w:t>comments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26E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conditions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26E">
        <w:rPr>
          <w:rFonts w:cs="Times New Roman"/>
          <w:color w:val="000000" w:themeColor="text1"/>
          <w:szCs w:val="24"/>
        </w:rPr>
        <w:t>terminat</w:t>
      </w:r>
      <w:r w:rsidRPr="00C317BB">
        <w:rPr>
          <w:rFonts w:cs="Times New Roman"/>
          <w:color w:val="000000" w:themeColor="text1"/>
          <w:szCs w:val="24"/>
        </w:rPr>
        <w:t>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26E">
        <w:rPr>
          <w:rFonts w:cs="Times New Roman"/>
          <w:color w:val="000000" w:themeColor="text1"/>
          <w:szCs w:val="24"/>
        </w:rPr>
        <w:t>periodic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26E">
        <w:rPr>
          <w:rFonts w:cs="Times New Roman"/>
          <w:color w:val="000000" w:themeColor="text1"/>
          <w:szCs w:val="24"/>
        </w:rPr>
        <w:t>monitoring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26E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26E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26E">
        <w:rPr>
          <w:rFonts w:cs="Times New Roman"/>
          <w:color w:val="000000" w:themeColor="text1"/>
          <w:szCs w:val="24"/>
        </w:rPr>
        <w:t>asbestos</w:t>
      </w:r>
      <w:r w:rsidRPr="00C317BB" w:rsidR="001B5B87">
        <w:rPr>
          <w:rFonts w:cs="Times New Roman"/>
          <w:color w:val="000000" w:themeColor="text1"/>
          <w:szCs w:val="24"/>
        </w:rPr>
        <w:t>.</w:t>
      </w:r>
    </w:p>
    <w:p w:rsidRPr="00C317BB" w:rsidR="0094118F" w:rsidP="00F27167" w:rsidRDefault="0094118F" w14:paraId="751F6C23" w14:textId="0B1EC1C4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i/>
          <w:color w:val="000000" w:themeColor="text1"/>
          <w:szCs w:val="24"/>
        </w:rPr>
        <w:t>Additional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>
        <w:rPr>
          <w:rFonts w:cs="Times New Roman"/>
          <w:i/>
          <w:color w:val="000000" w:themeColor="text1"/>
          <w:szCs w:val="24"/>
        </w:rPr>
        <w:t>exposure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>
        <w:rPr>
          <w:rFonts w:cs="Times New Roman"/>
          <w:i/>
          <w:color w:val="000000" w:themeColor="text1"/>
          <w:szCs w:val="24"/>
        </w:rPr>
        <w:t>monitoring.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addition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initial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periodic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monitoring,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51710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51710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77A6E">
        <w:rPr>
          <w:rFonts w:cs="Times New Roman"/>
          <w:color w:val="000000" w:themeColor="text1"/>
          <w:szCs w:val="24"/>
        </w:rPr>
        <w:t>primary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51710">
        <w:rPr>
          <w:rFonts w:cs="Times New Roman"/>
          <w:color w:val="000000" w:themeColor="text1"/>
          <w:szCs w:val="24"/>
        </w:rPr>
        <w:t>alternative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77A6E">
        <w:rPr>
          <w:rFonts w:cs="Times New Roman"/>
          <w:color w:val="000000" w:themeColor="text1"/>
          <w:szCs w:val="24"/>
        </w:rPr>
        <w:t>regulatory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51710">
        <w:rPr>
          <w:rFonts w:cs="Times New Roman"/>
          <w:color w:val="000000" w:themeColor="text1"/>
          <w:szCs w:val="24"/>
        </w:rPr>
        <w:t>action,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51710">
        <w:rPr>
          <w:rFonts w:cs="Times New Roman"/>
          <w:color w:val="000000" w:themeColor="text1"/>
          <w:szCs w:val="24"/>
        </w:rPr>
        <w:t>would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F11C7">
        <w:rPr>
          <w:rFonts w:cs="Times New Roman"/>
          <w:color w:val="000000" w:themeColor="text1"/>
          <w:szCs w:val="24"/>
        </w:rPr>
        <w:t>require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regulated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entity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must,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conduct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908C7">
        <w:rPr>
          <w:rFonts w:cs="Times New Roman"/>
          <w:color w:val="000000" w:themeColor="text1"/>
          <w:szCs w:val="24"/>
        </w:rPr>
        <w:t>new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initial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monitoring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followed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63BB">
        <w:rPr>
          <w:rFonts w:cs="Times New Roman"/>
          <w:color w:val="000000" w:themeColor="text1"/>
          <w:szCs w:val="24"/>
        </w:rPr>
        <w:t>necessary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periodic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additional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monitoring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47065">
        <w:rPr>
          <w:rFonts w:cs="Times New Roman"/>
          <w:color w:val="000000" w:themeColor="text1"/>
          <w:szCs w:val="24"/>
        </w:rPr>
        <w:t>including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26E">
        <w:rPr>
          <w:rFonts w:cs="Times New Roman"/>
          <w:color w:val="000000" w:themeColor="text1"/>
          <w:szCs w:val="24"/>
        </w:rPr>
        <w:t>immediately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47065">
        <w:rPr>
          <w:rFonts w:cs="Times New Roman"/>
          <w:color w:val="000000" w:themeColor="text1"/>
          <w:szCs w:val="24"/>
        </w:rPr>
        <w:t>after</w:t>
      </w:r>
      <w:r w:rsidRPr="00C317BB">
        <w:rPr>
          <w:rFonts w:cs="Times New Roman"/>
          <w:color w:val="000000" w:themeColor="text1"/>
          <w:szCs w:val="24"/>
        </w:rPr>
        <w:t>: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94118F" w:rsidP="00F27167" w:rsidRDefault="00737FA0" w14:paraId="51848388" w14:textId="1C3B44F3">
      <w:pPr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ab/>
        <w:t>•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7DCF">
        <w:rPr>
          <w:rFonts w:cs="Times New Roman"/>
          <w:color w:val="000000" w:themeColor="text1"/>
          <w:szCs w:val="24"/>
        </w:rPr>
        <w:t>C</w:t>
      </w:r>
      <w:r w:rsidRPr="00C317BB" w:rsidR="0094118F">
        <w:rPr>
          <w:rFonts w:cs="Times New Roman"/>
          <w:color w:val="000000" w:themeColor="text1"/>
          <w:szCs w:val="24"/>
        </w:rPr>
        <w:t>hange</w:t>
      </w:r>
      <w:r w:rsidRPr="00C317BB" w:rsidR="000F7DCF">
        <w:rPr>
          <w:rFonts w:cs="Times New Roman"/>
          <w:color w:val="000000" w:themeColor="text1"/>
          <w:szCs w:val="24"/>
        </w:rPr>
        <w:t>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production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volume,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rate,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process,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control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equipment,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personnel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work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practices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may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reasonably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046F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046F">
        <w:rPr>
          <w:rFonts w:cs="Times New Roman"/>
          <w:color w:val="000000" w:themeColor="text1"/>
          <w:szCs w:val="24"/>
        </w:rPr>
        <w:t>anticipated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0464E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cause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additional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sources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result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increased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levels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asbestos;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908C7">
        <w:rPr>
          <w:rFonts w:cs="Times New Roman"/>
          <w:color w:val="000000" w:themeColor="text1"/>
          <w:szCs w:val="24"/>
        </w:rPr>
        <w:t>and</w:t>
      </w:r>
    </w:p>
    <w:p w:rsidRPr="00C317BB" w:rsidR="0094118F" w:rsidP="00F27167" w:rsidRDefault="00737FA0" w14:paraId="63B6EC52" w14:textId="0CF1E012">
      <w:pPr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ab/>
        <w:t>•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0464E">
        <w:rPr>
          <w:rFonts w:cs="Times New Roman"/>
          <w:color w:val="000000" w:themeColor="text1"/>
          <w:szCs w:val="24"/>
        </w:rPr>
        <w:t>S</w:t>
      </w:r>
      <w:r w:rsidRPr="00C317BB" w:rsidR="0094118F">
        <w:rPr>
          <w:rFonts w:cs="Times New Roman"/>
          <w:color w:val="000000" w:themeColor="text1"/>
          <w:szCs w:val="24"/>
        </w:rPr>
        <w:t>tart-up,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shutdown,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malfunction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facility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may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reasonably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72AA0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72AA0">
        <w:rPr>
          <w:rFonts w:cs="Times New Roman"/>
          <w:color w:val="000000" w:themeColor="text1"/>
          <w:szCs w:val="24"/>
        </w:rPr>
        <w:t>anticip</w:t>
      </w:r>
      <w:r w:rsidRPr="00C317BB" w:rsidR="004F567A">
        <w:rPr>
          <w:rFonts w:cs="Times New Roman"/>
          <w:color w:val="000000" w:themeColor="text1"/>
          <w:szCs w:val="24"/>
        </w:rPr>
        <w:t>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8795E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cause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additional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sources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result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increased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levels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18F">
        <w:rPr>
          <w:rFonts w:cs="Times New Roman"/>
          <w:color w:val="000000" w:themeColor="text1"/>
          <w:szCs w:val="24"/>
        </w:rPr>
        <w:t>asbestos</w:t>
      </w:r>
      <w:r w:rsidRPr="00C317BB" w:rsidR="007A6E0F">
        <w:rPr>
          <w:rFonts w:cs="Times New Roman"/>
          <w:color w:val="000000" w:themeColor="text1"/>
          <w:szCs w:val="24"/>
        </w:rPr>
        <w:t>.</w:t>
      </w:r>
    </w:p>
    <w:p w:rsidRPr="00C317BB" w:rsidR="003471B1" w:rsidP="00F27167" w:rsidRDefault="0094118F" w14:paraId="2158E6B1" w14:textId="488B10E7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However,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required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additional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monitoring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should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delay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implementation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necessary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cleanup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remedial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reduce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exposures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E3127">
        <w:rPr>
          <w:rFonts w:cs="Times New Roman"/>
          <w:color w:val="000000" w:themeColor="text1"/>
          <w:szCs w:val="24"/>
        </w:rPr>
        <w:t>persons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13064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13064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13064">
        <w:rPr>
          <w:rFonts w:cs="Times New Roman"/>
          <w:color w:val="000000" w:themeColor="text1"/>
          <w:szCs w:val="24"/>
        </w:rPr>
        <w:t>workplace</w:t>
      </w:r>
      <w:r w:rsidRPr="00C317BB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addition,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B5E0B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B5E0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77A6E">
        <w:rPr>
          <w:rFonts w:cs="Times New Roman"/>
          <w:color w:val="000000" w:themeColor="text1"/>
          <w:szCs w:val="24"/>
        </w:rPr>
        <w:t>primary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B5E0B">
        <w:rPr>
          <w:rFonts w:cs="Times New Roman"/>
          <w:color w:val="000000" w:themeColor="text1"/>
          <w:szCs w:val="24"/>
        </w:rPr>
        <w:t>alternative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B5E0B">
        <w:rPr>
          <w:rFonts w:cs="Times New Roman"/>
          <w:color w:val="000000" w:themeColor="text1"/>
          <w:szCs w:val="24"/>
        </w:rPr>
        <w:t>regulatory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C45">
        <w:rPr>
          <w:rFonts w:cs="Times New Roman"/>
          <w:color w:val="000000" w:themeColor="text1"/>
          <w:szCs w:val="24"/>
        </w:rPr>
        <w:t>action</w:t>
      </w:r>
      <w:r w:rsidRPr="00C317BB" w:rsidR="009B5E0B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C45">
        <w:rPr>
          <w:rFonts w:cs="Times New Roman"/>
          <w:color w:val="000000" w:themeColor="text1"/>
          <w:szCs w:val="24"/>
        </w:rPr>
        <w:t>would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require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A3174">
        <w:rPr>
          <w:rFonts w:cs="Times New Roman"/>
          <w:color w:val="000000" w:themeColor="text1"/>
          <w:szCs w:val="24"/>
        </w:rPr>
        <w:t>respiratory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A3174">
        <w:rPr>
          <w:rFonts w:cs="Times New Roman"/>
          <w:color w:val="000000" w:themeColor="text1"/>
          <w:szCs w:val="24"/>
        </w:rPr>
        <w:t>protection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1703">
        <w:rPr>
          <w:rFonts w:cs="Times New Roman"/>
          <w:color w:val="000000" w:themeColor="text1"/>
          <w:szCs w:val="24"/>
        </w:rPr>
        <w:t>workers</w:t>
      </w:r>
      <w:r w:rsidRPr="00C317BB" w:rsidR="003908C7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1703">
        <w:rPr>
          <w:rFonts w:cs="Times New Roman"/>
          <w:color w:val="000000" w:themeColor="text1"/>
          <w:szCs w:val="24"/>
        </w:rPr>
        <w:t>ONUs</w:t>
      </w:r>
      <w:r w:rsidRPr="00C317BB" w:rsidR="00AC1C45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1703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1703">
        <w:rPr>
          <w:rFonts w:cs="Times New Roman"/>
          <w:color w:val="000000" w:themeColor="text1"/>
          <w:szCs w:val="24"/>
        </w:rPr>
        <w:t>any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1703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person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potentially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during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908C7">
        <w:rPr>
          <w:rFonts w:cs="Times New Roman"/>
          <w:color w:val="000000" w:themeColor="text1"/>
          <w:szCs w:val="24"/>
        </w:rPr>
        <w:t>cleanup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908C7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41E3">
        <w:rPr>
          <w:rFonts w:cs="Times New Roman"/>
          <w:color w:val="000000" w:themeColor="text1"/>
          <w:szCs w:val="24"/>
        </w:rPr>
        <w:t>any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41E3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remedial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actions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41E3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41E3">
        <w:rPr>
          <w:rFonts w:cs="Times New Roman"/>
          <w:color w:val="000000" w:themeColor="text1"/>
          <w:szCs w:val="24"/>
        </w:rPr>
        <w:t>reduce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41E3">
        <w:rPr>
          <w:rFonts w:cs="Times New Roman"/>
          <w:color w:val="000000" w:themeColor="text1"/>
          <w:szCs w:val="24"/>
        </w:rPr>
        <w:t>exp</w:t>
      </w:r>
      <w:r w:rsidRPr="00C317BB" w:rsidR="00A320B2">
        <w:rPr>
          <w:rFonts w:cs="Times New Roman"/>
          <w:color w:val="000000" w:themeColor="text1"/>
          <w:szCs w:val="24"/>
        </w:rPr>
        <w:t>o</w:t>
      </w:r>
      <w:r w:rsidRPr="00C317BB" w:rsidR="00CB41E3">
        <w:rPr>
          <w:rFonts w:cs="Times New Roman"/>
          <w:color w:val="000000" w:themeColor="text1"/>
          <w:szCs w:val="24"/>
        </w:rPr>
        <w:t>sures</w:t>
      </w:r>
      <w:r w:rsidRPr="00C317BB">
        <w:rPr>
          <w:rFonts w:cs="Times New Roman"/>
          <w:color w:val="000000" w:themeColor="text1"/>
          <w:szCs w:val="24"/>
        </w:rPr>
        <w:t>.</w:t>
      </w:r>
    </w:p>
    <w:p w:rsidRPr="00C317BB" w:rsidR="00A074E1" w:rsidP="00F27167" w:rsidRDefault="00503CB8" w14:paraId="6F6AD06E" w14:textId="1A144AE8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each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monitoring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event,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C45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C45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77A6E">
        <w:rPr>
          <w:rFonts w:cs="Times New Roman"/>
          <w:color w:val="000000" w:themeColor="text1"/>
          <w:szCs w:val="24"/>
        </w:rPr>
        <w:t>primary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C45">
        <w:rPr>
          <w:rFonts w:cs="Times New Roman"/>
          <w:color w:val="000000" w:themeColor="text1"/>
          <w:szCs w:val="24"/>
        </w:rPr>
        <w:t>alternative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51710">
        <w:rPr>
          <w:rFonts w:cs="Times New Roman"/>
          <w:color w:val="000000" w:themeColor="text1"/>
          <w:szCs w:val="24"/>
        </w:rPr>
        <w:t>regulatory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C45">
        <w:rPr>
          <w:rFonts w:cs="Times New Roman"/>
          <w:color w:val="000000" w:themeColor="text1"/>
          <w:szCs w:val="24"/>
        </w:rPr>
        <w:t>action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require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regulated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entities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record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dates,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duration,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results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each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sample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taken,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including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measurements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necessary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determine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conditions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(e.g.,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task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duration,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work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site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temperatures,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etc.)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might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have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affected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monitoring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results.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addition,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C45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C45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77A6E">
        <w:rPr>
          <w:rFonts w:cs="Times New Roman"/>
          <w:color w:val="000000" w:themeColor="text1"/>
          <w:szCs w:val="24"/>
        </w:rPr>
        <w:t>primary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C45">
        <w:rPr>
          <w:rFonts w:cs="Times New Roman"/>
          <w:color w:val="000000" w:themeColor="text1"/>
          <w:szCs w:val="24"/>
        </w:rPr>
        <w:t>alternative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51710">
        <w:rPr>
          <w:rFonts w:cs="Times New Roman"/>
          <w:color w:val="000000" w:themeColor="text1"/>
          <w:szCs w:val="24"/>
        </w:rPr>
        <w:t>regulatory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C45">
        <w:rPr>
          <w:rFonts w:cs="Times New Roman"/>
          <w:color w:val="000000" w:themeColor="text1"/>
          <w:szCs w:val="24"/>
        </w:rPr>
        <w:t>action,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1C45">
        <w:rPr>
          <w:rFonts w:cs="Times New Roman"/>
          <w:color w:val="000000" w:themeColor="text1"/>
          <w:szCs w:val="24"/>
        </w:rPr>
        <w:t>would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require: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documentation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name,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address,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work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shift,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job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classification,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work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area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person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monitored</w:t>
      </w:r>
      <w:r w:rsidRPr="00C317BB" w:rsidR="0018526E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26E">
        <w:rPr>
          <w:rFonts w:cs="Times New Roman"/>
          <w:color w:val="000000" w:themeColor="text1"/>
          <w:szCs w:val="24"/>
        </w:rPr>
        <w:t>If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26E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26E">
        <w:rPr>
          <w:rFonts w:cs="Times New Roman"/>
          <w:color w:val="000000" w:themeColor="text1"/>
          <w:szCs w:val="24"/>
        </w:rPr>
        <w:t>regulated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26E">
        <w:rPr>
          <w:rFonts w:cs="Times New Roman"/>
          <w:color w:val="000000" w:themeColor="text1"/>
          <w:szCs w:val="24"/>
        </w:rPr>
        <w:t>entity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26E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26E">
        <w:rPr>
          <w:rFonts w:cs="Times New Roman"/>
          <w:color w:val="000000" w:themeColor="text1"/>
          <w:szCs w:val="24"/>
        </w:rPr>
        <w:t>using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26E">
        <w:rPr>
          <w:rFonts w:cs="Times New Roman"/>
          <w:color w:val="000000" w:themeColor="text1"/>
          <w:szCs w:val="24"/>
        </w:rPr>
        <w:t>area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26E">
        <w:rPr>
          <w:rFonts w:cs="Times New Roman"/>
          <w:color w:val="000000" w:themeColor="text1"/>
          <w:szCs w:val="24"/>
        </w:rPr>
        <w:t>monitoring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26E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26E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26E">
        <w:rPr>
          <w:rFonts w:cs="Times New Roman"/>
          <w:color w:val="000000" w:themeColor="text1"/>
          <w:szCs w:val="24"/>
        </w:rPr>
        <w:t>representative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26E">
        <w:rPr>
          <w:rFonts w:cs="Times New Roman"/>
          <w:color w:val="000000" w:themeColor="text1"/>
          <w:szCs w:val="24"/>
        </w:rPr>
        <w:t>sampling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26E">
        <w:rPr>
          <w:rFonts w:cs="Times New Roman"/>
          <w:color w:val="000000" w:themeColor="text1"/>
          <w:szCs w:val="24"/>
        </w:rPr>
        <w:t>monitoring,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5004E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5004E">
        <w:rPr>
          <w:rFonts w:cs="Times New Roman"/>
          <w:color w:val="000000" w:themeColor="text1"/>
          <w:szCs w:val="24"/>
        </w:rPr>
        <w:t>same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074E1">
        <w:rPr>
          <w:rFonts w:cs="Times New Roman"/>
          <w:color w:val="000000" w:themeColor="text1"/>
          <w:szCs w:val="24"/>
        </w:rPr>
        <w:t>documentation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26E">
        <w:rPr>
          <w:rFonts w:cs="Times New Roman"/>
          <w:color w:val="000000" w:themeColor="text1"/>
          <w:szCs w:val="24"/>
        </w:rPr>
        <w:t>will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26E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26E">
        <w:rPr>
          <w:rFonts w:cs="Times New Roman"/>
          <w:color w:val="000000" w:themeColor="text1"/>
          <w:szCs w:val="24"/>
        </w:rPr>
        <w:t>needed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074E1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074E1">
        <w:rPr>
          <w:rFonts w:cs="Times New Roman"/>
          <w:color w:val="000000" w:themeColor="text1"/>
          <w:szCs w:val="24"/>
        </w:rPr>
        <w:t>all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074E1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074E1">
        <w:rPr>
          <w:rFonts w:cs="Times New Roman"/>
          <w:color w:val="000000" w:themeColor="text1"/>
          <w:szCs w:val="24"/>
        </w:rPr>
        <w:t>persons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074E1">
        <w:rPr>
          <w:rFonts w:cs="Times New Roman"/>
          <w:color w:val="000000" w:themeColor="text1"/>
          <w:szCs w:val="24"/>
        </w:rPr>
        <w:t>whose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074E1">
        <w:rPr>
          <w:rFonts w:cs="Times New Roman"/>
          <w:color w:val="000000" w:themeColor="text1"/>
          <w:szCs w:val="24"/>
        </w:rPr>
        <w:t>exposures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074E1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074E1">
        <w:rPr>
          <w:rFonts w:cs="Times New Roman"/>
          <w:color w:val="000000" w:themeColor="text1"/>
          <w:szCs w:val="24"/>
        </w:rPr>
        <w:t>monitoring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26E">
        <w:rPr>
          <w:rFonts w:cs="Times New Roman"/>
          <w:color w:val="000000" w:themeColor="text1"/>
          <w:szCs w:val="24"/>
        </w:rPr>
        <w:t>was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26E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26E">
        <w:rPr>
          <w:rFonts w:cs="Times New Roman"/>
          <w:color w:val="000000" w:themeColor="text1"/>
          <w:szCs w:val="24"/>
        </w:rPr>
        <w:t>measured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26E">
        <w:rPr>
          <w:rFonts w:cs="Times New Roman"/>
          <w:color w:val="000000" w:themeColor="text1"/>
          <w:szCs w:val="24"/>
        </w:rPr>
        <w:t>but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26E">
        <w:rPr>
          <w:rFonts w:cs="Times New Roman"/>
          <w:color w:val="000000" w:themeColor="text1"/>
          <w:szCs w:val="24"/>
        </w:rPr>
        <w:t>whos</w:t>
      </w:r>
      <w:r w:rsidRPr="00C317BB" w:rsidR="009A415A">
        <w:rPr>
          <w:rFonts w:cs="Times New Roman"/>
          <w:color w:val="000000" w:themeColor="text1"/>
          <w:szCs w:val="24"/>
        </w:rPr>
        <w:t>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26E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074E1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074E1">
        <w:rPr>
          <w:rFonts w:cs="Times New Roman"/>
          <w:color w:val="000000" w:themeColor="text1"/>
          <w:szCs w:val="24"/>
        </w:rPr>
        <w:t>intended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074E1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26E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074E1">
        <w:rPr>
          <w:rFonts w:cs="Times New Roman"/>
          <w:color w:val="000000" w:themeColor="text1"/>
          <w:szCs w:val="24"/>
        </w:rPr>
        <w:t>represent</w:t>
      </w:r>
      <w:r w:rsidRPr="00C317BB" w:rsidR="0018526E">
        <w:rPr>
          <w:rFonts w:cs="Times New Roman"/>
          <w:color w:val="000000" w:themeColor="text1"/>
          <w:szCs w:val="24"/>
        </w:rPr>
        <w:t>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26E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26E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26E">
        <w:rPr>
          <w:rFonts w:cs="Times New Roman"/>
          <w:color w:val="000000" w:themeColor="text1"/>
          <w:szCs w:val="24"/>
        </w:rPr>
        <w:t>area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26E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074E1">
        <w:rPr>
          <w:rFonts w:cs="Times New Roman"/>
          <w:color w:val="000000" w:themeColor="text1"/>
          <w:szCs w:val="24"/>
        </w:rPr>
        <w:t>representative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074E1">
        <w:rPr>
          <w:rFonts w:cs="Times New Roman"/>
          <w:color w:val="000000" w:themeColor="text1"/>
          <w:szCs w:val="24"/>
        </w:rPr>
        <w:t>sampl</w:t>
      </w:r>
      <w:r w:rsidRPr="00C317BB" w:rsidR="0018526E">
        <w:rPr>
          <w:rFonts w:cs="Times New Roman"/>
          <w:color w:val="000000" w:themeColor="text1"/>
          <w:szCs w:val="24"/>
        </w:rPr>
        <w:t>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26E">
        <w:rPr>
          <w:rFonts w:cs="Times New Roman"/>
          <w:color w:val="000000" w:themeColor="text1"/>
          <w:szCs w:val="24"/>
        </w:rPr>
        <w:t>monitoring.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26E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26E">
        <w:rPr>
          <w:rFonts w:cs="Times New Roman"/>
          <w:color w:val="000000" w:themeColor="text1"/>
          <w:szCs w:val="24"/>
        </w:rPr>
        <w:t>addition,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26E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26E">
        <w:rPr>
          <w:rFonts w:cs="Times New Roman"/>
          <w:color w:val="000000" w:themeColor="text1"/>
          <w:szCs w:val="24"/>
        </w:rPr>
        <w:t>would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526E">
        <w:rPr>
          <w:rFonts w:cs="Times New Roman"/>
          <w:color w:val="000000" w:themeColor="text1"/>
          <w:szCs w:val="24"/>
        </w:rPr>
        <w:t>require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47701">
        <w:rPr>
          <w:rFonts w:cs="Times New Roman"/>
          <w:color w:val="000000" w:themeColor="text1"/>
          <w:szCs w:val="24"/>
        </w:rPr>
        <w:t>documentation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47701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074E1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074E1">
        <w:rPr>
          <w:rFonts w:cs="Times New Roman"/>
          <w:color w:val="000000" w:themeColor="text1"/>
          <w:szCs w:val="24"/>
        </w:rPr>
        <w:t>type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074E1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074E1">
        <w:rPr>
          <w:rFonts w:cs="Times New Roman"/>
          <w:color w:val="000000" w:themeColor="text1"/>
          <w:szCs w:val="24"/>
        </w:rPr>
        <w:t>respiratory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074E1">
        <w:rPr>
          <w:rFonts w:cs="Times New Roman"/>
          <w:color w:val="000000" w:themeColor="text1"/>
          <w:szCs w:val="24"/>
        </w:rPr>
        <w:t>protective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074E1">
        <w:rPr>
          <w:rFonts w:cs="Times New Roman"/>
          <w:color w:val="000000" w:themeColor="text1"/>
          <w:szCs w:val="24"/>
        </w:rPr>
        <w:t>device</w:t>
      </w:r>
      <w:r w:rsidRPr="00C317BB" w:rsidR="0099286A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9286A">
        <w:rPr>
          <w:rFonts w:cs="Times New Roman"/>
          <w:color w:val="000000" w:themeColor="text1"/>
          <w:szCs w:val="24"/>
        </w:rPr>
        <w:t>if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9286A">
        <w:rPr>
          <w:rFonts w:cs="Times New Roman"/>
          <w:color w:val="000000" w:themeColor="text1"/>
          <w:szCs w:val="24"/>
        </w:rPr>
        <w:t>any,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074E1">
        <w:rPr>
          <w:rFonts w:cs="Times New Roman"/>
          <w:color w:val="000000" w:themeColor="text1"/>
          <w:szCs w:val="24"/>
        </w:rPr>
        <w:t>worn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074E1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074E1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074E1">
        <w:rPr>
          <w:rFonts w:cs="Times New Roman"/>
          <w:color w:val="000000" w:themeColor="text1"/>
          <w:szCs w:val="24"/>
        </w:rPr>
        <w:t>monitored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074E1">
        <w:rPr>
          <w:rFonts w:cs="Times New Roman"/>
          <w:color w:val="000000" w:themeColor="text1"/>
          <w:szCs w:val="24"/>
        </w:rPr>
        <w:t>person</w:t>
      </w:r>
      <w:r w:rsidRPr="00C317BB" w:rsidR="00547701">
        <w:rPr>
          <w:rFonts w:cs="Times New Roman"/>
          <w:color w:val="000000" w:themeColor="text1"/>
          <w:szCs w:val="24"/>
        </w:rPr>
        <w:t>;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73120">
        <w:rPr>
          <w:rFonts w:cs="Times New Roman"/>
          <w:color w:val="000000" w:themeColor="text1"/>
          <w:szCs w:val="24"/>
        </w:rPr>
        <w:t>or</w:t>
      </w:r>
      <w:r w:rsidRPr="00C317BB" w:rsidR="00547701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47701">
        <w:rPr>
          <w:rFonts w:cs="Times New Roman"/>
          <w:color w:val="000000" w:themeColor="text1"/>
          <w:szCs w:val="24"/>
        </w:rPr>
        <w:t>if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47701">
        <w:rPr>
          <w:rFonts w:cs="Times New Roman"/>
          <w:color w:val="000000" w:themeColor="text1"/>
          <w:szCs w:val="24"/>
        </w:rPr>
        <w:t>area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47701">
        <w:rPr>
          <w:rFonts w:cs="Times New Roman"/>
          <w:color w:val="000000" w:themeColor="text1"/>
          <w:szCs w:val="24"/>
        </w:rPr>
        <w:t>monitoring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47701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47701">
        <w:rPr>
          <w:rFonts w:cs="Times New Roman"/>
          <w:color w:val="000000" w:themeColor="text1"/>
          <w:szCs w:val="24"/>
        </w:rPr>
        <w:t>used,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47701">
        <w:rPr>
          <w:rFonts w:cs="Times New Roman"/>
          <w:color w:val="000000" w:themeColor="text1"/>
          <w:szCs w:val="24"/>
        </w:rPr>
        <w:t>respiratory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47701">
        <w:rPr>
          <w:rFonts w:cs="Times New Roman"/>
          <w:color w:val="000000" w:themeColor="text1"/>
          <w:szCs w:val="24"/>
        </w:rPr>
        <w:t>protective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47701">
        <w:rPr>
          <w:rFonts w:cs="Times New Roman"/>
          <w:color w:val="000000" w:themeColor="text1"/>
          <w:szCs w:val="24"/>
        </w:rPr>
        <w:t>devices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47701">
        <w:rPr>
          <w:rFonts w:cs="Times New Roman"/>
          <w:color w:val="000000" w:themeColor="text1"/>
          <w:szCs w:val="24"/>
        </w:rPr>
        <w:t>worn,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47701">
        <w:rPr>
          <w:rFonts w:cs="Times New Roman"/>
          <w:color w:val="000000" w:themeColor="text1"/>
          <w:szCs w:val="24"/>
        </w:rPr>
        <w:t>if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47701">
        <w:rPr>
          <w:rFonts w:cs="Times New Roman"/>
          <w:color w:val="000000" w:themeColor="text1"/>
          <w:szCs w:val="24"/>
        </w:rPr>
        <w:t>any,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47701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5004E">
        <w:rPr>
          <w:rFonts w:cs="Times New Roman"/>
          <w:color w:val="000000" w:themeColor="text1"/>
          <w:szCs w:val="24"/>
        </w:rPr>
        <w:t>person</w:t>
      </w:r>
      <w:r w:rsidRPr="00C317BB" w:rsidR="00547701">
        <w:rPr>
          <w:rFonts w:cs="Times New Roman"/>
          <w:color w:val="000000" w:themeColor="text1"/>
          <w:szCs w:val="24"/>
        </w:rPr>
        <w:t>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47701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47701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47701">
        <w:rPr>
          <w:rFonts w:cs="Times New Roman"/>
          <w:color w:val="000000" w:themeColor="text1"/>
          <w:szCs w:val="24"/>
        </w:rPr>
        <w:t>area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47701">
        <w:rPr>
          <w:rFonts w:cs="Times New Roman"/>
          <w:color w:val="000000" w:themeColor="text1"/>
          <w:szCs w:val="24"/>
        </w:rPr>
        <w:t>monitored;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47701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47701">
        <w:rPr>
          <w:rFonts w:cs="Times New Roman"/>
          <w:color w:val="000000" w:themeColor="text1"/>
          <w:szCs w:val="24"/>
        </w:rPr>
        <w:t>if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47701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47701">
        <w:rPr>
          <w:rFonts w:cs="Times New Roman"/>
          <w:color w:val="000000" w:themeColor="text1"/>
          <w:szCs w:val="24"/>
        </w:rPr>
        <w:t>representative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47701">
        <w:rPr>
          <w:rFonts w:cs="Times New Roman"/>
          <w:color w:val="000000" w:themeColor="text1"/>
          <w:szCs w:val="24"/>
        </w:rPr>
        <w:t>sampling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47701">
        <w:rPr>
          <w:rFonts w:cs="Times New Roman"/>
          <w:color w:val="000000" w:themeColor="text1"/>
          <w:szCs w:val="24"/>
        </w:rPr>
        <w:t>monitoring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47701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47701">
        <w:rPr>
          <w:rFonts w:cs="Times New Roman"/>
          <w:color w:val="000000" w:themeColor="text1"/>
          <w:szCs w:val="24"/>
        </w:rPr>
        <w:t>used,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47701">
        <w:rPr>
          <w:rFonts w:cs="Times New Roman"/>
          <w:color w:val="000000" w:themeColor="text1"/>
          <w:szCs w:val="24"/>
        </w:rPr>
        <w:t>respiratory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47701">
        <w:rPr>
          <w:rFonts w:cs="Times New Roman"/>
          <w:color w:val="000000" w:themeColor="text1"/>
          <w:szCs w:val="24"/>
        </w:rPr>
        <w:t>protective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47701">
        <w:rPr>
          <w:rFonts w:cs="Times New Roman"/>
          <w:color w:val="000000" w:themeColor="text1"/>
          <w:szCs w:val="24"/>
        </w:rPr>
        <w:t>devices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47701">
        <w:rPr>
          <w:rFonts w:cs="Times New Roman"/>
          <w:color w:val="000000" w:themeColor="text1"/>
          <w:szCs w:val="24"/>
        </w:rPr>
        <w:t>worn,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47701">
        <w:rPr>
          <w:rFonts w:cs="Times New Roman"/>
          <w:color w:val="000000" w:themeColor="text1"/>
          <w:szCs w:val="24"/>
        </w:rPr>
        <w:t>if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47701">
        <w:rPr>
          <w:rFonts w:cs="Times New Roman"/>
          <w:color w:val="000000" w:themeColor="text1"/>
          <w:szCs w:val="24"/>
        </w:rPr>
        <w:t>any,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47701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47701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47701">
        <w:rPr>
          <w:rFonts w:cs="Times New Roman"/>
          <w:color w:val="000000" w:themeColor="text1"/>
          <w:szCs w:val="24"/>
        </w:rPr>
        <w:t>persons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7AD9">
        <w:rPr>
          <w:rFonts w:cs="Times New Roman"/>
          <w:color w:val="000000" w:themeColor="text1"/>
          <w:szCs w:val="24"/>
        </w:rPr>
        <w:t>whose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47701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47701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5004E">
        <w:rPr>
          <w:rFonts w:cs="Times New Roman"/>
          <w:color w:val="000000" w:themeColor="text1"/>
          <w:szCs w:val="24"/>
        </w:rPr>
        <w:t>represent</w:t>
      </w:r>
      <w:r w:rsidRPr="00C317BB" w:rsidR="00547701">
        <w:rPr>
          <w:rFonts w:cs="Times New Roman"/>
          <w:color w:val="000000" w:themeColor="text1"/>
          <w:szCs w:val="24"/>
        </w:rPr>
        <w:t>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47701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47701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47701">
        <w:rPr>
          <w:rFonts w:cs="Times New Roman"/>
          <w:color w:val="000000" w:themeColor="text1"/>
          <w:szCs w:val="24"/>
        </w:rPr>
        <w:t>monitoring</w:t>
      </w:r>
      <w:r w:rsidRPr="00C317BB" w:rsidR="00A074E1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074E1">
        <w:rPr>
          <w:rFonts w:cs="Times New Roman"/>
          <w:color w:val="000000" w:themeColor="text1"/>
          <w:szCs w:val="24"/>
        </w:rPr>
        <w:t>Also,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074E1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074E1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074E1">
        <w:rPr>
          <w:rFonts w:cs="Times New Roman"/>
          <w:color w:val="000000" w:themeColor="text1"/>
          <w:szCs w:val="24"/>
        </w:rPr>
        <w:t>primary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074E1">
        <w:rPr>
          <w:rFonts w:cs="Times New Roman"/>
          <w:color w:val="000000" w:themeColor="text1"/>
          <w:szCs w:val="24"/>
        </w:rPr>
        <w:t>alternative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074E1">
        <w:rPr>
          <w:rFonts w:cs="Times New Roman"/>
          <w:color w:val="000000" w:themeColor="text1"/>
          <w:szCs w:val="24"/>
        </w:rPr>
        <w:t>regulatory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074E1">
        <w:rPr>
          <w:rFonts w:cs="Times New Roman"/>
          <w:color w:val="000000" w:themeColor="text1"/>
          <w:szCs w:val="24"/>
        </w:rPr>
        <w:t>action,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074E1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074E1">
        <w:rPr>
          <w:rFonts w:cs="Times New Roman"/>
          <w:color w:val="000000" w:themeColor="text1"/>
          <w:szCs w:val="24"/>
        </w:rPr>
        <w:t>would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074E1">
        <w:rPr>
          <w:rFonts w:cs="Times New Roman"/>
          <w:color w:val="000000" w:themeColor="text1"/>
          <w:szCs w:val="24"/>
        </w:rPr>
        <w:t>require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074E1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074E1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074E1">
        <w:rPr>
          <w:rFonts w:cs="Times New Roman"/>
          <w:color w:val="000000" w:themeColor="text1"/>
          <w:szCs w:val="24"/>
        </w:rPr>
        <w:t>appropriate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074E1">
        <w:rPr>
          <w:rFonts w:cs="Times New Roman"/>
          <w:color w:val="000000" w:themeColor="text1"/>
          <w:szCs w:val="24"/>
        </w:rPr>
        <w:t>sampling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074E1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074E1">
        <w:rPr>
          <w:rFonts w:cs="Times New Roman"/>
          <w:color w:val="000000" w:themeColor="text1"/>
          <w:szCs w:val="24"/>
        </w:rPr>
        <w:t>analytical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074E1">
        <w:rPr>
          <w:rFonts w:cs="Times New Roman"/>
          <w:color w:val="000000" w:themeColor="text1"/>
          <w:szCs w:val="24"/>
        </w:rPr>
        <w:t>methods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074E1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074E1">
        <w:rPr>
          <w:rFonts w:cs="Times New Roman"/>
          <w:color w:val="000000" w:themeColor="text1"/>
          <w:szCs w:val="24"/>
        </w:rPr>
        <w:t>determine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074E1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074E1">
        <w:rPr>
          <w:rFonts w:cs="Times New Roman"/>
          <w:color w:val="000000" w:themeColor="text1"/>
          <w:szCs w:val="24"/>
        </w:rPr>
        <w:t>exposure,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074E1">
        <w:rPr>
          <w:rFonts w:cs="Times New Roman"/>
          <w:color w:val="000000" w:themeColor="text1"/>
          <w:szCs w:val="24"/>
        </w:rPr>
        <w:t>including: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547701" w:rsidP="00F27167" w:rsidRDefault="00737FA0" w14:paraId="01EC0FAF" w14:textId="780D5AE7">
      <w:pPr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ab/>
        <w:t>•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47701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47701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47701">
        <w:rPr>
          <w:rFonts w:cs="Times New Roman"/>
          <w:color w:val="000000" w:themeColor="text1"/>
          <w:szCs w:val="24"/>
        </w:rPr>
        <w:t>analytical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47701">
        <w:rPr>
          <w:rFonts w:cs="Times New Roman"/>
          <w:color w:val="000000" w:themeColor="text1"/>
          <w:szCs w:val="24"/>
        </w:rPr>
        <w:t>method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47701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47701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47701">
        <w:rPr>
          <w:rFonts w:cs="Times New Roman"/>
          <w:color w:val="000000" w:themeColor="text1"/>
          <w:szCs w:val="24"/>
        </w:rPr>
        <w:t>limit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47701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47701">
        <w:rPr>
          <w:rFonts w:cs="Times New Roman"/>
          <w:color w:val="000000" w:themeColor="text1"/>
          <w:szCs w:val="24"/>
        </w:rPr>
        <w:t>detection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47701">
        <w:rPr>
          <w:rFonts w:cs="Times New Roman"/>
          <w:color w:val="000000" w:themeColor="text1"/>
          <w:szCs w:val="24"/>
        </w:rPr>
        <w:t>below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47701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23C30">
        <w:rPr>
          <w:rFonts w:cs="Times New Roman"/>
          <w:color w:val="000000" w:themeColor="text1"/>
          <w:szCs w:val="24"/>
        </w:rPr>
        <w:t>ECEL-</w:t>
      </w:r>
      <w:r w:rsidRPr="00C317BB" w:rsidR="00547701">
        <w:rPr>
          <w:rFonts w:cs="Times New Roman"/>
          <w:color w:val="000000" w:themeColor="text1"/>
          <w:szCs w:val="24"/>
        </w:rPr>
        <w:t>action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47701">
        <w:rPr>
          <w:rFonts w:cs="Times New Roman"/>
          <w:color w:val="000000" w:themeColor="text1"/>
          <w:szCs w:val="24"/>
        </w:rPr>
        <w:t>level,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47701">
        <w:rPr>
          <w:rFonts w:cs="Times New Roman"/>
          <w:color w:val="000000" w:themeColor="text1"/>
          <w:szCs w:val="24"/>
        </w:rPr>
        <w:t>so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47701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47701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47701">
        <w:rPr>
          <w:rFonts w:cs="Times New Roman"/>
          <w:color w:val="000000" w:themeColor="text1"/>
          <w:szCs w:val="24"/>
        </w:rPr>
        <w:t>regulated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47701">
        <w:rPr>
          <w:rFonts w:cs="Times New Roman"/>
          <w:color w:val="000000" w:themeColor="text1"/>
          <w:szCs w:val="24"/>
        </w:rPr>
        <w:t>entity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47701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47701">
        <w:rPr>
          <w:rFonts w:cs="Times New Roman"/>
          <w:color w:val="000000" w:themeColor="text1"/>
          <w:szCs w:val="24"/>
        </w:rPr>
        <w:t>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47701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13DCA">
        <w:rPr>
          <w:rFonts w:cs="Times New Roman"/>
          <w:color w:val="000000" w:themeColor="text1"/>
          <w:szCs w:val="24"/>
        </w:rPr>
        <w:t>implement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13DCA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13DCA">
        <w:rPr>
          <w:rFonts w:cs="Times New Roman"/>
          <w:color w:val="000000" w:themeColor="text1"/>
          <w:szCs w:val="24"/>
        </w:rPr>
        <w:t>controls,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E48BE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E48BE">
        <w:rPr>
          <w:rFonts w:cs="Times New Roman"/>
          <w:color w:val="000000" w:themeColor="text1"/>
          <w:szCs w:val="24"/>
        </w:rPr>
        <w:t>determine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13DCA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13DCA">
        <w:rPr>
          <w:rFonts w:cs="Times New Roman"/>
          <w:color w:val="000000" w:themeColor="text1"/>
          <w:szCs w:val="24"/>
        </w:rPr>
        <w:t>monitoring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E48BE">
        <w:rPr>
          <w:rFonts w:cs="Times New Roman"/>
          <w:color w:val="000000" w:themeColor="text1"/>
          <w:szCs w:val="24"/>
        </w:rPr>
        <w:t>frequency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E48BE">
        <w:rPr>
          <w:rFonts w:cs="Times New Roman"/>
          <w:color w:val="000000" w:themeColor="text1"/>
          <w:szCs w:val="24"/>
        </w:rPr>
        <w:t>according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E48BE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E48BE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E48BE">
        <w:rPr>
          <w:rFonts w:cs="Times New Roman"/>
          <w:color w:val="000000" w:themeColor="text1"/>
          <w:szCs w:val="24"/>
        </w:rPr>
        <w:t>requirements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13DCA">
        <w:rPr>
          <w:rFonts w:cs="Times New Roman"/>
          <w:color w:val="000000" w:themeColor="text1"/>
          <w:szCs w:val="24"/>
        </w:rPr>
        <w:t>described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13DCA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13DCA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13DCA">
        <w:rPr>
          <w:rFonts w:cs="Times New Roman"/>
          <w:color w:val="000000" w:themeColor="text1"/>
          <w:szCs w:val="24"/>
        </w:rPr>
        <w:t>Unit,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13DCA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E48BE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13DCA">
        <w:rPr>
          <w:rFonts w:cs="Times New Roman"/>
          <w:color w:val="000000" w:themeColor="text1"/>
          <w:szCs w:val="24"/>
        </w:rPr>
        <w:t>provide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13DCA">
        <w:rPr>
          <w:rFonts w:cs="Times New Roman"/>
          <w:color w:val="000000" w:themeColor="text1"/>
          <w:szCs w:val="24"/>
        </w:rPr>
        <w:t>persons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13DCA">
        <w:rPr>
          <w:rFonts w:cs="Times New Roman"/>
          <w:color w:val="000000" w:themeColor="text1"/>
          <w:szCs w:val="24"/>
        </w:rPr>
        <w:t>exposed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13DCA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13DCA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13DCA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13DCA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13DCA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45AF">
        <w:rPr>
          <w:rFonts w:cs="Times New Roman"/>
          <w:color w:val="000000" w:themeColor="text1"/>
          <w:szCs w:val="24"/>
        </w:rPr>
        <w:t>respiratory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45AF">
        <w:rPr>
          <w:rFonts w:cs="Times New Roman"/>
          <w:color w:val="000000" w:themeColor="text1"/>
          <w:szCs w:val="24"/>
        </w:rPr>
        <w:t>protection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13DCA">
        <w:rPr>
          <w:rFonts w:cs="Times New Roman"/>
          <w:color w:val="000000" w:themeColor="text1"/>
          <w:szCs w:val="24"/>
        </w:rPr>
        <w:t>required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13DCA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13DCA">
        <w:rPr>
          <w:rFonts w:cs="Times New Roman"/>
          <w:color w:val="000000" w:themeColor="text1"/>
          <w:szCs w:val="24"/>
        </w:rPr>
        <w:t>described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13DCA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13DCA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13DCA">
        <w:rPr>
          <w:rFonts w:cs="Times New Roman"/>
          <w:color w:val="000000" w:themeColor="text1"/>
          <w:szCs w:val="24"/>
        </w:rPr>
        <w:t>Unit.</w:t>
      </w:r>
    </w:p>
    <w:p w:rsidRPr="00C317BB" w:rsidR="00A074E1" w:rsidP="00F27167" w:rsidRDefault="00737FA0" w14:paraId="6FCAFF46" w14:textId="33654794">
      <w:pPr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ab/>
        <w:t>•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074E1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074E1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074E1">
        <w:rPr>
          <w:rFonts w:cs="Times New Roman"/>
          <w:color w:val="000000" w:themeColor="text1"/>
          <w:szCs w:val="24"/>
        </w:rPr>
        <w:t>analytical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074E1">
        <w:rPr>
          <w:rFonts w:cs="Times New Roman"/>
          <w:color w:val="000000" w:themeColor="text1"/>
          <w:szCs w:val="24"/>
        </w:rPr>
        <w:t>method</w:t>
      </w:r>
      <w:r w:rsidRPr="00C317BB" w:rsidR="00B76758">
        <w:rPr>
          <w:rFonts w:cs="Times New Roman"/>
          <w:color w:val="000000" w:themeColor="text1"/>
          <w:szCs w:val="24"/>
        </w:rPr>
        <w:t>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76758">
        <w:rPr>
          <w:rFonts w:cs="Times New Roman"/>
          <w:color w:val="000000" w:themeColor="text1"/>
          <w:szCs w:val="24"/>
        </w:rPr>
        <w:t>described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76758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508CF">
        <w:rPr>
          <w:rFonts w:cs="Times New Roman"/>
          <w:color w:val="000000" w:themeColor="text1"/>
          <w:szCs w:val="24"/>
        </w:rPr>
        <w:t>Appendix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508CF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508CF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508CF">
        <w:rPr>
          <w:rFonts w:cs="Times New Roman"/>
          <w:color w:val="000000" w:themeColor="text1"/>
          <w:szCs w:val="24"/>
        </w:rPr>
        <w:t>29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508CF">
        <w:rPr>
          <w:rFonts w:cs="Times New Roman"/>
          <w:color w:val="000000" w:themeColor="text1"/>
          <w:szCs w:val="24"/>
        </w:rPr>
        <w:t>CFR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508CF">
        <w:rPr>
          <w:rFonts w:cs="Times New Roman"/>
          <w:color w:val="000000" w:themeColor="text1"/>
          <w:szCs w:val="24"/>
        </w:rPr>
        <w:t>1910.1001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80BD9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E1972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E1972">
        <w:rPr>
          <w:rFonts w:cs="Times New Roman"/>
          <w:color w:val="000000" w:themeColor="text1"/>
          <w:szCs w:val="24"/>
        </w:rPr>
        <w:t>referenced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E1972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E1972">
        <w:rPr>
          <w:rFonts w:cs="Times New Roman"/>
          <w:color w:val="000000" w:themeColor="text1"/>
          <w:szCs w:val="24"/>
        </w:rPr>
        <w:t>Appendix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E1972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E1972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E1972">
        <w:rPr>
          <w:rFonts w:cs="Times New Roman"/>
          <w:color w:val="000000" w:themeColor="text1"/>
          <w:szCs w:val="24"/>
        </w:rPr>
        <w:t>29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E1972">
        <w:rPr>
          <w:rFonts w:cs="Times New Roman"/>
          <w:color w:val="000000" w:themeColor="text1"/>
          <w:szCs w:val="24"/>
        </w:rPr>
        <w:t>CFR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E1972">
        <w:rPr>
          <w:rFonts w:cs="Times New Roman"/>
          <w:color w:val="000000" w:themeColor="text1"/>
          <w:szCs w:val="24"/>
        </w:rPr>
        <w:t>1910.1001</w:t>
      </w:r>
      <w:r w:rsidRPr="00C317BB" w:rsidR="002B6EC2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E0AB2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34073">
        <w:rPr>
          <w:rFonts w:cs="Times New Roman"/>
          <w:color w:val="000000" w:themeColor="text1"/>
          <w:szCs w:val="24"/>
        </w:rPr>
        <w:t>NIOSH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34073">
        <w:rPr>
          <w:rFonts w:cs="Times New Roman"/>
          <w:color w:val="000000" w:themeColor="text1"/>
          <w:szCs w:val="24"/>
        </w:rPr>
        <w:t>7400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73890">
        <w:rPr>
          <w:rFonts w:cs="Times New Roman"/>
          <w:color w:val="000000" w:themeColor="text1"/>
          <w:szCs w:val="24"/>
        </w:rPr>
        <w:t>method</w:t>
      </w:r>
      <w:r w:rsidRPr="00C317BB" w:rsidR="00A074E1">
        <w:rPr>
          <w:rFonts w:cs="Times New Roman"/>
          <w:color w:val="000000" w:themeColor="text1"/>
          <w:szCs w:val="24"/>
        </w:rPr>
        <w:t>;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27743">
        <w:rPr>
          <w:rFonts w:cs="Times New Roman"/>
          <w:color w:val="000000" w:themeColor="text1"/>
          <w:szCs w:val="24"/>
        </w:rPr>
        <w:t>and</w:t>
      </w:r>
    </w:p>
    <w:p w:rsidRPr="00C317BB" w:rsidR="00A074E1" w:rsidP="00F27167" w:rsidRDefault="00737FA0" w14:paraId="59B00F3F" w14:textId="6FF60A16">
      <w:pPr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ab/>
        <w:t>•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074E1">
        <w:rPr>
          <w:rFonts w:cs="Times New Roman"/>
          <w:color w:val="000000" w:themeColor="text1"/>
          <w:szCs w:val="24"/>
        </w:rPr>
        <w:t>Compliance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074E1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074E1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074E1">
        <w:rPr>
          <w:rFonts w:cs="Times New Roman"/>
          <w:color w:val="000000" w:themeColor="text1"/>
          <w:szCs w:val="24"/>
        </w:rPr>
        <w:t>Good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074E1">
        <w:rPr>
          <w:rFonts w:cs="Times New Roman"/>
          <w:color w:val="000000" w:themeColor="text1"/>
          <w:szCs w:val="24"/>
        </w:rPr>
        <w:t>Laboratory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074E1">
        <w:rPr>
          <w:rFonts w:cs="Times New Roman"/>
          <w:color w:val="000000" w:themeColor="text1"/>
          <w:szCs w:val="24"/>
        </w:rPr>
        <w:t>Practice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074E1">
        <w:rPr>
          <w:rFonts w:cs="Times New Roman"/>
          <w:color w:val="000000" w:themeColor="text1"/>
          <w:szCs w:val="24"/>
        </w:rPr>
        <w:t>Standards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074E1">
        <w:rPr>
          <w:rFonts w:cs="Times New Roman"/>
          <w:color w:val="000000" w:themeColor="text1"/>
          <w:szCs w:val="24"/>
        </w:rPr>
        <w:t>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074E1">
        <w:rPr>
          <w:rFonts w:cs="Times New Roman"/>
          <w:color w:val="000000" w:themeColor="text1"/>
          <w:szCs w:val="24"/>
        </w:rPr>
        <w:t>40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074E1">
        <w:rPr>
          <w:rFonts w:cs="Times New Roman"/>
          <w:color w:val="000000" w:themeColor="text1"/>
          <w:szCs w:val="24"/>
        </w:rPr>
        <w:t>CFR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074E1">
        <w:rPr>
          <w:rFonts w:cs="Times New Roman"/>
          <w:color w:val="000000" w:themeColor="text1"/>
          <w:szCs w:val="24"/>
        </w:rPr>
        <w:t>Part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074E1">
        <w:rPr>
          <w:rFonts w:cs="Times New Roman"/>
          <w:color w:val="000000" w:themeColor="text1"/>
          <w:szCs w:val="24"/>
        </w:rPr>
        <w:t>792;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074E1">
        <w:rPr>
          <w:rFonts w:cs="Times New Roman"/>
          <w:color w:val="000000" w:themeColor="text1"/>
          <w:szCs w:val="24"/>
        </w:rPr>
        <w:t>and</w:t>
      </w:r>
    </w:p>
    <w:p w:rsidRPr="00C317BB" w:rsidR="0094118F" w:rsidP="00F27167" w:rsidRDefault="00737FA0" w14:paraId="1951154B" w14:textId="4F77D5C0">
      <w:pPr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ab/>
        <w:t>•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7AD9">
        <w:rPr>
          <w:rFonts w:cs="Times New Roman"/>
          <w:color w:val="000000" w:themeColor="text1"/>
          <w:szCs w:val="24"/>
        </w:rPr>
        <w:t>Documentation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7AD9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7AD9">
        <w:rPr>
          <w:rFonts w:cs="Times New Roman"/>
          <w:color w:val="000000" w:themeColor="text1"/>
          <w:szCs w:val="24"/>
        </w:rPr>
        <w:t>information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03CB8">
        <w:rPr>
          <w:rFonts w:cs="Times New Roman"/>
          <w:color w:val="000000" w:themeColor="text1"/>
          <w:szCs w:val="24"/>
        </w:rPr>
        <w:t>regarding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03CB8">
        <w:rPr>
          <w:rFonts w:cs="Times New Roman"/>
          <w:color w:val="000000" w:themeColor="text1"/>
          <w:szCs w:val="24"/>
        </w:rPr>
        <w:t>air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03CB8">
        <w:rPr>
          <w:rFonts w:cs="Times New Roman"/>
          <w:color w:val="000000" w:themeColor="text1"/>
          <w:szCs w:val="24"/>
        </w:rPr>
        <w:t>monitoring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03CB8">
        <w:rPr>
          <w:rFonts w:cs="Times New Roman"/>
          <w:color w:val="000000" w:themeColor="text1"/>
          <w:szCs w:val="24"/>
        </w:rPr>
        <w:t>equipment,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03CB8">
        <w:rPr>
          <w:rFonts w:cs="Times New Roman"/>
          <w:color w:val="000000" w:themeColor="text1"/>
          <w:szCs w:val="24"/>
        </w:rPr>
        <w:t>including: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03CB8">
        <w:rPr>
          <w:rFonts w:cs="Times New Roman"/>
          <w:color w:val="000000" w:themeColor="text1"/>
          <w:szCs w:val="24"/>
        </w:rPr>
        <w:t>maintenance,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03CB8">
        <w:rPr>
          <w:rFonts w:cs="Times New Roman"/>
          <w:color w:val="000000" w:themeColor="text1"/>
          <w:szCs w:val="24"/>
        </w:rPr>
        <w:t>performance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03CB8">
        <w:rPr>
          <w:rFonts w:cs="Times New Roman"/>
          <w:color w:val="000000" w:themeColor="text1"/>
          <w:szCs w:val="24"/>
        </w:rPr>
        <w:t>tests,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C0121">
        <w:rPr>
          <w:rFonts w:cs="Times New Roman"/>
          <w:color w:val="000000" w:themeColor="text1"/>
          <w:szCs w:val="24"/>
        </w:rPr>
        <w:t>limits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C0121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C0121">
        <w:rPr>
          <w:rFonts w:cs="Times New Roman"/>
          <w:color w:val="000000" w:themeColor="text1"/>
          <w:szCs w:val="24"/>
        </w:rPr>
        <w:t>detection,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03CB8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03CB8">
        <w:rPr>
          <w:rFonts w:cs="Times New Roman"/>
          <w:color w:val="000000" w:themeColor="text1"/>
          <w:szCs w:val="24"/>
        </w:rPr>
        <w:t>any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03CB8">
        <w:rPr>
          <w:rFonts w:cs="Times New Roman"/>
          <w:color w:val="000000" w:themeColor="text1"/>
          <w:szCs w:val="24"/>
        </w:rPr>
        <w:t>malfunctions.</w:t>
      </w:r>
    </w:p>
    <w:p w:rsidRPr="00C317BB" w:rsidR="00BF2E6E" w:rsidP="00F27167" w:rsidRDefault="00A3515B" w14:paraId="73A37159" w14:textId="4350108D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requests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comment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50F65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F4B4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F4B4B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1803">
        <w:rPr>
          <w:rFonts w:cs="Times New Roman"/>
          <w:color w:val="000000" w:themeColor="text1"/>
          <w:szCs w:val="24"/>
        </w:rPr>
        <w:t>air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50F65">
        <w:rPr>
          <w:rFonts w:cs="Times New Roman"/>
          <w:color w:val="000000" w:themeColor="text1"/>
          <w:szCs w:val="24"/>
        </w:rPr>
        <w:t>sampling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50F65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50F65">
        <w:rPr>
          <w:rFonts w:cs="Times New Roman"/>
          <w:color w:val="000000" w:themeColor="text1"/>
          <w:szCs w:val="24"/>
        </w:rPr>
        <w:t>analytical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50F65">
        <w:rPr>
          <w:rFonts w:cs="Times New Roman"/>
          <w:color w:val="000000" w:themeColor="text1"/>
          <w:szCs w:val="24"/>
        </w:rPr>
        <w:t>methods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50F65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50F65">
        <w:rPr>
          <w:rFonts w:cs="Times New Roman"/>
          <w:color w:val="000000" w:themeColor="text1"/>
          <w:szCs w:val="24"/>
        </w:rPr>
        <w:t>part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50F65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50F65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82EC8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82EC8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50F65">
        <w:rPr>
          <w:rFonts w:cs="Times New Roman"/>
          <w:color w:val="000000" w:themeColor="text1"/>
          <w:szCs w:val="24"/>
        </w:rPr>
        <w:t>ECEL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019AC">
        <w:rPr>
          <w:rFonts w:cs="Times New Roman"/>
          <w:color w:val="000000" w:themeColor="text1"/>
          <w:szCs w:val="24"/>
        </w:rPr>
        <w:t>air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019AC">
        <w:rPr>
          <w:rFonts w:cs="Times New Roman"/>
          <w:color w:val="000000" w:themeColor="text1"/>
          <w:szCs w:val="24"/>
        </w:rPr>
        <w:t>monitoring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019AC">
        <w:rPr>
          <w:rFonts w:cs="Times New Roman"/>
          <w:color w:val="000000" w:themeColor="text1"/>
          <w:szCs w:val="24"/>
        </w:rPr>
        <w:t>requirement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F4054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F4054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F4054">
        <w:rPr>
          <w:rFonts w:cs="Times New Roman"/>
          <w:color w:val="000000" w:themeColor="text1"/>
          <w:szCs w:val="24"/>
        </w:rPr>
        <w:t>primary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F4054">
        <w:rPr>
          <w:rFonts w:cs="Times New Roman"/>
          <w:color w:val="000000" w:themeColor="text1"/>
          <w:szCs w:val="24"/>
        </w:rPr>
        <w:t>alternative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F4054">
        <w:rPr>
          <w:rFonts w:cs="Times New Roman"/>
          <w:color w:val="000000" w:themeColor="text1"/>
          <w:szCs w:val="24"/>
        </w:rPr>
        <w:t>regulatory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F4054">
        <w:rPr>
          <w:rFonts w:cs="Times New Roman"/>
          <w:color w:val="000000" w:themeColor="text1"/>
          <w:szCs w:val="24"/>
        </w:rPr>
        <w:t>option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22E89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67E6E">
        <w:rPr>
          <w:rFonts w:cs="Times New Roman"/>
          <w:color w:val="000000" w:themeColor="text1"/>
          <w:szCs w:val="24"/>
        </w:rPr>
        <w:t>specifically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22E89">
        <w:rPr>
          <w:rFonts w:cs="Times New Roman"/>
          <w:color w:val="000000" w:themeColor="text1"/>
          <w:szCs w:val="24"/>
        </w:rPr>
        <w:t>whether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67E6E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2637">
        <w:rPr>
          <w:rFonts w:cs="Times New Roman"/>
          <w:color w:val="000000" w:themeColor="text1"/>
          <w:szCs w:val="24"/>
        </w:rPr>
        <w:t>required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30A44">
        <w:rPr>
          <w:rFonts w:cs="Times New Roman"/>
          <w:color w:val="000000" w:themeColor="text1"/>
          <w:szCs w:val="24"/>
        </w:rPr>
        <w:t>air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1803">
        <w:rPr>
          <w:rFonts w:cs="Times New Roman"/>
          <w:color w:val="000000" w:themeColor="text1"/>
          <w:szCs w:val="24"/>
        </w:rPr>
        <w:t>sampl</w:t>
      </w:r>
      <w:r w:rsidRPr="00C317BB" w:rsidR="0004185A">
        <w:rPr>
          <w:rFonts w:cs="Times New Roman"/>
          <w:color w:val="000000" w:themeColor="text1"/>
          <w:szCs w:val="24"/>
        </w:rPr>
        <w:t>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4185A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4185A">
        <w:rPr>
          <w:rFonts w:cs="Times New Roman"/>
          <w:color w:val="000000" w:themeColor="text1"/>
          <w:szCs w:val="24"/>
        </w:rPr>
        <w:t>analytical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F11FD">
        <w:rPr>
          <w:rFonts w:cs="Times New Roman"/>
          <w:color w:val="000000" w:themeColor="text1"/>
          <w:szCs w:val="24"/>
        </w:rPr>
        <w:t>methods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F11FD">
        <w:rPr>
          <w:rFonts w:cs="Times New Roman"/>
          <w:color w:val="000000" w:themeColor="text1"/>
          <w:szCs w:val="24"/>
        </w:rPr>
        <w:t>should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F11FD">
        <w:rPr>
          <w:rFonts w:cs="Times New Roman"/>
          <w:color w:val="000000" w:themeColor="text1"/>
          <w:szCs w:val="24"/>
        </w:rPr>
        <w:t>require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4185A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4185A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4185A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C3411">
        <w:rPr>
          <w:rFonts w:cs="Times New Roman"/>
          <w:color w:val="000000" w:themeColor="text1"/>
          <w:szCs w:val="24"/>
        </w:rPr>
        <w:t>transmission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C3411">
        <w:rPr>
          <w:rFonts w:cs="Times New Roman"/>
          <w:color w:val="000000" w:themeColor="text1"/>
          <w:szCs w:val="24"/>
        </w:rPr>
        <w:t>electron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C3411">
        <w:rPr>
          <w:rFonts w:cs="Times New Roman"/>
          <w:color w:val="000000" w:themeColor="text1"/>
          <w:szCs w:val="24"/>
        </w:rPr>
        <w:t>mic</w:t>
      </w:r>
      <w:r w:rsidRPr="00C317BB" w:rsidR="002F11FD">
        <w:rPr>
          <w:rFonts w:cs="Times New Roman"/>
          <w:color w:val="000000" w:themeColor="text1"/>
          <w:szCs w:val="24"/>
        </w:rPr>
        <w:t>roscopy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4185A">
        <w:rPr>
          <w:rFonts w:cs="Times New Roman"/>
          <w:color w:val="000000" w:themeColor="text1"/>
          <w:szCs w:val="24"/>
        </w:rPr>
        <w:t>(TEM)</w:t>
      </w:r>
      <w:r w:rsidRPr="00C317BB" w:rsidR="00AF0885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4185A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4185A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4185A">
        <w:rPr>
          <w:rFonts w:cs="Times New Roman"/>
          <w:color w:val="000000" w:themeColor="text1"/>
          <w:szCs w:val="24"/>
        </w:rPr>
        <w:t>microscopy</w:t>
      </w:r>
      <w:r w:rsidRPr="00C317BB" w:rsidR="00AF0885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E24F9">
        <w:rPr>
          <w:rFonts w:cs="Times New Roman"/>
          <w:color w:val="000000" w:themeColor="text1"/>
          <w:szCs w:val="24"/>
        </w:rPr>
        <w:t>instead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E24F9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F0885">
        <w:rPr>
          <w:rFonts w:cs="Times New Roman"/>
          <w:color w:val="000000" w:themeColor="text1"/>
          <w:szCs w:val="24"/>
        </w:rPr>
        <w:t>phase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F0885">
        <w:rPr>
          <w:rFonts w:cs="Times New Roman"/>
          <w:color w:val="000000" w:themeColor="text1"/>
          <w:szCs w:val="24"/>
        </w:rPr>
        <w:t>contrast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F0885">
        <w:rPr>
          <w:rFonts w:cs="Times New Roman"/>
          <w:color w:val="000000" w:themeColor="text1"/>
          <w:szCs w:val="24"/>
        </w:rPr>
        <w:t>micr</w:t>
      </w:r>
      <w:r w:rsidRPr="00C317BB" w:rsidR="00157B63">
        <w:rPr>
          <w:rFonts w:cs="Times New Roman"/>
          <w:color w:val="000000" w:themeColor="text1"/>
          <w:szCs w:val="24"/>
        </w:rPr>
        <w:t>oscopy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7B63">
        <w:rPr>
          <w:rFonts w:cs="Times New Roman"/>
          <w:color w:val="000000" w:themeColor="text1"/>
          <w:szCs w:val="24"/>
        </w:rPr>
        <w:t>(</w:t>
      </w:r>
      <w:r w:rsidRPr="00C317BB" w:rsidR="009E24F9">
        <w:rPr>
          <w:rFonts w:cs="Times New Roman"/>
          <w:color w:val="000000" w:themeColor="text1"/>
          <w:szCs w:val="24"/>
        </w:rPr>
        <w:t>PCM</w:t>
      </w:r>
      <w:r w:rsidRPr="00C317BB" w:rsidR="00157B63">
        <w:rPr>
          <w:rFonts w:cs="Times New Roman"/>
          <w:color w:val="000000" w:themeColor="text1"/>
          <w:szCs w:val="24"/>
        </w:rPr>
        <w:t>)</w:t>
      </w:r>
      <w:r w:rsidRPr="00C317BB" w:rsidR="00375B1A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75B1A">
        <w:rPr>
          <w:rFonts w:cs="Times New Roman"/>
          <w:color w:val="000000" w:themeColor="text1"/>
          <w:szCs w:val="24"/>
        </w:rPr>
        <w:t>PCM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37C20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37C20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9573E">
        <w:rPr>
          <w:rFonts w:cs="Times New Roman"/>
          <w:color w:val="000000" w:themeColor="text1"/>
          <w:szCs w:val="24"/>
        </w:rPr>
        <w:t>required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37C20">
        <w:rPr>
          <w:rFonts w:cs="Times New Roman"/>
          <w:color w:val="000000" w:themeColor="text1"/>
          <w:szCs w:val="24"/>
        </w:rPr>
        <w:t>microscopy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37C20">
        <w:rPr>
          <w:rFonts w:cs="Times New Roman"/>
          <w:color w:val="000000" w:themeColor="text1"/>
          <w:szCs w:val="24"/>
        </w:rPr>
        <w:t>analysis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805C2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805C2">
        <w:rPr>
          <w:rFonts w:cs="Times New Roman"/>
          <w:color w:val="000000" w:themeColor="text1"/>
          <w:szCs w:val="24"/>
        </w:rPr>
        <w:t>Appendix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805C2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805C2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805C2">
        <w:rPr>
          <w:rFonts w:cs="Times New Roman"/>
          <w:color w:val="000000" w:themeColor="text1"/>
          <w:szCs w:val="24"/>
        </w:rPr>
        <w:t>29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805C2">
        <w:rPr>
          <w:rFonts w:cs="Times New Roman"/>
          <w:color w:val="000000" w:themeColor="text1"/>
          <w:szCs w:val="24"/>
        </w:rPr>
        <w:t>CFR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805C2">
        <w:rPr>
          <w:rFonts w:cs="Times New Roman"/>
          <w:color w:val="000000" w:themeColor="text1"/>
          <w:szCs w:val="24"/>
        </w:rPr>
        <w:t>1910.1001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805C2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74E7A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805C2">
        <w:rPr>
          <w:rFonts w:cs="Times New Roman"/>
          <w:color w:val="000000" w:themeColor="text1"/>
          <w:szCs w:val="24"/>
        </w:rPr>
        <w:t>NIOSH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805C2">
        <w:rPr>
          <w:rFonts w:cs="Times New Roman"/>
          <w:color w:val="000000" w:themeColor="text1"/>
          <w:szCs w:val="24"/>
        </w:rPr>
        <w:t>7400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73890">
        <w:rPr>
          <w:rFonts w:cs="Times New Roman"/>
          <w:color w:val="000000" w:themeColor="text1"/>
          <w:szCs w:val="24"/>
        </w:rPr>
        <w:t>method.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D5265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D5265">
        <w:rPr>
          <w:rFonts w:cs="Times New Roman"/>
          <w:color w:val="000000" w:themeColor="text1"/>
          <w:szCs w:val="24"/>
        </w:rPr>
        <w:t>addition,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D5265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00DDD">
        <w:rPr>
          <w:rFonts w:cs="Times New Roman"/>
          <w:color w:val="000000" w:themeColor="text1"/>
          <w:szCs w:val="24"/>
        </w:rPr>
        <w:t>requests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00DDD">
        <w:rPr>
          <w:rFonts w:cs="Times New Roman"/>
          <w:color w:val="000000" w:themeColor="text1"/>
          <w:szCs w:val="24"/>
        </w:rPr>
        <w:t>comments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00DDD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00DDD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00DDD">
        <w:rPr>
          <w:rFonts w:cs="Times New Roman"/>
          <w:color w:val="000000" w:themeColor="text1"/>
          <w:szCs w:val="24"/>
        </w:rPr>
        <w:t>capacity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00DDD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00DDD">
        <w:rPr>
          <w:rFonts w:cs="Times New Roman"/>
          <w:color w:val="000000" w:themeColor="text1"/>
          <w:szCs w:val="24"/>
        </w:rPr>
        <w:t>available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00DDD">
        <w:rPr>
          <w:rFonts w:cs="Times New Roman"/>
          <w:color w:val="000000" w:themeColor="text1"/>
          <w:szCs w:val="24"/>
        </w:rPr>
        <w:t>methods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00DDD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00DDD">
        <w:rPr>
          <w:rFonts w:cs="Times New Roman"/>
          <w:color w:val="000000" w:themeColor="text1"/>
          <w:szCs w:val="24"/>
        </w:rPr>
        <w:t>effectively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00DDD">
        <w:rPr>
          <w:rFonts w:cs="Times New Roman"/>
          <w:color w:val="000000" w:themeColor="text1"/>
          <w:szCs w:val="24"/>
        </w:rPr>
        <w:t>sample,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00DDD">
        <w:rPr>
          <w:rFonts w:cs="Times New Roman"/>
          <w:color w:val="000000" w:themeColor="text1"/>
          <w:szCs w:val="24"/>
        </w:rPr>
        <w:t>detect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00DDD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00DDD">
        <w:rPr>
          <w:rFonts w:cs="Times New Roman"/>
          <w:color w:val="000000" w:themeColor="text1"/>
          <w:szCs w:val="24"/>
        </w:rPr>
        <w:t>analyze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00DDD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00DDD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00DDD">
        <w:rPr>
          <w:rFonts w:cs="Times New Roman"/>
          <w:color w:val="000000" w:themeColor="text1"/>
          <w:szCs w:val="24"/>
        </w:rPr>
        <w:t>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00DDD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00DDD">
        <w:rPr>
          <w:rFonts w:cs="Times New Roman"/>
          <w:color w:val="000000" w:themeColor="text1"/>
          <w:szCs w:val="24"/>
        </w:rPr>
        <w:t>ECEL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00DDD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00DDD">
        <w:rPr>
          <w:rFonts w:cs="Times New Roman"/>
          <w:color w:val="000000" w:themeColor="text1"/>
          <w:szCs w:val="24"/>
        </w:rPr>
        <w:t>ECEL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00DDD">
        <w:rPr>
          <w:rFonts w:cs="Times New Roman"/>
          <w:color w:val="000000" w:themeColor="text1"/>
          <w:szCs w:val="24"/>
        </w:rPr>
        <w:t>action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00DDD">
        <w:rPr>
          <w:rFonts w:cs="Times New Roman"/>
          <w:color w:val="000000" w:themeColor="text1"/>
          <w:szCs w:val="24"/>
        </w:rPr>
        <w:t>level.</w:t>
      </w:r>
    </w:p>
    <w:p w:rsidRPr="00C317BB" w:rsidR="00DD18CD" w:rsidP="00F27167" w:rsidRDefault="00DD18CD" w14:paraId="771144E2" w14:textId="5073080A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i/>
          <w:color w:val="000000" w:themeColor="text1"/>
          <w:szCs w:val="24"/>
        </w:rPr>
        <w:t>Exposure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>
        <w:rPr>
          <w:rFonts w:cs="Times New Roman"/>
          <w:i/>
          <w:color w:val="000000" w:themeColor="text1"/>
          <w:szCs w:val="24"/>
        </w:rPr>
        <w:t>controls</w:t>
      </w:r>
      <w:r w:rsidRPr="00C317BB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recommends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encourages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pollution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prevention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means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controlling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exposures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whenever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practicable.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E0613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E0613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E0613">
        <w:rPr>
          <w:rFonts w:cs="Times New Roman"/>
          <w:color w:val="000000" w:themeColor="text1"/>
          <w:szCs w:val="24"/>
        </w:rPr>
        <w:t>primary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E0613">
        <w:rPr>
          <w:rFonts w:cs="Times New Roman"/>
          <w:color w:val="000000" w:themeColor="text1"/>
          <w:szCs w:val="24"/>
        </w:rPr>
        <w:t>alternative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E0613">
        <w:rPr>
          <w:rFonts w:cs="Times New Roman"/>
          <w:color w:val="000000" w:themeColor="text1"/>
          <w:szCs w:val="24"/>
        </w:rPr>
        <w:t>regulatory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E0613">
        <w:rPr>
          <w:rFonts w:cs="Times New Roman"/>
          <w:color w:val="000000" w:themeColor="text1"/>
          <w:szCs w:val="24"/>
        </w:rPr>
        <w:t>action,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E0613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E0613">
        <w:rPr>
          <w:rFonts w:cs="Times New Roman"/>
          <w:color w:val="000000" w:themeColor="text1"/>
          <w:szCs w:val="24"/>
        </w:rPr>
        <w:t>would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E0613">
        <w:rPr>
          <w:rFonts w:cs="Times New Roman"/>
          <w:color w:val="000000" w:themeColor="text1"/>
          <w:szCs w:val="24"/>
        </w:rPr>
        <w:t>require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E0613">
        <w:rPr>
          <w:rFonts w:cs="Times New Roman"/>
          <w:color w:val="000000" w:themeColor="text1"/>
          <w:szCs w:val="24"/>
        </w:rPr>
        <w:t>regulated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E0613">
        <w:rPr>
          <w:rFonts w:cs="Times New Roman"/>
          <w:color w:val="000000" w:themeColor="text1"/>
          <w:szCs w:val="24"/>
        </w:rPr>
        <w:t>entities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E0613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E0613">
        <w:rPr>
          <w:rFonts w:cs="Times New Roman"/>
          <w:color w:val="000000" w:themeColor="text1"/>
          <w:szCs w:val="24"/>
        </w:rPr>
        <w:t>implement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E0613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E0613">
        <w:rPr>
          <w:rFonts w:cs="Times New Roman"/>
          <w:color w:val="000000" w:themeColor="text1"/>
          <w:szCs w:val="24"/>
        </w:rPr>
        <w:t>ECEL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E0613">
        <w:rPr>
          <w:rFonts w:cs="Times New Roman"/>
          <w:color w:val="000000" w:themeColor="text1"/>
          <w:szCs w:val="24"/>
        </w:rPr>
        <w:t>through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E0613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E0613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E0613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E0613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E0613">
        <w:rPr>
          <w:rFonts w:cs="Times New Roman"/>
          <w:color w:val="000000" w:themeColor="text1"/>
          <w:szCs w:val="24"/>
        </w:rPr>
        <w:t>NIOSH/OSHA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E0613">
        <w:rPr>
          <w:rFonts w:cs="Times New Roman"/>
          <w:color w:val="000000" w:themeColor="text1"/>
          <w:szCs w:val="24"/>
        </w:rPr>
        <w:t>hierarchy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E0613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E0613">
        <w:rPr>
          <w:rFonts w:cs="Times New Roman"/>
          <w:color w:val="000000" w:themeColor="text1"/>
          <w:szCs w:val="24"/>
        </w:rPr>
        <w:t>controls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E0613">
        <w:rPr>
          <w:rFonts w:cs="Times New Roman"/>
          <w:color w:val="000000" w:themeColor="text1"/>
          <w:szCs w:val="24"/>
        </w:rPr>
        <w:t>(i.e.,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E0613">
        <w:rPr>
          <w:rFonts w:cs="Times New Roman"/>
          <w:color w:val="000000" w:themeColor="text1"/>
          <w:szCs w:val="24"/>
        </w:rPr>
        <w:t>elimination,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E0613">
        <w:rPr>
          <w:rFonts w:cs="Times New Roman"/>
          <w:color w:val="000000" w:themeColor="text1"/>
          <w:szCs w:val="24"/>
        </w:rPr>
        <w:t>substitution,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E0613">
        <w:rPr>
          <w:rFonts w:cs="Times New Roman"/>
          <w:color w:val="000000" w:themeColor="text1"/>
          <w:szCs w:val="24"/>
        </w:rPr>
        <w:t>engineering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E0613">
        <w:rPr>
          <w:rFonts w:cs="Times New Roman"/>
          <w:color w:val="000000" w:themeColor="text1"/>
          <w:szCs w:val="24"/>
        </w:rPr>
        <w:t>controls,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E0613">
        <w:rPr>
          <w:rFonts w:cs="Times New Roman"/>
          <w:color w:val="000000" w:themeColor="text1"/>
          <w:szCs w:val="24"/>
        </w:rPr>
        <w:t>administrative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E0613">
        <w:rPr>
          <w:rFonts w:cs="Times New Roman"/>
          <w:color w:val="000000" w:themeColor="text1"/>
          <w:szCs w:val="24"/>
        </w:rPr>
        <w:t>controls</w:t>
      </w:r>
      <w:r w:rsidRPr="00C317BB" w:rsidR="004E7AD9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E0613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E0613">
        <w:rPr>
          <w:rFonts w:cs="Times New Roman"/>
          <w:color w:val="000000" w:themeColor="text1"/>
          <w:szCs w:val="24"/>
        </w:rPr>
        <w:t>PPE)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E0613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E0613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E0613">
        <w:rPr>
          <w:rFonts w:cs="Times New Roman"/>
          <w:color w:val="000000" w:themeColor="text1"/>
          <w:szCs w:val="24"/>
        </w:rPr>
        <w:t>refer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E0613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E0613">
        <w:rPr>
          <w:rFonts w:cs="Times New Roman"/>
          <w:color w:val="000000" w:themeColor="text1"/>
          <w:szCs w:val="24"/>
        </w:rPr>
        <w:t>29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E0613">
        <w:rPr>
          <w:rFonts w:cs="Times New Roman"/>
          <w:color w:val="000000" w:themeColor="text1"/>
          <w:szCs w:val="24"/>
        </w:rPr>
        <w:t>CFR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E0613">
        <w:rPr>
          <w:rFonts w:cs="Times New Roman"/>
          <w:color w:val="000000" w:themeColor="text1"/>
          <w:szCs w:val="24"/>
        </w:rPr>
        <w:t>1910.1001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E0613">
        <w:rPr>
          <w:rFonts w:cs="Times New Roman"/>
          <w:color w:val="000000" w:themeColor="text1"/>
          <w:szCs w:val="24"/>
        </w:rPr>
        <w:t>(</w:t>
      </w:r>
      <w:r w:rsidRPr="00C317BB" w:rsidR="004E7AD9">
        <w:rPr>
          <w:rFonts w:cs="Times New Roman"/>
          <w:color w:val="000000" w:themeColor="text1"/>
          <w:szCs w:val="24"/>
        </w:rPr>
        <w:t>except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7AD9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E0613">
        <w:rPr>
          <w:rFonts w:cs="Times New Roman"/>
          <w:color w:val="000000" w:themeColor="text1"/>
          <w:szCs w:val="24"/>
        </w:rPr>
        <w:t>29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E0613">
        <w:rPr>
          <w:rFonts w:cs="Times New Roman"/>
          <w:color w:val="000000" w:themeColor="text1"/>
          <w:szCs w:val="24"/>
        </w:rPr>
        <w:t>CFR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E0613">
        <w:rPr>
          <w:rFonts w:cs="Times New Roman"/>
          <w:color w:val="000000" w:themeColor="text1"/>
          <w:szCs w:val="24"/>
        </w:rPr>
        <w:t>1910.1001(c),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E0613">
        <w:rPr>
          <w:rFonts w:cs="Times New Roman"/>
          <w:color w:val="000000" w:themeColor="text1"/>
          <w:szCs w:val="24"/>
        </w:rPr>
        <w:t>which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E0613">
        <w:rPr>
          <w:rFonts w:cs="Times New Roman"/>
          <w:color w:val="000000" w:themeColor="text1"/>
          <w:szCs w:val="24"/>
        </w:rPr>
        <w:t>references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E0613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E0613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E0613">
        <w:rPr>
          <w:rFonts w:cs="Times New Roman"/>
          <w:color w:val="000000" w:themeColor="text1"/>
          <w:szCs w:val="24"/>
        </w:rPr>
        <w:t>PEL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7AD9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7AD9">
        <w:rPr>
          <w:rFonts w:cs="Times New Roman"/>
          <w:color w:val="000000" w:themeColor="text1"/>
          <w:szCs w:val="24"/>
        </w:rPr>
        <w:t>general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7AD9">
        <w:rPr>
          <w:rFonts w:cs="Times New Roman"/>
          <w:color w:val="000000" w:themeColor="text1"/>
          <w:szCs w:val="24"/>
        </w:rPr>
        <w:t>industry)</w:t>
      </w:r>
      <w:r w:rsidRPr="00C317BB" w:rsidR="007E0613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E0613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E0613">
        <w:rPr>
          <w:rFonts w:cs="Times New Roman"/>
          <w:color w:val="000000" w:themeColor="text1"/>
          <w:szCs w:val="24"/>
        </w:rPr>
        <w:t>29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E0613">
        <w:rPr>
          <w:rFonts w:cs="Times New Roman"/>
          <w:color w:val="000000" w:themeColor="text1"/>
          <w:szCs w:val="24"/>
        </w:rPr>
        <w:t>CFR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E0613">
        <w:rPr>
          <w:rFonts w:cs="Times New Roman"/>
          <w:color w:val="000000" w:themeColor="text1"/>
          <w:szCs w:val="24"/>
        </w:rPr>
        <w:t>1926.1101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E0613">
        <w:rPr>
          <w:rFonts w:cs="Times New Roman"/>
          <w:color w:val="000000" w:themeColor="text1"/>
          <w:szCs w:val="24"/>
        </w:rPr>
        <w:t>(except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E0613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E0613">
        <w:rPr>
          <w:rFonts w:cs="Times New Roman"/>
          <w:color w:val="000000" w:themeColor="text1"/>
          <w:szCs w:val="24"/>
        </w:rPr>
        <w:t>29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E0613">
        <w:rPr>
          <w:rFonts w:cs="Times New Roman"/>
          <w:color w:val="000000" w:themeColor="text1"/>
          <w:szCs w:val="24"/>
        </w:rPr>
        <w:t>CFR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E0613">
        <w:rPr>
          <w:rFonts w:cs="Times New Roman"/>
          <w:color w:val="000000" w:themeColor="text1"/>
          <w:szCs w:val="24"/>
        </w:rPr>
        <w:t>1926.1101(c)</w:t>
      </w:r>
      <w:r w:rsidRPr="00C317BB" w:rsidR="00A0484B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0484B">
        <w:rPr>
          <w:rFonts w:cs="Times New Roman"/>
          <w:color w:val="000000" w:themeColor="text1"/>
          <w:szCs w:val="24"/>
        </w:rPr>
        <w:t>which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0484B">
        <w:rPr>
          <w:rFonts w:cs="Times New Roman"/>
          <w:color w:val="000000" w:themeColor="text1"/>
          <w:szCs w:val="24"/>
        </w:rPr>
        <w:t>refer</w:t>
      </w:r>
      <w:r w:rsidRPr="00C317BB" w:rsidR="00E71013">
        <w:rPr>
          <w:rFonts w:cs="Times New Roman"/>
          <w:color w:val="000000" w:themeColor="text1"/>
          <w:szCs w:val="24"/>
        </w:rPr>
        <w:t>ences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0484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71013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F070C">
        <w:rPr>
          <w:rFonts w:cs="Times New Roman"/>
          <w:color w:val="000000" w:themeColor="text1"/>
          <w:szCs w:val="24"/>
        </w:rPr>
        <w:t>PEL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7AD9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7AD9">
        <w:rPr>
          <w:rFonts w:cs="Times New Roman"/>
          <w:color w:val="000000" w:themeColor="text1"/>
          <w:szCs w:val="24"/>
        </w:rPr>
        <w:t>construction)</w:t>
      </w:r>
      <w:r w:rsidRPr="00C317BB" w:rsidR="002F070C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E48BE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E48BE">
        <w:rPr>
          <w:rFonts w:cs="Times New Roman"/>
          <w:color w:val="000000" w:themeColor="text1"/>
          <w:szCs w:val="24"/>
        </w:rPr>
        <w:t>would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E48BE">
        <w:rPr>
          <w:rFonts w:cs="Times New Roman"/>
          <w:color w:val="000000" w:themeColor="text1"/>
          <w:szCs w:val="24"/>
        </w:rPr>
        <w:t>require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E48BE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E48BE">
        <w:rPr>
          <w:rFonts w:cs="Times New Roman"/>
          <w:color w:val="000000" w:themeColor="text1"/>
          <w:szCs w:val="24"/>
        </w:rPr>
        <w:t>r</w:t>
      </w:r>
      <w:r w:rsidRPr="00C317BB" w:rsidR="00794E96">
        <w:rPr>
          <w:rFonts w:cs="Times New Roman"/>
          <w:color w:val="000000" w:themeColor="text1"/>
          <w:szCs w:val="24"/>
        </w:rPr>
        <w:t>egulated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94E96">
        <w:rPr>
          <w:rFonts w:cs="Times New Roman"/>
          <w:color w:val="000000" w:themeColor="text1"/>
          <w:szCs w:val="24"/>
        </w:rPr>
        <w:t>entities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document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their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efforts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control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plan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through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existing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documentation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facility’s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7AD9">
        <w:rPr>
          <w:rFonts w:cs="Times New Roman"/>
          <w:color w:val="000000" w:themeColor="text1"/>
          <w:szCs w:val="24"/>
        </w:rPr>
        <w:t>safety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7AD9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7AD9">
        <w:rPr>
          <w:rFonts w:cs="Times New Roman"/>
          <w:color w:val="000000" w:themeColor="text1"/>
          <w:szCs w:val="24"/>
        </w:rPr>
        <w:t>health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7AD9">
        <w:rPr>
          <w:rFonts w:cs="Times New Roman"/>
          <w:color w:val="000000" w:themeColor="text1"/>
          <w:szCs w:val="24"/>
        </w:rPr>
        <w:t>program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developed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part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meeting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OSHA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requirements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safety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health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standards.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elimination,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substitution,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engineering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controls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administrative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controls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sufficient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reduce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exposures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below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ECEL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persons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workplace,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51710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51710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77A6E">
        <w:rPr>
          <w:rFonts w:cs="Times New Roman"/>
          <w:color w:val="000000" w:themeColor="text1"/>
          <w:szCs w:val="24"/>
        </w:rPr>
        <w:t>primary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51710">
        <w:rPr>
          <w:rFonts w:cs="Times New Roman"/>
          <w:color w:val="000000" w:themeColor="text1"/>
          <w:szCs w:val="24"/>
        </w:rPr>
        <w:t>alternative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51710">
        <w:rPr>
          <w:rFonts w:cs="Times New Roman"/>
          <w:color w:val="000000" w:themeColor="text1"/>
          <w:szCs w:val="24"/>
        </w:rPr>
        <w:t>regulatory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51710">
        <w:rPr>
          <w:rFonts w:cs="Times New Roman"/>
          <w:color w:val="000000" w:themeColor="text1"/>
          <w:szCs w:val="24"/>
        </w:rPr>
        <w:t>action,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51710">
        <w:rPr>
          <w:rFonts w:cs="Times New Roman"/>
          <w:color w:val="000000" w:themeColor="text1"/>
          <w:szCs w:val="24"/>
        </w:rPr>
        <w:t>would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require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regulated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entity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such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controls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reduce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91661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91661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concentrations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workplace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lowest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levels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achievable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supplement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controls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respiratory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protection.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such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cases,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51710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51710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77A6E">
        <w:rPr>
          <w:rFonts w:cs="Times New Roman"/>
          <w:color w:val="000000" w:themeColor="text1"/>
          <w:szCs w:val="24"/>
        </w:rPr>
        <w:t>primary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51710">
        <w:rPr>
          <w:rFonts w:cs="Times New Roman"/>
          <w:color w:val="000000" w:themeColor="text1"/>
          <w:szCs w:val="24"/>
        </w:rPr>
        <w:t>alternative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51710">
        <w:rPr>
          <w:rFonts w:cs="Times New Roman"/>
          <w:color w:val="000000" w:themeColor="text1"/>
          <w:szCs w:val="24"/>
        </w:rPr>
        <w:t>regulatory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51710">
        <w:rPr>
          <w:rFonts w:cs="Times New Roman"/>
          <w:color w:val="000000" w:themeColor="text1"/>
          <w:szCs w:val="24"/>
        </w:rPr>
        <w:t>action</w:t>
      </w:r>
      <w:r w:rsidRPr="00C317BB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51710">
        <w:rPr>
          <w:rFonts w:cs="Times New Roman"/>
          <w:color w:val="000000" w:themeColor="text1"/>
          <w:szCs w:val="24"/>
        </w:rPr>
        <w:t>would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71984">
        <w:rPr>
          <w:rFonts w:cs="Times New Roman"/>
          <w:color w:val="000000" w:themeColor="text1"/>
          <w:szCs w:val="24"/>
        </w:rPr>
        <w:t>require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regulated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entity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71984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provide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those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persons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reasonably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likely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71984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71984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inhalation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above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ECEL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respirators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sufficient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ensure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their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exposures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exceed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ECEL,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described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5832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5832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6118D">
        <w:rPr>
          <w:rFonts w:cs="Times New Roman"/>
          <w:color w:val="000000" w:themeColor="text1"/>
          <w:szCs w:val="24"/>
        </w:rPr>
        <w:t>U</w:t>
      </w:r>
      <w:r w:rsidRPr="00C317BB" w:rsidR="00F35832">
        <w:rPr>
          <w:rFonts w:cs="Times New Roman"/>
          <w:color w:val="000000" w:themeColor="text1"/>
          <w:szCs w:val="24"/>
        </w:rPr>
        <w:t>nit.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51710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51710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77A6E">
        <w:rPr>
          <w:rFonts w:cs="Times New Roman"/>
          <w:color w:val="000000" w:themeColor="text1"/>
          <w:szCs w:val="24"/>
        </w:rPr>
        <w:t>primary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51710">
        <w:rPr>
          <w:rFonts w:cs="Times New Roman"/>
          <w:color w:val="000000" w:themeColor="text1"/>
          <w:szCs w:val="24"/>
        </w:rPr>
        <w:t>alternative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51710">
        <w:rPr>
          <w:rFonts w:cs="Times New Roman"/>
          <w:color w:val="000000" w:themeColor="text1"/>
          <w:szCs w:val="24"/>
        </w:rPr>
        <w:t>regulatory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51710">
        <w:rPr>
          <w:rFonts w:cs="Times New Roman"/>
          <w:color w:val="000000" w:themeColor="text1"/>
          <w:szCs w:val="24"/>
        </w:rPr>
        <w:t>action,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51710">
        <w:rPr>
          <w:rFonts w:cs="Times New Roman"/>
          <w:color w:val="000000" w:themeColor="text1"/>
          <w:szCs w:val="24"/>
        </w:rPr>
        <w:t>would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51710">
        <w:rPr>
          <w:rFonts w:cs="Times New Roman"/>
          <w:color w:val="000000" w:themeColor="text1"/>
          <w:szCs w:val="24"/>
        </w:rPr>
        <w:t>also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require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regulated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entity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documents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their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efforts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elimination,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substitution,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engineering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controls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administrative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controls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reduce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below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ECEL.</w:t>
      </w:r>
    </w:p>
    <w:p w:rsidRPr="00C317BB" w:rsidR="00DD18CD" w:rsidP="00F27167" w:rsidRDefault="00E80970" w14:paraId="6C8C98BF" w14:textId="7B6029E7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77A6E">
        <w:rPr>
          <w:rFonts w:cs="Times New Roman"/>
          <w:color w:val="000000" w:themeColor="text1"/>
          <w:szCs w:val="24"/>
        </w:rPr>
        <w:t>primary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alternative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regulatory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51710">
        <w:rPr>
          <w:rFonts w:cs="Times New Roman"/>
          <w:color w:val="000000" w:themeColor="text1"/>
          <w:szCs w:val="24"/>
        </w:rPr>
        <w:t>action</w:t>
      </w:r>
      <w:r w:rsidRPr="00C317BB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44B86">
        <w:rPr>
          <w:rFonts w:cs="Times New Roman"/>
          <w:color w:val="000000" w:themeColor="text1"/>
          <w:szCs w:val="24"/>
        </w:rPr>
        <w:t>would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require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F68F6">
        <w:rPr>
          <w:rFonts w:cs="Times New Roman"/>
          <w:color w:val="000000" w:themeColor="text1"/>
          <w:szCs w:val="24"/>
        </w:rPr>
        <w:t>regulated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F68F6">
        <w:rPr>
          <w:rFonts w:cs="Times New Roman"/>
          <w:color w:val="000000" w:themeColor="text1"/>
          <w:szCs w:val="24"/>
        </w:rPr>
        <w:t>entity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F68F6">
        <w:rPr>
          <w:rFonts w:cs="Times New Roman"/>
          <w:color w:val="000000" w:themeColor="text1"/>
          <w:szCs w:val="24"/>
        </w:rPr>
        <w:t>documents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F68F6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F68F6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control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plan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F68F6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F68F6">
        <w:rPr>
          <w:rFonts w:cs="Times New Roman"/>
          <w:color w:val="000000" w:themeColor="text1"/>
          <w:szCs w:val="24"/>
        </w:rPr>
        <w:t>following</w:t>
      </w:r>
      <w:r w:rsidRPr="00C317BB" w:rsidR="00DD18CD">
        <w:rPr>
          <w:rFonts w:cs="Times New Roman"/>
          <w:color w:val="000000" w:themeColor="text1"/>
          <w:szCs w:val="24"/>
        </w:rPr>
        <w:t>:</w:t>
      </w:r>
    </w:p>
    <w:p w:rsidRPr="00C317BB" w:rsidR="00DD18CD" w:rsidP="00F27167" w:rsidRDefault="00737FA0" w14:paraId="68CCC0F5" w14:textId="0E7E1D0F">
      <w:pPr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ab/>
        <w:t>•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Identification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controls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including: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elimination,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substitution,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engineering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controls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administrative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controls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available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reduce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exposures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workplace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either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below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ECEL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lowest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level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achievable,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E1736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E1736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E1736">
        <w:rPr>
          <w:rFonts w:cs="Times New Roman"/>
          <w:color w:val="000000" w:themeColor="text1"/>
          <w:szCs w:val="24"/>
        </w:rPr>
        <w:t>controls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E1736">
        <w:rPr>
          <w:rFonts w:cs="Times New Roman"/>
          <w:color w:val="000000" w:themeColor="text1"/>
          <w:szCs w:val="24"/>
        </w:rPr>
        <w:t>selected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E1736">
        <w:rPr>
          <w:rFonts w:cs="Times New Roman"/>
          <w:color w:val="000000" w:themeColor="text1"/>
          <w:szCs w:val="24"/>
        </w:rPr>
        <w:t>based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E1736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E1736">
        <w:rPr>
          <w:rFonts w:cs="Times New Roman"/>
          <w:color w:val="000000" w:themeColor="text1"/>
          <w:szCs w:val="24"/>
        </w:rPr>
        <w:t>feasibility,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E1736">
        <w:rPr>
          <w:rFonts w:cs="Times New Roman"/>
          <w:color w:val="000000" w:themeColor="text1"/>
          <w:szCs w:val="24"/>
        </w:rPr>
        <w:t>effectiveness,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E1736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E1736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E1736">
        <w:rPr>
          <w:rFonts w:cs="Times New Roman"/>
          <w:color w:val="000000" w:themeColor="text1"/>
          <w:szCs w:val="24"/>
        </w:rPr>
        <w:t>relevant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E1736">
        <w:rPr>
          <w:rFonts w:cs="Times New Roman"/>
          <w:color w:val="000000" w:themeColor="text1"/>
          <w:szCs w:val="24"/>
        </w:rPr>
        <w:t>considerations</w:t>
      </w:r>
      <w:r w:rsidRPr="00C317BB" w:rsidR="00DD18CD">
        <w:rPr>
          <w:rFonts w:cs="Times New Roman"/>
          <w:color w:val="000000" w:themeColor="text1"/>
          <w:szCs w:val="24"/>
        </w:rPr>
        <w:t>;</w:t>
      </w:r>
    </w:p>
    <w:p w:rsidRPr="00C317BB" w:rsidR="00DD18CD" w:rsidP="00F27167" w:rsidRDefault="00737FA0" w14:paraId="121374A9" w14:textId="63159291">
      <w:pPr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ab/>
        <w:t>•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If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controls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were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selected,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document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efforts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identifying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why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these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feasible,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effective,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otherwise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implemented;</w:t>
      </w:r>
    </w:p>
    <w:p w:rsidRPr="00C317BB" w:rsidR="00DD18CD" w:rsidP="00F27167" w:rsidRDefault="00737FA0" w14:paraId="0F6F4253" w14:textId="3845CB73">
      <w:pPr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ab/>
        <w:t>•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Implementation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controls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selected,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including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proper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installation,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maintenance,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training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steps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taken;</w:t>
      </w:r>
    </w:p>
    <w:p w:rsidRPr="00C317BB" w:rsidR="00DD18CD" w:rsidP="00F27167" w:rsidRDefault="00737FA0" w14:paraId="3A503635" w14:textId="32639170">
      <w:pPr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ab/>
        <w:t>•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Regular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inspections,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evaluations,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updating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controls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ensure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effectiveness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confirmation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all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persons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using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them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accordingly;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and</w:t>
      </w:r>
    </w:p>
    <w:p w:rsidRPr="00C317BB" w:rsidR="00DD18CD" w:rsidP="00F27167" w:rsidRDefault="00737FA0" w14:paraId="323C50BE" w14:textId="6D490ED4">
      <w:pPr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ab/>
        <w:t>•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Occurrence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duration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any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start-up,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shutdown,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malfunction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facility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causes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air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concentrations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above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ECEL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subsequent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corrective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actions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taken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during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start-up,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shutdown,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malfunctions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mitigate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exposures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18CD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B1689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B1689">
        <w:rPr>
          <w:rFonts w:cs="Times New Roman"/>
          <w:color w:val="000000" w:themeColor="text1"/>
          <w:szCs w:val="24"/>
        </w:rPr>
        <w:t>asbestos</w:t>
      </w:r>
      <w:r w:rsidRPr="00C317BB" w:rsidR="00DD18CD">
        <w:rPr>
          <w:rFonts w:cs="Times New Roman"/>
          <w:color w:val="000000" w:themeColor="text1"/>
          <w:szCs w:val="24"/>
        </w:rPr>
        <w:t>.</w:t>
      </w:r>
    </w:p>
    <w:p w:rsidRPr="00C317BB" w:rsidR="006B0977" w:rsidP="00F27167" w:rsidRDefault="006B0977" w14:paraId="642E60EB" w14:textId="2847E2CF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i/>
          <w:color w:val="000000" w:themeColor="text1"/>
          <w:szCs w:val="24"/>
        </w:rPr>
        <w:t>Personal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>
        <w:rPr>
          <w:rFonts w:cs="Times New Roman"/>
          <w:i/>
          <w:color w:val="000000" w:themeColor="text1"/>
          <w:szCs w:val="24"/>
        </w:rPr>
        <w:t>protective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>
        <w:rPr>
          <w:rFonts w:cs="Times New Roman"/>
          <w:i/>
          <w:color w:val="000000" w:themeColor="text1"/>
          <w:szCs w:val="24"/>
        </w:rPr>
        <w:t>equipment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>
        <w:rPr>
          <w:rFonts w:cs="Times New Roman"/>
          <w:i/>
          <w:color w:val="000000" w:themeColor="text1"/>
          <w:szCs w:val="24"/>
        </w:rPr>
        <w:t>(PPE).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51710">
        <w:rPr>
          <w:rFonts w:cs="Times New Roman"/>
          <w:color w:val="000000" w:themeColor="text1"/>
          <w:szCs w:val="24"/>
        </w:rPr>
        <w:t>part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51710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51710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77A6E">
        <w:rPr>
          <w:rFonts w:cs="Times New Roman"/>
          <w:color w:val="000000" w:themeColor="text1"/>
          <w:szCs w:val="24"/>
        </w:rPr>
        <w:t>primary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alternative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regulatory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87A9B">
        <w:rPr>
          <w:rFonts w:cs="Times New Roman"/>
          <w:color w:val="000000" w:themeColor="text1"/>
          <w:szCs w:val="24"/>
        </w:rPr>
        <w:t>action</w:t>
      </w:r>
      <w:r w:rsidRPr="00C317BB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where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engineering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administrative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controls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feasible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497D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B497D">
        <w:rPr>
          <w:rFonts w:cs="Times New Roman"/>
          <w:color w:val="000000" w:themeColor="text1"/>
          <w:szCs w:val="24"/>
        </w:rPr>
        <w:t>reduce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34222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34222">
        <w:rPr>
          <w:rFonts w:cs="Times New Roman"/>
          <w:color w:val="000000" w:themeColor="text1"/>
          <w:szCs w:val="24"/>
        </w:rPr>
        <w:t>air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34222">
        <w:rPr>
          <w:rFonts w:cs="Times New Roman"/>
          <w:color w:val="000000" w:themeColor="text1"/>
          <w:szCs w:val="24"/>
        </w:rPr>
        <w:t>concentration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D48C0">
        <w:rPr>
          <w:rFonts w:cs="Times New Roman"/>
          <w:color w:val="000000" w:themeColor="text1"/>
          <w:szCs w:val="24"/>
        </w:rPr>
        <w:t>below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D48C0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D48C0">
        <w:rPr>
          <w:rFonts w:cs="Times New Roman"/>
          <w:color w:val="000000" w:themeColor="text1"/>
          <w:szCs w:val="24"/>
        </w:rPr>
        <w:t>ECEL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inhalation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still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reasonably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likely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44972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44972">
        <w:rPr>
          <w:rFonts w:cs="Times New Roman"/>
          <w:color w:val="000000" w:themeColor="text1"/>
          <w:szCs w:val="24"/>
        </w:rPr>
        <w:t>persons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86863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86863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86863">
        <w:rPr>
          <w:rFonts w:cs="Times New Roman"/>
          <w:color w:val="000000" w:themeColor="text1"/>
          <w:szCs w:val="24"/>
        </w:rPr>
        <w:t>workplace</w:t>
      </w:r>
      <w:r w:rsidRPr="00C317BB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D29FF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1C8755B">
        <w:rPr>
          <w:rFonts w:cs="Times New Roman"/>
          <w:color w:val="000000" w:themeColor="text1"/>
          <w:szCs w:val="24"/>
        </w:rPr>
        <w:t>would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10FA1147">
        <w:rPr>
          <w:rFonts w:cs="Times New Roman"/>
          <w:color w:val="000000" w:themeColor="text1"/>
          <w:szCs w:val="24"/>
        </w:rPr>
        <w:t>require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17AA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17AA">
        <w:rPr>
          <w:rFonts w:cs="Times New Roman"/>
          <w:color w:val="000000" w:themeColor="text1"/>
          <w:szCs w:val="24"/>
        </w:rPr>
        <w:t>regulated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17AA">
        <w:rPr>
          <w:rFonts w:cs="Times New Roman"/>
          <w:color w:val="000000" w:themeColor="text1"/>
          <w:szCs w:val="24"/>
        </w:rPr>
        <w:t>entity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6D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F5468">
        <w:rPr>
          <w:rFonts w:cs="Times New Roman"/>
          <w:color w:val="000000" w:themeColor="text1"/>
          <w:szCs w:val="24"/>
        </w:rPr>
        <w:t>determine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38F6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38F6">
        <w:rPr>
          <w:rFonts w:cs="Times New Roman"/>
          <w:color w:val="000000" w:themeColor="text1"/>
          <w:szCs w:val="24"/>
        </w:rPr>
        <w:t>level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38F6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A6EBF">
        <w:rPr>
          <w:rFonts w:cs="Times New Roman"/>
          <w:color w:val="000000" w:themeColor="text1"/>
          <w:szCs w:val="24"/>
        </w:rPr>
        <w:t>respiratory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A6EBF">
        <w:rPr>
          <w:rFonts w:cs="Times New Roman"/>
          <w:color w:val="000000" w:themeColor="text1"/>
          <w:szCs w:val="24"/>
        </w:rPr>
        <w:t>protection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F06BE">
        <w:rPr>
          <w:rFonts w:cs="Times New Roman"/>
          <w:color w:val="000000" w:themeColor="text1"/>
          <w:szCs w:val="24"/>
        </w:rPr>
        <w:t>ne</w:t>
      </w:r>
      <w:r w:rsidRPr="00C317BB" w:rsidR="00CA71AC">
        <w:rPr>
          <w:rFonts w:cs="Times New Roman"/>
          <w:color w:val="000000" w:themeColor="text1"/>
          <w:szCs w:val="24"/>
        </w:rPr>
        <w:t>eded</w:t>
      </w:r>
      <w:r w:rsidRPr="00C317BB" w:rsidR="00105F49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7AD9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7AD9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7AD9">
        <w:rPr>
          <w:rFonts w:cs="Times New Roman"/>
          <w:color w:val="000000" w:themeColor="text1"/>
          <w:szCs w:val="24"/>
        </w:rPr>
        <w:t>proposing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7AD9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7AD9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7AD9">
        <w:rPr>
          <w:rFonts w:cs="Times New Roman"/>
          <w:color w:val="000000" w:themeColor="text1"/>
          <w:szCs w:val="24"/>
        </w:rPr>
        <w:t>regulated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7AD9">
        <w:rPr>
          <w:rFonts w:cs="Times New Roman"/>
          <w:color w:val="000000" w:themeColor="text1"/>
          <w:szCs w:val="24"/>
        </w:rPr>
        <w:t>entity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7AD9">
        <w:rPr>
          <w:rFonts w:cs="Times New Roman"/>
          <w:color w:val="000000" w:themeColor="text1"/>
          <w:szCs w:val="24"/>
        </w:rPr>
        <w:t>refer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7AD9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7AD9">
        <w:rPr>
          <w:rFonts w:cs="Times New Roman"/>
          <w:color w:val="000000" w:themeColor="text1"/>
          <w:szCs w:val="24"/>
        </w:rPr>
        <w:t>OSHA’s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7AD9">
        <w:rPr>
          <w:rFonts w:cs="Times New Roman"/>
          <w:color w:val="000000" w:themeColor="text1"/>
          <w:szCs w:val="24"/>
        </w:rPr>
        <w:t>General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7AD9">
        <w:rPr>
          <w:rFonts w:cs="Times New Roman"/>
          <w:color w:val="000000" w:themeColor="text1"/>
          <w:szCs w:val="24"/>
        </w:rPr>
        <w:t>Requirements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7AD9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7AD9">
        <w:rPr>
          <w:rFonts w:cs="Times New Roman"/>
          <w:color w:val="000000" w:themeColor="text1"/>
          <w:szCs w:val="24"/>
        </w:rPr>
        <w:t>Personal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7AD9">
        <w:rPr>
          <w:rFonts w:cs="Times New Roman"/>
          <w:color w:val="000000" w:themeColor="text1"/>
          <w:szCs w:val="24"/>
        </w:rPr>
        <w:t>Protective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7AD9">
        <w:rPr>
          <w:rFonts w:cs="Times New Roman"/>
          <w:color w:val="000000" w:themeColor="text1"/>
          <w:szCs w:val="24"/>
        </w:rPr>
        <w:t>Equipment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7AD9">
        <w:rPr>
          <w:rFonts w:cs="Times New Roman"/>
          <w:color w:val="000000" w:themeColor="text1"/>
          <w:szCs w:val="24"/>
        </w:rPr>
        <w:t>standard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7AD9">
        <w:rPr>
          <w:rFonts w:cs="Times New Roman"/>
          <w:color w:val="000000" w:themeColor="text1"/>
          <w:szCs w:val="24"/>
        </w:rPr>
        <w:t>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7AD9">
        <w:rPr>
          <w:rFonts w:cs="Times New Roman"/>
          <w:color w:val="000000" w:themeColor="text1"/>
          <w:szCs w:val="24"/>
        </w:rPr>
        <w:t>29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7AD9">
        <w:rPr>
          <w:rFonts w:cs="Times New Roman"/>
          <w:color w:val="000000" w:themeColor="text1"/>
          <w:szCs w:val="24"/>
        </w:rPr>
        <w:t>CFR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7AD9">
        <w:rPr>
          <w:rFonts w:cs="Times New Roman"/>
          <w:color w:val="000000" w:themeColor="text1"/>
          <w:szCs w:val="24"/>
        </w:rPr>
        <w:t>1910.132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7AD9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7AD9">
        <w:rPr>
          <w:rFonts w:cs="Times New Roman"/>
          <w:color w:val="000000" w:themeColor="text1"/>
          <w:szCs w:val="24"/>
        </w:rPr>
        <w:t>application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7AD9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7AD9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7AD9">
        <w:rPr>
          <w:rFonts w:cs="Times New Roman"/>
          <w:color w:val="000000" w:themeColor="text1"/>
          <w:szCs w:val="24"/>
        </w:rPr>
        <w:t>PPE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7AD9">
        <w:rPr>
          <w:rFonts w:cs="Times New Roman"/>
          <w:color w:val="000000" w:themeColor="text1"/>
          <w:szCs w:val="24"/>
        </w:rPr>
        <w:t>program.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822A3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822A3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822A3">
        <w:rPr>
          <w:rFonts w:cs="Times New Roman"/>
          <w:color w:val="000000" w:themeColor="text1"/>
          <w:szCs w:val="24"/>
        </w:rPr>
        <w:t>also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822A3">
        <w:rPr>
          <w:rFonts w:cs="Times New Roman"/>
          <w:color w:val="000000" w:themeColor="text1"/>
          <w:szCs w:val="24"/>
        </w:rPr>
        <w:t>proposing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822A3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822A3">
        <w:rPr>
          <w:rFonts w:cs="Times New Roman"/>
          <w:color w:val="000000" w:themeColor="text1"/>
          <w:szCs w:val="24"/>
        </w:rPr>
        <w:t>t</w:t>
      </w:r>
      <w:r w:rsidRPr="00C317BB" w:rsidR="00105F49">
        <w:rPr>
          <w:rFonts w:cs="Times New Roman"/>
          <w:color w:val="000000" w:themeColor="text1"/>
          <w:szCs w:val="24"/>
        </w:rPr>
        <w:t>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5F49">
        <w:rPr>
          <w:rFonts w:cs="Times New Roman"/>
          <w:color w:val="000000" w:themeColor="text1"/>
          <w:szCs w:val="24"/>
        </w:rPr>
        <w:t>regulated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5F49">
        <w:rPr>
          <w:rFonts w:cs="Times New Roman"/>
          <w:color w:val="000000" w:themeColor="text1"/>
          <w:szCs w:val="24"/>
        </w:rPr>
        <w:t>entity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5F49">
        <w:rPr>
          <w:rFonts w:cs="Times New Roman"/>
          <w:color w:val="000000" w:themeColor="text1"/>
          <w:szCs w:val="24"/>
        </w:rPr>
        <w:t>select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5F49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5F49">
        <w:rPr>
          <w:rFonts w:cs="Times New Roman"/>
          <w:color w:val="000000" w:themeColor="text1"/>
          <w:szCs w:val="24"/>
        </w:rPr>
        <w:t>required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5F49">
        <w:rPr>
          <w:rFonts w:cs="Times New Roman"/>
          <w:color w:val="000000" w:themeColor="text1"/>
          <w:szCs w:val="24"/>
        </w:rPr>
        <w:t>respiratory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5F49">
        <w:rPr>
          <w:rFonts w:cs="Times New Roman"/>
          <w:color w:val="000000" w:themeColor="text1"/>
          <w:szCs w:val="24"/>
        </w:rPr>
        <w:t>protection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5F49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5F49">
        <w:rPr>
          <w:rFonts w:cs="Times New Roman"/>
          <w:color w:val="000000" w:themeColor="text1"/>
          <w:szCs w:val="24"/>
        </w:rPr>
        <w:t>described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5F49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5F49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5F49">
        <w:rPr>
          <w:rFonts w:cs="Times New Roman"/>
          <w:color w:val="000000" w:themeColor="text1"/>
          <w:szCs w:val="24"/>
        </w:rPr>
        <w:t>unit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5F49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5F49">
        <w:rPr>
          <w:rFonts w:cs="Times New Roman"/>
          <w:color w:val="000000" w:themeColor="text1"/>
          <w:szCs w:val="24"/>
        </w:rPr>
        <w:t>also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5F49">
        <w:rPr>
          <w:rFonts w:cs="Times New Roman"/>
          <w:color w:val="000000" w:themeColor="text1"/>
          <w:szCs w:val="24"/>
        </w:rPr>
        <w:t>refer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30772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30772">
        <w:rPr>
          <w:rFonts w:cs="Times New Roman"/>
          <w:color w:val="000000" w:themeColor="text1"/>
          <w:szCs w:val="24"/>
        </w:rPr>
        <w:t>OSHA</w:t>
      </w:r>
      <w:r w:rsidRPr="00C317BB" w:rsidR="00832EC1">
        <w:rPr>
          <w:rFonts w:cs="Times New Roman"/>
          <w:color w:val="000000" w:themeColor="text1"/>
          <w:szCs w:val="24"/>
        </w:rPr>
        <w:t>’s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bookmarkStart w:name="_Hlk93484375" w:id="37"/>
      <w:r w:rsidRPr="00C317BB" w:rsidR="004E7AD9">
        <w:rPr>
          <w:rFonts w:cs="Times New Roman"/>
          <w:color w:val="000000" w:themeColor="text1"/>
          <w:szCs w:val="24"/>
        </w:rPr>
        <w:t>Respiratory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7AD9">
        <w:rPr>
          <w:rFonts w:cs="Times New Roman"/>
          <w:color w:val="000000" w:themeColor="text1"/>
          <w:szCs w:val="24"/>
        </w:rPr>
        <w:t>Protection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7AD9">
        <w:rPr>
          <w:rFonts w:cs="Times New Roman"/>
          <w:color w:val="000000" w:themeColor="text1"/>
          <w:szCs w:val="24"/>
        </w:rPr>
        <w:t>standard</w:t>
      </w:r>
      <w:bookmarkEnd w:id="37"/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7AD9">
        <w:rPr>
          <w:rFonts w:cs="Times New Roman"/>
          <w:color w:val="000000" w:themeColor="text1"/>
          <w:szCs w:val="24"/>
        </w:rPr>
        <w:t>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7AD9">
        <w:rPr>
          <w:rFonts w:cs="Times New Roman"/>
          <w:color w:val="000000" w:themeColor="text1"/>
          <w:szCs w:val="24"/>
        </w:rPr>
        <w:t>29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7AD9">
        <w:rPr>
          <w:rFonts w:cs="Times New Roman"/>
          <w:color w:val="000000" w:themeColor="text1"/>
          <w:szCs w:val="24"/>
        </w:rPr>
        <w:t>CFR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7AD9">
        <w:rPr>
          <w:rFonts w:cs="Times New Roman"/>
          <w:color w:val="000000" w:themeColor="text1"/>
          <w:szCs w:val="24"/>
        </w:rPr>
        <w:t>1910.134,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7AD9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7AD9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7AD9">
        <w:rPr>
          <w:rFonts w:cs="Times New Roman"/>
          <w:color w:val="000000" w:themeColor="text1"/>
          <w:szCs w:val="24"/>
        </w:rPr>
        <w:t>respiratory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7AD9">
        <w:rPr>
          <w:rFonts w:cs="Times New Roman"/>
          <w:color w:val="000000" w:themeColor="text1"/>
          <w:szCs w:val="24"/>
        </w:rPr>
        <w:t>protection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7AD9">
        <w:rPr>
          <w:rFonts w:cs="Times New Roman"/>
          <w:color w:val="000000" w:themeColor="text1"/>
          <w:szCs w:val="24"/>
        </w:rPr>
        <w:t>provision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7AD9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7AD9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7AD9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7AD9">
        <w:rPr>
          <w:rFonts w:cs="Times New Roman"/>
          <w:color w:val="000000" w:themeColor="text1"/>
          <w:szCs w:val="24"/>
        </w:rPr>
        <w:t>standard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7AD9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7AD9">
        <w:rPr>
          <w:rFonts w:cs="Times New Roman"/>
          <w:color w:val="000000" w:themeColor="text1"/>
          <w:szCs w:val="24"/>
        </w:rPr>
        <w:t>general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7AD9">
        <w:rPr>
          <w:rFonts w:cs="Times New Roman"/>
          <w:color w:val="000000" w:themeColor="text1"/>
          <w:szCs w:val="24"/>
        </w:rPr>
        <w:t>industry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7AD9">
        <w:rPr>
          <w:rFonts w:cs="Times New Roman"/>
          <w:color w:val="000000" w:themeColor="text1"/>
          <w:szCs w:val="24"/>
        </w:rPr>
        <w:t>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7AD9">
        <w:rPr>
          <w:rFonts w:cs="Times New Roman"/>
          <w:color w:val="000000" w:themeColor="text1"/>
          <w:szCs w:val="24"/>
        </w:rPr>
        <w:t>29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7AD9">
        <w:rPr>
          <w:rFonts w:cs="Times New Roman"/>
          <w:color w:val="000000" w:themeColor="text1"/>
          <w:szCs w:val="24"/>
        </w:rPr>
        <w:t>CFR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7AD9">
        <w:rPr>
          <w:rFonts w:cs="Times New Roman"/>
          <w:color w:val="000000" w:themeColor="text1"/>
          <w:szCs w:val="24"/>
        </w:rPr>
        <w:t>1910.1001(g)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7AD9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7AD9">
        <w:rPr>
          <w:rFonts w:cs="Times New Roman"/>
          <w:color w:val="000000" w:themeColor="text1"/>
          <w:szCs w:val="24"/>
        </w:rPr>
        <w:t>directions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7AD9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7AD9">
        <w:rPr>
          <w:rFonts w:cs="Times New Roman"/>
          <w:color w:val="000000" w:themeColor="text1"/>
          <w:szCs w:val="24"/>
        </w:rPr>
        <w:t>how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7AD9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7AD9">
        <w:rPr>
          <w:rFonts w:cs="Times New Roman"/>
          <w:color w:val="000000" w:themeColor="text1"/>
          <w:szCs w:val="24"/>
        </w:rPr>
        <w:t>implement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7AD9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7AD9">
        <w:rPr>
          <w:rFonts w:cs="Times New Roman"/>
          <w:color w:val="000000" w:themeColor="text1"/>
          <w:szCs w:val="24"/>
        </w:rPr>
        <w:t>respiratory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7AD9">
        <w:rPr>
          <w:rFonts w:cs="Times New Roman"/>
          <w:color w:val="000000" w:themeColor="text1"/>
          <w:szCs w:val="24"/>
        </w:rPr>
        <w:t>protection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7AD9">
        <w:rPr>
          <w:rFonts w:cs="Times New Roman"/>
          <w:color w:val="000000" w:themeColor="text1"/>
          <w:szCs w:val="24"/>
        </w:rPr>
        <w:t>program</w:t>
      </w:r>
      <w:r w:rsidRPr="00C317BB" w:rsidR="00105F49">
        <w:rPr>
          <w:rFonts w:cs="Times New Roman"/>
          <w:color w:val="000000" w:themeColor="text1"/>
          <w:szCs w:val="24"/>
        </w:rPr>
        <w:t>.</w:t>
      </w:r>
    </w:p>
    <w:p w:rsidRPr="00C317BB" w:rsidR="006B0977" w:rsidP="00F27167" w:rsidRDefault="006B0977" w14:paraId="7A3CD0D8" w14:textId="06E12F8B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i/>
          <w:color w:val="000000" w:themeColor="text1"/>
          <w:szCs w:val="24"/>
        </w:rPr>
        <w:t>Required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>
        <w:rPr>
          <w:rFonts w:cs="Times New Roman"/>
          <w:i/>
          <w:color w:val="000000" w:themeColor="text1"/>
          <w:szCs w:val="24"/>
        </w:rPr>
        <w:t>respiratory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>
        <w:rPr>
          <w:rFonts w:cs="Times New Roman"/>
          <w:i/>
          <w:color w:val="000000" w:themeColor="text1"/>
          <w:szCs w:val="24"/>
        </w:rPr>
        <w:t>protection.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2E91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2E91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2E91">
        <w:rPr>
          <w:rFonts w:cs="Times New Roman"/>
          <w:color w:val="000000" w:themeColor="text1"/>
          <w:szCs w:val="24"/>
        </w:rPr>
        <w:t>proposing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2E91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2E91">
        <w:rPr>
          <w:rFonts w:cs="Times New Roman"/>
          <w:color w:val="000000" w:themeColor="text1"/>
          <w:szCs w:val="24"/>
        </w:rPr>
        <w:t>require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2E91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2E91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2E91">
        <w:rPr>
          <w:rFonts w:cs="Times New Roman"/>
          <w:color w:val="000000" w:themeColor="text1"/>
          <w:szCs w:val="24"/>
        </w:rPr>
        <w:t>primary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2E91">
        <w:rPr>
          <w:rFonts w:cs="Times New Roman"/>
          <w:color w:val="000000" w:themeColor="text1"/>
          <w:szCs w:val="24"/>
        </w:rPr>
        <w:t>alternative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2E91">
        <w:rPr>
          <w:rFonts w:cs="Times New Roman"/>
          <w:color w:val="000000" w:themeColor="text1"/>
          <w:szCs w:val="24"/>
        </w:rPr>
        <w:t>regulatory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2E91">
        <w:rPr>
          <w:rFonts w:cs="Times New Roman"/>
          <w:color w:val="000000" w:themeColor="text1"/>
          <w:szCs w:val="24"/>
        </w:rPr>
        <w:t>action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2E91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2E91">
        <w:rPr>
          <w:rFonts w:cs="Times New Roman"/>
          <w:color w:val="000000" w:themeColor="text1"/>
          <w:szCs w:val="24"/>
        </w:rPr>
        <w:t>following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2E91">
        <w:rPr>
          <w:rFonts w:cs="Times New Roman"/>
          <w:color w:val="000000" w:themeColor="text1"/>
          <w:szCs w:val="24"/>
        </w:rPr>
        <w:t>respiratory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2E91">
        <w:rPr>
          <w:rFonts w:cs="Times New Roman"/>
          <w:color w:val="000000" w:themeColor="text1"/>
          <w:szCs w:val="24"/>
        </w:rPr>
        <w:t>protection,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2E91">
        <w:rPr>
          <w:rFonts w:cs="Times New Roman"/>
          <w:color w:val="000000" w:themeColor="text1"/>
          <w:szCs w:val="24"/>
        </w:rPr>
        <w:t>after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2E91">
        <w:rPr>
          <w:rFonts w:cs="Times New Roman"/>
          <w:color w:val="000000" w:themeColor="text1"/>
          <w:szCs w:val="24"/>
        </w:rPr>
        <w:t>consideration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2E91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2E91">
        <w:rPr>
          <w:rFonts w:cs="Times New Roman"/>
          <w:color w:val="000000" w:themeColor="text1"/>
          <w:szCs w:val="24"/>
        </w:rPr>
        <w:t>implementation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2E91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2E91">
        <w:rPr>
          <w:rFonts w:cs="Times New Roman"/>
          <w:color w:val="000000" w:themeColor="text1"/>
          <w:szCs w:val="24"/>
        </w:rPr>
        <w:t>all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2E91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2E91">
        <w:rPr>
          <w:rFonts w:cs="Times New Roman"/>
          <w:color w:val="000000" w:themeColor="text1"/>
          <w:szCs w:val="24"/>
        </w:rPr>
        <w:t>practicable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2E91">
        <w:rPr>
          <w:rFonts w:cs="Times New Roman"/>
          <w:color w:val="000000" w:themeColor="text1"/>
          <w:szCs w:val="24"/>
        </w:rPr>
        <w:t>controls</w:t>
      </w:r>
      <w:r w:rsidRPr="00C317BB" w:rsidR="00DB20A0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B20A0">
        <w:rPr>
          <w:rFonts w:cs="Times New Roman"/>
          <w:color w:val="000000" w:themeColor="text1"/>
          <w:szCs w:val="24"/>
        </w:rPr>
        <w:t>such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B20A0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B20A0">
        <w:rPr>
          <w:rFonts w:cs="Times New Roman"/>
          <w:color w:val="000000" w:themeColor="text1"/>
          <w:szCs w:val="24"/>
        </w:rPr>
        <w:t>engineering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B20A0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B20A0">
        <w:rPr>
          <w:rFonts w:cs="Times New Roman"/>
          <w:color w:val="000000" w:themeColor="text1"/>
          <w:szCs w:val="24"/>
        </w:rPr>
        <w:t>administrative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B20A0">
        <w:rPr>
          <w:rFonts w:cs="Times New Roman"/>
          <w:color w:val="000000" w:themeColor="text1"/>
          <w:szCs w:val="24"/>
        </w:rPr>
        <w:t>controls</w:t>
      </w:r>
      <w:r w:rsidRPr="00C317BB" w:rsidR="00D92E91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2E91">
        <w:rPr>
          <w:rFonts w:cs="Times New Roman"/>
          <w:color w:val="000000" w:themeColor="text1"/>
          <w:szCs w:val="24"/>
        </w:rPr>
        <w:t>whenever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2E91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2E91">
        <w:rPr>
          <w:rFonts w:cs="Times New Roman"/>
          <w:color w:val="000000" w:themeColor="text1"/>
          <w:szCs w:val="24"/>
        </w:rPr>
        <w:t>monitoring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2E91">
        <w:rPr>
          <w:rFonts w:cs="Times New Roman"/>
          <w:color w:val="000000" w:themeColor="text1"/>
          <w:szCs w:val="24"/>
        </w:rPr>
        <w:t>reveals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2E91">
        <w:rPr>
          <w:rFonts w:cs="Times New Roman"/>
          <w:color w:val="000000" w:themeColor="text1"/>
          <w:szCs w:val="24"/>
        </w:rPr>
        <w:t>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2E91">
        <w:rPr>
          <w:rFonts w:cs="Times New Roman"/>
          <w:color w:val="000000" w:themeColor="text1"/>
          <w:szCs w:val="24"/>
        </w:rPr>
        <w:t>air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2E91">
        <w:rPr>
          <w:rFonts w:cs="Times New Roman"/>
          <w:color w:val="000000" w:themeColor="text1"/>
          <w:szCs w:val="24"/>
        </w:rPr>
        <w:t>concentration,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2E91">
        <w:rPr>
          <w:rFonts w:cs="Times New Roman"/>
          <w:color w:val="000000" w:themeColor="text1"/>
          <w:szCs w:val="24"/>
        </w:rPr>
        <w:t>measured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2E91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2E91">
        <w:rPr>
          <w:rFonts w:cs="Times New Roman"/>
          <w:color w:val="000000" w:themeColor="text1"/>
          <w:szCs w:val="24"/>
        </w:rPr>
        <w:t>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2E91">
        <w:rPr>
          <w:rFonts w:cs="Times New Roman"/>
          <w:color w:val="000000" w:themeColor="text1"/>
          <w:szCs w:val="24"/>
        </w:rPr>
        <w:t>8-hour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2E91">
        <w:rPr>
          <w:rFonts w:cs="Times New Roman"/>
          <w:color w:val="000000" w:themeColor="text1"/>
          <w:szCs w:val="24"/>
        </w:rPr>
        <w:t>TWA,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2E91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2E91">
        <w:rPr>
          <w:rFonts w:cs="Times New Roman"/>
          <w:color w:val="000000" w:themeColor="text1"/>
          <w:szCs w:val="24"/>
        </w:rPr>
        <w:t>exceeds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2E91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2E91">
        <w:rPr>
          <w:rFonts w:cs="Times New Roman"/>
          <w:color w:val="000000" w:themeColor="text1"/>
          <w:szCs w:val="24"/>
        </w:rPr>
        <w:t>ECEL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2E91">
        <w:rPr>
          <w:rFonts w:cs="Times New Roman"/>
          <w:color w:val="000000" w:themeColor="text1"/>
          <w:szCs w:val="24"/>
        </w:rPr>
        <w:t>(0.005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2E91">
        <w:rPr>
          <w:rFonts w:cs="Times New Roman"/>
          <w:color w:val="000000" w:themeColor="text1"/>
          <w:szCs w:val="24"/>
        </w:rPr>
        <w:t>f/cc).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A7066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A7066">
        <w:rPr>
          <w:rFonts w:cs="Times New Roman"/>
          <w:color w:val="000000" w:themeColor="text1"/>
          <w:szCs w:val="24"/>
        </w:rPr>
        <w:t>respirator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A7066">
        <w:rPr>
          <w:rFonts w:cs="Times New Roman"/>
          <w:color w:val="000000" w:themeColor="text1"/>
          <w:szCs w:val="24"/>
        </w:rPr>
        <w:t>affording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A7066">
        <w:rPr>
          <w:rFonts w:cs="Times New Roman"/>
          <w:color w:val="000000" w:themeColor="text1"/>
          <w:szCs w:val="24"/>
        </w:rPr>
        <w:t>higher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A7066">
        <w:rPr>
          <w:rFonts w:cs="Times New Roman"/>
          <w:color w:val="000000" w:themeColor="text1"/>
          <w:szCs w:val="24"/>
        </w:rPr>
        <w:t>levels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A7066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A7066">
        <w:rPr>
          <w:rFonts w:cs="Times New Roman"/>
          <w:color w:val="000000" w:themeColor="text1"/>
          <w:szCs w:val="24"/>
        </w:rPr>
        <w:t>protection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A7066">
        <w:rPr>
          <w:rFonts w:cs="Times New Roman"/>
          <w:color w:val="000000" w:themeColor="text1"/>
          <w:szCs w:val="24"/>
        </w:rPr>
        <w:t>than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A7066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A7066">
        <w:rPr>
          <w:rFonts w:cs="Times New Roman"/>
          <w:color w:val="000000" w:themeColor="text1"/>
          <w:szCs w:val="24"/>
        </w:rPr>
        <w:t>following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6DBB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6DBB">
        <w:rPr>
          <w:rFonts w:cs="Times New Roman"/>
          <w:color w:val="000000" w:themeColor="text1"/>
          <w:szCs w:val="24"/>
        </w:rPr>
        <w:t>required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A7066">
        <w:rPr>
          <w:rFonts w:cs="Times New Roman"/>
          <w:color w:val="000000" w:themeColor="text1"/>
          <w:szCs w:val="24"/>
        </w:rPr>
        <w:t>respirator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A7066">
        <w:rPr>
          <w:rFonts w:cs="Times New Roman"/>
          <w:color w:val="000000" w:themeColor="text1"/>
          <w:szCs w:val="24"/>
        </w:rPr>
        <w:t>may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A7066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A7066">
        <w:rPr>
          <w:rFonts w:cs="Times New Roman"/>
          <w:color w:val="000000" w:themeColor="text1"/>
          <w:szCs w:val="24"/>
        </w:rPr>
        <w:t>used</w:t>
      </w:r>
      <w:r w:rsidRPr="00C317BB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6B0977" w:rsidP="00F27167" w:rsidRDefault="00737FA0" w14:paraId="249987F0" w14:textId="2FA17EB6">
      <w:pPr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ab/>
        <w:t>•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B0977">
        <w:rPr>
          <w:rFonts w:cs="Times New Roman"/>
          <w:color w:val="000000" w:themeColor="text1"/>
          <w:szCs w:val="24"/>
        </w:rPr>
        <w:t>If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B0977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B0977">
        <w:rPr>
          <w:rFonts w:cs="Times New Roman"/>
          <w:color w:val="000000" w:themeColor="text1"/>
          <w:szCs w:val="24"/>
        </w:rPr>
        <w:t>measured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B0977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B0977">
        <w:rPr>
          <w:rFonts w:cs="Times New Roman"/>
          <w:color w:val="000000" w:themeColor="text1"/>
          <w:szCs w:val="24"/>
        </w:rPr>
        <w:t>concentration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B0977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A7066">
        <w:rPr>
          <w:rFonts w:cs="Times New Roman"/>
          <w:color w:val="000000" w:themeColor="text1"/>
          <w:szCs w:val="24"/>
        </w:rPr>
        <w:t>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A7066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B0977">
        <w:rPr>
          <w:rFonts w:cs="Times New Roman"/>
          <w:color w:val="000000" w:themeColor="text1"/>
          <w:szCs w:val="24"/>
        </w:rPr>
        <w:t>below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B0977">
        <w:rPr>
          <w:rFonts w:cs="Times New Roman"/>
          <w:color w:val="000000" w:themeColor="text1"/>
          <w:szCs w:val="24"/>
        </w:rPr>
        <w:t>0.005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B0977">
        <w:rPr>
          <w:rFonts w:cs="Times New Roman"/>
          <w:color w:val="000000" w:themeColor="text1"/>
          <w:szCs w:val="24"/>
        </w:rPr>
        <w:t>f/cc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143AE">
        <w:rPr>
          <w:rFonts w:cs="Times New Roman"/>
          <w:color w:val="000000" w:themeColor="text1"/>
          <w:szCs w:val="24"/>
        </w:rPr>
        <w:t>(ECEL)</w:t>
      </w:r>
      <w:r w:rsidRPr="00C317BB" w:rsidR="006B0977">
        <w:rPr>
          <w:rFonts w:cs="Times New Roman"/>
          <w:color w:val="000000" w:themeColor="text1"/>
          <w:szCs w:val="24"/>
        </w:rPr>
        <w:t>: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B0977">
        <w:rPr>
          <w:rFonts w:cs="Times New Roman"/>
          <w:color w:val="000000" w:themeColor="text1"/>
          <w:szCs w:val="24"/>
        </w:rPr>
        <w:t>no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B0977">
        <w:rPr>
          <w:rFonts w:cs="Times New Roman"/>
          <w:color w:val="000000" w:themeColor="text1"/>
          <w:szCs w:val="24"/>
        </w:rPr>
        <w:t>respiratory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B0977">
        <w:rPr>
          <w:rFonts w:cs="Times New Roman"/>
          <w:color w:val="000000" w:themeColor="text1"/>
          <w:szCs w:val="24"/>
        </w:rPr>
        <w:t>protection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B0977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B0977">
        <w:rPr>
          <w:rFonts w:cs="Times New Roman"/>
          <w:color w:val="000000" w:themeColor="text1"/>
          <w:szCs w:val="24"/>
        </w:rPr>
        <w:t>required.</w:t>
      </w:r>
    </w:p>
    <w:p w:rsidRPr="00C317BB" w:rsidR="00E47CCB" w:rsidP="00F27167" w:rsidRDefault="00737FA0" w14:paraId="13DE3E08" w14:textId="76D77DFD">
      <w:pPr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ab/>
        <w:t>•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650D">
        <w:rPr>
          <w:rFonts w:cs="Times New Roman"/>
          <w:color w:val="000000" w:themeColor="text1"/>
          <w:szCs w:val="24"/>
        </w:rPr>
        <w:t>If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650D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650D">
        <w:rPr>
          <w:rFonts w:cs="Times New Roman"/>
          <w:color w:val="000000" w:themeColor="text1"/>
          <w:szCs w:val="24"/>
        </w:rPr>
        <w:t>measured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650D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650D">
        <w:rPr>
          <w:rFonts w:cs="Times New Roman"/>
          <w:color w:val="000000" w:themeColor="text1"/>
          <w:szCs w:val="24"/>
        </w:rPr>
        <w:t>concentration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650D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650D">
        <w:rPr>
          <w:rFonts w:cs="Times New Roman"/>
          <w:color w:val="000000" w:themeColor="text1"/>
          <w:szCs w:val="24"/>
        </w:rPr>
        <w:t>less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650D">
        <w:rPr>
          <w:rFonts w:cs="Times New Roman"/>
          <w:color w:val="000000" w:themeColor="text1"/>
          <w:szCs w:val="24"/>
        </w:rPr>
        <w:t>than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650D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650D">
        <w:rPr>
          <w:rFonts w:cs="Times New Roman"/>
          <w:color w:val="000000" w:themeColor="text1"/>
          <w:szCs w:val="24"/>
        </w:rPr>
        <w:t>equal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650D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650D">
        <w:rPr>
          <w:rFonts w:cs="Times New Roman"/>
          <w:color w:val="000000" w:themeColor="text1"/>
          <w:szCs w:val="24"/>
        </w:rPr>
        <w:t>0.</w:t>
      </w:r>
      <w:r w:rsidRPr="00C317BB" w:rsidR="00727553">
        <w:rPr>
          <w:rFonts w:cs="Times New Roman"/>
          <w:color w:val="000000" w:themeColor="text1"/>
          <w:szCs w:val="24"/>
        </w:rPr>
        <w:t>05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27553">
        <w:rPr>
          <w:rFonts w:cs="Times New Roman"/>
          <w:color w:val="000000" w:themeColor="text1"/>
          <w:szCs w:val="24"/>
        </w:rPr>
        <w:t>f/cc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650D">
        <w:rPr>
          <w:rFonts w:cs="Times New Roman"/>
          <w:color w:val="000000" w:themeColor="text1"/>
          <w:szCs w:val="24"/>
        </w:rPr>
        <w:t>(10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650D">
        <w:rPr>
          <w:rFonts w:cs="Times New Roman"/>
          <w:color w:val="000000" w:themeColor="text1"/>
          <w:szCs w:val="24"/>
        </w:rPr>
        <w:t>times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650D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650D">
        <w:rPr>
          <w:rFonts w:cs="Times New Roman"/>
          <w:color w:val="000000" w:themeColor="text1"/>
          <w:szCs w:val="24"/>
        </w:rPr>
        <w:t>ECEL)</w:t>
      </w:r>
      <w:r w:rsidRPr="00C317BB" w:rsidR="001371B8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650D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650D">
        <w:rPr>
          <w:rFonts w:cs="Times New Roman"/>
          <w:color w:val="000000" w:themeColor="text1"/>
          <w:szCs w:val="24"/>
        </w:rPr>
        <w:t>respirator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650D">
        <w:rPr>
          <w:rFonts w:cs="Times New Roman"/>
          <w:color w:val="000000" w:themeColor="text1"/>
          <w:szCs w:val="24"/>
        </w:rPr>
        <w:t>protection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650D">
        <w:rPr>
          <w:rFonts w:cs="Times New Roman"/>
          <w:color w:val="000000" w:themeColor="text1"/>
          <w:szCs w:val="24"/>
        </w:rPr>
        <w:t>required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650D">
        <w:rPr>
          <w:rFonts w:cs="Times New Roman"/>
          <w:color w:val="000000" w:themeColor="text1"/>
          <w:szCs w:val="24"/>
        </w:rPr>
        <w:t>is: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650D">
        <w:rPr>
          <w:rFonts w:cs="Times New Roman"/>
          <w:color w:val="000000" w:themeColor="text1"/>
          <w:szCs w:val="24"/>
        </w:rPr>
        <w:t>(</w:t>
      </w:r>
      <w:proofErr w:type="spellStart"/>
      <w:r w:rsidRPr="00C317BB" w:rsidR="0078650D">
        <w:rPr>
          <w:rFonts w:cs="Times New Roman"/>
          <w:color w:val="000000" w:themeColor="text1"/>
          <w:szCs w:val="24"/>
        </w:rPr>
        <w:t>i</w:t>
      </w:r>
      <w:proofErr w:type="spellEnd"/>
      <w:r w:rsidRPr="00C317BB" w:rsidR="0078650D">
        <w:rPr>
          <w:rFonts w:cs="Times New Roman"/>
          <w:color w:val="000000" w:themeColor="text1"/>
          <w:szCs w:val="24"/>
        </w:rPr>
        <w:t>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bookmarkStart w:name="_Hlk87969041" w:id="38"/>
      <w:r w:rsidRPr="00C317BB" w:rsidR="00DC46A4">
        <w:rPr>
          <w:rFonts w:cs="Times New Roman"/>
          <w:color w:val="000000" w:themeColor="text1"/>
          <w:szCs w:val="24"/>
        </w:rPr>
        <w:t>Half-mask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C46A4">
        <w:rPr>
          <w:rFonts w:cs="Times New Roman"/>
          <w:color w:val="000000" w:themeColor="text1"/>
          <w:szCs w:val="24"/>
        </w:rPr>
        <w:t>air-purifying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C46A4">
        <w:rPr>
          <w:rFonts w:cs="Times New Roman"/>
          <w:color w:val="000000" w:themeColor="text1"/>
          <w:szCs w:val="24"/>
        </w:rPr>
        <w:t>respirator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C46A4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C46A4">
        <w:rPr>
          <w:rFonts w:cs="Times New Roman"/>
          <w:color w:val="000000" w:themeColor="text1"/>
          <w:szCs w:val="24"/>
        </w:rPr>
        <w:t>than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C46A4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C46A4">
        <w:rPr>
          <w:rFonts w:cs="Times New Roman"/>
          <w:color w:val="000000" w:themeColor="text1"/>
          <w:szCs w:val="24"/>
        </w:rPr>
        <w:t>disposable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C46A4">
        <w:rPr>
          <w:rFonts w:cs="Times New Roman"/>
          <w:color w:val="000000" w:themeColor="text1"/>
          <w:szCs w:val="24"/>
        </w:rPr>
        <w:t>respirator,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C46A4">
        <w:rPr>
          <w:rFonts w:cs="Times New Roman"/>
          <w:color w:val="000000" w:themeColor="text1"/>
          <w:szCs w:val="24"/>
        </w:rPr>
        <w:t>equipped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C46A4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C46A4">
        <w:rPr>
          <w:rFonts w:cs="Times New Roman"/>
          <w:color w:val="000000" w:themeColor="text1"/>
          <w:szCs w:val="24"/>
        </w:rPr>
        <w:t>high-efficiency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C46A4">
        <w:rPr>
          <w:rFonts w:cs="Times New Roman"/>
          <w:color w:val="000000" w:themeColor="text1"/>
          <w:szCs w:val="24"/>
        </w:rPr>
        <w:t>filters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D139A">
        <w:rPr>
          <w:rFonts w:cs="Times New Roman"/>
          <w:color w:val="000000" w:themeColor="text1"/>
          <w:szCs w:val="24"/>
        </w:rPr>
        <w:t>(i.e.,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D139A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D139A">
        <w:rPr>
          <w:rFonts w:cs="Times New Roman"/>
          <w:color w:val="000000" w:themeColor="text1"/>
          <w:szCs w:val="24"/>
        </w:rPr>
        <w:t>filter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D139A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D139A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D139A">
        <w:rPr>
          <w:rFonts w:cs="Times New Roman"/>
          <w:color w:val="000000" w:themeColor="text1"/>
          <w:szCs w:val="24"/>
        </w:rPr>
        <w:t>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D139A">
        <w:rPr>
          <w:rFonts w:cs="Times New Roman"/>
          <w:color w:val="000000" w:themeColor="text1"/>
          <w:szCs w:val="24"/>
        </w:rPr>
        <w:t>least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D139A">
        <w:rPr>
          <w:rFonts w:cs="Times New Roman"/>
          <w:color w:val="000000" w:themeColor="text1"/>
          <w:szCs w:val="24"/>
        </w:rPr>
        <w:t>99.97%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D139A">
        <w:rPr>
          <w:rFonts w:cs="Times New Roman"/>
          <w:color w:val="000000" w:themeColor="text1"/>
          <w:szCs w:val="24"/>
        </w:rPr>
        <w:t>efficient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D139A">
        <w:rPr>
          <w:rFonts w:cs="Times New Roman"/>
          <w:color w:val="000000" w:themeColor="text1"/>
          <w:szCs w:val="24"/>
        </w:rPr>
        <w:t>against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D139A">
        <w:rPr>
          <w:rFonts w:cs="Times New Roman"/>
          <w:color w:val="000000" w:themeColor="text1"/>
          <w:szCs w:val="24"/>
        </w:rPr>
        <w:t>mono-dispersed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D139A">
        <w:rPr>
          <w:rFonts w:cs="Times New Roman"/>
          <w:color w:val="000000" w:themeColor="text1"/>
          <w:szCs w:val="24"/>
        </w:rPr>
        <w:t>particles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D139A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D139A">
        <w:rPr>
          <w:rFonts w:cs="Times New Roman"/>
          <w:color w:val="000000" w:themeColor="text1"/>
          <w:szCs w:val="24"/>
        </w:rPr>
        <w:t>0.3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D139A">
        <w:rPr>
          <w:rFonts w:cs="Times New Roman"/>
          <w:color w:val="000000" w:themeColor="text1"/>
          <w:szCs w:val="24"/>
        </w:rPr>
        <w:t>µm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D139A">
        <w:rPr>
          <w:rFonts w:cs="Times New Roman"/>
          <w:color w:val="000000" w:themeColor="text1"/>
          <w:szCs w:val="24"/>
        </w:rPr>
        <w:t>(micrometers)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D139A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D139A">
        <w:rPr>
          <w:rFonts w:cs="Times New Roman"/>
          <w:color w:val="000000" w:themeColor="text1"/>
          <w:szCs w:val="24"/>
        </w:rPr>
        <w:t>diameter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D139A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D139A">
        <w:rPr>
          <w:rFonts w:cs="Times New Roman"/>
          <w:color w:val="000000" w:themeColor="text1"/>
          <w:szCs w:val="24"/>
        </w:rPr>
        <w:t>higher</w:t>
      </w:r>
      <w:r w:rsidRPr="00C317BB" w:rsidR="000F7B16">
        <w:rPr>
          <w:rFonts w:cs="Times New Roman"/>
          <w:color w:val="000000" w:themeColor="text1"/>
          <w:szCs w:val="24"/>
        </w:rPr>
        <w:t>)</w:t>
      </w:r>
      <w:bookmarkEnd w:id="38"/>
      <w:r w:rsidRPr="00C317BB" w:rsidR="0078650D">
        <w:rPr>
          <w:rFonts w:cs="Times New Roman"/>
          <w:color w:val="000000" w:themeColor="text1"/>
          <w:szCs w:val="24"/>
        </w:rPr>
        <w:t>.</w:t>
      </w:r>
    </w:p>
    <w:p w:rsidRPr="00C317BB" w:rsidR="00E47CCB" w:rsidP="00F27167" w:rsidRDefault="00737FA0" w14:paraId="523F4ECF" w14:textId="1C34938B">
      <w:pPr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ab/>
        <w:t>•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650D">
        <w:rPr>
          <w:rFonts w:cs="Times New Roman"/>
          <w:color w:val="000000" w:themeColor="text1"/>
          <w:szCs w:val="24"/>
        </w:rPr>
        <w:t>If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650D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650D">
        <w:rPr>
          <w:rFonts w:cs="Times New Roman"/>
          <w:color w:val="000000" w:themeColor="text1"/>
          <w:szCs w:val="24"/>
        </w:rPr>
        <w:t>measured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650D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650D">
        <w:rPr>
          <w:rFonts w:cs="Times New Roman"/>
          <w:color w:val="000000" w:themeColor="text1"/>
          <w:szCs w:val="24"/>
        </w:rPr>
        <w:t>concentration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650D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650D">
        <w:rPr>
          <w:rFonts w:cs="Times New Roman"/>
          <w:color w:val="000000" w:themeColor="text1"/>
          <w:szCs w:val="24"/>
        </w:rPr>
        <w:t>less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650D">
        <w:rPr>
          <w:rFonts w:cs="Times New Roman"/>
          <w:color w:val="000000" w:themeColor="text1"/>
          <w:szCs w:val="24"/>
        </w:rPr>
        <w:t>than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650D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650D">
        <w:rPr>
          <w:rFonts w:cs="Times New Roman"/>
          <w:color w:val="000000" w:themeColor="text1"/>
          <w:szCs w:val="24"/>
        </w:rPr>
        <w:t>equal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650D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40047">
        <w:rPr>
          <w:rFonts w:cs="Times New Roman"/>
          <w:color w:val="000000" w:themeColor="text1"/>
          <w:szCs w:val="24"/>
        </w:rPr>
        <w:t>0</w:t>
      </w:r>
      <w:r w:rsidRPr="00C317BB" w:rsidR="0078650D">
        <w:rPr>
          <w:rFonts w:cs="Times New Roman"/>
          <w:color w:val="000000" w:themeColor="text1"/>
          <w:szCs w:val="24"/>
        </w:rPr>
        <w:t>.</w:t>
      </w:r>
      <w:r w:rsidRPr="00C317BB" w:rsidR="00A40047">
        <w:rPr>
          <w:rFonts w:cs="Times New Roman"/>
          <w:color w:val="000000" w:themeColor="text1"/>
          <w:szCs w:val="24"/>
        </w:rPr>
        <w:t>25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40047">
        <w:rPr>
          <w:rFonts w:cs="Times New Roman"/>
          <w:color w:val="000000" w:themeColor="text1"/>
          <w:szCs w:val="24"/>
        </w:rPr>
        <w:t>f/cc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650D">
        <w:rPr>
          <w:rFonts w:cs="Times New Roman"/>
          <w:color w:val="000000" w:themeColor="text1"/>
          <w:szCs w:val="24"/>
        </w:rPr>
        <w:t>(50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650D">
        <w:rPr>
          <w:rFonts w:cs="Times New Roman"/>
          <w:color w:val="000000" w:themeColor="text1"/>
          <w:szCs w:val="24"/>
        </w:rPr>
        <w:t>times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650D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650D">
        <w:rPr>
          <w:rFonts w:cs="Times New Roman"/>
          <w:color w:val="000000" w:themeColor="text1"/>
          <w:szCs w:val="24"/>
        </w:rPr>
        <w:t>ECEL):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60F1">
        <w:rPr>
          <w:rFonts w:cs="Times New Roman"/>
          <w:color w:val="000000" w:themeColor="text1"/>
          <w:szCs w:val="24"/>
        </w:rPr>
        <w:t>Full-facepiece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60F1">
        <w:rPr>
          <w:rFonts w:cs="Times New Roman"/>
          <w:color w:val="000000" w:themeColor="text1"/>
          <w:szCs w:val="24"/>
        </w:rPr>
        <w:t>air-purifying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60F1">
        <w:rPr>
          <w:rFonts w:cs="Times New Roman"/>
          <w:color w:val="000000" w:themeColor="text1"/>
          <w:szCs w:val="24"/>
        </w:rPr>
        <w:t>respirator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60F1">
        <w:rPr>
          <w:rFonts w:cs="Times New Roman"/>
          <w:color w:val="000000" w:themeColor="text1"/>
          <w:szCs w:val="24"/>
        </w:rPr>
        <w:t>equipped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60F1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60F1">
        <w:rPr>
          <w:rFonts w:cs="Times New Roman"/>
          <w:color w:val="000000" w:themeColor="text1"/>
          <w:szCs w:val="24"/>
        </w:rPr>
        <w:t>high-efficiency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60F1">
        <w:rPr>
          <w:rFonts w:cs="Times New Roman"/>
          <w:color w:val="000000" w:themeColor="text1"/>
          <w:szCs w:val="24"/>
        </w:rPr>
        <w:t>filters.</w:t>
      </w:r>
    </w:p>
    <w:p w:rsidRPr="00C317BB" w:rsidR="0078650D" w:rsidP="00F27167" w:rsidRDefault="00737FA0" w14:paraId="65BA492F" w14:textId="540EF0C0">
      <w:pPr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ab/>
        <w:t>•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650D">
        <w:rPr>
          <w:rFonts w:cs="Times New Roman"/>
          <w:color w:val="000000" w:themeColor="text1"/>
          <w:szCs w:val="24"/>
        </w:rPr>
        <w:t>If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650D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650D">
        <w:rPr>
          <w:rFonts w:cs="Times New Roman"/>
          <w:color w:val="000000" w:themeColor="text1"/>
          <w:szCs w:val="24"/>
        </w:rPr>
        <w:t>measured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650D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650D">
        <w:rPr>
          <w:rFonts w:cs="Times New Roman"/>
          <w:color w:val="000000" w:themeColor="text1"/>
          <w:szCs w:val="24"/>
        </w:rPr>
        <w:t>concentration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650D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650D">
        <w:rPr>
          <w:rFonts w:cs="Times New Roman"/>
          <w:color w:val="000000" w:themeColor="text1"/>
          <w:szCs w:val="24"/>
        </w:rPr>
        <w:t>less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650D">
        <w:rPr>
          <w:rFonts w:cs="Times New Roman"/>
          <w:color w:val="000000" w:themeColor="text1"/>
          <w:szCs w:val="24"/>
        </w:rPr>
        <w:t>than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650D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650D">
        <w:rPr>
          <w:rFonts w:cs="Times New Roman"/>
          <w:color w:val="000000" w:themeColor="text1"/>
          <w:szCs w:val="24"/>
        </w:rPr>
        <w:t>equal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650D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9595E">
        <w:rPr>
          <w:rFonts w:cs="Times New Roman"/>
          <w:color w:val="000000" w:themeColor="text1"/>
          <w:szCs w:val="24"/>
        </w:rPr>
        <w:t>0.50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9595E">
        <w:rPr>
          <w:rFonts w:cs="Times New Roman"/>
          <w:color w:val="000000" w:themeColor="text1"/>
          <w:szCs w:val="24"/>
        </w:rPr>
        <w:t>f/cc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650D">
        <w:rPr>
          <w:rFonts w:cs="Times New Roman"/>
          <w:color w:val="000000" w:themeColor="text1"/>
          <w:szCs w:val="24"/>
        </w:rPr>
        <w:t>(</w:t>
      </w:r>
      <w:r w:rsidRPr="00C317BB" w:rsidR="006438CC">
        <w:rPr>
          <w:rFonts w:cs="Times New Roman"/>
          <w:color w:val="000000" w:themeColor="text1"/>
          <w:szCs w:val="24"/>
        </w:rPr>
        <w:t>100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650D">
        <w:rPr>
          <w:rFonts w:cs="Times New Roman"/>
          <w:color w:val="000000" w:themeColor="text1"/>
          <w:szCs w:val="24"/>
        </w:rPr>
        <w:t>times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650D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650D">
        <w:rPr>
          <w:rFonts w:cs="Times New Roman"/>
          <w:color w:val="000000" w:themeColor="text1"/>
          <w:szCs w:val="24"/>
        </w:rPr>
        <w:t>ECEL):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650D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650D">
        <w:rPr>
          <w:rFonts w:cs="Times New Roman"/>
          <w:color w:val="000000" w:themeColor="text1"/>
          <w:szCs w:val="24"/>
        </w:rPr>
        <w:t>respirator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650D">
        <w:rPr>
          <w:rFonts w:cs="Times New Roman"/>
          <w:color w:val="000000" w:themeColor="text1"/>
          <w:szCs w:val="24"/>
        </w:rPr>
        <w:t>protection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650D">
        <w:rPr>
          <w:rFonts w:cs="Times New Roman"/>
          <w:color w:val="000000" w:themeColor="text1"/>
          <w:szCs w:val="24"/>
        </w:rPr>
        <w:t>required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A0AF1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A0AF1">
        <w:rPr>
          <w:rFonts w:cs="Times New Roman"/>
          <w:color w:val="000000" w:themeColor="text1"/>
          <w:szCs w:val="24"/>
        </w:rPr>
        <w:t>any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A0AF1">
        <w:rPr>
          <w:rFonts w:cs="Times New Roman"/>
          <w:color w:val="000000" w:themeColor="text1"/>
          <w:szCs w:val="24"/>
        </w:rPr>
        <w:t>powered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A0AF1">
        <w:rPr>
          <w:rFonts w:cs="Times New Roman"/>
          <w:color w:val="000000" w:themeColor="text1"/>
          <w:szCs w:val="24"/>
        </w:rPr>
        <w:t>air-purifying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A0AF1">
        <w:rPr>
          <w:rFonts w:cs="Times New Roman"/>
          <w:color w:val="000000" w:themeColor="text1"/>
          <w:szCs w:val="24"/>
        </w:rPr>
        <w:t>respirator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A0AF1">
        <w:rPr>
          <w:rFonts w:cs="Times New Roman"/>
          <w:color w:val="000000" w:themeColor="text1"/>
          <w:szCs w:val="24"/>
        </w:rPr>
        <w:t>equipped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A0AF1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A0AF1">
        <w:rPr>
          <w:rFonts w:cs="Times New Roman"/>
          <w:color w:val="000000" w:themeColor="text1"/>
          <w:szCs w:val="24"/>
        </w:rPr>
        <w:t>high-efficiency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A0AF1">
        <w:rPr>
          <w:rFonts w:cs="Times New Roman"/>
          <w:color w:val="000000" w:themeColor="text1"/>
          <w:szCs w:val="24"/>
        </w:rPr>
        <w:t>filters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A0AF1">
        <w:rPr>
          <w:rFonts w:cs="Times New Roman"/>
          <w:color w:val="000000" w:themeColor="text1"/>
          <w:szCs w:val="24"/>
        </w:rPr>
        <w:t>(i.e.,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A0AF1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A0AF1">
        <w:rPr>
          <w:rFonts w:cs="Times New Roman"/>
          <w:color w:val="000000" w:themeColor="text1"/>
          <w:szCs w:val="24"/>
        </w:rPr>
        <w:t>filter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A0AF1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A0AF1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A0AF1">
        <w:rPr>
          <w:rFonts w:cs="Times New Roman"/>
          <w:color w:val="000000" w:themeColor="text1"/>
          <w:szCs w:val="24"/>
        </w:rPr>
        <w:t>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A0AF1">
        <w:rPr>
          <w:rFonts w:cs="Times New Roman"/>
          <w:color w:val="000000" w:themeColor="text1"/>
          <w:szCs w:val="24"/>
        </w:rPr>
        <w:t>least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A0AF1">
        <w:rPr>
          <w:rFonts w:cs="Times New Roman"/>
          <w:color w:val="000000" w:themeColor="text1"/>
          <w:szCs w:val="24"/>
        </w:rPr>
        <w:t>99.97%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A0AF1">
        <w:rPr>
          <w:rFonts w:cs="Times New Roman"/>
          <w:color w:val="000000" w:themeColor="text1"/>
          <w:szCs w:val="24"/>
        </w:rPr>
        <w:t>efficient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A0AF1">
        <w:rPr>
          <w:rFonts w:cs="Times New Roman"/>
          <w:color w:val="000000" w:themeColor="text1"/>
          <w:szCs w:val="24"/>
        </w:rPr>
        <w:t>against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A0AF1">
        <w:rPr>
          <w:rFonts w:cs="Times New Roman"/>
          <w:color w:val="000000" w:themeColor="text1"/>
          <w:szCs w:val="24"/>
        </w:rPr>
        <w:t>mono-dispersed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A0AF1">
        <w:rPr>
          <w:rFonts w:cs="Times New Roman"/>
          <w:color w:val="000000" w:themeColor="text1"/>
          <w:szCs w:val="24"/>
        </w:rPr>
        <w:t>particles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A0AF1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A0AF1">
        <w:rPr>
          <w:rFonts w:cs="Times New Roman"/>
          <w:color w:val="000000" w:themeColor="text1"/>
          <w:szCs w:val="24"/>
        </w:rPr>
        <w:t>0.3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A0AF1">
        <w:rPr>
          <w:rFonts w:cs="Times New Roman"/>
          <w:color w:val="000000" w:themeColor="text1"/>
          <w:szCs w:val="24"/>
        </w:rPr>
        <w:t>µm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A0AF1">
        <w:rPr>
          <w:rFonts w:cs="Times New Roman"/>
          <w:color w:val="000000" w:themeColor="text1"/>
          <w:szCs w:val="24"/>
        </w:rPr>
        <w:t>(micrometers)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A0AF1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A0AF1">
        <w:rPr>
          <w:rFonts w:cs="Times New Roman"/>
          <w:color w:val="000000" w:themeColor="text1"/>
          <w:szCs w:val="24"/>
        </w:rPr>
        <w:t>diameter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A0AF1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A0AF1">
        <w:rPr>
          <w:rFonts w:cs="Times New Roman"/>
          <w:color w:val="000000" w:themeColor="text1"/>
          <w:szCs w:val="24"/>
        </w:rPr>
        <w:t>higher</w:t>
      </w:r>
      <w:r w:rsidRPr="00C317BB" w:rsidR="00A9323A">
        <w:rPr>
          <w:rFonts w:cs="Times New Roman"/>
          <w:color w:val="000000" w:themeColor="text1"/>
          <w:szCs w:val="24"/>
        </w:rPr>
        <w:t>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A0AF1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A0AF1">
        <w:rPr>
          <w:rFonts w:cs="Times New Roman"/>
          <w:color w:val="000000" w:themeColor="text1"/>
          <w:szCs w:val="24"/>
        </w:rPr>
        <w:t>any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A0AF1">
        <w:rPr>
          <w:rFonts w:cs="Times New Roman"/>
          <w:color w:val="000000" w:themeColor="text1"/>
          <w:szCs w:val="24"/>
        </w:rPr>
        <w:t>supplied-air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A0AF1">
        <w:rPr>
          <w:rFonts w:cs="Times New Roman"/>
          <w:color w:val="000000" w:themeColor="text1"/>
          <w:szCs w:val="24"/>
        </w:rPr>
        <w:t>respirator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A0AF1">
        <w:rPr>
          <w:rFonts w:cs="Times New Roman"/>
          <w:color w:val="000000" w:themeColor="text1"/>
          <w:szCs w:val="24"/>
        </w:rPr>
        <w:t>operated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A0AF1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A0AF1">
        <w:rPr>
          <w:rFonts w:cs="Times New Roman"/>
          <w:color w:val="000000" w:themeColor="text1"/>
          <w:szCs w:val="24"/>
        </w:rPr>
        <w:t>continuous-flow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A0AF1">
        <w:rPr>
          <w:rFonts w:cs="Times New Roman"/>
          <w:color w:val="000000" w:themeColor="text1"/>
          <w:szCs w:val="24"/>
        </w:rPr>
        <w:t>mode</w:t>
      </w:r>
      <w:r w:rsidRPr="00C317BB" w:rsidR="0079011D">
        <w:rPr>
          <w:rFonts w:cs="Times New Roman"/>
          <w:color w:val="000000" w:themeColor="text1"/>
          <w:szCs w:val="24"/>
        </w:rPr>
        <w:t>.</w:t>
      </w:r>
    </w:p>
    <w:p w:rsidRPr="00C317BB" w:rsidR="001D2BA8" w:rsidP="00F27167" w:rsidRDefault="00737FA0" w14:paraId="37CB83AD" w14:textId="7C87C78D">
      <w:pPr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ab/>
        <w:t>•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2BA8">
        <w:rPr>
          <w:rFonts w:cs="Times New Roman"/>
          <w:color w:val="000000" w:themeColor="text1"/>
          <w:szCs w:val="24"/>
        </w:rPr>
        <w:t>If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2BA8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2BA8">
        <w:rPr>
          <w:rFonts w:cs="Times New Roman"/>
          <w:color w:val="000000" w:themeColor="text1"/>
          <w:szCs w:val="24"/>
        </w:rPr>
        <w:t>measured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2BA8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2BA8">
        <w:rPr>
          <w:rFonts w:cs="Times New Roman"/>
          <w:color w:val="000000" w:themeColor="text1"/>
          <w:szCs w:val="24"/>
        </w:rPr>
        <w:t>concentration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2BA8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2BA8">
        <w:rPr>
          <w:rFonts w:cs="Times New Roman"/>
          <w:color w:val="000000" w:themeColor="text1"/>
          <w:szCs w:val="24"/>
        </w:rPr>
        <w:t>less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2BA8">
        <w:rPr>
          <w:rFonts w:cs="Times New Roman"/>
          <w:color w:val="000000" w:themeColor="text1"/>
          <w:szCs w:val="24"/>
        </w:rPr>
        <w:t>than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2BA8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2BA8">
        <w:rPr>
          <w:rFonts w:cs="Times New Roman"/>
          <w:color w:val="000000" w:themeColor="text1"/>
          <w:szCs w:val="24"/>
        </w:rPr>
        <w:t>equal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2BA8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2BA8">
        <w:rPr>
          <w:rFonts w:cs="Times New Roman"/>
          <w:color w:val="000000" w:themeColor="text1"/>
          <w:szCs w:val="24"/>
        </w:rPr>
        <w:t>5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2BA8">
        <w:rPr>
          <w:rFonts w:cs="Times New Roman"/>
          <w:color w:val="000000" w:themeColor="text1"/>
          <w:szCs w:val="24"/>
        </w:rPr>
        <w:t>f/cc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2BA8">
        <w:rPr>
          <w:rFonts w:cs="Times New Roman"/>
          <w:color w:val="000000" w:themeColor="text1"/>
          <w:szCs w:val="24"/>
        </w:rPr>
        <w:t>(1,000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2BA8">
        <w:rPr>
          <w:rFonts w:cs="Times New Roman"/>
          <w:color w:val="000000" w:themeColor="text1"/>
          <w:szCs w:val="24"/>
        </w:rPr>
        <w:t>times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2BA8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2BA8">
        <w:rPr>
          <w:rFonts w:cs="Times New Roman"/>
          <w:color w:val="000000" w:themeColor="text1"/>
          <w:szCs w:val="24"/>
        </w:rPr>
        <w:t>ECEL):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2BA8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2BA8">
        <w:rPr>
          <w:rFonts w:cs="Times New Roman"/>
          <w:color w:val="000000" w:themeColor="text1"/>
          <w:szCs w:val="24"/>
        </w:rPr>
        <w:t>respirator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2BA8">
        <w:rPr>
          <w:rFonts w:cs="Times New Roman"/>
          <w:color w:val="000000" w:themeColor="text1"/>
          <w:szCs w:val="24"/>
        </w:rPr>
        <w:t>protection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2BA8">
        <w:rPr>
          <w:rFonts w:cs="Times New Roman"/>
          <w:color w:val="000000" w:themeColor="text1"/>
          <w:szCs w:val="24"/>
        </w:rPr>
        <w:t>required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2BA8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2BA8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2BA8">
        <w:rPr>
          <w:rFonts w:cs="Times New Roman"/>
          <w:color w:val="000000" w:themeColor="text1"/>
          <w:szCs w:val="24"/>
        </w:rPr>
        <w:t>full-facepiece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2BA8">
        <w:rPr>
          <w:rFonts w:cs="Times New Roman"/>
          <w:color w:val="000000" w:themeColor="text1"/>
          <w:szCs w:val="24"/>
        </w:rPr>
        <w:t>supplied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2BA8">
        <w:rPr>
          <w:rFonts w:cs="Times New Roman"/>
          <w:color w:val="000000" w:themeColor="text1"/>
          <w:szCs w:val="24"/>
        </w:rPr>
        <w:t>air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2BA8">
        <w:rPr>
          <w:rFonts w:cs="Times New Roman"/>
          <w:color w:val="000000" w:themeColor="text1"/>
          <w:szCs w:val="24"/>
        </w:rPr>
        <w:t>respirator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2BA8">
        <w:rPr>
          <w:rFonts w:cs="Times New Roman"/>
          <w:color w:val="000000" w:themeColor="text1"/>
          <w:szCs w:val="24"/>
        </w:rPr>
        <w:t>operated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2BA8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2BA8">
        <w:rPr>
          <w:rFonts w:cs="Times New Roman"/>
          <w:color w:val="000000" w:themeColor="text1"/>
          <w:szCs w:val="24"/>
        </w:rPr>
        <w:t>pressure-demand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2BA8">
        <w:rPr>
          <w:rFonts w:cs="Times New Roman"/>
          <w:color w:val="000000" w:themeColor="text1"/>
          <w:szCs w:val="24"/>
        </w:rPr>
        <w:t>mode.</w:t>
      </w:r>
    </w:p>
    <w:p w:rsidRPr="00C317BB" w:rsidR="0078650D" w:rsidP="00F27167" w:rsidRDefault="00737FA0" w14:paraId="2497ADE0" w14:textId="14BB781D">
      <w:pPr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ab/>
        <w:t>•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650D">
        <w:rPr>
          <w:rFonts w:cs="Times New Roman"/>
          <w:color w:val="000000" w:themeColor="text1"/>
          <w:szCs w:val="24"/>
        </w:rPr>
        <w:t>If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650D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650D">
        <w:rPr>
          <w:rFonts w:cs="Times New Roman"/>
          <w:color w:val="000000" w:themeColor="text1"/>
          <w:szCs w:val="24"/>
        </w:rPr>
        <w:t>measured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650D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650D">
        <w:rPr>
          <w:rFonts w:cs="Times New Roman"/>
          <w:color w:val="000000" w:themeColor="text1"/>
          <w:szCs w:val="24"/>
        </w:rPr>
        <w:t>concentration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650D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650D">
        <w:rPr>
          <w:rFonts w:cs="Times New Roman"/>
          <w:color w:val="000000" w:themeColor="text1"/>
          <w:szCs w:val="24"/>
        </w:rPr>
        <w:t>more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650D">
        <w:rPr>
          <w:rFonts w:cs="Times New Roman"/>
          <w:color w:val="000000" w:themeColor="text1"/>
          <w:szCs w:val="24"/>
        </w:rPr>
        <w:t>than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753A3">
        <w:rPr>
          <w:rFonts w:cs="Times New Roman"/>
          <w:color w:val="000000" w:themeColor="text1"/>
          <w:szCs w:val="24"/>
        </w:rPr>
        <w:t>5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753A3">
        <w:rPr>
          <w:rFonts w:cs="Times New Roman"/>
          <w:color w:val="000000" w:themeColor="text1"/>
          <w:szCs w:val="24"/>
        </w:rPr>
        <w:t>f/cc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650D">
        <w:rPr>
          <w:rFonts w:cs="Times New Roman"/>
          <w:color w:val="000000" w:themeColor="text1"/>
          <w:szCs w:val="24"/>
        </w:rPr>
        <w:t>(1,000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650D">
        <w:rPr>
          <w:rFonts w:cs="Times New Roman"/>
          <w:color w:val="000000" w:themeColor="text1"/>
          <w:szCs w:val="24"/>
        </w:rPr>
        <w:t>times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650D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650D">
        <w:rPr>
          <w:rFonts w:cs="Times New Roman"/>
          <w:color w:val="000000" w:themeColor="text1"/>
          <w:szCs w:val="24"/>
        </w:rPr>
        <w:t>ECEL):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650D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650D">
        <w:rPr>
          <w:rFonts w:cs="Times New Roman"/>
          <w:color w:val="000000" w:themeColor="text1"/>
          <w:szCs w:val="24"/>
        </w:rPr>
        <w:t>respirator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650D">
        <w:rPr>
          <w:rFonts w:cs="Times New Roman"/>
          <w:color w:val="000000" w:themeColor="text1"/>
          <w:szCs w:val="24"/>
        </w:rPr>
        <w:t>protection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650D">
        <w:rPr>
          <w:rFonts w:cs="Times New Roman"/>
          <w:color w:val="000000" w:themeColor="text1"/>
          <w:szCs w:val="24"/>
        </w:rPr>
        <w:t>required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650D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46B0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46B0">
        <w:rPr>
          <w:rFonts w:cs="Times New Roman"/>
          <w:color w:val="000000" w:themeColor="text1"/>
          <w:szCs w:val="24"/>
        </w:rPr>
        <w:t>full-facepiece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46B0">
        <w:rPr>
          <w:rFonts w:cs="Times New Roman"/>
          <w:color w:val="000000" w:themeColor="text1"/>
          <w:szCs w:val="24"/>
        </w:rPr>
        <w:t>supplied-air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46B0">
        <w:rPr>
          <w:rFonts w:cs="Times New Roman"/>
          <w:color w:val="000000" w:themeColor="text1"/>
          <w:szCs w:val="24"/>
        </w:rPr>
        <w:t>respirator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46B0">
        <w:rPr>
          <w:rFonts w:cs="Times New Roman"/>
          <w:color w:val="000000" w:themeColor="text1"/>
          <w:szCs w:val="24"/>
        </w:rPr>
        <w:t>operated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46B0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46B0">
        <w:rPr>
          <w:rFonts w:cs="Times New Roman"/>
          <w:color w:val="000000" w:themeColor="text1"/>
          <w:szCs w:val="24"/>
        </w:rPr>
        <w:t>pressure-demand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46B0">
        <w:rPr>
          <w:rFonts w:cs="Times New Roman"/>
          <w:color w:val="000000" w:themeColor="text1"/>
          <w:szCs w:val="24"/>
        </w:rPr>
        <w:t>mode,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46B0">
        <w:rPr>
          <w:rFonts w:cs="Times New Roman"/>
          <w:color w:val="000000" w:themeColor="text1"/>
          <w:szCs w:val="24"/>
        </w:rPr>
        <w:t>equipped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46B0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46B0">
        <w:rPr>
          <w:rFonts w:cs="Times New Roman"/>
          <w:color w:val="000000" w:themeColor="text1"/>
          <w:szCs w:val="24"/>
        </w:rPr>
        <w:t>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46B0">
        <w:rPr>
          <w:rFonts w:cs="Times New Roman"/>
          <w:color w:val="000000" w:themeColor="text1"/>
          <w:szCs w:val="24"/>
        </w:rPr>
        <w:t>auxiliary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46B0">
        <w:rPr>
          <w:rFonts w:cs="Times New Roman"/>
          <w:color w:val="000000" w:themeColor="text1"/>
          <w:szCs w:val="24"/>
        </w:rPr>
        <w:t>positive-pressure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46B0">
        <w:rPr>
          <w:rFonts w:cs="Times New Roman"/>
          <w:color w:val="000000" w:themeColor="text1"/>
          <w:szCs w:val="24"/>
        </w:rPr>
        <w:t>self-contained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46B0">
        <w:rPr>
          <w:rFonts w:cs="Times New Roman"/>
          <w:color w:val="000000" w:themeColor="text1"/>
          <w:szCs w:val="24"/>
        </w:rPr>
        <w:t>breathing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46B0">
        <w:rPr>
          <w:rFonts w:cs="Times New Roman"/>
          <w:color w:val="000000" w:themeColor="text1"/>
          <w:szCs w:val="24"/>
        </w:rPr>
        <w:t>apparatus.</w:t>
      </w:r>
    </w:p>
    <w:p w:rsidRPr="00C317BB" w:rsidR="00332567" w:rsidP="00F27167" w:rsidRDefault="00332567" w14:paraId="11A8F122" w14:textId="53C26164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i/>
          <w:color w:val="000000" w:themeColor="text1"/>
          <w:szCs w:val="24"/>
        </w:rPr>
        <w:t>Worker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>
        <w:rPr>
          <w:rFonts w:cs="Times New Roman"/>
          <w:i/>
          <w:color w:val="000000" w:themeColor="text1"/>
          <w:szCs w:val="24"/>
        </w:rPr>
        <w:t>participation</w:t>
      </w:r>
      <w:r w:rsidRPr="00C317BB">
        <w:rPr>
          <w:rFonts w:cs="Times New Roman"/>
          <w:color w:val="000000" w:themeColor="text1"/>
          <w:szCs w:val="24"/>
        </w:rPr>
        <w:t>: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encourages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regulated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entities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consult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workers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conduct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development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control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plans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PPE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program.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proposing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require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entities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provide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workers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access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control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plans,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monitoring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records,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PPE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program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implementation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(such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fit-testing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requirements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described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29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CFR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1910.134)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documentation.</w:t>
      </w:r>
    </w:p>
    <w:p w:rsidRPr="00C317BB" w:rsidR="00DD18CD" w:rsidP="00F27167" w:rsidRDefault="000344E9" w14:paraId="6E9899C3" w14:textId="753CF607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i/>
          <w:color w:val="000000" w:themeColor="text1"/>
          <w:szCs w:val="24"/>
        </w:rPr>
        <w:t>Notification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>
        <w:rPr>
          <w:rFonts w:cs="Times New Roman"/>
          <w:i/>
          <w:color w:val="000000" w:themeColor="text1"/>
          <w:szCs w:val="24"/>
        </w:rPr>
        <w:t>of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>
        <w:rPr>
          <w:rFonts w:cs="Times New Roman"/>
          <w:i/>
          <w:color w:val="000000" w:themeColor="text1"/>
          <w:szCs w:val="24"/>
        </w:rPr>
        <w:t>monitoring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>
        <w:rPr>
          <w:rFonts w:cs="Times New Roman"/>
          <w:i/>
          <w:color w:val="000000" w:themeColor="text1"/>
          <w:szCs w:val="24"/>
        </w:rPr>
        <w:t>results.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203A">
        <w:rPr>
          <w:rFonts w:cs="Times New Roman"/>
          <w:color w:val="000000" w:themeColor="text1"/>
          <w:szCs w:val="24"/>
        </w:rPr>
        <w:t>part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203A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203A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primary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alternative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regulatory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action,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proposing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require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within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15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working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days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after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receipt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results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51B4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51B4">
        <w:rPr>
          <w:rFonts w:cs="Times New Roman"/>
          <w:color w:val="000000" w:themeColor="text1"/>
          <w:szCs w:val="24"/>
        </w:rPr>
        <w:t>any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51B4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51B4">
        <w:rPr>
          <w:rFonts w:cs="Times New Roman"/>
          <w:color w:val="000000" w:themeColor="text1"/>
          <w:szCs w:val="24"/>
        </w:rPr>
        <w:t>monitoring,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51B4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51B4">
        <w:rPr>
          <w:rFonts w:cs="Times New Roman"/>
          <w:color w:val="000000" w:themeColor="text1"/>
          <w:szCs w:val="24"/>
        </w:rPr>
        <w:t>regulated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51B4">
        <w:rPr>
          <w:rFonts w:cs="Times New Roman"/>
          <w:color w:val="000000" w:themeColor="text1"/>
          <w:szCs w:val="24"/>
        </w:rPr>
        <w:t>entity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51B4">
        <w:rPr>
          <w:rFonts w:cs="Times New Roman"/>
          <w:color w:val="000000" w:themeColor="text1"/>
          <w:szCs w:val="24"/>
        </w:rPr>
        <w:t>must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51B4">
        <w:rPr>
          <w:rFonts w:cs="Times New Roman"/>
          <w:color w:val="000000" w:themeColor="text1"/>
          <w:szCs w:val="24"/>
        </w:rPr>
        <w:t>notify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51B4">
        <w:rPr>
          <w:rFonts w:cs="Times New Roman"/>
          <w:color w:val="000000" w:themeColor="text1"/>
          <w:szCs w:val="24"/>
        </w:rPr>
        <w:t>each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51B4">
        <w:rPr>
          <w:rFonts w:cs="Times New Roman"/>
          <w:color w:val="000000" w:themeColor="text1"/>
          <w:szCs w:val="24"/>
        </w:rPr>
        <w:t>person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51B4">
        <w:rPr>
          <w:rFonts w:cs="Times New Roman"/>
          <w:color w:val="000000" w:themeColor="text1"/>
          <w:szCs w:val="24"/>
        </w:rPr>
        <w:t>whose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51B4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51B4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51B4">
        <w:rPr>
          <w:rFonts w:cs="Times New Roman"/>
          <w:color w:val="000000" w:themeColor="text1"/>
          <w:szCs w:val="24"/>
        </w:rPr>
        <w:t>represented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51B4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51B4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51B4">
        <w:rPr>
          <w:rFonts w:cs="Times New Roman"/>
          <w:color w:val="000000" w:themeColor="text1"/>
          <w:szCs w:val="24"/>
        </w:rPr>
        <w:t>monitoring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51B4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51B4">
        <w:rPr>
          <w:rFonts w:cs="Times New Roman"/>
          <w:color w:val="000000" w:themeColor="text1"/>
          <w:szCs w:val="24"/>
        </w:rPr>
        <w:t>writing,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51B4">
        <w:rPr>
          <w:rFonts w:cs="Times New Roman"/>
          <w:color w:val="000000" w:themeColor="text1"/>
          <w:szCs w:val="24"/>
        </w:rPr>
        <w:t>either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51B4">
        <w:rPr>
          <w:rFonts w:cs="Times New Roman"/>
          <w:color w:val="000000" w:themeColor="text1"/>
          <w:szCs w:val="24"/>
        </w:rPr>
        <w:t>individually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51B4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51B4">
        <w:rPr>
          <w:rFonts w:cs="Times New Roman"/>
          <w:color w:val="000000" w:themeColor="text1"/>
          <w:szCs w:val="24"/>
        </w:rPr>
        <w:t>each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51B4">
        <w:rPr>
          <w:rFonts w:cs="Times New Roman"/>
          <w:color w:val="000000" w:themeColor="text1"/>
          <w:szCs w:val="24"/>
        </w:rPr>
        <w:t>person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51B4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51B4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51B4">
        <w:rPr>
          <w:rFonts w:cs="Times New Roman"/>
          <w:color w:val="000000" w:themeColor="text1"/>
          <w:szCs w:val="24"/>
        </w:rPr>
        <w:t>posting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51B4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51B4">
        <w:rPr>
          <w:rFonts w:cs="Times New Roman"/>
          <w:color w:val="000000" w:themeColor="text1"/>
          <w:szCs w:val="24"/>
        </w:rPr>
        <w:t>information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51B4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51B4">
        <w:rPr>
          <w:rFonts w:cs="Times New Roman"/>
          <w:color w:val="000000" w:themeColor="text1"/>
          <w:szCs w:val="24"/>
        </w:rPr>
        <w:t>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51B4">
        <w:rPr>
          <w:rFonts w:cs="Times New Roman"/>
          <w:color w:val="000000" w:themeColor="text1"/>
          <w:szCs w:val="24"/>
        </w:rPr>
        <w:t>appropriate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51B4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51B4">
        <w:rPr>
          <w:rFonts w:cs="Times New Roman"/>
          <w:color w:val="000000" w:themeColor="text1"/>
          <w:szCs w:val="24"/>
        </w:rPr>
        <w:t>accessible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51B4">
        <w:rPr>
          <w:rFonts w:cs="Times New Roman"/>
          <w:color w:val="000000" w:themeColor="text1"/>
          <w:szCs w:val="24"/>
        </w:rPr>
        <w:t>location.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51B4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51B4">
        <w:rPr>
          <w:rFonts w:cs="Times New Roman"/>
          <w:color w:val="000000" w:themeColor="text1"/>
          <w:szCs w:val="24"/>
        </w:rPr>
        <w:t>notice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51B4">
        <w:rPr>
          <w:rFonts w:cs="Times New Roman"/>
          <w:color w:val="000000" w:themeColor="text1"/>
          <w:szCs w:val="24"/>
        </w:rPr>
        <w:t>must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51B4">
        <w:rPr>
          <w:rFonts w:cs="Times New Roman"/>
          <w:color w:val="000000" w:themeColor="text1"/>
          <w:szCs w:val="24"/>
        </w:rPr>
        <w:t>identify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51B4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51B4">
        <w:rPr>
          <w:rFonts w:cs="Times New Roman"/>
          <w:color w:val="000000" w:themeColor="text1"/>
          <w:szCs w:val="24"/>
        </w:rPr>
        <w:t>ECEL,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51B4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51B4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51B4">
        <w:rPr>
          <w:rFonts w:cs="Times New Roman"/>
          <w:color w:val="000000" w:themeColor="text1"/>
          <w:szCs w:val="24"/>
        </w:rPr>
        <w:t>monitoring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51B4">
        <w:rPr>
          <w:rFonts w:cs="Times New Roman"/>
          <w:color w:val="000000" w:themeColor="text1"/>
          <w:szCs w:val="24"/>
        </w:rPr>
        <w:t>results,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51B4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51B4">
        <w:rPr>
          <w:rFonts w:cs="Times New Roman"/>
          <w:color w:val="000000" w:themeColor="text1"/>
          <w:szCs w:val="24"/>
        </w:rPr>
        <w:t>any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51B4">
        <w:rPr>
          <w:rFonts w:cs="Times New Roman"/>
          <w:color w:val="000000" w:themeColor="text1"/>
          <w:szCs w:val="24"/>
        </w:rPr>
        <w:t>respiratory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51B4">
        <w:rPr>
          <w:rFonts w:cs="Times New Roman"/>
          <w:color w:val="000000" w:themeColor="text1"/>
          <w:szCs w:val="24"/>
        </w:rPr>
        <w:t>protection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51B4">
        <w:rPr>
          <w:rFonts w:cs="Times New Roman"/>
          <w:color w:val="000000" w:themeColor="text1"/>
          <w:szCs w:val="24"/>
        </w:rPr>
        <w:t>required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51B4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51B4">
        <w:rPr>
          <w:rFonts w:cs="Times New Roman"/>
          <w:color w:val="000000" w:themeColor="text1"/>
          <w:szCs w:val="24"/>
        </w:rPr>
        <w:t>response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51B4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51B4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51B4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51B4">
        <w:rPr>
          <w:rFonts w:cs="Times New Roman"/>
          <w:color w:val="000000" w:themeColor="text1"/>
          <w:szCs w:val="24"/>
        </w:rPr>
        <w:t>monitoring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51B4">
        <w:rPr>
          <w:rFonts w:cs="Times New Roman"/>
          <w:color w:val="000000" w:themeColor="text1"/>
          <w:szCs w:val="24"/>
        </w:rPr>
        <w:t>results.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51B4">
        <w:rPr>
          <w:rFonts w:cs="Times New Roman"/>
          <w:color w:val="000000" w:themeColor="text1"/>
          <w:szCs w:val="24"/>
        </w:rPr>
        <w:t>Also,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51B4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51B4">
        <w:rPr>
          <w:rFonts w:cs="Times New Roman"/>
          <w:color w:val="000000" w:themeColor="text1"/>
          <w:szCs w:val="24"/>
        </w:rPr>
        <w:t>notice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51B4">
        <w:rPr>
          <w:rFonts w:cs="Times New Roman"/>
          <w:color w:val="000000" w:themeColor="text1"/>
          <w:szCs w:val="24"/>
        </w:rPr>
        <w:t>must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51B4">
        <w:rPr>
          <w:rFonts w:cs="Times New Roman"/>
          <w:color w:val="000000" w:themeColor="text1"/>
          <w:szCs w:val="24"/>
        </w:rPr>
        <w:t>include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51B4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51B4">
        <w:rPr>
          <w:rFonts w:cs="Times New Roman"/>
          <w:color w:val="000000" w:themeColor="text1"/>
          <w:szCs w:val="24"/>
        </w:rPr>
        <w:t>description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51B4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51B4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51B4">
        <w:rPr>
          <w:rFonts w:cs="Times New Roman"/>
          <w:color w:val="000000" w:themeColor="text1"/>
          <w:szCs w:val="24"/>
        </w:rPr>
        <w:t>actions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51B4">
        <w:rPr>
          <w:rFonts w:cs="Times New Roman"/>
          <w:color w:val="000000" w:themeColor="text1"/>
          <w:szCs w:val="24"/>
        </w:rPr>
        <w:t>taken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51B4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51B4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51B4">
        <w:rPr>
          <w:rFonts w:cs="Times New Roman"/>
          <w:color w:val="000000" w:themeColor="text1"/>
          <w:szCs w:val="24"/>
        </w:rPr>
        <w:t>regulated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51B4">
        <w:rPr>
          <w:rFonts w:cs="Times New Roman"/>
          <w:color w:val="000000" w:themeColor="text1"/>
          <w:szCs w:val="24"/>
        </w:rPr>
        <w:t>entity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51B4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51B4">
        <w:rPr>
          <w:rFonts w:cs="Times New Roman"/>
          <w:color w:val="000000" w:themeColor="text1"/>
          <w:szCs w:val="24"/>
        </w:rPr>
        <w:t>reduce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51B4">
        <w:rPr>
          <w:rFonts w:cs="Times New Roman"/>
          <w:color w:val="000000" w:themeColor="text1"/>
          <w:szCs w:val="24"/>
        </w:rPr>
        <w:t>inhalation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51B4">
        <w:rPr>
          <w:rFonts w:cs="Times New Roman"/>
          <w:color w:val="000000" w:themeColor="text1"/>
          <w:szCs w:val="24"/>
        </w:rPr>
        <w:t>exposures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51B4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51B4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51B4">
        <w:rPr>
          <w:rFonts w:cs="Times New Roman"/>
          <w:color w:val="000000" w:themeColor="text1"/>
          <w:szCs w:val="24"/>
        </w:rPr>
        <w:t>below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51B4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51B4">
        <w:rPr>
          <w:rFonts w:cs="Times New Roman"/>
          <w:color w:val="000000" w:themeColor="text1"/>
          <w:szCs w:val="24"/>
        </w:rPr>
        <w:t>ECEL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51B4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51B4">
        <w:rPr>
          <w:rFonts w:cs="Times New Roman"/>
          <w:color w:val="000000" w:themeColor="text1"/>
          <w:szCs w:val="24"/>
        </w:rPr>
        <w:t>refer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51B4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51B4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51B4">
        <w:rPr>
          <w:rFonts w:cs="Times New Roman"/>
          <w:color w:val="000000" w:themeColor="text1"/>
          <w:szCs w:val="24"/>
        </w:rPr>
        <w:t>document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51B4">
        <w:rPr>
          <w:rFonts w:cs="Times New Roman"/>
          <w:color w:val="000000" w:themeColor="text1"/>
          <w:szCs w:val="24"/>
        </w:rPr>
        <w:t>available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51B4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51B4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51B4">
        <w:rPr>
          <w:rFonts w:cs="Times New Roman"/>
          <w:color w:val="000000" w:themeColor="text1"/>
          <w:szCs w:val="24"/>
        </w:rPr>
        <w:t>person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51B4">
        <w:rPr>
          <w:rFonts w:cs="Times New Roman"/>
          <w:color w:val="000000" w:themeColor="text1"/>
          <w:szCs w:val="24"/>
        </w:rPr>
        <w:t>which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51B4">
        <w:rPr>
          <w:rFonts w:cs="Times New Roman"/>
          <w:color w:val="000000" w:themeColor="text1"/>
          <w:szCs w:val="24"/>
        </w:rPr>
        <w:t>states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51B4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51B4">
        <w:rPr>
          <w:rFonts w:cs="Times New Roman"/>
          <w:color w:val="000000" w:themeColor="text1"/>
          <w:szCs w:val="24"/>
        </w:rPr>
        <w:t>actions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51B4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51B4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51B4">
        <w:rPr>
          <w:rFonts w:cs="Times New Roman"/>
          <w:color w:val="000000" w:themeColor="text1"/>
          <w:szCs w:val="24"/>
        </w:rPr>
        <w:t>taken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51B4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51B4">
        <w:rPr>
          <w:rFonts w:cs="Times New Roman"/>
          <w:color w:val="000000" w:themeColor="text1"/>
          <w:szCs w:val="24"/>
        </w:rPr>
        <w:t>reduce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51B4">
        <w:rPr>
          <w:rFonts w:cs="Times New Roman"/>
          <w:color w:val="000000" w:themeColor="text1"/>
          <w:szCs w:val="24"/>
        </w:rPr>
        <w:t>exposures.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41E3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41E3">
        <w:rPr>
          <w:rFonts w:cs="Times New Roman"/>
          <w:color w:val="000000" w:themeColor="text1"/>
          <w:szCs w:val="24"/>
        </w:rPr>
        <w:t>addition,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41E3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41E3">
        <w:rPr>
          <w:rFonts w:cs="Times New Roman"/>
          <w:color w:val="000000" w:themeColor="text1"/>
          <w:szCs w:val="24"/>
        </w:rPr>
        <w:t>notice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41E3">
        <w:rPr>
          <w:rFonts w:cs="Times New Roman"/>
          <w:color w:val="000000" w:themeColor="text1"/>
          <w:szCs w:val="24"/>
        </w:rPr>
        <w:t>should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41E3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41E3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41E3">
        <w:rPr>
          <w:rFonts w:cs="Times New Roman"/>
          <w:color w:val="000000" w:themeColor="text1"/>
          <w:szCs w:val="24"/>
        </w:rPr>
        <w:t>plain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41E3">
        <w:rPr>
          <w:rFonts w:cs="Times New Roman"/>
          <w:color w:val="000000" w:themeColor="text1"/>
          <w:szCs w:val="24"/>
        </w:rPr>
        <w:t>English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41E3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41E3">
        <w:rPr>
          <w:rFonts w:cs="Times New Roman"/>
          <w:color w:val="000000" w:themeColor="text1"/>
          <w:szCs w:val="24"/>
        </w:rPr>
        <w:t>understandable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41E3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41E3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41E3">
        <w:rPr>
          <w:rFonts w:cs="Times New Roman"/>
          <w:color w:val="000000" w:themeColor="text1"/>
          <w:szCs w:val="24"/>
        </w:rPr>
        <w:t>average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41E3">
        <w:rPr>
          <w:rFonts w:cs="Times New Roman"/>
          <w:color w:val="000000" w:themeColor="text1"/>
          <w:szCs w:val="24"/>
        </w:rPr>
        <w:t>worker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41E3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41E3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41E3">
        <w:rPr>
          <w:rFonts w:cs="Times New Roman"/>
          <w:color w:val="000000" w:themeColor="text1"/>
          <w:szCs w:val="24"/>
        </w:rPr>
        <w:t>exposed;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41E3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41E3">
        <w:rPr>
          <w:rFonts w:cs="Times New Roman"/>
          <w:color w:val="000000" w:themeColor="text1"/>
          <w:szCs w:val="24"/>
        </w:rPr>
        <w:t>example: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41E3">
        <w:rPr>
          <w:rFonts w:cs="Times New Roman"/>
          <w:color w:val="000000" w:themeColor="text1"/>
          <w:szCs w:val="24"/>
        </w:rPr>
        <w:t>“</w:t>
      </w:r>
      <w:r w:rsidRPr="00C317BB" w:rsidR="0050020F">
        <w:rPr>
          <w:rFonts w:cs="Times New Roman"/>
          <w:color w:val="000000" w:themeColor="text1"/>
          <w:szCs w:val="24"/>
        </w:rPr>
        <w:t>Based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0020F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41E3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41E3">
        <w:rPr>
          <w:rFonts w:cs="Times New Roman"/>
          <w:color w:val="000000" w:themeColor="text1"/>
          <w:szCs w:val="24"/>
        </w:rPr>
        <w:t>monitoring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41E3">
        <w:rPr>
          <w:rFonts w:cs="Times New Roman"/>
          <w:color w:val="000000" w:themeColor="text1"/>
          <w:szCs w:val="24"/>
        </w:rPr>
        <w:t>conducted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41E3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41E3">
        <w:rPr>
          <w:rFonts w:cs="Times New Roman"/>
          <w:color w:val="000000" w:themeColor="text1"/>
          <w:szCs w:val="24"/>
        </w:rPr>
        <w:t>March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41E3">
        <w:rPr>
          <w:rFonts w:cs="Times New Roman"/>
          <w:color w:val="000000" w:themeColor="text1"/>
          <w:szCs w:val="24"/>
        </w:rPr>
        <w:t>15,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41E3">
        <w:rPr>
          <w:rFonts w:cs="Times New Roman"/>
          <w:color w:val="000000" w:themeColor="text1"/>
          <w:szCs w:val="24"/>
        </w:rPr>
        <w:t>2022,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41E3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41E3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41E3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41E3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41E3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41E3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41E3">
        <w:rPr>
          <w:rFonts w:cs="Times New Roman"/>
          <w:color w:val="000000" w:themeColor="text1"/>
          <w:szCs w:val="24"/>
        </w:rPr>
        <w:t>workers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41E3">
        <w:rPr>
          <w:rFonts w:cs="Times New Roman"/>
          <w:color w:val="000000" w:themeColor="text1"/>
          <w:szCs w:val="24"/>
        </w:rPr>
        <w:t>installing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41E3">
        <w:rPr>
          <w:rFonts w:cs="Times New Roman"/>
          <w:color w:val="000000" w:themeColor="text1"/>
          <w:szCs w:val="24"/>
        </w:rPr>
        <w:t>gaskets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41E3">
        <w:rPr>
          <w:rFonts w:cs="Times New Roman"/>
          <w:color w:val="000000" w:themeColor="text1"/>
          <w:szCs w:val="24"/>
        </w:rPr>
        <w:t>was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41E3">
        <w:rPr>
          <w:rFonts w:cs="Times New Roman"/>
          <w:color w:val="000000" w:themeColor="text1"/>
          <w:szCs w:val="24"/>
        </w:rPr>
        <w:t>0.03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41E3">
        <w:rPr>
          <w:rFonts w:cs="Times New Roman"/>
          <w:color w:val="000000" w:themeColor="text1"/>
          <w:szCs w:val="24"/>
        </w:rPr>
        <w:t>f/cc.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41E3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41E3">
        <w:rPr>
          <w:rFonts w:cs="Times New Roman"/>
          <w:color w:val="000000" w:themeColor="text1"/>
          <w:szCs w:val="24"/>
        </w:rPr>
        <w:t>concentration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41E3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41E3">
        <w:rPr>
          <w:rFonts w:cs="Times New Roman"/>
          <w:color w:val="000000" w:themeColor="text1"/>
          <w:szCs w:val="24"/>
        </w:rPr>
        <w:t>above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41E3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41E3">
        <w:rPr>
          <w:rFonts w:cs="Times New Roman"/>
          <w:color w:val="000000" w:themeColor="text1"/>
          <w:szCs w:val="24"/>
        </w:rPr>
        <w:t>limit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41E3">
        <w:rPr>
          <w:rFonts w:cs="Times New Roman"/>
          <w:color w:val="000000" w:themeColor="text1"/>
          <w:szCs w:val="24"/>
        </w:rPr>
        <w:t>set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41E3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41E3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41E3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41E3">
        <w:rPr>
          <w:rFonts w:cs="Times New Roman"/>
          <w:color w:val="000000" w:themeColor="text1"/>
          <w:szCs w:val="24"/>
        </w:rPr>
        <w:t>protect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41E3">
        <w:rPr>
          <w:rFonts w:cs="Times New Roman"/>
          <w:color w:val="000000" w:themeColor="text1"/>
          <w:szCs w:val="24"/>
        </w:rPr>
        <w:t>workers,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41E3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41E3">
        <w:rPr>
          <w:rFonts w:cs="Times New Roman"/>
          <w:color w:val="000000" w:themeColor="text1"/>
          <w:szCs w:val="24"/>
        </w:rPr>
        <w:t>therefore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41E3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41E3">
        <w:rPr>
          <w:rFonts w:cs="Times New Roman"/>
          <w:color w:val="000000" w:themeColor="text1"/>
          <w:szCs w:val="24"/>
        </w:rPr>
        <w:t>company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41E3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41E3">
        <w:rPr>
          <w:rFonts w:cs="Times New Roman"/>
          <w:color w:val="000000" w:themeColor="text1"/>
          <w:szCs w:val="24"/>
        </w:rPr>
        <w:t>providing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41E3">
        <w:rPr>
          <w:rFonts w:cs="Times New Roman"/>
          <w:color w:val="000000" w:themeColor="text1"/>
          <w:szCs w:val="24"/>
        </w:rPr>
        <w:t>half-mask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41E3">
        <w:rPr>
          <w:rFonts w:cs="Times New Roman"/>
          <w:color w:val="000000" w:themeColor="text1"/>
          <w:szCs w:val="24"/>
        </w:rPr>
        <w:t>air-purifying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41E3">
        <w:rPr>
          <w:rFonts w:cs="Times New Roman"/>
          <w:color w:val="000000" w:themeColor="text1"/>
          <w:szCs w:val="24"/>
        </w:rPr>
        <w:t>respirators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41E3">
        <w:rPr>
          <w:rFonts w:cs="Times New Roman"/>
          <w:color w:val="000000" w:themeColor="text1"/>
          <w:szCs w:val="24"/>
        </w:rPr>
        <w:t>(not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41E3">
        <w:rPr>
          <w:rFonts w:cs="Times New Roman"/>
          <w:color w:val="000000" w:themeColor="text1"/>
          <w:szCs w:val="24"/>
        </w:rPr>
        <w:t>disposable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F060A">
        <w:rPr>
          <w:rFonts w:cs="Times New Roman"/>
          <w:color w:val="000000" w:themeColor="text1"/>
          <w:szCs w:val="24"/>
        </w:rPr>
        <w:t>respirators</w:t>
      </w:r>
      <w:r w:rsidRPr="00C317BB" w:rsidR="00CB41E3">
        <w:rPr>
          <w:rFonts w:cs="Times New Roman"/>
          <w:color w:val="000000" w:themeColor="text1"/>
          <w:szCs w:val="24"/>
        </w:rPr>
        <w:t>),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41E3">
        <w:rPr>
          <w:rFonts w:cs="Times New Roman"/>
          <w:color w:val="000000" w:themeColor="text1"/>
          <w:szCs w:val="24"/>
        </w:rPr>
        <w:t>equipped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41E3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41E3">
        <w:rPr>
          <w:rFonts w:cs="Times New Roman"/>
          <w:color w:val="000000" w:themeColor="text1"/>
          <w:szCs w:val="24"/>
        </w:rPr>
        <w:t>high-efficiency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41E3">
        <w:rPr>
          <w:rFonts w:cs="Times New Roman"/>
          <w:color w:val="000000" w:themeColor="text1"/>
          <w:szCs w:val="24"/>
        </w:rPr>
        <w:t>filters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41E3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41E3">
        <w:rPr>
          <w:rFonts w:cs="Times New Roman"/>
          <w:color w:val="000000" w:themeColor="text1"/>
          <w:szCs w:val="24"/>
        </w:rPr>
        <w:t>workers.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41E3">
        <w:rPr>
          <w:rFonts w:cs="Times New Roman"/>
          <w:color w:val="000000" w:themeColor="text1"/>
          <w:szCs w:val="24"/>
        </w:rPr>
        <w:t>Workers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41E3">
        <w:rPr>
          <w:rFonts w:cs="Times New Roman"/>
          <w:color w:val="000000" w:themeColor="text1"/>
          <w:szCs w:val="24"/>
        </w:rPr>
        <w:t>can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41E3">
        <w:rPr>
          <w:rFonts w:cs="Times New Roman"/>
          <w:color w:val="000000" w:themeColor="text1"/>
          <w:szCs w:val="24"/>
        </w:rPr>
        <w:t>access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41E3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41E3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41E3">
        <w:rPr>
          <w:rFonts w:cs="Times New Roman"/>
          <w:color w:val="000000" w:themeColor="text1"/>
          <w:szCs w:val="24"/>
        </w:rPr>
        <w:t>control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41E3">
        <w:rPr>
          <w:rFonts w:cs="Times New Roman"/>
          <w:color w:val="000000" w:themeColor="text1"/>
          <w:szCs w:val="24"/>
        </w:rPr>
        <w:t>plans,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41E3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41E3">
        <w:rPr>
          <w:rFonts w:cs="Times New Roman"/>
          <w:color w:val="000000" w:themeColor="text1"/>
          <w:szCs w:val="24"/>
        </w:rPr>
        <w:t>monitoring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41E3">
        <w:rPr>
          <w:rFonts w:cs="Times New Roman"/>
          <w:color w:val="000000" w:themeColor="text1"/>
          <w:szCs w:val="24"/>
        </w:rPr>
        <w:t>records,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41E3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41E3">
        <w:rPr>
          <w:rFonts w:cs="Times New Roman"/>
          <w:color w:val="000000" w:themeColor="text1"/>
          <w:szCs w:val="24"/>
        </w:rPr>
        <w:t>PPE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41E3">
        <w:rPr>
          <w:rFonts w:cs="Times New Roman"/>
          <w:color w:val="000000" w:themeColor="text1"/>
          <w:szCs w:val="24"/>
        </w:rPr>
        <w:t>program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41E3">
        <w:rPr>
          <w:rFonts w:cs="Times New Roman"/>
          <w:color w:val="000000" w:themeColor="text1"/>
          <w:szCs w:val="24"/>
        </w:rPr>
        <w:t>implementation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41E3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41E3">
        <w:rPr>
          <w:rFonts w:cs="Times New Roman"/>
          <w:color w:val="000000" w:themeColor="text1"/>
          <w:szCs w:val="24"/>
        </w:rPr>
        <w:t>documentation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41E3">
        <w:rPr>
          <w:rFonts w:cs="Times New Roman"/>
          <w:color w:val="000000" w:themeColor="text1"/>
          <w:szCs w:val="24"/>
        </w:rPr>
        <w:t>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41E3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41E3">
        <w:rPr>
          <w:rFonts w:cs="Times New Roman"/>
          <w:color w:val="000000" w:themeColor="text1"/>
          <w:szCs w:val="24"/>
        </w:rPr>
        <w:t>office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41E3">
        <w:rPr>
          <w:rFonts w:cs="Times New Roman"/>
          <w:color w:val="000000" w:themeColor="text1"/>
          <w:szCs w:val="24"/>
        </w:rPr>
        <w:t>during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41E3">
        <w:rPr>
          <w:rFonts w:cs="Times New Roman"/>
          <w:color w:val="000000" w:themeColor="text1"/>
          <w:szCs w:val="24"/>
        </w:rPr>
        <w:t>regular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41E3">
        <w:rPr>
          <w:rFonts w:cs="Times New Roman"/>
          <w:color w:val="000000" w:themeColor="text1"/>
          <w:szCs w:val="24"/>
        </w:rPr>
        <w:t>business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41E3">
        <w:rPr>
          <w:rFonts w:cs="Times New Roman"/>
          <w:color w:val="000000" w:themeColor="text1"/>
          <w:szCs w:val="24"/>
        </w:rPr>
        <w:t>hours.”</w:t>
      </w:r>
    </w:p>
    <w:p w:rsidRPr="00C317BB" w:rsidR="008C1CDB" w:rsidP="00F27167" w:rsidRDefault="008C1CDB" w14:paraId="40DD9F2C" w14:textId="68D4EE3F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i/>
          <w:color w:val="000000" w:themeColor="text1"/>
          <w:szCs w:val="24"/>
        </w:rPr>
        <w:t>Recordkeeping</w:t>
      </w:r>
      <w:r w:rsidRPr="00C317BB">
        <w:rPr>
          <w:rFonts w:cs="Times New Roman"/>
          <w:color w:val="000000" w:themeColor="text1"/>
          <w:szCs w:val="24"/>
        </w:rPr>
        <w:t>: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support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demonstrate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compliance,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proposing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17E6E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17E6E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77A6E">
        <w:rPr>
          <w:rFonts w:cs="Times New Roman"/>
          <w:color w:val="000000" w:themeColor="text1"/>
          <w:szCs w:val="24"/>
        </w:rPr>
        <w:t>primary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17E6E">
        <w:rPr>
          <w:rFonts w:cs="Times New Roman"/>
          <w:color w:val="000000" w:themeColor="text1"/>
          <w:szCs w:val="24"/>
        </w:rPr>
        <w:t>alternative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17E6E">
        <w:rPr>
          <w:rFonts w:cs="Times New Roman"/>
          <w:color w:val="000000" w:themeColor="text1"/>
          <w:szCs w:val="24"/>
        </w:rPr>
        <w:t>regulatory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17E6E">
        <w:rPr>
          <w:rFonts w:cs="Times New Roman"/>
          <w:color w:val="000000" w:themeColor="text1"/>
          <w:szCs w:val="24"/>
        </w:rPr>
        <w:t>action,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regulated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entities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must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retain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compliance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records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316CA">
        <w:rPr>
          <w:rFonts w:cs="Times New Roman"/>
          <w:color w:val="000000" w:themeColor="text1"/>
          <w:szCs w:val="24"/>
        </w:rPr>
        <w:t>five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years</w:t>
      </w:r>
      <w:r w:rsidRPr="00C317BB" w:rsidR="00D86E5D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86E5D">
        <w:rPr>
          <w:rFonts w:cs="Times New Roman"/>
          <w:color w:val="000000" w:themeColor="text1"/>
          <w:szCs w:val="24"/>
        </w:rPr>
        <w:t>unless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86E5D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86E5D">
        <w:rPr>
          <w:rFonts w:cs="Times New Roman"/>
          <w:color w:val="000000" w:themeColor="text1"/>
          <w:szCs w:val="24"/>
        </w:rPr>
        <w:t>longer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86E5D">
        <w:rPr>
          <w:rFonts w:cs="Times New Roman"/>
          <w:color w:val="000000" w:themeColor="text1"/>
          <w:szCs w:val="24"/>
        </w:rPr>
        <w:t>retention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86E5D">
        <w:rPr>
          <w:rFonts w:cs="Times New Roman"/>
          <w:color w:val="000000" w:themeColor="text1"/>
          <w:szCs w:val="24"/>
        </w:rPr>
        <w:t>time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86E5D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86E5D">
        <w:rPr>
          <w:rFonts w:cs="Times New Roman"/>
          <w:color w:val="000000" w:themeColor="text1"/>
          <w:szCs w:val="24"/>
        </w:rPr>
        <w:t>required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86E5D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86E5D">
        <w:rPr>
          <w:rFonts w:cs="Times New Roman"/>
          <w:color w:val="000000" w:themeColor="text1"/>
          <w:szCs w:val="24"/>
        </w:rPr>
        <w:t>29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86E5D">
        <w:rPr>
          <w:rFonts w:cs="Times New Roman"/>
          <w:color w:val="000000" w:themeColor="text1"/>
          <w:szCs w:val="24"/>
        </w:rPr>
        <w:t>CFR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86E5D">
        <w:rPr>
          <w:rFonts w:cs="Times New Roman"/>
          <w:color w:val="000000" w:themeColor="text1"/>
          <w:szCs w:val="24"/>
        </w:rPr>
        <w:t>1910.10</w:t>
      </w:r>
      <w:r w:rsidRPr="00C317BB" w:rsidR="00A56423">
        <w:rPr>
          <w:rFonts w:cs="Times New Roman"/>
          <w:color w:val="000000" w:themeColor="text1"/>
          <w:szCs w:val="24"/>
        </w:rPr>
        <w:t>2</w:t>
      </w:r>
      <w:r w:rsidRPr="00C317BB" w:rsidR="00D86E5D">
        <w:rPr>
          <w:rFonts w:cs="Times New Roman"/>
          <w:color w:val="000000" w:themeColor="text1"/>
          <w:szCs w:val="24"/>
        </w:rPr>
        <w:t>0</w:t>
      </w:r>
      <w:r w:rsidRPr="00C317BB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records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54D67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54D67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54D67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B3800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B3800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B3800">
        <w:rPr>
          <w:rFonts w:cs="Times New Roman"/>
          <w:color w:val="000000" w:themeColor="text1"/>
          <w:szCs w:val="24"/>
        </w:rPr>
        <w:t>retained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F0905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F0905">
        <w:rPr>
          <w:rFonts w:cs="Times New Roman"/>
          <w:color w:val="000000" w:themeColor="text1"/>
          <w:szCs w:val="24"/>
        </w:rPr>
        <w:t>regulated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F0905">
        <w:rPr>
          <w:rFonts w:cs="Times New Roman"/>
          <w:color w:val="000000" w:themeColor="text1"/>
          <w:szCs w:val="24"/>
        </w:rPr>
        <w:t>entities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include: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8C1CDB" w:rsidP="00F27167" w:rsidRDefault="00737FA0" w14:paraId="11303F8B" w14:textId="4D4C3A11">
      <w:pPr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ab/>
        <w:t>•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C1CDB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C1CDB">
        <w:rPr>
          <w:rFonts w:cs="Times New Roman"/>
          <w:color w:val="000000" w:themeColor="text1"/>
          <w:szCs w:val="24"/>
        </w:rPr>
        <w:t>control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C1CDB">
        <w:rPr>
          <w:rFonts w:cs="Times New Roman"/>
          <w:color w:val="000000" w:themeColor="text1"/>
          <w:szCs w:val="24"/>
        </w:rPr>
        <w:t>plan;</w:t>
      </w:r>
    </w:p>
    <w:p w:rsidRPr="00C317BB" w:rsidR="008C1CDB" w:rsidP="00F27167" w:rsidRDefault="00737FA0" w14:paraId="030261D6" w14:textId="219258AD">
      <w:pPr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ab/>
        <w:t>•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C1CDB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C1CDB">
        <w:rPr>
          <w:rFonts w:cs="Times New Roman"/>
          <w:color w:val="000000" w:themeColor="text1"/>
          <w:szCs w:val="24"/>
        </w:rPr>
        <w:t>monitoring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C1CDB">
        <w:rPr>
          <w:rFonts w:cs="Times New Roman"/>
          <w:color w:val="000000" w:themeColor="text1"/>
          <w:szCs w:val="24"/>
        </w:rPr>
        <w:t>records;</w:t>
      </w:r>
    </w:p>
    <w:p w:rsidRPr="00C317BB" w:rsidR="008C1CDB" w:rsidP="00F27167" w:rsidRDefault="00737FA0" w14:paraId="0D6FF3E9" w14:textId="30F91143">
      <w:pPr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ab/>
        <w:t>•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C1CDB">
        <w:rPr>
          <w:rFonts w:cs="Times New Roman"/>
          <w:color w:val="000000" w:themeColor="text1"/>
          <w:szCs w:val="24"/>
        </w:rPr>
        <w:t>Notifications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C1CD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C1CDB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C1CDB">
        <w:rPr>
          <w:rFonts w:cs="Times New Roman"/>
          <w:color w:val="000000" w:themeColor="text1"/>
          <w:szCs w:val="24"/>
        </w:rPr>
        <w:t>monitoring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C1CDB">
        <w:rPr>
          <w:rFonts w:cs="Times New Roman"/>
          <w:color w:val="000000" w:themeColor="text1"/>
          <w:szCs w:val="24"/>
        </w:rPr>
        <w:t>results;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C1CD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8C1CDB" w:rsidP="00F27167" w:rsidRDefault="00737FA0" w14:paraId="1AECE8B9" w14:textId="42A1FC28">
      <w:pPr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ab/>
        <w:t>•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C1CDB">
        <w:rPr>
          <w:rFonts w:cs="Times New Roman"/>
          <w:color w:val="000000" w:themeColor="text1"/>
          <w:szCs w:val="24"/>
        </w:rPr>
        <w:t>PPE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C1CDB">
        <w:rPr>
          <w:rFonts w:cs="Times New Roman"/>
          <w:color w:val="000000" w:themeColor="text1"/>
          <w:szCs w:val="24"/>
        </w:rPr>
        <w:t>program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C1CDB">
        <w:rPr>
          <w:rFonts w:cs="Times New Roman"/>
          <w:color w:val="000000" w:themeColor="text1"/>
          <w:szCs w:val="24"/>
        </w:rPr>
        <w:t>implementation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C1CD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C1CDB">
        <w:rPr>
          <w:rFonts w:cs="Times New Roman"/>
          <w:color w:val="000000" w:themeColor="text1"/>
          <w:szCs w:val="24"/>
        </w:rPr>
        <w:t>documentation.</w:t>
      </w:r>
    </w:p>
    <w:p w:rsidRPr="00C317BB" w:rsidR="008363E1" w:rsidP="00F27167" w:rsidRDefault="00737FA0" w14:paraId="1FB2FA63" w14:textId="57C683FF">
      <w:pPr>
        <w:pStyle w:val="Heading3"/>
        <w:ind w:firstLine="720"/>
        <w:rPr>
          <w:rFonts w:cs="Times New Roman"/>
          <w:color w:val="000000" w:themeColor="text1"/>
          <w:szCs w:val="24"/>
          <w:lang w:val="en"/>
        </w:rPr>
      </w:pPr>
      <w:r w:rsidRPr="00C317BB">
        <w:rPr>
          <w:rFonts w:cs="Times New Roman"/>
          <w:color w:val="000000" w:themeColor="text1"/>
          <w:szCs w:val="24"/>
          <w:lang w:val="en"/>
        </w:rPr>
        <w:t>3</w:t>
      </w:r>
      <w:r w:rsidRPr="00C317BB" w:rsidR="00FE7821">
        <w:rPr>
          <w:rFonts w:cs="Times New Roman"/>
          <w:color w:val="000000" w:themeColor="text1"/>
          <w:szCs w:val="24"/>
          <w:lang w:val="en"/>
        </w:rPr>
        <w:t>.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8363E1">
        <w:rPr>
          <w:rFonts w:cs="Times New Roman"/>
          <w:color w:val="000000" w:themeColor="text1"/>
          <w:szCs w:val="24"/>
          <w:lang w:val="en"/>
        </w:rPr>
        <w:t>Solicitation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8363E1">
        <w:rPr>
          <w:rFonts w:cs="Times New Roman"/>
          <w:color w:val="000000" w:themeColor="text1"/>
          <w:szCs w:val="24"/>
          <w:lang w:val="en"/>
        </w:rPr>
        <w:t>of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8D3439">
        <w:rPr>
          <w:rFonts w:cs="Times New Roman"/>
          <w:color w:val="000000" w:themeColor="text1"/>
          <w:szCs w:val="24"/>
          <w:lang w:val="en"/>
        </w:rPr>
        <w:t>p</w:t>
      </w:r>
      <w:r w:rsidRPr="00C317BB" w:rsidR="00742B07">
        <w:rPr>
          <w:rFonts w:cs="Times New Roman"/>
          <w:color w:val="000000" w:themeColor="text1"/>
          <w:szCs w:val="24"/>
          <w:lang w:val="en"/>
        </w:rPr>
        <w:t>ublic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8D3439">
        <w:rPr>
          <w:rFonts w:cs="Times New Roman"/>
          <w:color w:val="000000" w:themeColor="text1"/>
          <w:szCs w:val="24"/>
          <w:lang w:val="en"/>
        </w:rPr>
        <w:t>c</w:t>
      </w:r>
      <w:r w:rsidRPr="00C317BB" w:rsidR="008363E1">
        <w:rPr>
          <w:rFonts w:cs="Times New Roman"/>
          <w:color w:val="000000" w:themeColor="text1"/>
          <w:szCs w:val="24"/>
          <w:lang w:val="en"/>
        </w:rPr>
        <w:t>omment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8363E1">
        <w:rPr>
          <w:rFonts w:cs="Times New Roman"/>
          <w:color w:val="000000" w:themeColor="text1"/>
          <w:szCs w:val="24"/>
          <w:lang w:val="en"/>
        </w:rPr>
        <w:t>on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8D3439">
        <w:rPr>
          <w:rFonts w:cs="Times New Roman"/>
          <w:color w:val="000000" w:themeColor="text1"/>
          <w:szCs w:val="24"/>
          <w:lang w:val="en"/>
        </w:rPr>
        <w:t>i</w:t>
      </w:r>
      <w:r w:rsidRPr="00C317BB" w:rsidR="008363E1">
        <w:rPr>
          <w:rFonts w:cs="Times New Roman"/>
          <w:color w:val="000000" w:themeColor="text1"/>
          <w:szCs w:val="24"/>
          <w:lang w:val="en"/>
        </w:rPr>
        <w:t>nterim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8D3439">
        <w:rPr>
          <w:rFonts w:cs="Times New Roman"/>
          <w:color w:val="000000" w:themeColor="text1"/>
          <w:szCs w:val="24"/>
          <w:lang w:val="en"/>
        </w:rPr>
        <w:t>w</w:t>
      </w:r>
      <w:r w:rsidRPr="00C317BB" w:rsidR="008363E1">
        <w:rPr>
          <w:rFonts w:cs="Times New Roman"/>
          <w:color w:val="000000" w:themeColor="text1"/>
          <w:szCs w:val="24"/>
          <w:lang w:val="en"/>
        </w:rPr>
        <w:t>orkplace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8D3439">
        <w:rPr>
          <w:rFonts w:cs="Times New Roman"/>
          <w:color w:val="000000" w:themeColor="text1"/>
          <w:szCs w:val="24"/>
          <w:lang w:val="en"/>
        </w:rPr>
        <w:t>c</w:t>
      </w:r>
      <w:r w:rsidRPr="00C317BB" w:rsidR="008363E1">
        <w:rPr>
          <w:rFonts w:cs="Times New Roman"/>
          <w:color w:val="000000" w:themeColor="text1"/>
          <w:szCs w:val="24"/>
          <w:lang w:val="en"/>
        </w:rPr>
        <w:t>ontrols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8363E1">
        <w:rPr>
          <w:rFonts w:cs="Times New Roman"/>
          <w:color w:val="000000" w:themeColor="text1"/>
          <w:szCs w:val="24"/>
          <w:lang w:val="en"/>
        </w:rPr>
        <w:t>prior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8363E1">
        <w:rPr>
          <w:rFonts w:cs="Times New Roman"/>
          <w:color w:val="000000" w:themeColor="text1"/>
          <w:szCs w:val="24"/>
          <w:lang w:val="en"/>
        </w:rPr>
        <w:t>to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8D3439">
        <w:rPr>
          <w:rFonts w:cs="Times New Roman"/>
          <w:color w:val="000000" w:themeColor="text1"/>
          <w:szCs w:val="24"/>
          <w:lang w:val="en"/>
        </w:rPr>
        <w:t>p</w:t>
      </w:r>
      <w:r w:rsidRPr="00C317BB" w:rsidR="008363E1">
        <w:rPr>
          <w:rFonts w:cs="Times New Roman"/>
          <w:color w:val="000000" w:themeColor="text1"/>
          <w:szCs w:val="24"/>
          <w:lang w:val="en"/>
        </w:rPr>
        <w:t>rohibition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8363E1">
        <w:rPr>
          <w:rFonts w:cs="Times New Roman"/>
          <w:color w:val="000000" w:themeColor="text1"/>
          <w:szCs w:val="24"/>
          <w:lang w:val="en"/>
        </w:rPr>
        <w:t>of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FA31BE">
        <w:rPr>
          <w:rFonts w:cs="Times New Roman"/>
          <w:color w:val="000000" w:themeColor="text1"/>
          <w:szCs w:val="24"/>
          <w:lang w:val="en"/>
        </w:rPr>
        <w:t>p</w:t>
      </w:r>
      <w:r w:rsidRPr="00C317BB" w:rsidR="008363E1">
        <w:rPr>
          <w:rFonts w:cs="Times New Roman"/>
          <w:color w:val="000000" w:themeColor="text1"/>
          <w:szCs w:val="24"/>
          <w:lang w:val="en"/>
        </w:rPr>
        <w:t>rocessing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BF5452">
        <w:rPr>
          <w:rFonts w:cs="Times New Roman"/>
          <w:color w:val="000000" w:themeColor="text1"/>
          <w:szCs w:val="24"/>
          <w:lang w:val="en"/>
        </w:rPr>
        <w:t>and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B654EE">
        <w:rPr>
          <w:rFonts w:cs="Times New Roman"/>
          <w:color w:val="000000" w:themeColor="text1"/>
          <w:szCs w:val="24"/>
          <w:lang w:val="en"/>
        </w:rPr>
        <w:t>commercial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FA31BE">
        <w:rPr>
          <w:rFonts w:cs="Times New Roman"/>
          <w:color w:val="000000" w:themeColor="text1"/>
          <w:szCs w:val="24"/>
          <w:lang w:val="en"/>
        </w:rPr>
        <w:t>u</w:t>
      </w:r>
      <w:r w:rsidRPr="00C317BB" w:rsidR="008363E1">
        <w:rPr>
          <w:rFonts w:cs="Times New Roman"/>
          <w:color w:val="000000" w:themeColor="text1"/>
          <w:szCs w:val="24"/>
          <w:lang w:val="en"/>
        </w:rPr>
        <w:t>se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8363E1">
        <w:rPr>
          <w:rFonts w:cs="Times New Roman"/>
          <w:color w:val="000000" w:themeColor="text1"/>
          <w:szCs w:val="24"/>
          <w:lang w:val="en"/>
        </w:rPr>
        <w:t>of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FA31BE">
        <w:rPr>
          <w:rFonts w:cs="Times New Roman"/>
          <w:color w:val="000000" w:themeColor="text1"/>
          <w:szCs w:val="24"/>
          <w:lang w:val="en"/>
        </w:rPr>
        <w:t>c</w:t>
      </w:r>
      <w:r w:rsidRPr="00C317BB" w:rsidR="008363E1">
        <w:rPr>
          <w:rFonts w:cs="Times New Roman"/>
          <w:color w:val="000000" w:themeColor="text1"/>
          <w:szCs w:val="24"/>
          <w:lang w:val="en"/>
        </w:rPr>
        <w:t>hrysotile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FA31BE">
        <w:rPr>
          <w:rFonts w:cs="Times New Roman"/>
          <w:color w:val="000000" w:themeColor="text1"/>
          <w:szCs w:val="24"/>
          <w:lang w:val="en"/>
        </w:rPr>
        <w:t>a</w:t>
      </w:r>
      <w:r w:rsidRPr="00C317BB" w:rsidR="008363E1">
        <w:rPr>
          <w:rFonts w:cs="Times New Roman"/>
          <w:color w:val="000000" w:themeColor="text1"/>
          <w:szCs w:val="24"/>
          <w:lang w:val="en"/>
        </w:rPr>
        <w:t>sbestos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E06A2E">
        <w:rPr>
          <w:rFonts w:cs="Times New Roman"/>
          <w:color w:val="000000" w:themeColor="text1"/>
          <w:szCs w:val="24"/>
          <w:lang w:val="en"/>
        </w:rPr>
        <w:t>in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E06A2E">
        <w:rPr>
          <w:rFonts w:cs="Times New Roman"/>
          <w:color w:val="000000" w:themeColor="text1"/>
          <w:szCs w:val="24"/>
          <w:lang w:val="en"/>
        </w:rPr>
        <w:t>bulk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E06A2E">
        <w:rPr>
          <w:rFonts w:cs="Times New Roman"/>
          <w:color w:val="000000" w:themeColor="text1"/>
          <w:szCs w:val="24"/>
          <w:lang w:val="en"/>
        </w:rPr>
        <w:t>form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E06A2E">
        <w:rPr>
          <w:rFonts w:cs="Times New Roman"/>
          <w:color w:val="000000" w:themeColor="text1"/>
          <w:szCs w:val="24"/>
          <w:lang w:val="en"/>
        </w:rPr>
        <w:t>or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E06A2E">
        <w:rPr>
          <w:rFonts w:cs="Times New Roman"/>
          <w:color w:val="000000" w:themeColor="text1"/>
          <w:szCs w:val="24"/>
          <w:lang w:val="en"/>
        </w:rPr>
        <w:t>as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E06A2E">
        <w:rPr>
          <w:rFonts w:cs="Times New Roman"/>
          <w:color w:val="000000" w:themeColor="text1"/>
          <w:szCs w:val="24"/>
          <w:lang w:val="en"/>
        </w:rPr>
        <w:t>part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E06A2E">
        <w:rPr>
          <w:rFonts w:cs="Times New Roman"/>
          <w:color w:val="000000" w:themeColor="text1"/>
          <w:szCs w:val="24"/>
          <w:lang w:val="en"/>
        </w:rPr>
        <w:t>of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E06A2E">
        <w:rPr>
          <w:rFonts w:cs="Times New Roman"/>
          <w:color w:val="000000" w:themeColor="text1"/>
          <w:szCs w:val="24"/>
          <w:lang w:val="en"/>
        </w:rPr>
        <w:t>chrysotile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E06A2E">
        <w:rPr>
          <w:rFonts w:cs="Times New Roman"/>
          <w:color w:val="000000" w:themeColor="text1"/>
          <w:szCs w:val="24"/>
          <w:lang w:val="en"/>
        </w:rPr>
        <w:t>asbestos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326A23">
        <w:rPr>
          <w:rFonts w:cs="Times New Roman"/>
          <w:color w:val="000000" w:themeColor="text1"/>
          <w:szCs w:val="24"/>
          <w:lang w:val="en"/>
        </w:rPr>
        <w:t>d</w:t>
      </w:r>
      <w:r w:rsidRPr="00C317BB" w:rsidR="008363E1">
        <w:rPr>
          <w:rFonts w:cs="Times New Roman"/>
          <w:color w:val="000000" w:themeColor="text1"/>
          <w:szCs w:val="24"/>
          <w:lang w:val="en"/>
        </w:rPr>
        <w:t>iaphragms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8363E1">
        <w:rPr>
          <w:rFonts w:cs="Times New Roman"/>
          <w:color w:val="000000" w:themeColor="text1"/>
          <w:szCs w:val="24"/>
          <w:lang w:val="en"/>
        </w:rPr>
        <w:t>in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8363E1">
        <w:rPr>
          <w:rFonts w:cs="Times New Roman"/>
          <w:color w:val="000000" w:themeColor="text1"/>
          <w:szCs w:val="24"/>
          <w:lang w:val="en"/>
        </w:rPr>
        <w:t>the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326A23">
        <w:rPr>
          <w:rFonts w:cs="Times New Roman"/>
          <w:color w:val="000000" w:themeColor="text1"/>
          <w:szCs w:val="24"/>
          <w:lang w:val="en"/>
        </w:rPr>
        <w:t>c</w:t>
      </w:r>
      <w:r w:rsidRPr="00C317BB" w:rsidR="008363E1">
        <w:rPr>
          <w:rFonts w:cs="Times New Roman"/>
          <w:color w:val="000000" w:themeColor="text1"/>
          <w:szCs w:val="24"/>
          <w:lang w:val="en"/>
        </w:rPr>
        <w:t>hlor-</w:t>
      </w:r>
      <w:r w:rsidRPr="00C317BB" w:rsidR="00326A23">
        <w:rPr>
          <w:rFonts w:cs="Times New Roman"/>
          <w:color w:val="000000" w:themeColor="text1"/>
          <w:szCs w:val="24"/>
          <w:lang w:val="en"/>
        </w:rPr>
        <w:t>a</w:t>
      </w:r>
      <w:r w:rsidRPr="00C317BB" w:rsidR="008363E1">
        <w:rPr>
          <w:rFonts w:cs="Times New Roman"/>
          <w:color w:val="000000" w:themeColor="text1"/>
          <w:szCs w:val="24"/>
          <w:lang w:val="en"/>
        </w:rPr>
        <w:t>lkali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326A23">
        <w:rPr>
          <w:rFonts w:cs="Times New Roman"/>
          <w:color w:val="000000" w:themeColor="text1"/>
          <w:szCs w:val="24"/>
          <w:lang w:val="en"/>
        </w:rPr>
        <w:t>i</w:t>
      </w:r>
      <w:r w:rsidRPr="00C317BB" w:rsidR="008363E1">
        <w:rPr>
          <w:rFonts w:cs="Times New Roman"/>
          <w:color w:val="000000" w:themeColor="text1"/>
          <w:szCs w:val="24"/>
          <w:lang w:val="en"/>
        </w:rPr>
        <w:t>ndustry;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8F026A">
        <w:rPr>
          <w:rFonts w:cs="Times New Roman"/>
          <w:color w:val="000000" w:themeColor="text1"/>
          <w:szCs w:val="24"/>
          <w:lang w:val="en"/>
        </w:rPr>
        <w:t>and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DA043D">
        <w:rPr>
          <w:rFonts w:cs="Times New Roman"/>
          <w:color w:val="000000" w:themeColor="text1"/>
          <w:szCs w:val="24"/>
          <w:lang w:val="en"/>
        </w:rPr>
        <w:t>for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326A23">
        <w:rPr>
          <w:rFonts w:cs="Times New Roman"/>
          <w:color w:val="000000" w:themeColor="text1"/>
          <w:szCs w:val="24"/>
          <w:lang w:val="en"/>
        </w:rPr>
        <w:t>c</w:t>
      </w:r>
      <w:r w:rsidRPr="00C317BB" w:rsidR="008363E1">
        <w:rPr>
          <w:rFonts w:cs="Times New Roman"/>
          <w:color w:val="000000" w:themeColor="text1"/>
          <w:szCs w:val="24"/>
          <w:lang w:val="en"/>
        </w:rPr>
        <w:t>hrysotile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326A23">
        <w:rPr>
          <w:rFonts w:cs="Times New Roman"/>
          <w:color w:val="000000" w:themeColor="text1"/>
          <w:szCs w:val="24"/>
          <w:lang w:val="en"/>
        </w:rPr>
        <w:t>a</w:t>
      </w:r>
      <w:r w:rsidRPr="00C317BB" w:rsidR="008363E1">
        <w:rPr>
          <w:rFonts w:cs="Times New Roman"/>
          <w:color w:val="000000" w:themeColor="text1"/>
          <w:szCs w:val="24"/>
          <w:lang w:val="en"/>
        </w:rPr>
        <w:t>sbestos-containing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326A23">
        <w:rPr>
          <w:rFonts w:cs="Times New Roman"/>
          <w:color w:val="000000" w:themeColor="text1"/>
          <w:szCs w:val="24"/>
          <w:lang w:val="en"/>
        </w:rPr>
        <w:t>s</w:t>
      </w:r>
      <w:r w:rsidRPr="00C317BB" w:rsidR="008363E1">
        <w:rPr>
          <w:rFonts w:cs="Times New Roman"/>
          <w:color w:val="000000" w:themeColor="text1"/>
          <w:szCs w:val="24"/>
          <w:lang w:val="en"/>
        </w:rPr>
        <w:t>heet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326A23">
        <w:rPr>
          <w:rFonts w:cs="Times New Roman"/>
          <w:color w:val="000000" w:themeColor="text1"/>
          <w:szCs w:val="24"/>
          <w:lang w:val="en"/>
        </w:rPr>
        <w:t>g</w:t>
      </w:r>
      <w:r w:rsidRPr="00C317BB" w:rsidR="008363E1">
        <w:rPr>
          <w:rFonts w:cs="Times New Roman"/>
          <w:color w:val="000000" w:themeColor="text1"/>
          <w:szCs w:val="24"/>
          <w:lang w:val="en"/>
        </w:rPr>
        <w:t>askets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326A23">
        <w:rPr>
          <w:rFonts w:cs="Times New Roman"/>
          <w:color w:val="000000" w:themeColor="text1"/>
          <w:szCs w:val="24"/>
          <w:lang w:val="en"/>
        </w:rPr>
        <w:t>u</w:t>
      </w:r>
      <w:r w:rsidRPr="00C317BB" w:rsidR="008363E1">
        <w:rPr>
          <w:rFonts w:cs="Times New Roman"/>
          <w:color w:val="000000" w:themeColor="text1"/>
          <w:szCs w:val="24"/>
          <w:lang w:val="en"/>
        </w:rPr>
        <w:t>sed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8363E1">
        <w:rPr>
          <w:rFonts w:cs="Times New Roman"/>
          <w:color w:val="000000" w:themeColor="text1"/>
          <w:szCs w:val="24"/>
          <w:lang w:val="en"/>
        </w:rPr>
        <w:t>in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326A23">
        <w:rPr>
          <w:rFonts w:cs="Times New Roman"/>
          <w:color w:val="000000" w:themeColor="text1"/>
          <w:szCs w:val="24"/>
          <w:lang w:val="en"/>
        </w:rPr>
        <w:t>c</w:t>
      </w:r>
      <w:r w:rsidRPr="00C317BB" w:rsidR="008363E1">
        <w:rPr>
          <w:rFonts w:cs="Times New Roman"/>
          <w:color w:val="000000" w:themeColor="text1"/>
          <w:szCs w:val="24"/>
          <w:lang w:val="en"/>
        </w:rPr>
        <w:t>hemical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326A23">
        <w:rPr>
          <w:rFonts w:cs="Times New Roman"/>
          <w:color w:val="000000" w:themeColor="text1"/>
          <w:szCs w:val="24"/>
          <w:lang w:val="en"/>
        </w:rPr>
        <w:t>p</w:t>
      </w:r>
      <w:r w:rsidRPr="00C317BB" w:rsidR="008363E1">
        <w:rPr>
          <w:rFonts w:cs="Times New Roman"/>
          <w:color w:val="000000" w:themeColor="text1"/>
          <w:szCs w:val="24"/>
          <w:lang w:val="en"/>
        </w:rPr>
        <w:t>roduction</w:t>
      </w:r>
      <w:r w:rsidRPr="00C317BB" w:rsidR="00C070B9">
        <w:rPr>
          <w:rFonts w:cs="Times New Roman"/>
          <w:color w:val="000000" w:themeColor="text1"/>
          <w:szCs w:val="24"/>
          <w:lang w:val="en"/>
        </w:rPr>
        <w:t>.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</w:p>
    <w:p w:rsidRPr="00C317BB" w:rsidR="008363E1" w:rsidP="00F27167" w:rsidRDefault="008363E1" w14:paraId="78BD8F50" w14:textId="43D447DF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proposing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prohibit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928E3">
        <w:rPr>
          <w:rFonts w:cs="Times New Roman"/>
          <w:color w:val="000000" w:themeColor="text1"/>
          <w:szCs w:val="24"/>
        </w:rPr>
        <w:t>manufacturing,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928E3">
        <w:rPr>
          <w:rFonts w:cs="Times New Roman"/>
          <w:color w:val="000000" w:themeColor="text1"/>
          <w:szCs w:val="24"/>
        </w:rPr>
        <w:t>processing,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672D3">
        <w:rPr>
          <w:rFonts w:cs="Times New Roman"/>
          <w:color w:val="000000" w:themeColor="text1"/>
          <w:szCs w:val="24"/>
        </w:rPr>
        <w:t>commercial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928E3">
        <w:rPr>
          <w:rFonts w:cs="Times New Roman"/>
          <w:color w:val="000000" w:themeColor="text1"/>
          <w:szCs w:val="24"/>
        </w:rPr>
        <w:t>use,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928E3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928E3">
        <w:rPr>
          <w:rFonts w:cs="Times New Roman"/>
          <w:color w:val="000000" w:themeColor="text1"/>
          <w:szCs w:val="24"/>
        </w:rPr>
        <w:t>distribution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928E3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928E3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928E3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06A2E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06A2E">
        <w:rPr>
          <w:rFonts w:cs="Times New Roman"/>
          <w:color w:val="000000" w:themeColor="text1"/>
          <w:szCs w:val="24"/>
        </w:rPr>
        <w:t>bulk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06A2E">
        <w:rPr>
          <w:rFonts w:cs="Times New Roman"/>
          <w:color w:val="000000" w:themeColor="text1"/>
          <w:szCs w:val="24"/>
        </w:rPr>
        <w:t>form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A0E8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A0E8B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A0E8B">
        <w:rPr>
          <w:rFonts w:cs="Times New Roman"/>
          <w:color w:val="000000" w:themeColor="text1"/>
          <w:szCs w:val="24"/>
        </w:rPr>
        <w:t>part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A0E8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A0E8B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937C0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0AFB">
        <w:rPr>
          <w:rFonts w:cs="Times New Roman"/>
          <w:color w:val="000000" w:themeColor="text1"/>
          <w:szCs w:val="24"/>
        </w:rPr>
        <w:t>diaphragms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0AF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0AFB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0AF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0AF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0AFB">
        <w:rPr>
          <w:rFonts w:cs="Times New Roman"/>
          <w:color w:val="000000" w:themeColor="text1"/>
          <w:szCs w:val="24"/>
        </w:rPr>
        <w:t>chlor-alkali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0AFB">
        <w:rPr>
          <w:rFonts w:cs="Times New Roman"/>
          <w:color w:val="000000" w:themeColor="text1"/>
          <w:szCs w:val="24"/>
        </w:rPr>
        <w:t>industry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0AF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70522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0AFB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0AFB">
        <w:rPr>
          <w:rFonts w:cs="Times New Roman"/>
          <w:color w:val="000000" w:themeColor="text1"/>
          <w:szCs w:val="24"/>
        </w:rPr>
        <w:t>asbestos-containing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0AFB">
        <w:rPr>
          <w:rFonts w:cs="Times New Roman"/>
          <w:color w:val="000000" w:themeColor="text1"/>
          <w:szCs w:val="24"/>
        </w:rPr>
        <w:t>sheet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0AFB">
        <w:rPr>
          <w:rFonts w:cs="Times New Roman"/>
          <w:color w:val="000000" w:themeColor="text1"/>
          <w:szCs w:val="24"/>
        </w:rPr>
        <w:t>gaskets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0AFB">
        <w:rPr>
          <w:rFonts w:cs="Times New Roman"/>
          <w:color w:val="000000" w:themeColor="text1"/>
          <w:szCs w:val="24"/>
        </w:rPr>
        <w:t>used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0AF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0AFB">
        <w:rPr>
          <w:rFonts w:cs="Times New Roman"/>
          <w:color w:val="000000" w:themeColor="text1"/>
          <w:szCs w:val="24"/>
        </w:rPr>
        <w:t>chemical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0AFB">
        <w:rPr>
          <w:rFonts w:cs="Times New Roman"/>
          <w:color w:val="000000" w:themeColor="text1"/>
          <w:szCs w:val="24"/>
        </w:rPr>
        <w:t>production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928E3">
        <w:rPr>
          <w:rFonts w:cs="Times New Roman"/>
          <w:color w:val="000000" w:themeColor="text1"/>
          <w:szCs w:val="24"/>
        </w:rPr>
        <w:t>two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928E3">
        <w:rPr>
          <w:rFonts w:cs="Times New Roman"/>
          <w:color w:val="000000" w:themeColor="text1"/>
          <w:szCs w:val="24"/>
        </w:rPr>
        <w:t>years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13483">
        <w:rPr>
          <w:rFonts w:cs="Times New Roman"/>
          <w:color w:val="000000" w:themeColor="text1"/>
          <w:szCs w:val="24"/>
        </w:rPr>
        <w:t>after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937C0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937C0">
        <w:rPr>
          <w:rFonts w:cs="Times New Roman"/>
          <w:color w:val="000000" w:themeColor="text1"/>
          <w:szCs w:val="24"/>
        </w:rPr>
        <w:t>effective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937C0">
        <w:rPr>
          <w:rFonts w:cs="Times New Roman"/>
          <w:color w:val="000000" w:themeColor="text1"/>
          <w:szCs w:val="24"/>
        </w:rPr>
        <w:t>date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937C0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937C0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937C0">
        <w:rPr>
          <w:rFonts w:cs="Times New Roman"/>
          <w:color w:val="000000" w:themeColor="text1"/>
          <w:szCs w:val="24"/>
        </w:rPr>
        <w:t>final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928E3">
        <w:rPr>
          <w:rFonts w:cs="Times New Roman"/>
          <w:color w:val="000000" w:themeColor="text1"/>
          <w:szCs w:val="24"/>
        </w:rPr>
        <w:t>rule.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41364">
        <w:rPr>
          <w:rFonts w:cs="Times New Roman"/>
          <w:color w:val="000000" w:themeColor="text1"/>
          <w:szCs w:val="24"/>
        </w:rPr>
        <w:t>E</w:t>
      </w:r>
      <w:r w:rsidRPr="00C317BB" w:rsidR="0049271C">
        <w:rPr>
          <w:rFonts w:cs="Times New Roman"/>
          <w:color w:val="000000" w:themeColor="text1"/>
          <w:szCs w:val="24"/>
        </w:rPr>
        <w:t>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9271C">
        <w:rPr>
          <w:rFonts w:cs="Times New Roman"/>
          <w:color w:val="000000" w:themeColor="text1"/>
          <w:szCs w:val="24"/>
        </w:rPr>
        <w:t>recognizes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9271C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1517F">
        <w:rPr>
          <w:rFonts w:cs="Times New Roman"/>
          <w:color w:val="000000" w:themeColor="text1"/>
          <w:szCs w:val="24"/>
        </w:rPr>
        <w:t>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1517F">
        <w:rPr>
          <w:rFonts w:cs="Times New Roman"/>
          <w:color w:val="000000" w:themeColor="text1"/>
          <w:szCs w:val="24"/>
        </w:rPr>
        <w:t>ECEL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B73B4">
        <w:rPr>
          <w:rFonts w:cs="Times New Roman"/>
          <w:color w:val="000000" w:themeColor="text1"/>
          <w:szCs w:val="24"/>
        </w:rPr>
        <w:t>will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9271C">
        <w:rPr>
          <w:rFonts w:cs="Times New Roman"/>
          <w:color w:val="000000" w:themeColor="text1"/>
          <w:szCs w:val="24"/>
        </w:rPr>
        <w:t>require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B73B4">
        <w:rPr>
          <w:rFonts w:cs="Times New Roman"/>
          <w:color w:val="000000" w:themeColor="text1"/>
          <w:szCs w:val="24"/>
        </w:rPr>
        <w:t>time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562F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562F">
        <w:rPr>
          <w:rFonts w:cs="Times New Roman"/>
          <w:color w:val="000000" w:themeColor="text1"/>
          <w:szCs w:val="24"/>
        </w:rPr>
        <w:t>resources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E2C36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E2C36">
        <w:rPr>
          <w:rFonts w:cs="Times New Roman"/>
          <w:color w:val="000000" w:themeColor="text1"/>
          <w:szCs w:val="24"/>
        </w:rPr>
        <w:t>prepare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77BA3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040A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71776">
        <w:rPr>
          <w:rFonts w:cs="Times New Roman"/>
          <w:color w:val="000000" w:themeColor="text1"/>
          <w:szCs w:val="24"/>
        </w:rPr>
        <w:t>did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71776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2827">
        <w:rPr>
          <w:rFonts w:cs="Times New Roman"/>
          <w:color w:val="000000" w:themeColor="text1"/>
          <w:szCs w:val="24"/>
        </w:rPr>
        <w:t>propose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32608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32608">
        <w:rPr>
          <w:rFonts w:cs="Times New Roman"/>
          <w:color w:val="000000" w:themeColor="text1"/>
          <w:szCs w:val="24"/>
        </w:rPr>
        <w:t>include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20CB">
        <w:rPr>
          <w:rFonts w:cs="Times New Roman"/>
          <w:color w:val="000000" w:themeColor="text1"/>
          <w:szCs w:val="24"/>
        </w:rPr>
        <w:t>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20C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20C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07C7F">
        <w:rPr>
          <w:rFonts w:cs="Times New Roman"/>
          <w:color w:val="000000" w:themeColor="text1"/>
          <w:szCs w:val="24"/>
        </w:rPr>
        <w:t>two</w:t>
      </w:r>
      <w:r w:rsidRPr="00C317BB" w:rsidR="00EF4CC4">
        <w:rPr>
          <w:rFonts w:cs="Times New Roman"/>
          <w:color w:val="000000" w:themeColor="text1"/>
          <w:szCs w:val="24"/>
        </w:rPr>
        <w:t>-</w:t>
      </w:r>
      <w:r w:rsidRPr="00C317BB" w:rsidR="00307C7F">
        <w:rPr>
          <w:rFonts w:cs="Times New Roman"/>
          <w:color w:val="000000" w:themeColor="text1"/>
          <w:szCs w:val="24"/>
        </w:rPr>
        <w:t>year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07C7F">
        <w:rPr>
          <w:rFonts w:cs="Times New Roman"/>
          <w:color w:val="000000" w:themeColor="text1"/>
          <w:szCs w:val="24"/>
        </w:rPr>
        <w:t>interim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07C7F">
        <w:rPr>
          <w:rFonts w:cs="Times New Roman"/>
          <w:color w:val="000000" w:themeColor="text1"/>
          <w:szCs w:val="24"/>
        </w:rPr>
        <w:t>period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07C7F">
        <w:rPr>
          <w:rFonts w:cs="Times New Roman"/>
          <w:color w:val="000000" w:themeColor="text1"/>
          <w:szCs w:val="24"/>
        </w:rPr>
        <w:t>p</w:t>
      </w:r>
      <w:r w:rsidRPr="00C317BB" w:rsidR="00F0655C">
        <w:rPr>
          <w:rFonts w:cs="Times New Roman"/>
          <w:color w:val="000000" w:themeColor="text1"/>
          <w:szCs w:val="24"/>
        </w:rPr>
        <w:t>rior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0655C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6154F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6154F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0655C">
        <w:rPr>
          <w:rFonts w:cs="Times New Roman"/>
          <w:color w:val="000000" w:themeColor="text1"/>
          <w:szCs w:val="24"/>
        </w:rPr>
        <w:t>prohibition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6154F">
        <w:rPr>
          <w:rFonts w:cs="Times New Roman"/>
          <w:color w:val="000000" w:themeColor="text1"/>
          <w:szCs w:val="24"/>
        </w:rPr>
        <w:t>date</w:t>
      </w:r>
      <w:r w:rsidRPr="00C317BB" w:rsidR="00F0655C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071AD">
        <w:rPr>
          <w:rFonts w:cs="Times New Roman"/>
          <w:color w:val="000000" w:themeColor="text1"/>
          <w:szCs w:val="24"/>
        </w:rPr>
        <w:t>However,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3B5E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3B5E">
        <w:rPr>
          <w:rFonts w:cs="Times New Roman"/>
          <w:color w:val="000000" w:themeColor="text1"/>
          <w:szCs w:val="24"/>
        </w:rPr>
        <w:t>seeks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907DF">
        <w:rPr>
          <w:rFonts w:cs="Times New Roman"/>
          <w:color w:val="000000" w:themeColor="text1"/>
          <w:szCs w:val="24"/>
        </w:rPr>
        <w:t>public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3B5E">
        <w:rPr>
          <w:rFonts w:cs="Times New Roman"/>
          <w:color w:val="000000" w:themeColor="text1"/>
          <w:szCs w:val="24"/>
        </w:rPr>
        <w:t>comment</w:t>
      </w:r>
      <w:r w:rsidRPr="00C317BB" w:rsidR="00CA178E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A178E">
        <w:rPr>
          <w:rFonts w:cs="Times New Roman"/>
          <w:color w:val="000000" w:themeColor="text1"/>
          <w:szCs w:val="24"/>
        </w:rPr>
        <w:t>including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A178E">
        <w:rPr>
          <w:rFonts w:cs="Times New Roman"/>
          <w:color w:val="000000" w:themeColor="text1"/>
          <w:szCs w:val="24"/>
        </w:rPr>
        <w:t>data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A178E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A178E">
        <w:rPr>
          <w:rFonts w:cs="Times New Roman"/>
          <w:color w:val="000000" w:themeColor="text1"/>
          <w:szCs w:val="24"/>
        </w:rPr>
        <w:t>costs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A178E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A178E">
        <w:rPr>
          <w:rFonts w:cs="Times New Roman"/>
          <w:color w:val="000000" w:themeColor="text1"/>
          <w:szCs w:val="24"/>
        </w:rPr>
        <w:t>feasibility,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3B5E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32608">
        <w:rPr>
          <w:rFonts w:cs="Times New Roman"/>
          <w:color w:val="000000" w:themeColor="text1"/>
          <w:szCs w:val="24"/>
        </w:rPr>
        <w:t>requi</w:t>
      </w:r>
      <w:r w:rsidRPr="00C317BB" w:rsidR="00966BDB">
        <w:rPr>
          <w:rFonts w:cs="Times New Roman"/>
          <w:color w:val="000000" w:themeColor="text1"/>
          <w:szCs w:val="24"/>
        </w:rPr>
        <w:t>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6BDB">
        <w:rPr>
          <w:rFonts w:cs="Times New Roman"/>
          <w:color w:val="000000" w:themeColor="text1"/>
          <w:szCs w:val="24"/>
        </w:rPr>
        <w:t>compliance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6BDB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54E0A">
        <w:rPr>
          <w:rFonts w:cs="Times New Roman"/>
          <w:color w:val="000000" w:themeColor="text1"/>
          <w:szCs w:val="24"/>
        </w:rPr>
        <w:t>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54E0A">
        <w:rPr>
          <w:rFonts w:cs="Times New Roman"/>
          <w:color w:val="000000" w:themeColor="text1"/>
          <w:szCs w:val="24"/>
        </w:rPr>
        <w:t>ECEL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C08B3">
        <w:rPr>
          <w:rFonts w:cs="Times New Roman"/>
          <w:color w:val="000000" w:themeColor="text1"/>
          <w:szCs w:val="24"/>
        </w:rPr>
        <w:t>during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C08B3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C08B3">
        <w:rPr>
          <w:rFonts w:cs="Times New Roman"/>
          <w:color w:val="000000" w:themeColor="text1"/>
          <w:szCs w:val="24"/>
        </w:rPr>
        <w:t>period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C08B3">
        <w:rPr>
          <w:rFonts w:cs="Times New Roman"/>
          <w:color w:val="000000" w:themeColor="text1"/>
          <w:szCs w:val="24"/>
        </w:rPr>
        <w:t>beginning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C08B3">
        <w:rPr>
          <w:rFonts w:cs="Times New Roman"/>
          <w:color w:val="000000" w:themeColor="text1"/>
          <w:szCs w:val="24"/>
        </w:rPr>
        <w:t>180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C08B3">
        <w:rPr>
          <w:rFonts w:cs="Times New Roman"/>
          <w:color w:val="000000" w:themeColor="text1"/>
          <w:szCs w:val="24"/>
        </w:rPr>
        <w:t>days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C08B3">
        <w:rPr>
          <w:rFonts w:cs="Times New Roman"/>
          <w:color w:val="000000" w:themeColor="text1"/>
          <w:szCs w:val="24"/>
        </w:rPr>
        <w:t>after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C08B3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C08B3">
        <w:rPr>
          <w:rFonts w:cs="Times New Roman"/>
          <w:color w:val="000000" w:themeColor="text1"/>
          <w:szCs w:val="24"/>
        </w:rPr>
        <w:t>effective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C08B3">
        <w:rPr>
          <w:rFonts w:cs="Times New Roman"/>
          <w:color w:val="000000" w:themeColor="text1"/>
          <w:szCs w:val="24"/>
        </w:rPr>
        <w:t>date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C08B3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C08B3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C08B3">
        <w:rPr>
          <w:rFonts w:cs="Times New Roman"/>
          <w:color w:val="000000" w:themeColor="text1"/>
          <w:szCs w:val="24"/>
        </w:rPr>
        <w:t>final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C08B3">
        <w:rPr>
          <w:rFonts w:cs="Times New Roman"/>
          <w:color w:val="000000" w:themeColor="text1"/>
          <w:szCs w:val="24"/>
        </w:rPr>
        <w:t>rule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C08B3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C08B3">
        <w:rPr>
          <w:rFonts w:cs="Times New Roman"/>
          <w:color w:val="000000" w:themeColor="text1"/>
          <w:szCs w:val="24"/>
        </w:rPr>
        <w:t>continuing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C08B3">
        <w:rPr>
          <w:rFonts w:cs="Times New Roman"/>
          <w:color w:val="000000" w:themeColor="text1"/>
          <w:szCs w:val="24"/>
        </w:rPr>
        <w:t>until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C08B3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C08B3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C08B3">
        <w:rPr>
          <w:rFonts w:cs="Times New Roman"/>
          <w:color w:val="000000" w:themeColor="text1"/>
          <w:szCs w:val="24"/>
        </w:rPr>
        <w:t>prohibition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C08B3">
        <w:rPr>
          <w:rFonts w:cs="Times New Roman"/>
          <w:color w:val="000000" w:themeColor="text1"/>
          <w:szCs w:val="24"/>
        </w:rPr>
        <w:t>date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C4D45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C4D45">
        <w:rPr>
          <w:rFonts w:cs="Times New Roman"/>
          <w:color w:val="000000" w:themeColor="text1"/>
          <w:szCs w:val="24"/>
        </w:rPr>
        <w:t>processing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C4D45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C4D45">
        <w:rPr>
          <w:rFonts w:cs="Times New Roman"/>
          <w:color w:val="000000" w:themeColor="text1"/>
          <w:szCs w:val="24"/>
        </w:rPr>
        <w:t>commercial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C4D45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C4D45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C4D45">
        <w:rPr>
          <w:rFonts w:cs="Times New Roman"/>
          <w:color w:val="000000" w:themeColor="text1"/>
          <w:szCs w:val="24"/>
        </w:rPr>
        <w:t>these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C4D45">
        <w:rPr>
          <w:rFonts w:cs="Times New Roman"/>
          <w:color w:val="000000" w:themeColor="text1"/>
          <w:szCs w:val="24"/>
        </w:rPr>
        <w:t>uses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C4D45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C4D45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C4D45">
        <w:rPr>
          <w:rFonts w:cs="Times New Roman"/>
          <w:color w:val="000000" w:themeColor="text1"/>
          <w:szCs w:val="24"/>
        </w:rPr>
        <w:t>asbestos</w:t>
      </w:r>
      <w:r w:rsidRPr="00C317BB" w:rsidR="00954E0A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86071B" w:rsidP="00F27167" w:rsidRDefault="00FE7821" w14:paraId="119859C8" w14:textId="454E11A7">
      <w:pPr>
        <w:pStyle w:val="Heading3"/>
        <w:ind w:firstLine="720"/>
        <w:rPr>
          <w:rFonts w:cs="Times New Roman"/>
          <w:color w:val="000000" w:themeColor="text1"/>
          <w:szCs w:val="24"/>
          <w:lang w:val="en"/>
        </w:rPr>
      </w:pPr>
      <w:r w:rsidRPr="00C317BB">
        <w:rPr>
          <w:rFonts w:cs="Times New Roman"/>
          <w:color w:val="000000" w:themeColor="text1"/>
          <w:szCs w:val="24"/>
          <w:lang w:val="en"/>
        </w:rPr>
        <w:t>4.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C030DA">
        <w:rPr>
          <w:rFonts w:cs="Times New Roman"/>
          <w:color w:val="000000" w:themeColor="text1"/>
          <w:szCs w:val="24"/>
          <w:lang w:val="en"/>
        </w:rPr>
        <w:t>C</w:t>
      </w:r>
      <w:r w:rsidRPr="00C317BB" w:rsidR="00697AFE">
        <w:rPr>
          <w:rFonts w:cs="Times New Roman"/>
          <w:color w:val="000000" w:themeColor="text1"/>
          <w:szCs w:val="24"/>
          <w:lang w:val="en"/>
        </w:rPr>
        <w:t>ompliance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3307B4">
        <w:rPr>
          <w:rFonts w:cs="Times New Roman"/>
          <w:color w:val="000000" w:themeColor="text1"/>
          <w:szCs w:val="24"/>
          <w:lang w:val="en"/>
        </w:rPr>
        <w:t>d</w:t>
      </w:r>
      <w:r w:rsidRPr="00C317BB" w:rsidR="00C47D3A">
        <w:rPr>
          <w:rFonts w:cs="Times New Roman"/>
          <w:color w:val="000000" w:themeColor="text1"/>
          <w:szCs w:val="24"/>
          <w:lang w:val="en"/>
        </w:rPr>
        <w:t>ate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C47D3A">
        <w:rPr>
          <w:rFonts w:cs="Times New Roman"/>
          <w:color w:val="000000" w:themeColor="text1"/>
          <w:szCs w:val="24"/>
          <w:lang w:val="en"/>
        </w:rPr>
        <w:t>for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C47D3A">
        <w:rPr>
          <w:rFonts w:cs="Times New Roman"/>
          <w:color w:val="000000" w:themeColor="text1"/>
          <w:szCs w:val="24"/>
          <w:lang w:val="en"/>
        </w:rPr>
        <w:t>the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3307B4">
        <w:rPr>
          <w:rFonts w:cs="Times New Roman"/>
          <w:color w:val="000000" w:themeColor="text1"/>
          <w:szCs w:val="24"/>
          <w:lang w:val="en"/>
        </w:rPr>
        <w:t>p</w:t>
      </w:r>
      <w:r w:rsidRPr="00C317BB" w:rsidR="00C47D3A">
        <w:rPr>
          <w:rFonts w:cs="Times New Roman"/>
          <w:color w:val="000000" w:themeColor="text1"/>
          <w:szCs w:val="24"/>
          <w:lang w:val="en"/>
        </w:rPr>
        <w:t>rohibition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C47D3A">
        <w:rPr>
          <w:rFonts w:cs="Times New Roman"/>
          <w:color w:val="000000" w:themeColor="text1"/>
          <w:szCs w:val="24"/>
          <w:lang w:val="en"/>
        </w:rPr>
        <w:t>of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943F01">
        <w:rPr>
          <w:rFonts w:cs="Times New Roman"/>
          <w:color w:val="000000" w:themeColor="text1"/>
          <w:szCs w:val="24"/>
          <w:lang w:val="en"/>
        </w:rPr>
        <w:t>manufacture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943F01">
        <w:rPr>
          <w:rFonts w:cs="Times New Roman"/>
          <w:color w:val="000000" w:themeColor="text1"/>
          <w:szCs w:val="24"/>
          <w:lang w:val="en"/>
        </w:rPr>
        <w:t>(including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943F01">
        <w:rPr>
          <w:rFonts w:cs="Times New Roman"/>
          <w:color w:val="000000" w:themeColor="text1"/>
          <w:szCs w:val="24"/>
          <w:lang w:val="en"/>
        </w:rPr>
        <w:t>import)</w:t>
      </w:r>
      <w:r w:rsidRPr="00C317BB" w:rsidR="00C47D3A">
        <w:rPr>
          <w:rFonts w:cs="Times New Roman"/>
          <w:color w:val="000000" w:themeColor="text1"/>
          <w:szCs w:val="24"/>
          <w:lang w:val="en"/>
        </w:rPr>
        <w:t>,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3307B4">
        <w:rPr>
          <w:rFonts w:cs="Times New Roman"/>
          <w:color w:val="000000" w:themeColor="text1"/>
          <w:szCs w:val="24"/>
          <w:lang w:val="en"/>
        </w:rPr>
        <w:t>p</w:t>
      </w:r>
      <w:r w:rsidRPr="00C317BB" w:rsidR="00C47D3A">
        <w:rPr>
          <w:rFonts w:cs="Times New Roman"/>
          <w:color w:val="000000" w:themeColor="text1"/>
          <w:szCs w:val="24"/>
          <w:lang w:val="en"/>
        </w:rPr>
        <w:t>rocessing,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3307B4">
        <w:rPr>
          <w:rFonts w:cs="Times New Roman"/>
          <w:color w:val="000000" w:themeColor="text1"/>
          <w:szCs w:val="24"/>
          <w:lang w:val="en"/>
        </w:rPr>
        <w:t>d</w:t>
      </w:r>
      <w:r w:rsidRPr="00C317BB" w:rsidR="00BF5452">
        <w:rPr>
          <w:rFonts w:cs="Times New Roman"/>
          <w:color w:val="000000" w:themeColor="text1"/>
          <w:szCs w:val="24"/>
          <w:lang w:val="en"/>
        </w:rPr>
        <w:t>istribution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BF5452">
        <w:rPr>
          <w:rFonts w:cs="Times New Roman"/>
          <w:color w:val="000000" w:themeColor="text1"/>
          <w:szCs w:val="24"/>
          <w:lang w:val="en"/>
        </w:rPr>
        <w:t>in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3307B4">
        <w:rPr>
          <w:rFonts w:cs="Times New Roman"/>
          <w:color w:val="000000" w:themeColor="text1"/>
          <w:szCs w:val="24"/>
          <w:lang w:val="en"/>
        </w:rPr>
        <w:t>c</w:t>
      </w:r>
      <w:r w:rsidRPr="00C317BB" w:rsidR="00BF5452">
        <w:rPr>
          <w:rFonts w:cs="Times New Roman"/>
          <w:color w:val="000000" w:themeColor="text1"/>
          <w:szCs w:val="24"/>
          <w:lang w:val="en"/>
        </w:rPr>
        <w:t>ommerce,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BF5452">
        <w:rPr>
          <w:rFonts w:cs="Times New Roman"/>
          <w:color w:val="000000" w:themeColor="text1"/>
          <w:szCs w:val="24"/>
          <w:lang w:val="en"/>
        </w:rPr>
        <w:t>and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B654EE">
        <w:rPr>
          <w:rFonts w:cs="Times New Roman"/>
          <w:color w:val="000000" w:themeColor="text1"/>
          <w:szCs w:val="24"/>
          <w:lang w:val="en"/>
        </w:rPr>
        <w:t>commercial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3307B4">
        <w:rPr>
          <w:rFonts w:cs="Times New Roman"/>
          <w:color w:val="000000" w:themeColor="text1"/>
          <w:szCs w:val="24"/>
          <w:lang w:val="en"/>
        </w:rPr>
        <w:t>u</w:t>
      </w:r>
      <w:r w:rsidRPr="00C317BB" w:rsidR="00FA3144">
        <w:rPr>
          <w:rFonts w:cs="Times New Roman"/>
          <w:color w:val="000000" w:themeColor="text1"/>
          <w:szCs w:val="24"/>
          <w:lang w:val="en"/>
        </w:rPr>
        <w:t>se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FA3144">
        <w:rPr>
          <w:rFonts w:cs="Times New Roman"/>
          <w:color w:val="000000" w:themeColor="text1"/>
          <w:szCs w:val="24"/>
          <w:lang w:val="en"/>
        </w:rPr>
        <w:t>of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3307B4">
        <w:rPr>
          <w:rFonts w:cs="Times New Roman"/>
          <w:color w:val="000000" w:themeColor="text1"/>
          <w:szCs w:val="24"/>
          <w:lang w:val="en"/>
        </w:rPr>
        <w:t>c</w:t>
      </w:r>
      <w:r w:rsidRPr="00C317BB" w:rsidR="00332710">
        <w:rPr>
          <w:rFonts w:cs="Times New Roman"/>
          <w:color w:val="000000" w:themeColor="text1"/>
          <w:szCs w:val="24"/>
          <w:lang w:val="en"/>
        </w:rPr>
        <w:t>hrysotile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3307B4">
        <w:rPr>
          <w:rFonts w:cs="Times New Roman"/>
          <w:color w:val="000000" w:themeColor="text1"/>
          <w:szCs w:val="24"/>
          <w:lang w:val="en"/>
        </w:rPr>
        <w:t>a</w:t>
      </w:r>
      <w:r w:rsidRPr="00C317BB" w:rsidR="00332710">
        <w:rPr>
          <w:rFonts w:cs="Times New Roman"/>
          <w:color w:val="000000" w:themeColor="text1"/>
          <w:szCs w:val="24"/>
          <w:lang w:val="en"/>
        </w:rPr>
        <w:t>sbestos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F16106">
        <w:rPr>
          <w:rFonts w:cs="Times New Roman"/>
          <w:color w:val="000000" w:themeColor="text1"/>
          <w:szCs w:val="24"/>
          <w:lang w:val="en"/>
        </w:rPr>
        <w:t>in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F16106">
        <w:rPr>
          <w:rFonts w:cs="Times New Roman"/>
          <w:color w:val="000000" w:themeColor="text1"/>
          <w:szCs w:val="24"/>
          <w:lang w:val="en"/>
        </w:rPr>
        <w:t>b</w:t>
      </w:r>
      <w:r w:rsidRPr="00C317BB" w:rsidR="00C708F3">
        <w:rPr>
          <w:rFonts w:cs="Times New Roman"/>
          <w:color w:val="000000" w:themeColor="text1"/>
          <w:szCs w:val="24"/>
          <w:lang w:val="en"/>
        </w:rPr>
        <w:t>ulk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C708F3">
        <w:rPr>
          <w:rFonts w:cs="Times New Roman"/>
          <w:color w:val="000000" w:themeColor="text1"/>
          <w:szCs w:val="24"/>
          <w:lang w:val="en"/>
        </w:rPr>
        <w:t>for</w:t>
      </w:r>
      <w:r w:rsidRPr="00C317BB" w:rsidR="00C9750B">
        <w:rPr>
          <w:rFonts w:cs="Times New Roman"/>
          <w:color w:val="000000" w:themeColor="text1"/>
          <w:szCs w:val="24"/>
          <w:lang w:val="en"/>
        </w:rPr>
        <w:t>m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C708F3">
        <w:rPr>
          <w:rFonts w:cs="Times New Roman"/>
          <w:color w:val="000000" w:themeColor="text1"/>
          <w:szCs w:val="24"/>
          <w:lang w:val="en"/>
        </w:rPr>
        <w:t>or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C708F3">
        <w:rPr>
          <w:rFonts w:cs="Times New Roman"/>
          <w:color w:val="000000" w:themeColor="text1"/>
          <w:szCs w:val="24"/>
          <w:lang w:val="en"/>
        </w:rPr>
        <w:t>as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C708F3">
        <w:rPr>
          <w:rFonts w:cs="Times New Roman"/>
          <w:color w:val="000000" w:themeColor="text1"/>
          <w:szCs w:val="24"/>
          <w:lang w:val="en"/>
        </w:rPr>
        <w:t>part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C708F3">
        <w:rPr>
          <w:rFonts w:cs="Times New Roman"/>
          <w:color w:val="000000" w:themeColor="text1"/>
          <w:szCs w:val="24"/>
          <w:lang w:val="en"/>
        </w:rPr>
        <w:t>of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C708F3">
        <w:rPr>
          <w:rFonts w:cs="Times New Roman"/>
          <w:color w:val="000000" w:themeColor="text1"/>
          <w:szCs w:val="24"/>
          <w:lang w:val="en"/>
        </w:rPr>
        <w:t>chrysotile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C708F3">
        <w:rPr>
          <w:rFonts w:cs="Times New Roman"/>
          <w:color w:val="000000" w:themeColor="text1"/>
          <w:szCs w:val="24"/>
          <w:lang w:val="en"/>
        </w:rPr>
        <w:t>asbestos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3307B4">
        <w:rPr>
          <w:rFonts w:cs="Times New Roman"/>
          <w:color w:val="000000" w:themeColor="text1"/>
          <w:szCs w:val="24"/>
          <w:lang w:val="en"/>
        </w:rPr>
        <w:t>d</w:t>
      </w:r>
      <w:r w:rsidRPr="00C317BB" w:rsidR="00332710">
        <w:rPr>
          <w:rFonts w:cs="Times New Roman"/>
          <w:color w:val="000000" w:themeColor="text1"/>
          <w:szCs w:val="24"/>
          <w:lang w:val="en"/>
        </w:rPr>
        <w:t>iaphragms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332710">
        <w:rPr>
          <w:rFonts w:cs="Times New Roman"/>
          <w:color w:val="000000" w:themeColor="text1"/>
          <w:szCs w:val="24"/>
          <w:lang w:val="en"/>
        </w:rPr>
        <w:t>in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332710">
        <w:rPr>
          <w:rFonts w:cs="Times New Roman"/>
          <w:color w:val="000000" w:themeColor="text1"/>
          <w:szCs w:val="24"/>
          <w:lang w:val="en"/>
        </w:rPr>
        <w:t>the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3307B4">
        <w:rPr>
          <w:rFonts w:cs="Times New Roman"/>
          <w:color w:val="000000" w:themeColor="text1"/>
          <w:szCs w:val="24"/>
          <w:lang w:val="en"/>
        </w:rPr>
        <w:t>c</w:t>
      </w:r>
      <w:r w:rsidRPr="00C317BB" w:rsidR="00332710">
        <w:rPr>
          <w:rFonts w:cs="Times New Roman"/>
          <w:color w:val="000000" w:themeColor="text1"/>
          <w:szCs w:val="24"/>
          <w:lang w:val="en"/>
        </w:rPr>
        <w:t>hlor-</w:t>
      </w:r>
      <w:r w:rsidRPr="00C317BB" w:rsidR="003307B4">
        <w:rPr>
          <w:rFonts w:cs="Times New Roman"/>
          <w:color w:val="000000" w:themeColor="text1"/>
          <w:szCs w:val="24"/>
          <w:lang w:val="en"/>
        </w:rPr>
        <w:t>a</w:t>
      </w:r>
      <w:r w:rsidRPr="00C317BB" w:rsidR="00332710">
        <w:rPr>
          <w:rFonts w:cs="Times New Roman"/>
          <w:color w:val="000000" w:themeColor="text1"/>
          <w:szCs w:val="24"/>
          <w:lang w:val="en"/>
        </w:rPr>
        <w:t>lkali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3307B4">
        <w:rPr>
          <w:rFonts w:cs="Times New Roman"/>
          <w:color w:val="000000" w:themeColor="text1"/>
          <w:szCs w:val="24"/>
          <w:lang w:val="en"/>
        </w:rPr>
        <w:t>i</w:t>
      </w:r>
      <w:r w:rsidRPr="00C317BB" w:rsidR="00332710">
        <w:rPr>
          <w:rFonts w:cs="Times New Roman"/>
          <w:color w:val="000000" w:themeColor="text1"/>
          <w:szCs w:val="24"/>
          <w:lang w:val="en"/>
        </w:rPr>
        <w:t>ndustry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B654EE">
        <w:rPr>
          <w:rFonts w:cs="Times New Roman"/>
          <w:color w:val="000000" w:themeColor="text1"/>
          <w:szCs w:val="24"/>
          <w:lang w:val="en"/>
        </w:rPr>
        <w:t>and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A70522">
        <w:rPr>
          <w:rFonts w:cs="Times New Roman"/>
          <w:color w:val="000000" w:themeColor="text1"/>
          <w:szCs w:val="24"/>
          <w:lang w:val="en"/>
        </w:rPr>
        <w:t>for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3307B4">
        <w:rPr>
          <w:rFonts w:cs="Times New Roman"/>
          <w:color w:val="000000" w:themeColor="text1"/>
          <w:szCs w:val="24"/>
          <w:lang w:val="en"/>
        </w:rPr>
        <w:t>c</w:t>
      </w:r>
      <w:r w:rsidRPr="00C317BB" w:rsidR="00332710">
        <w:rPr>
          <w:rFonts w:cs="Times New Roman"/>
          <w:color w:val="000000" w:themeColor="text1"/>
          <w:szCs w:val="24"/>
          <w:lang w:val="en"/>
        </w:rPr>
        <w:t>hrysotile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3307B4">
        <w:rPr>
          <w:rFonts w:cs="Times New Roman"/>
          <w:color w:val="000000" w:themeColor="text1"/>
          <w:szCs w:val="24"/>
          <w:lang w:val="en"/>
        </w:rPr>
        <w:t>a</w:t>
      </w:r>
      <w:r w:rsidRPr="00C317BB" w:rsidR="00332710">
        <w:rPr>
          <w:rFonts w:cs="Times New Roman"/>
          <w:color w:val="000000" w:themeColor="text1"/>
          <w:szCs w:val="24"/>
          <w:lang w:val="en"/>
        </w:rPr>
        <w:t>sbestos-containing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3307B4">
        <w:rPr>
          <w:rFonts w:cs="Times New Roman"/>
          <w:color w:val="000000" w:themeColor="text1"/>
          <w:szCs w:val="24"/>
          <w:lang w:val="en"/>
        </w:rPr>
        <w:t>s</w:t>
      </w:r>
      <w:r w:rsidRPr="00C317BB" w:rsidR="00332710">
        <w:rPr>
          <w:rFonts w:cs="Times New Roman"/>
          <w:color w:val="000000" w:themeColor="text1"/>
          <w:szCs w:val="24"/>
          <w:lang w:val="en"/>
        </w:rPr>
        <w:t>heet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3307B4">
        <w:rPr>
          <w:rFonts w:cs="Times New Roman"/>
          <w:color w:val="000000" w:themeColor="text1"/>
          <w:szCs w:val="24"/>
          <w:lang w:val="en"/>
        </w:rPr>
        <w:t>g</w:t>
      </w:r>
      <w:r w:rsidRPr="00C317BB" w:rsidR="00332710">
        <w:rPr>
          <w:rFonts w:cs="Times New Roman"/>
          <w:color w:val="000000" w:themeColor="text1"/>
          <w:szCs w:val="24"/>
          <w:lang w:val="en"/>
        </w:rPr>
        <w:t>askets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4E68A8">
        <w:rPr>
          <w:rFonts w:cs="Times New Roman"/>
          <w:color w:val="000000" w:themeColor="text1"/>
          <w:szCs w:val="24"/>
          <w:lang w:val="en"/>
        </w:rPr>
        <w:t>u</w:t>
      </w:r>
      <w:r w:rsidRPr="00C317BB" w:rsidR="00A94B8C">
        <w:rPr>
          <w:rFonts w:cs="Times New Roman"/>
          <w:color w:val="000000" w:themeColor="text1"/>
          <w:szCs w:val="24"/>
          <w:lang w:val="en"/>
        </w:rPr>
        <w:t>sed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332710">
        <w:rPr>
          <w:rFonts w:cs="Times New Roman"/>
          <w:color w:val="000000" w:themeColor="text1"/>
          <w:szCs w:val="24"/>
          <w:lang w:val="en"/>
        </w:rPr>
        <w:t>in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4E68A8">
        <w:rPr>
          <w:rFonts w:cs="Times New Roman"/>
          <w:color w:val="000000" w:themeColor="text1"/>
          <w:szCs w:val="24"/>
          <w:lang w:val="en"/>
        </w:rPr>
        <w:t>c</w:t>
      </w:r>
      <w:r w:rsidRPr="00C317BB" w:rsidR="00332710">
        <w:rPr>
          <w:rFonts w:cs="Times New Roman"/>
          <w:color w:val="000000" w:themeColor="text1"/>
          <w:szCs w:val="24"/>
          <w:lang w:val="en"/>
        </w:rPr>
        <w:t>hemical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4E68A8">
        <w:rPr>
          <w:rFonts w:cs="Times New Roman"/>
          <w:color w:val="000000" w:themeColor="text1"/>
          <w:szCs w:val="24"/>
          <w:lang w:val="en"/>
        </w:rPr>
        <w:t>p</w:t>
      </w:r>
      <w:r w:rsidRPr="00C317BB" w:rsidR="00332710">
        <w:rPr>
          <w:rFonts w:cs="Times New Roman"/>
          <w:color w:val="000000" w:themeColor="text1"/>
          <w:szCs w:val="24"/>
          <w:lang w:val="en"/>
        </w:rPr>
        <w:t>roduc</w:t>
      </w:r>
      <w:r w:rsidRPr="00C317BB" w:rsidR="00A94B8C">
        <w:rPr>
          <w:rFonts w:cs="Times New Roman"/>
          <w:color w:val="000000" w:themeColor="text1"/>
          <w:szCs w:val="24"/>
          <w:lang w:val="en"/>
        </w:rPr>
        <w:t>tion</w:t>
      </w:r>
      <w:r w:rsidRPr="00C317BB" w:rsidR="00C070B9">
        <w:rPr>
          <w:rFonts w:cs="Times New Roman"/>
          <w:color w:val="000000" w:themeColor="text1"/>
          <w:szCs w:val="24"/>
          <w:lang w:val="en"/>
        </w:rPr>
        <w:t>.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</w:p>
    <w:p w:rsidRPr="00C317BB" w:rsidR="002D7D75" w:rsidP="00F27167" w:rsidRDefault="002D163B" w14:paraId="5196EB3B" w14:textId="7E6954E5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60E33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60E33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66800">
        <w:rPr>
          <w:rFonts w:cs="Times New Roman"/>
          <w:color w:val="000000" w:themeColor="text1"/>
          <w:szCs w:val="24"/>
        </w:rPr>
        <w:t>prohibition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66800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66800">
        <w:rPr>
          <w:rFonts w:cs="Times New Roman"/>
          <w:color w:val="000000" w:themeColor="text1"/>
          <w:szCs w:val="24"/>
        </w:rPr>
        <w:t>manufactur</w:t>
      </w:r>
      <w:r w:rsidRPr="00C317BB" w:rsidR="00F83D2F">
        <w:rPr>
          <w:rFonts w:cs="Times New Roman"/>
          <w:color w:val="000000" w:themeColor="text1"/>
          <w:szCs w:val="24"/>
        </w:rPr>
        <w:t>ing</w:t>
      </w:r>
      <w:r w:rsidRPr="00C317BB" w:rsidR="00166800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66800">
        <w:rPr>
          <w:rFonts w:cs="Times New Roman"/>
          <w:color w:val="000000" w:themeColor="text1"/>
          <w:szCs w:val="24"/>
        </w:rPr>
        <w:t>processing,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66800">
        <w:rPr>
          <w:rFonts w:cs="Times New Roman"/>
          <w:color w:val="000000" w:themeColor="text1"/>
          <w:szCs w:val="24"/>
        </w:rPr>
        <w:t>distribution,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66800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66800">
        <w:rPr>
          <w:rFonts w:cs="Times New Roman"/>
          <w:color w:val="000000" w:themeColor="text1"/>
          <w:szCs w:val="24"/>
        </w:rPr>
        <w:t>commercial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66800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66800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3CEE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3CEE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3CEE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3CEE">
        <w:rPr>
          <w:rFonts w:cs="Times New Roman"/>
          <w:color w:val="000000" w:themeColor="text1"/>
          <w:szCs w:val="24"/>
        </w:rPr>
        <w:t>bulk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3CEE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64AA4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64AA4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64AA4">
        <w:rPr>
          <w:rFonts w:cs="Times New Roman"/>
          <w:color w:val="000000" w:themeColor="text1"/>
          <w:szCs w:val="24"/>
        </w:rPr>
        <w:t>part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64AA4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2CBC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2CBC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2CBC">
        <w:rPr>
          <w:rFonts w:cs="Times New Roman"/>
          <w:color w:val="000000" w:themeColor="text1"/>
          <w:szCs w:val="24"/>
        </w:rPr>
        <w:t>diaphragms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5065F">
        <w:rPr>
          <w:rFonts w:cs="Times New Roman"/>
          <w:color w:val="000000" w:themeColor="text1"/>
          <w:szCs w:val="24"/>
        </w:rPr>
        <w:t>used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2CBC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2CBC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5065F">
        <w:rPr>
          <w:rFonts w:cs="Times New Roman"/>
          <w:color w:val="000000" w:themeColor="text1"/>
          <w:szCs w:val="24"/>
        </w:rPr>
        <w:t>c</w:t>
      </w:r>
      <w:r w:rsidRPr="00C317BB" w:rsidR="008A2CBC">
        <w:rPr>
          <w:rFonts w:cs="Times New Roman"/>
          <w:color w:val="000000" w:themeColor="text1"/>
          <w:szCs w:val="24"/>
        </w:rPr>
        <w:t>hlor-</w:t>
      </w:r>
      <w:r w:rsidRPr="00C317BB" w:rsidR="0095065F">
        <w:rPr>
          <w:rFonts w:cs="Times New Roman"/>
          <w:color w:val="000000" w:themeColor="text1"/>
          <w:szCs w:val="24"/>
        </w:rPr>
        <w:t>a</w:t>
      </w:r>
      <w:r w:rsidRPr="00C317BB" w:rsidR="008A2CBC">
        <w:rPr>
          <w:rFonts w:cs="Times New Roman"/>
          <w:color w:val="000000" w:themeColor="text1"/>
          <w:szCs w:val="24"/>
        </w:rPr>
        <w:t>lkali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5065F">
        <w:rPr>
          <w:rFonts w:cs="Times New Roman"/>
          <w:color w:val="000000" w:themeColor="text1"/>
          <w:szCs w:val="24"/>
        </w:rPr>
        <w:t>i</w:t>
      </w:r>
      <w:r w:rsidRPr="00C317BB" w:rsidR="008A2CBC">
        <w:rPr>
          <w:rFonts w:cs="Times New Roman"/>
          <w:color w:val="000000" w:themeColor="text1"/>
          <w:szCs w:val="24"/>
        </w:rPr>
        <w:t>ndustry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5065F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70522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5065F">
        <w:rPr>
          <w:rFonts w:cs="Times New Roman"/>
          <w:color w:val="000000" w:themeColor="text1"/>
          <w:szCs w:val="24"/>
        </w:rPr>
        <w:t>c</w:t>
      </w:r>
      <w:r w:rsidRPr="00C317BB" w:rsidR="008A2CBC">
        <w:rPr>
          <w:rFonts w:cs="Times New Roman"/>
          <w:color w:val="000000" w:themeColor="text1"/>
          <w:szCs w:val="24"/>
        </w:rPr>
        <w:t>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5065F">
        <w:rPr>
          <w:rFonts w:cs="Times New Roman"/>
          <w:color w:val="000000" w:themeColor="text1"/>
          <w:szCs w:val="24"/>
        </w:rPr>
        <w:t>a</w:t>
      </w:r>
      <w:r w:rsidRPr="00C317BB" w:rsidR="008A2CBC">
        <w:rPr>
          <w:rFonts w:cs="Times New Roman"/>
          <w:color w:val="000000" w:themeColor="text1"/>
          <w:szCs w:val="24"/>
        </w:rPr>
        <w:t>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5065F">
        <w:rPr>
          <w:rFonts w:cs="Times New Roman"/>
          <w:color w:val="000000" w:themeColor="text1"/>
          <w:szCs w:val="24"/>
        </w:rPr>
        <w:t>s</w:t>
      </w:r>
      <w:r w:rsidRPr="00C317BB" w:rsidR="008A2CBC">
        <w:rPr>
          <w:rFonts w:cs="Times New Roman"/>
          <w:color w:val="000000" w:themeColor="text1"/>
          <w:szCs w:val="24"/>
        </w:rPr>
        <w:t>heet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5065F">
        <w:rPr>
          <w:rFonts w:cs="Times New Roman"/>
          <w:color w:val="000000" w:themeColor="text1"/>
          <w:szCs w:val="24"/>
        </w:rPr>
        <w:t>g</w:t>
      </w:r>
      <w:r w:rsidRPr="00C317BB" w:rsidR="008A2CBC">
        <w:rPr>
          <w:rFonts w:cs="Times New Roman"/>
          <w:color w:val="000000" w:themeColor="text1"/>
          <w:szCs w:val="24"/>
        </w:rPr>
        <w:t>askets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5065F">
        <w:rPr>
          <w:rFonts w:cs="Times New Roman"/>
          <w:color w:val="000000" w:themeColor="text1"/>
          <w:szCs w:val="24"/>
        </w:rPr>
        <w:t>u</w:t>
      </w:r>
      <w:r w:rsidRPr="00C317BB" w:rsidR="008A2CBC">
        <w:rPr>
          <w:rFonts w:cs="Times New Roman"/>
          <w:color w:val="000000" w:themeColor="text1"/>
          <w:szCs w:val="24"/>
        </w:rPr>
        <w:t>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2CBC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5065F">
        <w:rPr>
          <w:rFonts w:cs="Times New Roman"/>
          <w:color w:val="000000" w:themeColor="text1"/>
          <w:szCs w:val="24"/>
        </w:rPr>
        <w:t>c</w:t>
      </w:r>
      <w:r w:rsidRPr="00C317BB" w:rsidR="008A2CBC">
        <w:rPr>
          <w:rFonts w:cs="Times New Roman"/>
          <w:color w:val="000000" w:themeColor="text1"/>
          <w:szCs w:val="24"/>
        </w:rPr>
        <w:t>hemical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5065F">
        <w:rPr>
          <w:rFonts w:cs="Times New Roman"/>
          <w:color w:val="000000" w:themeColor="text1"/>
          <w:szCs w:val="24"/>
        </w:rPr>
        <w:t>p</w:t>
      </w:r>
      <w:r w:rsidRPr="00C317BB" w:rsidR="008A2CBC">
        <w:rPr>
          <w:rFonts w:cs="Times New Roman"/>
          <w:color w:val="000000" w:themeColor="text1"/>
          <w:szCs w:val="24"/>
        </w:rPr>
        <w:t>roduction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3B1E">
        <w:rPr>
          <w:rFonts w:cs="Times New Roman"/>
          <w:color w:val="000000" w:themeColor="text1"/>
          <w:szCs w:val="24"/>
        </w:rPr>
        <w:t>uses</w:t>
      </w:r>
      <w:r w:rsidRPr="00C317BB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322FD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322FD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75F16">
        <w:rPr>
          <w:rFonts w:cs="Times New Roman"/>
          <w:color w:val="000000" w:themeColor="text1"/>
          <w:szCs w:val="24"/>
        </w:rPr>
        <w:t>proposing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07A6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07A6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373AF">
        <w:rPr>
          <w:rFonts w:cs="Times New Roman"/>
          <w:color w:val="000000" w:themeColor="text1"/>
          <w:szCs w:val="24"/>
        </w:rPr>
        <w:t>prohibition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373AF">
        <w:rPr>
          <w:rFonts w:cs="Times New Roman"/>
          <w:color w:val="000000" w:themeColor="text1"/>
          <w:szCs w:val="24"/>
        </w:rPr>
        <w:t>begin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373AF">
        <w:rPr>
          <w:rFonts w:cs="Times New Roman"/>
          <w:color w:val="000000" w:themeColor="text1"/>
          <w:szCs w:val="24"/>
        </w:rPr>
        <w:t>two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373AF">
        <w:rPr>
          <w:rFonts w:cs="Times New Roman"/>
          <w:color w:val="000000" w:themeColor="text1"/>
          <w:szCs w:val="24"/>
        </w:rPr>
        <w:t>years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373AF">
        <w:rPr>
          <w:rFonts w:cs="Times New Roman"/>
          <w:color w:val="000000" w:themeColor="text1"/>
          <w:szCs w:val="24"/>
        </w:rPr>
        <w:t>after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373AF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C0192">
        <w:rPr>
          <w:rFonts w:cs="Times New Roman"/>
          <w:color w:val="000000" w:themeColor="text1"/>
          <w:szCs w:val="24"/>
        </w:rPr>
        <w:t>effective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C0192">
        <w:rPr>
          <w:rFonts w:cs="Times New Roman"/>
          <w:color w:val="000000" w:themeColor="text1"/>
          <w:szCs w:val="24"/>
        </w:rPr>
        <w:t>date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45A1E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619FE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619FE">
        <w:rPr>
          <w:rFonts w:cs="Times New Roman"/>
          <w:color w:val="000000" w:themeColor="text1"/>
          <w:szCs w:val="24"/>
        </w:rPr>
        <w:t>final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619FE">
        <w:rPr>
          <w:rFonts w:cs="Times New Roman"/>
          <w:color w:val="000000" w:themeColor="text1"/>
          <w:szCs w:val="24"/>
        </w:rPr>
        <w:t>rule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C0192">
        <w:rPr>
          <w:rFonts w:cs="Times New Roman"/>
          <w:color w:val="000000" w:themeColor="text1"/>
          <w:szCs w:val="24"/>
        </w:rPr>
        <w:t>based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C0192">
        <w:rPr>
          <w:rFonts w:cs="Times New Roman"/>
          <w:color w:val="000000" w:themeColor="text1"/>
          <w:szCs w:val="24"/>
        </w:rPr>
        <w:t>upon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80D22">
        <w:rPr>
          <w:rFonts w:cs="Times New Roman"/>
          <w:color w:val="000000" w:themeColor="text1"/>
          <w:szCs w:val="24"/>
        </w:rPr>
        <w:t>several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D27AE">
        <w:rPr>
          <w:rFonts w:cs="Times New Roman"/>
          <w:color w:val="000000" w:themeColor="text1"/>
          <w:szCs w:val="24"/>
        </w:rPr>
        <w:t>considerations</w:t>
      </w:r>
      <w:r w:rsidRPr="00C317BB" w:rsidR="009B4D53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B4D53">
        <w:rPr>
          <w:rFonts w:cs="Times New Roman"/>
          <w:color w:val="000000" w:themeColor="text1"/>
          <w:szCs w:val="24"/>
        </w:rPr>
        <w:t>including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B4D53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B4D53">
        <w:rPr>
          <w:rFonts w:cs="Times New Roman"/>
          <w:color w:val="000000" w:themeColor="text1"/>
          <w:szCs w:val="24"/>
        </w:rPr>
        <w:t>existence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B4D53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B4D53">
        <w:rPr>
          <w:rFonts w:cs="Times New Roman"/>
          <w:color w:val="000000" w:themeColor="text1"/>
          <w:szCs w:val="24"/>
        </w:rPr>
        <w:t>alternative</w:t>
      </w:r>
      <w:r w:rsidRPr="00C317BB" w:rsidR="009A249C">
        <w:rPr>
          <w:rFonts w:cs="Times New Roman"/>
          <w:color w:val="000000" w:themeColor="text1"/>
          <w:szCs w:val="24"/>
        </w:rPr>
        <w:t>s</w:t>
      </w:r>
      <w:r w:rsidRPr="00C317BB" w:rsidR="00F51D73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A396D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B0118">
        <w:rPr>
          <w:rFonts w:cs="Times New Roman"/>
          <w:color w:val="000000" w:themeColor="text1"/>
          <w:szCs w:val="24"/>
        </w:rPr>
        <w:t>part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B0118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B0118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77A6E">
        <w:rPr>
          <w:rFonts w:cs="Times New Roman"/>
          <w:color w:val="000000" w:themeColor="text1"/>
          <w:szCs w:val="24"/>
        </w:rPr>
        <w:t>primary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A396D">
        <w:rPr>
          <w:rFonts w:cs="Times New Roman"/>
          <w:color w:val="000000" w:themeColor="text1"/>
          <w:szCs w:val="24"/>
        </w:rPr>
        <w:t>alternative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A396D">
        <w:rPr>
          <w:rFonts w:cs="Times New Roman"/>
          <w:color w:val="000000" w:themeColor="text1"/>
          <w:szCs w:val="24"/>
        </w:rPr>
        <w:t>regulatory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87A9B">
        <w:rPr>
          <w:rFonts w:cs="Times New Roman"/>
          <w:color w:val="000000" w:themeColor="text1"/>
          <w:szCs w:val="24"/>
        </w:rPr>
        <w:t>action</w:t>
      </w:r>
      <w:r w:rsidRPr="00C317BB" w:rsidR="00FA396D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A396D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A396D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A396D">
        <w:rPr>
          <w:rFonts w:cs="Times New Roman"/>
          <w:color w:val="000000" w:themeColor="text1"/>
          <w:szCs w:val="24"/>
        </w:rPr>
        <w:t>also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05C08">
        <w:rPr>
          <w:rFonts w:cs="Times New Roman"/>
          <w:color w:val="000000" w:themeColor="text1"/>
          <w:szCs w:val="24"/>
        </w:rPr>
        <w:t>taking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05C08">
        <w:rPr>
          <w:rFonts w:cs="Times New Roman"/>
          <w:color w:val="000000" w:themeColor="text1"/>
          <w:szCs w:val="24"/>
        </w:rPr>
        <w:t>comment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05C08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63C9C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061B">
        <w:rPr>
          <w:rFonts w:cs="Times New Roman"/>
          <w:color w:val="000000" w:themeColor="text1"/>
          <w:szCs w:val="24"/>
        </w:rPr>
        <w:t>prohibition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63C9C">
        <w:rPr>
          <w:rFonts w:cs="Times New Roman"/>
          <w:color w:val="000000" w:themeColor="text1"/>
          <w:szCs w:val="24"/>
        </w:rPr>
        <w:t>beginning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63C9C">
        <w:rPr>
          <w:rFonts w:cs="Times New Roman"/>
          <w:color w:val="000000" w:themeColor="text1"/>
          <w:szCs w:val="24"/>
        </w:rPr>
        <w:t>five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63C9C">
        <w:rPr>
          <w:rFonts w:cs="Times New Roman"/>
          <w:color w:val="000000" w:themeColor="text1"/>
          <w:szCs w:val="24"/>
        </w:rPr>
        <w:t>years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63C9C">
        <w:rPr>
          <w:rFonts w:cs="Times New Roman"/>
          <w:color w:val="000000" w:themeColor="text1"/>
          <w:szCs w:val="24"/>
        </w:rPr>
        <w:t>after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63C9C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F239C">
        <w:rPr>
          <w:rFonts w:cs="Times New Roman"/>
          <w:color w:val="000000" w:themeColor="text1"/>
          <w:szCs w:val="24"/>
        </w:rPr>
        <w:t>effect</w:t>
      </w:r>
      <w:r w:rsidRPr="00C317BB" w:rsidR="005C34E2">
        <w:rPr>
          <w:rFonts w:cs="Times New Roman"/>
          <w:color w:val="000000" w:themeColor="text1"/>
          <w:szCs w:val="24"/>
        </w:rPr>
        <w:t>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90B81">
        <w:rPr>
          <w:rFonts w:cs="Times New Roman"/>
          <w:color w:val="000000" w:themeColor="text1"/>
          <w:szCs w:val="24"/>
        </w:rPr>
        <w:t>date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63C9C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63C9C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63C9C">
        <w:rPr>
          <w:rFonts w:cs="Times New Roman"/>
          <w:color w:val="000000" w:themeColor="text1"/>
          <w:szCs w:val="24"/>
        </w:rPr>
        <w:t>final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63C9C">
        <w:rPr>
          <w:rFonts w:cs="Times New Roman"/>
          <w:color w:val="000000" w:themeColor="text1"/>
          <w:szCs w:val="24"/>
        </w:rPr>
        <w:t>rule</w:t>
      </w:r>
      <w:r w:rsidRPr="00C317BB" w:rsidR="00637D07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37D07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37D07">
        <w:rPr>
          <w:rFonts w:cs="Times New Roman"/>
          <w:color w:val="000000" w:themeColor="text1"/>
          <w:szCs w:val="24"/>
        </w:rPr>
        <w:t>proposes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37D07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37D07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37D07">
        <w:rPr>
          <w:rFonts w:cs="Times New Roman"/>
          <w:color w:val="000000" w:themeColor="text1"/>
          <w:szCs w:val="24"/>
        </w:rPr>
        <w:t>final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37D07">
        <w:rPr>
          <w:rFonts w:cs="Times New Roman"/>
          <w:color w:val="000000" w:themeColor="text1"/>
          <w:szCs w:val="24"/>
        </w:rPr>
        <w:t>rule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37D07">
        <w:rPr>
          <w:rFonts w:cs="Times New Roman"/>
          <w:color w:val="000000" w:themeColor="text1"/>
          <w:szCs w:val="24"/>
        </w:rPr>
        <w:t>would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37D07">
        <w:rPr>
          <w:rFonts w:cs="Times New Roman"/>
          <w:color w:val="000000" w:themeColor="text1"/>
          <w:szCs w:val="24"/>
        </w:rPr>
        <w:t>take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37D07">
        <w:rPr>
          <w:rFonts w:cs="Times New Roman"/>
          <w:color w:val="000000" w:themeColor="text1"/>
          <w:szCs w:val="24"/>
        </w:rPr>
        <w:t>effect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37D07">
        <w:rPr>
          <w:rFonts w:cs="Times New Roman"/>
          <w:color w:val="000000" w:themeColor="text1"/>
          <w:szCs w:val="24"/>
        </w:rPr>
        <w:t>60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37D07">
        <w:rPr>
          <w:rFonts w:cs="Times New Roman"/>
          <w:color w:val="000000" w:themeColor="text1"/>
          <w:szCs w:val="24"/>
        </w:rPr>
        <w:t>days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37D07">
        <w:rPr>
          <w:rFonts w:cs="Times New Roman"/>
          <w:color w:val="000000" w:themeColor="text1"/>
          <w:szCs w:val="24"/>
        </w:rPr>
        <w:t>after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37D07">
        <w:rPr>
          <w:rFonts w:cs="Times New Roman"/>
          <w:color w:val="000000" w:themeColor="text1"/>
          <w:szCs w:val="24"/>
        </w:rPr>
        <w:t>publication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37D07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37D07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37D07">
        <w:rPr>
          <w:rFonts w:cs="Times New Roman"/>
          <w:color w:val="000000" w:themeColor="text1"/>
          <w:szCs w:val="24"/>
        </w:rPr>
        <w:t>final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37D07">
        <w:rPr>
          <w:rFonts w:cs="Times New Roman"/>
          <w:color w:val="000000" w:themeColor="text1"/>
          <w:szCs w:val="24"/>
        </w:rPr>
        <w:t>rule.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947D85" w:rsidP="00F27167" w:rsidRDefault="007D3233" w14:paraId="26F69632" w14:textId="119723DE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held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C0192">
        <w:rPr>
          <w:rFonts w:cs="Times New Roman"/>
          <w:color w:val="000000" w:themeColor="text1"/>
          <w:szCs w:val="24"/>
        </w:rPr>
        <w:t>meetings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C0192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C0192">
        <w:rPr>
          <w:rFonts w:cs="Times New Roman"/>
          <w:color w:val="000000" w:themeColor="text1"/>
          <w:szCs w:val="24"/>
        </w:rPr>
        <w:t>several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C0192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C0192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1686C">
        <w:rPr>
          <w:rFonts w:cs="Times New Roman"/>
          <w:color w:val="000000" w:themeColor="text1"/>
          <w:szCs w:val="24"/>
        </w:rPr>
        <w:t>processors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1686C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1686C">
        <w:rPr>
          <w:rFonts w:cs="Times New Roman"/>
          <w:color w:val="000000" w:themeColor="text1"/>
          <w:szCs w:val="24"/>
        </w:rPr>
        <w:t>industrial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1686C">
        <w:rPr>
          <w:rFonts w:cs="Times New Roman"/>
          <w:color w:val="000000" w:themeColor="text1"/>
          <w:szCs w:val="24"/>
        </w:rPr>
        <w:t>users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C0192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C0192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C0192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C0192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C0192">
        <w:rPr>
          <w:rFonts w:cs="Times New Roman"/>
          <w:color w:val="000000" w:themeColor="text1"/>
          <w:szCs w:val="24"/>
        </w:rPr>
        <w:t>these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C0192">
        <w:rPr>
          <w:rFonts w:cs="Times New Roman"/>
          <w:color w:val="000000" w:themeColor="text1"/>
          <w:szCs w:val="24"/>
        </w:rPr>
        <w:t>conditions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C0192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C0192">
        <w:rPr>
          <w:rFonts w:cs="Times New Roman"/>
          <w:color w:val="000000" w:themeColor="text1"/>
          <w:szCs w:val="24"/>
        </w:rPr>
        <w:t>use.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1686C">
        <w:rPr>
          <w:rFonts w:cs="Times New Roman"/>
          <w:color w:val="000000" w:themeColor="text1"/>
          <w:szCs w:val="24"/>
        </w:rPr>
        <w:t>These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1686C">
        <w:rPr>
          <w:rFonts w:cs="Times New Roman"/>
          <w:color w:val="000000" w:themeColor="text1"/>
          <w:szCs w:val="24"/>
        </w:rPr>
        <w:t>companies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115C9">
        <w:rPr>
          <w:rFonts w:cs="Times New Roman"/>
          <w:color w:val="000000" w:themeColor="text1"/>
          <w:szCs w:val="24"/>
        </w:rPr>
        <w:t>stated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115C9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C0192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C0192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C0192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C0192">
        <w:rPr>
          <w:rFonts w:cs="Times New Roman"/>
          <w:color w:val="000000" w:themeColor="text1"/>
          <w:szCs w:val="24"/>
        </w:rPr>
        <w:t>transition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C0192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C0192">
        <w:rPr>
          <w:rFonts w:cs="Times New Roman"/>
          <w:color w:val="000000" w:themeColor="text1"/>
          <w:szCs w:val="24"/>
        </w:rPr>
        <w:t>asbestos-free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C0192">
        <w:rPr>
          <w:rFonts w:cs="Times New Roman"/>
          <w:color w:val="000000" w:themeColor="text1"/>
          <w:szCs w:val="24"/>
        </w:rPr>
        <w:t>technology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C0192">
        <w:rPr>
          <w:rFonts w:cs="Times New Roman"/>
          <w:color w:val="000000" w:themeColor="text1"/>
          <w:szCs w:val="24"/>
        </w:rPr>
        <w:t>could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E60A3">
        <w:rPr>
          <w:rFonts w:cs="Times New Roman"/>
          <w:color w:val="000000" w:themeColor="text1"/>
          <w:szCs w:val="24"/>
        </w:rPr>
        <w:t>take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E60A3">
        <w:rPr>
          <w:rFonts w:cs="Times New Roman"/>
          <w:color w:val="000000" w:themeColor="text1"/>
          <w:szCs w:val="24"/>
        </w:rPr>
        <w:t>many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E60A3">
        <w:rPr>
          <w:rFonts w:cs="Times New Roman"/>
          <w:color w:val="000000" w:themeColor="text1"/>
          <w:szCs w:val="24"/>
        </w:rPr>
        <w:t>years</w:t>
      </w:r>
      <w:r w:rsidRPr="00C317BB" w:rsidR="00054D67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2570E">
        <w:rPr>
          <w:rFonts w:cs="Times New Roman"/>
          <w:color w:val="000000" w:themeColor="text1"/>
          <w:szCs w:val="24"/>
        </w:rPr>
        <w:t>although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26547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26547">
        <w:rPr>
          <w:rFonts w:cs="Times New Roman"/>
          <w:color w:val="000000" w:themeColor="text1"/>
          <w:szCs w:val="24"/>
        </w:rPr>
        <w:t>companies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1686C">
        <w:rPr>
          <w:rFonts w:cs="Times New Roman"/>
          <w:color w:val="000000" w:themeColor="text1"/>
          <w:szCs w:val="24"/>
        </w:rPr>
        <w:t>processing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1686C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1686C">
        <w:rPr>
          <w:rFonts w:cs="Times New Roman"/>
          <w:color w:val="000000" w:themeColor="text1"/>
          <w:szCs w:val="24"/>
        </w:rPr>
        <w:t>using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26547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26547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72244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72244">
        <w:rPr>
          <w:rFonts w:cs="Times New Roman"/>
          <w:color w:val="000000" w:themeColor="text1"/>
          <w:szCs w:val="24"/>
        </w:rPr>
        <w:t>these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26547">
        <w:rPr>
          <w:rFonts w:cs="Times New Roman"/>
          <w:color w:val="000000" w:themeColor="text1"/>
          <w:szCs w:val="24"/>
        </w:rPr>
        <w:t>use</w:t>
      </w:r>
      <w:r w:rsidRPr="00C317BB" w:rsidR="00B72244">
        <w:rPr>
          <w:rFonts w:cs="Times New Roman"/>
          <w:color w:val="000000" w:themeColor="text1"/>
          <w:szCs w:val="24"/>
        </w:rPr>
        <w:t>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26547">
        <w:rPr>
          <w:rFonts w:cs="Times New Roman"/>
          <w:color w:val="000000" w:themeColor="text1"/>
          <w:szCs w:val="24"/>
        </w:rPr>
        <w:t>stated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26547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26547">
        <w:rPr>
          <w:rFonts w:cs="Times New Roman"/>
          <w:color w:val="000000" w:themeColor="text1"/>
          <w:szCs w:val="24"/>
        </w:rPr>
        <w:t>research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72CEC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26547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57587">
        <w:rPr>
          <w:rFonts w:cs="Times New Roman"/>
          <w:color w:val="000000" w:themeColor="text1"/>
          <w:szCs w:val="24"/>
        </w:rPr>
        <w:t>alternative</w:t>
      </w:r>
      <w:r w:rsidRPr="00C317BB" w:rsidR="00F72CEC">
        <w:rPr>
          <w:rFonts w:cs="Times New Roman"/>
          <w:color w:val="000000" w:themeColor="text1"/>
          <w:szCs w:val="24"/>
        </w:rPr>
        <w:t>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26547">
        <w:rPr>
          <w:rFonts w:cs="Times New Roman"/>
          <w:color w:val="000000" w:themeColor="text1"/>
          <w:szCs w:val="24"/>
        </w:rPr>
        <w:t>has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26547">
        <w:rPr>
          <w:rFonts w:cs="Times New Roman"/>
          <w:color w:val="000000" w:themeColor="text1"/>
          <w:szCs w:val="24"/>
        </w:rPr>
        <w:t>been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26547">
        <w:rPr>
          <w:rFonts w:cs="Times New Roman"/>
          <w:color w:val="000000" w:themeColor="text1"/>
          <w:szCs w:val="24"/>
        </w:rPr>
        <w:t>ongoing</w:t>
      </w:r>
      <w:r w:rsidRPr="00C317BB" w:rsidR="000834DA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B3FBA">
        <w:rPr>
          <w:rFonts w:cs="Times New Roman"/>
          <w:color w:val="000000" w:themeColor="text1"/>
          <w:szCs w:val="24"/>
        </w:rPr>
        <w:t>Each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B3FBA">
        <w:rPr>
          <w:rFonts w:cs="Times New Roman"/>
          <w:color w:val="000000" w:themeColor="text1"/>
          <w:szCs w:val="24"/>
        </w:rPr>
        <w:t>company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B3FBA">
        <w:rPr>
          <w:rFonts w:cs="Times New Roman"/>
          <w:color w:val="000000" w:themeColor="text1"/>
          <w:szCs w:val="24"/>
        </w:rPr>
        <w:t>did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B3FBA">
        <w:rPr>
          <w:rFonts w:cs="Times New Roman"/>
          <w:color w:val="000000" w:themeColor="text1"/>
          <w:szCs w:val="24"/>
        </w:rPr>
        <w:t>express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B3FBA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B7580">
        <w:rPr>
          <w:rFonts w:cs="Times New Roman"/>
          <w:color w:val="000000" w:themeColor="text1"/>
          <w:szCs w:val="24"/>
        </w:rPr>
        <w:t>conversion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31DC0">
        <w:rPr>
          <w:rFonts w:cs="Times New Roman"/>
          <w:color w:val="000000" w:themeColor="text1"/>
          <w:szCs w:val="24"/>
        </w:rPr>
        <w:t>t</w:t>
      </w:r>
      <w:r w:rsidRPr="00C317BB" w:rsidR="00547D08">
        <w:rPr>
          <w:rFonts w:cs="Times New Roman"/>
          <w:color w:val="000000" w:themeColor="text1"/>
          <w:szCs w:val="24"/>
        </w:rPr>
        <w:t>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04792">
        <w:rPr>
          <w:rFonts w:cs="Times New Roman"/>
          <w:color w:val="000000" w:themeColor="text1"/>
          <w:szCs w:val="24"/>
        </w:rPr>
        <w:t>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04792">
        <w:rPr>
          <w:rFonts w:cs="Times New Roman"/>
          <w:color w:val="000000" w:themeColor="text1"/>
          <w:szCs w:val="24"/>
        </w:rPr>
        <w:t>alternative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B3FBA">
        <w:rPr>
          <w:rFonts w:cs="Times New Roman"/>
          <w:color w:val="000000" w:themeColor="text1"/>
          <w:szCs w:val="24"/>
        </w:rPr>
        <w:t>was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B3FBA">
        <w:rPr>
          <w:rFonts w:cs="Times New Roman"/>
          <w:color w:val="000000" w:themeColor="text1"/>
          <w:szCs w:val="24"/>
        </w:rPr>
        <w:t>possible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E60A3">
        <w:rPr>
          <w:rFonts w:cs="Times New Roman"/>
          <w:color w:val="000000" w:themeColor="text1"/>
          <w:szCs w:val="24"/>
        </w:rPr>
        <w:t>but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B3FBA">
        <w:rPr>
          <w:rFonts w:cs="Times New Roman"/>
          <w:color w:val="000000" w:themeColor="text1"/>
          <w:szCs w:val="24"/>
        </w:rPr>
        <w:t>would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B3FBA">
        <w:rPr>
          <w:rFonts w:cs="Times New Roman"/>
          <w:color w:val="000000" w:themeColor="text1"/>
          <w:szCs w:val="24"/>
        </w:rPr>
        <w:t>require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53E0E">
        <w:rPr>
          <w:rFonts w:cs="Times New Roman"/>
          <w:color w:val="000000" w:themeColor="text1"/>
          <w:szCs w:val="24"/>
        </w:rPr>
        <w:t>significant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B3FBA">
        <w:rPr>
          <w:rFonts w:cs="Times New Roman"/>
          <w:color w:val="000000" w:themeColor="text1"/>
          <w:szCs w:val="24"/>
        </w:rPr>
        <w:t>re</w:t>
      </w:r>
      <w:r w:rsidRPr="00C317BB" w:rsidR="00886D10">
        <w:rPr>
          <w:rFonts w:cs="Times New Roman"/>
          <w:color w:val="000000" w:themeColor="text1"/>
          <w:szCs w:val="24"/>
        </w:rPr>
        <w:t>tooling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53E0E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85AB8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85AB8">
        <w:rPr>
          <w:rFonts w:cs="Times New Roman"/>
          <w:color w:val="000000" w:themeColor="text1"/>
          <w:szCs w:val="24"/>
        </w:rPr>
        <w:t>facility,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85AB8">
        <w:rPr>
          <w:rFonts w:cs="Times New Roman"/>
          <w:color w:val="000000" w:themeColor="text1"/>
          <w:szCs w:val="24"/>
        </w:rPr>
        <w:t>testing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85AB8">
        <w:rPr>
          <w:rFonts w:cs="Times New Roman"/>
          <w:color w:val="000000" w:themeColor="text1"/>
          <w:szCs w:val="24"/>
        </w:rPr>
        <w:t>new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85AB8">
        <w:rPr>
          <w:rFonts w:cs="Times New Roman"/>
          <w:color w:val="000000" w:themeColor="text1"/>
          <w:szCs w:val="24"/>
        </w:rPr>
        <w:t>processes,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85AB8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85AB8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3DFC">
        <w:rPr>
          <w:rFonts w:cs="Times New Roman"/>
          <w:color w:val="000000" w:themeColor="text1"/>
          <w:szCs w:val="24"/>
        </w:rPr>
        <w:t>costly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85AB8">
        <w:rPr>
          <w:rFonts w:cs="Times New Roman"/>
          <w:color w:val="000000" w:themeColor="text1"/>
          <w:szCs w:val="24"/>
        </w:rPr>
        <w:t>measures.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C5FD9">
        <w:rPr>
          <w:rFonts w:cs="Times New Roman"/>
          <w:color w:val="000000" w:themeColor="text1"/>
          <w:szCs w:val="24"/>
        </w:rPr>
        <w:t>However,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85215">
        <w:rPr>
          <w:rFonts w:cs="Times New Roman"/>
          <w:color w:val="000000" w:themeColor="text1"/>
          <w:szCs w:val="24"/>
        </w:rPr>
        <w:t>the</w:t>
      </w:r>
      <w:r w:rsidRPr="00C317BB" w:rsidR="006F337B">
        <w:rPr>
          <w:rFonts w:cs="Times New Roman"/>
          <w:color w:val="000000" w:themeColor="text1"/>
          <w:szCs w:val="24"/>
        </w:rPr>
        <w:t>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85215">
        <w:rPr>
          <w:rFonts w:cs="Times New Roman"/>
          <w:color w:val="000000" w:themeColor="text1"/>
          <w:szCs w:val="24"/>
        </w:rPr>
        <w:t>companies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F337B">
        <w:rPr>
          <w:rFonts w:cs="Times New Roman"/>
          <w:color w:val="000000" w:themeColor="text1"/>
          <w:szCs w:val="24"/>
        </w:rPr>
        <w:t>did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F337B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F337B">
        <w:rPr>
          <w:rFonts w:cs="Times New Roman"/>
          <w:color w:val="000000" w:themeColor="text1"/>
          <w:szCs w:val="24"/>
        </w:rPr>
        <w:t>provide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85215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85215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3DE5">
        <w:rPr>
          <w:rFonts w:cs="Times New Roman"/>
          <w:color w:val="000000" w:themeColor="text1"/>
          <w:szCs w:val="24"/>
        </w:rPr>
        <w:t>delineated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F0461">
        <w:rPr>
          <w:rFonts w:cs="Times New Roman"/>
          <w:color w:val="000000" w:themeColor="text1"/>
          <w:szCs w:val="24"/>
        </w:rPr>
        <w:t>cost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E289B">
        <w:rPr>
          <w:rFonts w:cs="Times New Roman"/>
          <w:color w:val="000000" w:themeColor="text1"/>
          <w:szCs w:val="24"/>
        </w:rPr>
        <w:t>estimates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3DD1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3DD1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3DD1">
        <w:rPr>
          <w:rFonts w:cs="Times New Roman"/>
          <w:color w:val="000000" w:themeColor="text1"/>
          <w:szCs w:val="24"/>
        </w:rPr>
        <w:t>detailed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F0461">
        <w:rPr>
          <w:rFonts w:cs="Times New Roman"/>
          <w:color w:val="000000" w:themeColor="text1"/>
          <w:szCs w:val="24"/>
        </w:rPr>
        <w:t>timeline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F0461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D709D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D709D">
        <w:rPr>
          <w:rFonts w:cs="Times New Roman"/>
          <w:color w:val="000000" w:themeColor="text1"/>
          <w:szCs w:val="24"/>
        </w:rPr>
        <w:t>conversion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D709D">
        <w:rPr>
          <w:rFonts w:cs="Times New Roman"/>
          <w:color w:val="000000" w:themeColor="text1"/>
          <w:szCs w:val="24"/>
        </w:rPr>
        <w:t>process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54D67">
        <w:rPr>
          <w:rFonts w:cs="Times New Roman"/>
          <w:color w:val="000000" w:themeColor="text1"/>
          <w:szCs w:val="24"/>
        </w:rPr>
        <w:t>(Ref</w:t>
      </w:r>
      <w:r w:rsidRPr="00C317BB" w:rsidR="004D0F6D">
        <w:rPr>
          <w:rFonts w:cs="Times New Roman"/>
          <w:color w:val="000000" w:themeColor="text1"/>
          <w:szCs w:val="24"/>
        </w:rPr>
        <w:t>s</w:t>
      </w:r>
      <w:r w:rsidRPr="00C317BB" w:rsidR="006B29AB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8396D">
        <w:rPr>
          <w:rFonts w:cs="Times New Roman"/>
          <w:color w:val="000000" w:themeColor="text1"/>
          <w:szCs w:val="24"/>
        </w:rPr>
        <w:t>1</w:t>
      </w:r>
      <w:r w:rsidRPr="00C317BB" w:rsidR="008C56A6">
        <w:rPr>
          <w:rFonts w:cs="Times New Roman"/>
          <w:color w:val="000000" w:themeColor="text1"/>
          <w:szCs w:val="24"/>
        </w:rPr>
        <w:t>5</w:t>
      </w:r>
      <w:r w:rsidRPr="00C317BB" w:rsidR="00CD2327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D2327">
        <w:rPr>
          <w:rFonts w:cs="Times New Roman"/>
          <w:color w:val="000000" w:themeColor="text1"/>
          <w:szCs w:val="24"/>
        </w:rPr>
        <w:t>1</w:t>
      </w:r>
      <w:r w:rsidRPr="00C317BB" w:rsidR="008C56A6">
        <w:rPr>
          <w:rFonts w:cs="Times New Roman"/>
          <w:color w:val="000000" w:themeColor="text1"/>
          <w:szCs w:val="24"/>
        </w:rPr>
        <w:t>6</w:t>
      </w:r>
      <w:r w:rsidRPr="00C317BB" w:rsidR="00CD2327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D2327">
        <w:rPr>
          <w:rFonts w:cs="Times New Roman"/>
          <w:color w:val="000000" w:themeColor="text1"/>
          <w:szCs w:val="24"/>
        </w:rPr>
        <w:t>1</w:t>
      </w:r>
      <w:r w:rsidRPr="00C317BB" w:rsidR="008C56A6">
        <w:rPr>
          <w:rFonts w:cs="Times New Roman"/>
          <w:color w:val="000000" w:themeColor="text1"/>
          <w:szCs w:val="24"/>
        </w:rPr>
        <w:t>7</w:t>
      </w:r>
      <w:r w:rsidRPr="00C317BB" w:rsidR="00CD2327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A3B30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D2327">
        <w:rPr>
          <w:rFonts w:cs="Times New Roman"/>
          <w:color w:val="000000" w:themeColor="text1"/>
          <w:szCs w:val="24"/>
        </w:rPr>
        <w:t>1</w:t>
      </w:r>
      <w:r w:rsidRPr="00C317BB" w:rsidR="008C56A6">
        <w:rPr>
          <w:rFonts w:cs="Times New Roman"/>
          <w:color w:val="000000" w:themeColor="text1"/>
          <w:szCs w:val="24"/>
        </w:rPr>
        <w:t>8</w:t>
      </w:r>
      <w:r w:rsidRPr="00C317BB" w:rsidR="00CD2327">
        <w:rPr>
          <w:rFonts w:cs="Times New Roman"/>
          <w:color w:val="000000" w:themeColor="text1"/>
          <w:szCs w:val="24"/>
        </w:rPr>
        <w:t>)</w:t>
      </w:r>
      <w:r w:rsidRPr="00C317BB" w:rsidR="007D709D">
        <w:rPr>
          <w:rFonts w:cs="Times New Roman"/>
          <w:color w:val="000000" w:themeColor="text1"/>
          <w:szCs w:val="24"/>
        </w:rPr>
        <w:t>.</w:t>
      </w:r>
    </w:p>
    <w:p w:rsidRPr="00C317BB" w:rsidR="00115130" w:rsidP="00F27167" w:rsidRDefault="00DE47E4" w14:paraId="292C1274" w14:textId="57A6EB0C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70345">
        <w:rPr>
          <w:rFonts w:cs="Times New Roman"/>
          <w:color w:val="000000" w:themeColor="text1"/>
          <w:szCs w:val="24"/>
        </w:rPr>
        <w:t>acknowledges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86178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86178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86178">
        <w:rPr>
          <w:rFonts w:cs="Times New Roman"/>
          <w:color w:val="000000" w:themeColor="text1"/>
          <w:szCs w:val="24"/>
        </w:rPr>
        <w:t>prohibition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93AD5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A10DF">
        <w:rPr>
          <w:rFonts w:cs="Times New Roman"/>
          <w:color w:val="000000" w:themeColor="text1"/>
          <w:szCs w:val="24"/>
        </w:rPr>
        <w:t>manufacturing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A10DF">
        <w:rPr>
          <w:rFonts w:cs="Times New Roman"/>
          <w:color w:val="000000" w:themeColor="text1"/>
          <w:szCs w:val="24"/>
        </w:rPr>
        <w:t>(including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A10DF">
        <w:rPr>
          <w:rFonts w:cs="Times New Roman"/>
          <w:color w:val="000000" w:themeColor="text1"/>
          <w:szCs w:val="24"/>
        </w:rPr>
        <w:t>import),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A10DF">
        <w:rPr>
          <w:rFonts w:cs="Times New Roman"/>
          <w:color w:val="000000" w:themeColor="text1"/>
          <w:szCs w:val="24"/>
        </w:rPr>
        <w:t>processing,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1127A">
        <w:rPr>
          <w:rFonts w:cs="Times New Roman"/>
          <w:color w:val="000000" w:themeColor="text1"/>
          <w:szCs w:val="24"/>
        </w:rPr>
        <w:t>distribution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1127A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1127A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1127A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93AD5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93AD5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347E9">
        <w:rPr>
          <w:rFonts w:cs="Times New Roman"/>
          <w:color w:val="000000" w:themeColor="text1"/>
          <w:szCs w:val="24"/>
        </w:rPr>
        <w:t>diaphragms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35925">
        <w:rPr>
          <w:rFonts w:cs="Times New Roman"/>
          <w:color w:val="000000" w:themeColor="text1"/>
          <w:szCs w:val="24"/>
        </w:rPr>
        <w:t>will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23CEC">
        <w:rPr>
          <w:rFonts w:cs="Times New Roman"/>
          <w:color w:val="000000" w:themeColor="text1"/>
          <w:szCs w:val="24"/>
        </w:rPr>
        <w:t>require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23CEC">
        <w:rPr>
          <w:rFonts w:cs="Times New Roman"/>
          <w:color w:val="000000" w:themeColor="text1"/>
          <w:szCs w:val="24"/>
        </w:rPr>
        <w:t>significant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5537E">
        <w:rPr>
          <w:rFonts w:cs="Times New Roman"/>
          <w:color w:val="000000" w:themeColor="text1"/>
          <w:szCs w:val="24"/>
        </w:rPr>
        <w:t>infrastructure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16BD">
        <w:rPr>
          <w:rFonts w:cs="Times New Roman"/>
          <w:color w:val="000000" w:themeColor="text1"/>
          <w:szCs w:val="24"/>
        </w:rPr>
        <w:t>changes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16BD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70345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16BD">
        <w:rPr>
          <w:rFonts w:cs="Times New Roman"/>
          <w:color w:val="000000" w:themeColor="text1"/>
          <w:szCs w:val="24"/>
        </w:rPr>
        <w:t>chlor-al</w:t>
      </w:r>
      <w:r w:rsidRPr="00C317BB" w:rsidR="007E3130">
        <w:rPr>
          <w:rFonts w:cs="Times New Roman"/>
          <w:color w:val="000000" w:themeColor="text1"/>
          <w:szCs w:val="24"/>
        </w:rPr>
        <w:t>kali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F4D28">
        <w:rPr>
          <w:rFonts w:cs="Times New Roman"/>
          <w:color w:val="000000" w:themeColor="text1"/>
          <w:szCs w:val="24"/>
        </w:rPr>
        <w:t>plants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F4D28">
        <w:rPr>
          <w:rFonts w:cs="Times New Roman"/>
          <w:color w:val="000000" w:themeColor="text1"/>
          <w:szCs w:val="24"/>
        </w:rPr>
        <w:t>continuing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F4D28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F4D28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D581D">
        <w:rPr>
          <w:rFonts w:cs="Times New Roman"/>
          <w:color w:val="000000" w:themeColor="text1"/>
          <w:szCs w:val="24"/>
        </w:rPr>
        <w:t>th</w:t>
      </w:r>
      <w:r w:rsidRPr="00C317BB" w:rsidR="00195751">
        <w:rPr>
          <w:rFonts w:cs="Times New Roman"/>
          <w:color w:val="000000" w:themeColor="text1"/>
          <w:szCs w:val="24"/>
        </w:rPr>
        <w:t>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B354C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B354C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B354C">
        <w:rPr>
          <w:rFonts w:cs="Times New Roman"/>
          <w:color w:val="000000" w:themeColor="text1"/>
          <w:szCs w:val="24"/>
        </w:rPr>
        <w:t>diaphragm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D581D">
        <w:rPr>
          <w:rFonts w:cs="Times New Roman"/>
          <w:color w:val="000000" w:themeColor="text1"/>
          <w:szCs w:val="24"/>
        </w:rPr>
        <w:t>technology</w:t>
      </w:r>
      <w:r w:rsidRPr="00C317BB" w:rsidR="00A347E9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56B37">
        <w:rPr>
          <w:rFonts w:cs="Times New Roman"/>
          <w:color w:val="000000" w:themeColor="text1"/>
          <w:szCs w:val="24"/>
        </w:rPr>
        <w:t>I</w:t>
      </w:r>
      <w:r w:rsidRPr="00C317BB" w:rsidR="00773D1B">
        <w:rPr>
          <w:rFonts w:cs="Times New Roman"/>
          <w:color w:val="000000" w:themeColor="text1"/>
          <w:szCs w:val="24"/>
        </w:rPr>
        <w:t>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73D1B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73D1B">
        <w:rPr>
          <w:rFonts w:cs="Times New Roman"/>
          <w:color w:val="000000" w:themeColor="text1"/>
          <w:szCs w:val="24"/>
        </w:rPr>
        <w:t>possible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73D1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73D1B">
        <w:rPr>
          <w:rFonts w:cs="Times New Roman"/>
          <w:color w:val="000000" w:themeColor="text1"/>
          <w:szCs w:val="24"/>
        </w:rPr>
        <w:t>chlor-alkali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73D1B">
        <w:rPr>
          <w:rFonts w:cs="Times New Roman"/>
          <w:color w:val="000000" w:themeColor="text1"/>
          <w:szCs w:val="24"/>
        </w:rPr>
        <w:t>facilities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41D8">
        <w:rPr>
          <w:rFonts w:cs="Times New Roman"/>
          <w:color w:val="000000" w:themeColor="text1"/>
          <w:szCs w:val="24"/>
        </w:rPr>
        <w:t>using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41D8">
        <w:rPr>
          <w:rFonts w:cs="Times New Roman"/>
          <w:color w:val="000000" w:themeColor="text1"/>
          <w:szCs w:val="24"/>
        </w:rPr>
        <w:t>non-asbestos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41D8">
        <w:rPr>
          <w:rFonts w:cs="Times New Roman"/>
          <w:color w:val="000000" w:themeColor="text1"/>
          <w:szCs w:val="24"/>
        </w:rPr>
        <w:t>technology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73D1B">
        <w:rPr>
          <w:rFonts w:cs="Times New Roman"/>
          <w:color w:val="000000" w:themeColor="text1"/>
          <w:szCs w:val="24"/>
        </w:rPr>
        <w:t>could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73D1B">
        <w:rPr>
          <w:rFonts w:cs="Times New Roman"/>
          <w:color w:val="000000" w:themeColor="text1"/>
          <w:szCs w:val="24"/>
        </w:rPr>
        <w:t>expand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73D1B">
        <w:rPr>
          <w:rFonts w:cs="Times New Roman"/>
          <w:color w:val="000000" w:themeColor="text1"/>
          <w:szCs w:val="24"/>
        </w:rPr>
        <w:t>production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73D1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73D1B">
        <w:rPr>
          <w:rFonts w:cs="Times New Roman"/>
          <w:color w:val="000000" w:themeColor="text1"/>
          <w:szCs w:val="24"/>
        </w:rPr>
        <w:t>meet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73D1B">
        <w:rPr>
          <w:rFonts w:cs="Times New Roman"/>
          <w:color w:val="000000" w:themeColor="text1"/>
          <w:szCs w:val="24"/>
        </w:rPr>
        <w:t>supply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73D1B">
        <w:rPr>
          <w:rFonts w:cs="Times New Roman"/>
          <w:color w:val="000000" w:themeColor="text1"/>
          <w:szCs w:val="24"/>
        </w:rPr>
        <w:t>shortfall</w:t>
      </w:r>
      <w:r w:rsidRPr="00C317BB" w:rsidR="00A347E9">
        <w:rPr>
          <w:rFonts w:cs="Times New Roman"/>
          <w:color w:val="000000" w:themeColor="text1"/>
          <w:szCs w:val="24"/>
        </w:rPr>
        <w:t>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73D1B">
        <w:rPr>
          <w:rFonts w:cs="Times New Roman"/>
          <w:color w:val="000000" w:themeColor="text1"/>
          <w:szCs w:val="24"/>
        </w:rPr>
        <w:t>induced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73D1B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41D8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73D1B">
        <w:rPr>
          <w:rFonts w:cs="Times New Roman"/>
          <w:color w:val="000000" w:themeColor="text1"/>
          <w:szCs w:val="24"/>
        </w:rPr>
        <w:t>prohibition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347E9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73D1B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73D1B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347E9">
        <w:rPr>
          <w:rFonts w:cs="Times New Roman"/>
          <w:color w:val="000000" w:themeColor="text1"/>
          <w:szCs w:val="24"/>
        </w:rPr>
        <w:t>diaphragms</w:t>
      </w:r>
      <w:r w:rsidRPr="00C317BB" w:rsidR="00773D1B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73D1B">
        <w:rPr>
          <w:rFonts w:cs="Times New Roman"/>
          <w:color w:val="000000" w:themeColor="text1"/>
          <w:szCs w:val="24"/>
        </w:rPr>
        <w:t>but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73D1B">
        <w:rPr>
          <w:rFonts w:cs="Times New Roman"/>
          <w:color w:val="000000" w:themeColor="text1"/>
          <w:szCs w:val="24"/>
        </w:rPr>
        <w:t>such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73D1B">
        <w:rPr>
          <w:rFonts w:cs="Times New Roman"/>
          <w:color w:val="000000" w:themeColor="text1"/>
          <w:szCs w:val="24"/>
        </w:rPr>
        <w:t>expansion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73D1B">
        <w:rPr>
          <w:rFonts w:cs="Times New Roman"/>
          <w:color w:val="000000" w:themeColor="text1"/>
          <w:szCs w:val="24"/>
        </w:rPr>
        <w:t>could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73D1B">
        <w:rPr>
          <w:rFonts w:cs="Times New Roman"/>
          <w:color w:val="000000" w:themeColor="text1"/>
          <w:szCs w:val="24"/>
        </w:rPr>
        <w:t>also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73D1B">
        <w:rPr>
          <w:rFonts w:cs="Times New Roman"/>
          <w:color w:val="000000" w:themeColor="text1"/>
          <w:szCs w:val="24"/>
        </w:rPr>
        <w:t>take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73D1B">
        <w:rPr>
          <w:rFonts w:cs="Times New Roman"/>
          <w:color w:val="000000" w:themeColor="text1"/>
          <w:szCs w:val="24"/>
        </w:rPr>
        <w:t>time.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bookmarkStart w:name="_Hlk93932744" w:id="39"/>
      <w:r w:rsidRPr="00C317BB" w:rsidR="00F130C7">
        <w:rPr>
          <w:rFonts w:cs="Times New Roman"/>
          <w:color w:val="000000" w:themeColor="text1"/>
          <w:szCs w:val="24"/>
        </w:rPr>
        <w:t>Imports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130C7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E57A3">
        <w:rPr>
          <w:rFonts w:cs="Times New Roman"/>
          <w:color w:val="000000" w:themeColor="text1"/>
          <w:szCs w:val="24"/>
        </w:rPr>
        <w:t>causti</w:t>
      </w:r>
      <w:r w:rsidRPr="00C317BB" w:rsidR="00B52656">
        <w:rPr>
          <w:rFonts w:cs="Times New Roman"/>
          <w:color w:val="000000" w:themeColor="text1"/>
          <w:szCs w:val="24"/>
        </w:rPr>
        <w:t>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52656">
        <w:rPr>
          <w:rFonts w:cs="Times New Roman"/>
          <w:color w:val="000000" w:themeColor="text1"/>
          <w:szCs w:val="24"/>
        </w:rPr>
        <w:t>soda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52656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52656">
        <w:rPr>
          <w:rFonts w:cs="Times New Roman"/>
          <w:color w:val="000000" w:themeColor="text1"/>
          <w:szCs w:val="24"/>
        </w:rPr>
        <w:t>chemicals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52656">
        <w:rPr>
          <w:rFonts w:cs="Times New Roman"/>
          <w:color w:val="000000" w:themeColor="text1"/>
          <w:szCs w:val="24"/>
        </w:rPr>
        <w:t>derived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52656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52656">
        <w:rPr>
          <w:rFonts w:cs="Times New Roman"/>
          <w:color w:val="000000" w:themeColor="text1"/>
          <w:szCs w:val="24"/>
        </w:rPr>
        <w:t>chlorine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52656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52656">
        <w:rPr>
          <w:rFonts w:cs="Times New Roman"/>
          <w:color w:val="000000" w:themeColor="text1"/>
          <w:szCs w:val="24"/>
        </w:rPr>
        <w:t>caustic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52656">
        <w:rPr>
          <w:rFonts w:cs="Times New Roman"/>
          <w:color w:val="000000" w:themeColor="text1"/>
          <w:szCs w:val="24"/>
        </w:rPr>
        <w:t>soda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D6F4B">
        <w:rPr>
          <w:rFonts w:cs="Times New Roman"/>
          <w:color w:val="000000" w:themeColor="text1"/>
          <w:szCs w:val="24"/>
        </w:rPr>
        <w:t>may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D6F4B">
        <w:rPr>
          <w:rFonts w:cs="Times New Roman"/>
          <w:color w:val="000000" w:themeColor="text1"/>
          <w:szCs w:val="24"/>
        </w:rPr>
        <w:t>increase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D6F4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80E69">
        <w:rPr>
          <w:rFonts w:cs="Times New Roman"/>
          <w:color w:val="000000" w:themeColor="text1"/>
          <w:szCs w:val="24"/>
        </w:rPr>
        <w:t>order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80E69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3224">
        <w:rPr>
          <w:rFonts w:cs="Times New Roman"/>
          <w:color w:val="000000" w:themeColor="text1"/>
          <w:szCs w:val="24"/>
        </w:rPr>
        <w:t>make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3224">
        <w:rPr>
          <w:rFonts w:cs="Times New Roman"/>
          <w:color w:val="000000" w:themeColor="text1"/>
          <w:szCs w:val="24"/>
        </w:rPr>
        <w:t>up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C3224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32BB9">
        <w:rPr>
          <w:rFonts w:cs="Times New Roman"/>
          <w:color w:val="000000" w:themeColor="text1"/>
          <w:szCs w:val="24"/>
        </w:rPr>
        <w:t>short-term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6BFE">
        <w:rPr>
          <w:rFonts w:cs="Times New Roman"/>
          <w:color w:val="000000" w:themeColor="text1"/>
          <w:szCs w:val="24"/>
        </w:rPr>
        <w:t>supply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6BFE">
        <w:rPr>
          <w:rFonts w:cs="Times New Roman"/>
          <w:color w:val="000000" w:themeColor="text1"/>
          <w:szCs w:val="24"/>
        </w:rPr>
        <w:t>shortfalls.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73D1B">
        <w:rPr>
          <w:rFonts w:cs="Times New Roman"/>
          <w:color w:val="000000" w:themeColor="text1"/>
          <w:szCs w:val="24"/>
        </w:rPr>
        <w:t>Short-term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73D1B">
        <w:rPr>
          <w:rFonts w:cs="Times New Roman"/>
          <w:color w:val="000000" w:themeColor="text1"/>
          <w:szCs w:val="24"/>
        </w:rPr>
        <w:t>supply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73D1B">
        <w:rPr>
          <w:rFonts w:cs="Times New Roman"/>
          <w:color w:val="000000" w:themeColor="text1"/>
          <w:szCs w:val="24"/>
        </w:rPr>
        <w:t>shortages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73D1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73D1B">
        <w:rPr>
          <w:rFonts w:cs="Times New Roman"/>
          <w:color w:val="000000" w:themeColor="text1"/>
          <w:szCs w:val="24"/>
        </w:rPr>
        <w:t>chlorine,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73D1B">
        <w:rPr>
          <w:rFonts w:cs="Times New Roman"/>
          <w:color w:val="000000" w:themeColor="text1"/>
          <w:szCs w:val="24"/>
        </w:rPr>
        <w:t>caustic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73D1B">
        <w:rPr>
          <w:rFonts w:cs="Times New Roman"/>
          <w:color w:val="000000" w:themeColor="text1"/>
          <w:szCs w:val="24"/>
        </w:rPr>
        <w:t>soda,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73D1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F6148">
        <w:rPr>
          <w:rFonts w:cs="Times New Roman"/>
          <w:color w:val="000000" w:themeColor="text1"/>
          <w:szCs w:val="24"/>
        </w:rPr>
        <w:t>derivative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F6148">
        <w:rPr>
          <w:rFonts w:cs="Times New Roman"/>
          <w:color w:val="000000" w:themeColor="text1"/>
          <w:szCs w:val="24"/>
        </w:rPr>
        <w:t>chemicals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73D1B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73D1B">
        <w:rPr>
          <w:rFonts w:cs="Times New Roman"/>
          <w:color w:val="000000" w:themeColor="text1"/>
          <w:szCs w:val="24"/>
        </w:rPr>
        <w:t>likely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73D1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73D1B">
        <w:rPr>
          <w:rFonts w:cs="Times New Roman"/>
          <w:color w:val="000000" w:themeColor="text1"/>
          <w:szCs w:val="24"/>
        </w:rPr>
        <w:t>lead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73D1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73D1B">
        <w:rPr>
          <w:rFonts w:cs="Times New Roman"/>
          <w:color w:val="000000" w:themeColor="text1"/>
          <w:szCs w:val="24"/>
        </w:rPr>
        <w:t>price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73D1B">
        <w:rPr>
          <w:rFonts w:cs="Times New Roman"/>
          <w:color w:val="000000" w:themeColor="text1"/>
          <w:szCs w:val="24"/>
        </w:rPr>
        <w:t>increases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73D1B">
        <w:rPr>
          <w:rFonts w:cs="Times New Roman"/>
          <w:color w:val="000000" w:themeColor="text1"/>
          <w:szCs w:val="24"/>
        </w:rPr>
        <w:t>experienced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73D1B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73D1B">
        <w:rPr>
          <w:rFonts w:cs="Times New Roman"/>
          <w:color w:val="000000" w:themeColor="text1"/>
          <w:szCs w:val="24"/>
        </w:rPr>
        <w:t>both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73D1B">
        <w:rPr>
          <w:rFonts w:cs="Times New Roman"/>
          <w:color w:val="000000" w:themeColor="text1"/>
          <w:szCs w:val="24"/>
        </w:rPr>
        <w:t>industrial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73D1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73D1B">
        <w:rPr>
          <w:rFonts w:cs="Times New Roman"/>
          <w:color w:val="000000" w:themeColor="text1"/>
          <w:szCs w:val="24"/>
        </w:rPr>
        <w:t>co</w:t>
      </w:r>
      <w:r w:rsidRPr="00C317BB" w:rsidR="0009611F">
        <w:rPr>
          <w:rFonts w:cs="Times New Roman"/>
          <w:color w:val="000000" w:themeColor="text1"/>
          <w:szCs w:val="24"/>
        </w:rPr>
        <w:t>mmercial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73D1B">
        <w:rPr>
          <w:rFonts w:cs="Times New Roman"/>
          <w:color w:val="000000" w:themeColor="text1"/>
          <w:szCs w:val="24"/>
        </w:rPr>
        <w:t>users,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73D1B">
        <w:rPr>
          <w:rFonts w:cs="Times New Roman"/>
          <w:color w:val="000000" w:themeColor="text1"/>
          <w:szCs w:val="24"/>
        </w:rPr>
        <w:t>some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73D1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73D1B">
        <w:rPr>
          <w:rFonts w:cs="Times New Roman"/>
          <w:color w:val="000000" w:themeColor="text1"/>
          <w:szCs w:val="24"/>
        </w:rPr>
        <w:t>which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73D1B">
        <w:rPr>
          <w:rFonts w:cs="Times New Roman"/>
          <w:color w:val="000000" w:themeColor="text1"/>
          <w:szCs w:val="24"/>
        </w:rPr>
        <w:t>may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73D1B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73D1B">
        <w:rPr>
          <w:rFonts w:cs="Times New Roman"/>
          <w:color w:val="000000" w:themeColor="text1"/>
          <w:szCs w:val="24"/>
        </w:rPr>
        <w:t>passed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73D1B">
        <w:rPr>
          <w:rFonts w:cs="Times New Roman"/>
          <w:color w:val="000000" w:themeColor="text1"/>
          <w:szCs w:val="24"/>
        </w:rPr>
        <w:t>along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73D1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73D1B">
        <w:rPr>
          <w:rFonts w:cs="Times New Roman"/>
          <w:color w:val="000000" w:themeColor="text1"/>
          <w:szCs w:val="24"/>
        </w:rPr>
        <w:t>final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73D1B">
        <w:rPr>
          <w:rFonts w:cs="Times New Roman"/>
          <w:color w:val="000000" w:themeColor="text1"/>
          <w:szCs w:val="24"/>
        </w:rPr>
        <w:t>consumers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73D1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73D1B">
        <w:rPr>
          <w:rFonts w:cs="Times New Roman"/>
          <w:color w:val="000000" w:themeColor="text1"/>
          <w:szCs w:val="24"/>
        </w:rPr>
        <w:t>products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73D1B">
        <w:rPr>
          <w:rFonts w:cs="Times New Roman"/>
          <w:color w:val="000000" w:themeColor="text1"/>
          <w:szCs w:val="24"/>
        </w:rPr>
        <w:t>made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73D1B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73D1B">
        <w:rPr>
          <w:rFonts w:cs="Times New Roman"/>
          <w:color w:val="000000" w:themeColor="text1"/>
          <w:szCs w:val="24"/>
        </w:rPr>
        <w:t>these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73D1B">
        <w:rPr>
          <w:rFonts w:cs="Times New Roman"/>
          <w:color w:val="000000" w:themeColor="text1"/>
          <w:szCs w:val="24"/>
        </w:rPr>
        <w:t>inputs.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bookmarkEnd w:id="39"/>
    </w:p>
    <w:p w:rsidRPr="00C317BB" w:rsidR="000D5A62" w:rsidP="00F27167" w:rsidRDefault="006B40AD" w14:paraId="16F800CC" w14:textId="25B5E41B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6F53">
        <w:rPr>
          <w:rFonts w:cs="Times New Roman"/>
          <w:color w:val="000000" w:themeColor="text1"/>
          <w:szCs w:val="24"/>
        </w:rPr>
        <w:t>seeks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6F53">
        <w:rPr>
          <w:rFonts w:cs="Times New Roman"/>
          <w:color w:val="000000" w:themeColor="text1"/>
          <w:szCs w:val="24"/>
        </w:rPr>
        <w:t>comment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6F53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6F53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6F53">
        <w:rPr>
          <w:rFonts w:cs="Times New Roman"/>
          <w:color w:val="000000" w:themeColor="text1"/>
          <w:szCs w:val="24"/>
        </w:rPr>
        <w:t>prohibition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92BE1">
        <w:rPr>
          <w:rFonts w:cs="Times New Roman"/>
          <w:color w:val="000000" w:themeColor="text1"/>
          <w:szCs w:val="24"/>
        </w:rPr>
        <w:t>compliance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92BE1">
        <w:rPr>
          <w:rFonts w:cs="Times New Roman"/>
          <w:color w:val="000000" w:themeColor="text1"/>
          <w:szCs w:val="24"/>
        </w:rPr>
        <w:t>date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C7B88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36237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36237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36237">
        <w:rPr>
          <w:rFonts w:cs="Times New Roman"/>
          <w:color w:val="000000" w:themeColor="text1"/>
          <w:szCs w:val="24"/>
        </w:rPr>
        <w:t>sections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36237">
        <w:rPr>
          <w:rFonts w:cs="Times New Roman"/>
          <w:color w:val="000000" w:themeColor="text1"/>
          <w:szCs w:val="24"/>
        </w:rPr>
        <w:t>6(d)(1)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C7B88">
        <w:rPr>
          <w:rFonts w:cs="Times New Roman"/>
          <w:color w:val="000000" w:themeColor="text1"/>
          <w:szCs w:val="24"/>
        </w:rPr>
        <w:t>would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36237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36237">
        <w:rPr>
          <w:rFonts w:cs="Times New Roman"/>
          <w:color w:val="000000" w:themeColor="text1"/>
          <w:szCs w:val="24"/>
        </w:rPr>
        <w:t>both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36237">
        <w:rPr>
          <w:rFonts w:cs="Times New Roman"/>
          <w:color w:val="000000" w:themeColor="text1"/>
          <w:szCs w:val="24"/>
        </w:rPr>
        <w:t>“as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36237">
        <w:rPr>
          <w:rFonts w:cs="Times New Roman"/>
          <w:color w:val="000000" w:themeColor="text1"/>
          <w:szCs w:val="24"/>
        </w:rPr>
        <w:t>soon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36237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36237">
        <w:rPr>
          <w:rFonts w:cs="Times New Roman"/>
          <w:color w:val="000000" w:themeColor="text1"/>
          <w:szCs w:val="24"/>
        </w:rPr>
        <w:t>practicable”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36237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36237">
        <w:rPr>
          <w:rFonts w:cs="Times New Roman"/>
          <w:color w:val="000000" w:themeColor="text1"/>
          <w:szCs w:val="24"/>
        </w:rPr>
        <w:t>“provide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36237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36237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36237">
        <w:rPr>
          <w:rFonts w:cs="Times New Roman"/>
          <w:color w:val="000000" w:themeColor="text1"/>
          <w:szCs w:val="24"/>
        </w:rPr>
        <w:t>reasonable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36237">
        <w:rPr>
          <w:rFonts w:cs="Times New Roman"/>
          <w:color w:val="000000" w:themeColor="text1"/>
          <w:szCs w:val="24"/>
        </w:rPr>
        <w:t>transition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36237">
        <w:rPr>
          <w:rFonts w:cs="Times New Roman"/>
          <w:color w:val="000000" w:themeColor="text1"/>
          <w:szCs w:val="24"/>
        </w:rPr>
        <w:t>period</w:t>
      </w:r>
      <w:r w:rsidRPr="00C317BB" w:rsidR="00336EA1">
        <w:rPr>
          <w:rFonts w:cs="Times New Roman"/>
          <w:color w:val="000000" w:themeColor="text1"/>
          <w:szCs w:val="24"/>
        </w:rPr>
        <w:t>.</w:t>
      </w:r>
      <w:r w:rsidRPr="00C317BB" w:rsidR="00136237">
        <w:rPr>
          <w:rFonts w:cs="Times New Roman"/>
          <w:color w:val="000000" w:themeColor="text1"/>
          <w:szCs w:val="24"/>
        </w:rPr>
        <w:t>”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36237">
        <w:rPr>
          <w:rFonts w:cs="Times New Roman"/>
          <w:color w:val="000000" w:themeColor="text1"/>
          <w:szCs w:val="24"/>
        </w:rPr>
        <w:t>Information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36237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36237">
        <w:rPr>
          <w:rFonts w:cs="Times New Roman"/>
          <w:color w:val="000000" w:themeColor="text1"/>
          <w:szCs w:val="24"/>
        </w:rPr>
        <w:t>will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36237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36237">
        <w:rPr>
          <w:rFonts w:cs="Times New Roman"/>
          <w:color w:val="000000" w:themeColor="text1"/>
          <w:szCs w:val="24"/>
        </w:rPr>
        <w:t>helpful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36237">
        <w:rPr>
          <w:rFonts w:cs="Times New Roman"/>
          <w:color w:val="000000" w:themeColor="text1"/>
          <w:szCs w:val="24"/>
        </w:rPr>
        <w:t>includes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36237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A212F">
        <w:rPr>
          <w:rFonts w:cs="Times New Roman"/>
          <w:color w:val="000000" w:themeColor="text1"/>
          <w:szCs w:val="24"/>
        </w:rPr>
        <w:t>specific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A212F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A212F">
        <w:rPr>
          <w:rFonts w:cs="Times New Roman"/>
          <w:color w:val="000000" w:themeColor="text1"/>
          <w:szCs w:val="24"/>
        </w:rPr>
        <w:t>detailed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45A1E">
        <w:rPr>
          <w:rFonts w:cs="Times New Roman"/>
          <w:color w:val="000000" w:themeColor="text1"/>
          <w:szCs w:val="24"/>
        </w:rPr>
        <w:t>time</w:t>
      </w:r>
      <w:r w:rsidRPr="00C317BB" w:rsidR="007A212F">
        <w:rPr>
          <w:rFonts w:cs="Times New Roman"/>
          <w:color w:val="000000" w:themeColor="text1"/>
          <w:szCs w:val="24"/>
        </w:rPr>
        <w:t>lines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45A1E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45A1E">
        <w:rPr>
          <w:rFonts w:cs="Times New Roman"/>
          <w:color w:val="000000" w:themeColor="text1"/>
          <w:szCs w:val="24"/>
        </w:rPr>
        <w:t>build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36237">
        <w:rPr>
          <w:rFonts w:cs="Times New Roman"/>
          <w:color w:val="000000" w:themeColor="text1"/>
          <w:szCs w:val="24"/>
        </w:rPr>
        <w:t>asbestos</w:t>
      </w:r>
      <w:r w:rsidRPr="00C317BB" w:rsidR="00A1686C">
        <w:rPr>
          <w:rFonts w:cs="Times New Roman"/>
          <w:color w:val="000000" w:themeColor="text1"/>
          <w:szCs w:val="24"/>
        </w:rPr>
        <w:t>-</w:t>
      </w:r>
      <w:r w:rsidRPr="00C317BB" w:rsidR="00136237">
        <w:rPr>
          <w:rFonts w:cs="Times New Roman"/>
          <w:color w:val="000000" w:themeColor="text1"/>
          <w:szCs w:val="24"/>
        </w:rPr>
        <w:t>free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36237">
        <w:rPr>
          <w:rFonts w:cs="Times New Roman"/>
          <w:color w:val="000000" w:themeColor="text1"/>
          <w:szCs w:val="24"/>
        </w:rPr>
        <w:t>facilities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86724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24A9E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86724">
        <w:rPr>
          <w:rFonts w:cs="Times New Roman"/>
          <w:color w:val="000000" w:themeColor="text1"/>
          <w:szCs w:val="24"/>
        </w:rPr>
        <w:t>convert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86724">
        <w:rPr>
          <w:rFonts w:cs="Times New Roman"/>
          <w:color w:val="000000" w:themeColor="text1"/>
          <w:szCs w:val="24"/>
        </w:rPr>
        <w:t>existing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86724">
        <w:rPr>
          <w:rFonts w:cs="Times New Roman"/>
          <w:color w:val="000000" w:themeColor="text1"/>
          <w:szCs w:val="24"/>
        </w:rPr>
        <w:t>asbestos-using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86724">
        <w:rPr>
          <w:rFonts w:cs="Times New Roman"/>
          <w:color w:val="000000" w:themeColor="text1"/>
          <w:szCs w:val="24"/>
        </w:rPr>
        <w:t>facilities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86724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86724">
        <w:rPr>
          <w:rFonts w:cs="Times New Roman"/>
          <w:color w:val="000000" w:themeColor="text1"/>
          <w:szCs w:val="24"/>
        </w:rPr>
        <w:t>asbestos-free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86724">
        <w:rPr>
          <w:rFonts w:cs="Times New Roman"/>
          <w:color w:val="000000" w:themeColor="text1"/>
          <w:szCs w:val="24"/>
        </w:rPr>
        <w:t>technology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73363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36237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36237">
        <w:rPr>
          <w:rFonts w:cs="Times New Roman"/>
          <w:color w:val="000000" w:themeColor="text1"/>
          <w:szCs w:val="24"/>
        </w:rPr>
        <w:t>availability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36237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36237">
        <w:rPr>
          <w:rFonts w:cs="Times New Roman"/>
          <w:color w:val="000000" w:themeColor="text1"/>
          <w:szCs w:val="24"/>
        </w:rPr>
        <w:t>asbestos-free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36237">
        <w:rPr>
          <w:rFonts w:cs="Times New Roman"/>
          <w:color w:val="000000" w:themeColor="text1"/>
          <w:szCs w:val="24"/>
        </w:rPr>
        <w:t>technology</w:t>
      </w:r>
      <w:r w:rsidRPr="00C317BB" w:rsidR="00D73363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863D9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863D9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863D9">
        <w:rPr>
          <w:rFonts w:cs="Times New Roman"/>
          <w:color w:val="000000" w:themeColor="text1"/>
          <w:szCs w:val="24"/>
        </w:rPr>
        <w:t>also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863D9">
        <w:rPr>
          <w:rFonts w:cs="Times New Roman"/>
          <w:color w:val="000000" w:themeColor="text1"/>
          <w:szCs w:val="24"/>
        </w:rPr>
        <w:t>requesting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863D9">
        <w:rPr>
          <w:rFonts w:cs="Times New Roman"/>
          <w:color w:val="000000" w:themeColor="text1"/>
          <w:szCs w:val="24"/>
        </w:rPr>
        <w:t>specific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863D9">
        <w:rPr>
          <w:rFonts w:cs="Times New Roman"/>
          <w:color w:val="000000" w:themeColor="text1"/>
          <w:szCs w:val="24"/>
        </w:rPr>
        <w:t>information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863D9">
        <w:rPr>
          <w:rFonts w:cs="Times New Roman"/>
          <w:color w:val="000000" w:themeColor="text1"/>
          <w:szCs w:val="24"/>
        </w:rPr>
        <w:t>regarding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863D9">
        <w:rPr>
          <w:rFonts w:cs="Times New Roman"/>
          <w:color w:val="000000" w:themeColor="text1"/>
          <w:szCs w:val="24"/>
        </w:rPr>
        <w:t>potential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863D9">
        <w:rPr>
          <w:rFonts w:cs="Times New Roman"/>
          <w:color w:val="000000" w:themeColor="text1"/>
          <w:szCs w:val="24"/>
        </w:rPr>
        <w:t>barriers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863D9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863D9">
        <w:rPr>
          <w:rFonts w:cs="Times New Roman"/>
          <w:color w:val="000000" w:themeColor="text1"/>
          <w:szCs w:val="24"/>
        </w:rPr>
        <w:t>achieving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863D9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863D9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863D9">
        <w:rPr>
          <w:rFonts w:cs="Times New Roman"/>
          <w:color w:val="000000" w:themeColor="text1"/>
          <w:szCs w:val="24"/>
        </w:rPr>
        <w:t>prohibition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863D9">
        <w:rPr>
          <w:rFonts w:cs="Times New Roman"/>
          <w:color w:val="000000" w:themeColor="text1"/>
          <w:szCs w:val="24"/>
        </w:rPr>
        <w:t>date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863D9">
        <w:rPr>
          <w:rFonts w:cs="Times New Roman"/>
          <w:color w:val="000000" w:themeColor="text1"/>
          <w:szCs w:val="24"/>
        </w:rPr>
        <w:t>while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863D9">
        <w:rPr>
          <w:rFonts w:cs="Times New Roman"/>
          <w:color w:val="000000" w:themeColor="text1"/>
          <w:szCs w:val="24"/>
        </w:rPr>
        <w:t>considering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863D9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863D9">
        <w:rPr>
          <w:rFonts w:cs="Times New Roman"/>
          <w:color w:val="000000" w:themeColor="text1"/>
          <w:szCs w:val="24"/>
        </w:rPr>
        <w:t>supply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863D9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bookmarkStart w:name="_Hlk89935151" w:id="40"/>
      <w:r w:rsidRPr="00C317BB" w:rsidR="008863D9">
        <w:rPr>
          <w:rFonts w:cs="Times New Roman"/>
          <w:color w:val="000000" w:themeColor="text1"/>
          <w:szCs w:val="24"/>
        </w:rPr>
        <w:t>chlor-alkali</w:t>
      </w:r>
      <w:bookmarkEnd w:id="40"/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863D9">
        <w:rPr>
          <w:rFonts w:cs="Times New Roman"/>
          <w:color w:val="000000" w:themeColor="text1"/>
          <w:szCs w:val="24"/>
        </w:rPr>
        <w:t>chemicals.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863D9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863D9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863D9">
        <w:rPr>
          <w:rFonts w:cs="Times New Roman"/>
          <w:color w:val="000000" w:themeColor="text1"/>
          <w:szCs w:val="24"/>
        </w:rPr>
        <w:t>also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863D9">
        <w:rPr>
          <w:rFonts w:cs="Times New Roman"/>
          <w:color w:val="000000" w:themeColor="text1"/>
          <w:szCs w:val="24"/>
        </w:rPr>
        <w:t>requesting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863D9">
        <w:rPr>
          <w:rFonts w:cs="Times New Roman"/>
          <w:color w:val="000000" w:themeColor="text1"/>
          <w:szCs w:val="24"/>
        </w:rPr>
        <w:t>comment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863D9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863D9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863D9">
        <w:rPr>
          <w:rFonts w:cs="Times New Roman"/>
          <w:color w:val="000000" w:themeColor="text1"/>
          <w:szCs w:val="24"/>
        </w:rPr>
        <w:t>potential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863D9">
        <w:rPr>
          <w:rFonts w:cs="Times New Roman"/>
          <w:color w:val="000000" w:themeColor="text1"/>
          <w:szCs w:val="24"/>
        </w:rPr>
        <w:t>impact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863D9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863D9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863D9">
        <w:rPr>
          <w:rFonts w:cs="Times New Roman"/>
          <w:color w:val="000000" w:themeColor="text1"/>
          <w:szCs w:val="24"/>
        </w:rPr>
        <w:t>transition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863D9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863D9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863D9">
        <w:rPr>
          <w:rFonts w:cs="Times New Roman"/>
          <w:color w:val="000000" w:themeColor="text1"/>
          <w:szCs w:val="24"/>
        </w:rPr>
        <w:t>market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863D9">
        <w:rPr>
          <w:rFonts w:cs="Times New Roman"/>
          <w:color w:val="000000" w:themeColor="text1"/>
          <w:szCs w:val="24"/>
        </w:rPr>
        <w:t>price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863D9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863D9">
        <w:rPr>
          <w:rFonts w:cs="Times New Roman"/>
          <w:color w:val="000000" w:themeColor="text1"/>
          <w:szCs w:val="24"/>
        </w:rPr>
        <w:t>chlor-alkali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863D9">
        <w:rPr>
          <w:rFonts w:cs="Times New Roman"/>
          <w:color w:val="000000" w:themeColor="text1"/>
          <w:szCs w:val="24"/>
        </w:rPr>
        <w:t>chemicals</w:t>
      </w:r>
      <w:r w:rsidRPr="00C317BB" w:rsidR="00321EAE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21EAE">
        <w:rPr>
          <w:rFonts w:cs="Times New Roman"/>
          <w:color w:val="000000" w:themeColor="text1"/>
          <w:szCs w:val="24"/>
        </w:rPr>
        <w:t>including</w:t>
      </w:r>
      <w:r w:rsidR="005613B2">
        <w:rPr>
          <w:rFonts w:cs="Times New Roman"/>
          <w:szCs w:val="24"/>
        </w:rPr>
        <w:t xml:space="preserve"> </w:t>
      </w:r>
      <w:r w:rsidRPr="00C317BB" w:rsidR="00B4300C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4300C">
        <w:rPr>
          <w:rFonts w:cs="Times New Roman"/>
          <w:color w:val="000000" w:themeColor="text1"/>
          <w:szCs w:val="24"/>
        </w:rPr>
        <w:t>potential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4300C">
        <w:rPr>
          <w:rFonts w:cs="Times New Roman"/>
          <w:color w:val="000000" w:themeColor="text1"/>
          <w:szCs w:val="24"/>
        </w:rPr>
        <w:t>impact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4300C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4300C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4300C">
        <w:rPr>
          <w:rFonts w:cs="Times New Roman"/>
          <w:color w:val="000000" w:themeColor="text1"/>
          <w:szCs w:val="24"/>
        </w:rPr>
        <w:t>decrease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4300C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4300C">
        <w:rPr>
          <w:rFonts w:cs="Times New Roman"/>
          <w:color w:val="000000" w:themeColor="text1"/>
          <w:szCs w:val="24"/>
        </w:rPr>
        <w:t>availability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4300C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4300C">
        <w:rPr>
          <w:rFonts w:cs="Times New Roman"/>
          <w:color w:val="000000" w:themeColor="text1"/>
          <w:szCs w:val="24"/>
        </w:rPr>
        <w:t>diaphragm-grade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4300C">
        <w:rPr>
          <w:rFonts w:cs="Times New Roman"/>
          <w:color w:val="000000" w:themeColor="text1"/>
          <w:szCs w:val="24"/>
        </w:rPr>
        <w:t>caustic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4300C">
        <w:rPr>
          <w:rFonts w:cs="Times New Roman"/>
          <w:color w:val="000000" w:themeColor="text1"/>
          <w:szCs w:val="24"/>
        </w:rPr>
        <w:t>soda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4300C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4300C">
        <w:rPr>
          <w:rFonts w:cs="Times New Roman"/>
          <w:color w:val="000000" w:themeColor="text1"/>
          <w:szCs w:val="24"/>
        </w:rPr>
        <w:t>both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4300C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4300C">
        <w:rPr>
          <w:rFonts w:cs="Times New Roman"/>
          <w:color w:val="000000" w:themeColor="text1"/>
          <w:szCs w:val="24"/>
        </w:rPr>
        <w:t>production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4300C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4300C">
        <w:rPr>
          <w:rFonts w:cs="Times New Roman"/>
          <w:color w:val="000000" w:themeColor="text1"/>
          <w:szCs w:val="24"/>
        </w:rPr>
        <w:t>cost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4300C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4300C">
        <w:rPr>
          <w:rFonts w:cs="Times New Roman"/>
          <w:color w:val="000000" w:themeColor="text1"/>
          <w:szCs w:val="24"/>
        </w:rPr>
        <w:t>water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4300C">
        <w:rPr>
          <w:rFonts w:cs="Times New Roman"/>
          <w:color w:val="000000" w:themeColor="text1"/>
          <w:szCs w:val="24"/>
        </w:rPr>
        <w:t>treatment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4300C">
        <w:rPr>
          <w:rFonts w:cs="Times New Roman"/>
          <w:color w:val="000000" w:themeColor="text1"/>
          <w:szCs w:val="24"/>
        </w:rPr>
        <w:t>chemicals,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4300C">
        <w:rPr>
          <w:rFonts w:cs="Times New Roman"/>
          <w:color w:val="000000" w:themeColor="text1"/>
          <w:szCs w:val="24"/>
        </w:rPr>
        <w:t>including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4300C">
        <w:rPr>
          <w:rFonts w:cs="Times New Roman"/>
          <w:color w:val="000000" w:themeColor="text1"/>
          <w:szCs w:val="24"/>
        </w:rPr>
        <w:t>both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4300C">
        <w:rPr>
          <w:rFonts w:cs="Times New Roman"/>
          <w:color w:val="000000" w:themeColor="text1"/>
          <w:szCs w:val="24"/>
        </w:rPr>
        <w:t>caustic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4300C">
        <w:rPr>
          <w:rFonts w:cs="Times New Roman"/>
          <w:color w:val="000000" w:themeColor="text1"/>
          <w:szCs w:val="24"/>
        </w:rPr>
        <w:t>soda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4300C">
        <w:rPr>
          <w:rFonts w:cs="Times New Roman"/>
          <w:color w:val="000000" w:themeColor="text1"/>
          <w:szCs w:val="24"/>
        </w:rPr>
        <w:t>used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4300C">
        <w:rPr>
          <w:rFonts w:cs="Times New Roman"/>
          <w:color w:val="000000" w:themeColor="text1"/>
          <w:szCs w:val="24"/>
        </w:rPr>
        <w:t>directly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4300C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4300C">
        <w:rPr>
          <w:rFonts w:cs="Times New Roman"/>
          <w:color w:val="000000" w:themeColor="text1"/>
          <w:szCs w:val="24"/>
        </w:rPr>
        <w:t>water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4300C">
        <w:rPr>
          <w:rFonts w:cs="Times New Roman"/>
          <w:color w:val="000000" w:themeColor="text1"/>
          <w:szCs w:val="24"/>
        </w:rPr>
        <w:t>treatment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4300C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4300C">
        <w:rPr>
          <w:rFonts w:cs="Times New Roman"/>
          <w:color w:val="000000" w:themeColor="text1"/>
          <w:szCs w:val="24"/>
        </w:rPr>
        <w:t>well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4300C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4300C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4300C">
        <w:rPr>
          <w:rFonts w:cs="Times New Roman"/>
          <w:color w:val="000000" w:themeColor="text1"/>
          <w:szCs w:val="24"/>
        </w:rPr>
        <w:t>potential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4300C">
        <w:rPr>
          <w:rFonts w:cs="Times New Roman"/>
          <w:color w:val="000000" w:themeColor="text1"/>
          <w:szCs w:val="24"/>
        </w:rPr>
        <w:t>impact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4300C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4300C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4300C">
        <w:rPr>
          <w:rFonts w:cs="Times New Roman"/>
          <w:color w:val="000000" w:themeColor="text1"/>
          <w:szCs w:val="24"/>
        </w:rPr>
        <w:t>cost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4300C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4300C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4300C">
        <w:rPr>
          <w:rFonts w:cs="Times New Roman"/>
          <w:color w:val="000000" w:themeColor="text1"/>
          <w:szCs w:val="24"/>
        </w:rPr>
        <w:t>water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4300C">
        <w:rPr>
          <w:rFonts w:cs="Times New Roman"/>
          <w:color w:val="000000" w:themeColor="text1"/>
          <w:szCs w:val="24"/>
        </w:rPr>
        <w:t>treatment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4300C">
        <w:rPr>
          <w:rFonts w:cs="Times New Roman"/>
          <w:color w:val="000000" w:themeColor="text1"/>
          <w:szCs w:val="24"/>
        </w:rPr>
        <w:t>chemicals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4300C">
        <w:rPr>
          <w:rFonts w:cs="Times New Roman"/>
          <w:color w:val="000000" w:themeColor="text1"/>
          <w:szCs w:val="24"/>
        </w:rPr>
        <w:t>derived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4300C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4300C">
        <w:rPr>
          <w:rFonts w:cs="Times New Roman"/>
          <w:color w:val="000000" w:themeColor="text1"/>
          <w:szCs w:val="24"/>
        </w:rPr>
        <w:t>caustic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4300C">
        <w:rPr>
          <w:rFonts w:cs="Times New Roman"/>
          <w:color w:val="000000" w:themeColor="text1"/>
          <w:szCs w:val="24"/>
        </w:rPr>
        <w:t>soda</w:t>
      </w:r>
      <w:r w:rsidRPr="00C317BB" w:rsidR="008863D9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EE0774" w:rsidP="00F27167" w:rsidRDefault="00136237" w14:paraId="07657404" w14:textId="3742582D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Alternatively,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42A75">
        <w:rPr>
          <w:rFonts w:cs="Times New Roman"/>
          <w:color w:val="000000" w:themeColor="text1"/>
          <w:szCs w:val="24"/>
        </w:rPr>
        <w:t>could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grant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exemption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84ED7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84ED7">
        <w:rPr>
          <w:rFonts w:cs="Times New Roman"/>
          <w:color w:val="000000" w:themeColor="text1"/>
          <w:szCs w:val="24"/>
        </w:rPr>
        <w:t>thes</w:t>
      </w:r>
      <w:r w:rsidRPr="00C317BB" w:rsidR="00C1788A">
        <w:rPr>
          <w:rFonts w:cs="Times New Roman"/>
          <w:color w:val="000000" w:themeColor="text1"/>
          <w:szCs w:val="24"/>
        </w:rPr>
        <w:t>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84ED7">
        <w:rPr>
          <w:rFonts w:cs="Times New Roman"/>
          <w:color w:val="000000" w:themeColor="text1"/>
          <w:szCs w:val="24"/>
        </w:rPr>
        <w:t>use</w:t>
      </w:r>
      <w:r w:rsidRPr="00C317BB" w:rsidR="00C1788A">
        <w:rPr>
          <w:rFonts w:cs="Times New Roman"/>
          <w:color w:val="000000" w:themeColor="text1"/>
          <w:szCs w:val="24"/>
        </w:rPr>
        <w:t>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6(g).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73AD7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73AD7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73AD7">
        <w:rPr>
          <w:rFonts w:cs="Times New Roman"/>
          <w:color w:val="000000" w:themeColor="text1"/>
          <w:szCs w:val="24"/>
        </w:rPr>
        <w:t>authority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73AD7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73AD7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73AD7">
        <w:rPr>
          <w:rFonts w:cs="Times New Roman"/>
          <w:color w:val="000000" w:themeColor="text1"/>
          <w:szCs w:val="24"/>
        </w:rPr>
        <w:t>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73AD7">
        <w:rPr>
          <w:rFonts w:cs="Times New Roman"/>
          <w:color w:val="000000" w:themeColor="text1"/>
          <w:szCs w:val="24"/>
        </w:rPr>
        <w:t>6(g),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73AD7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73AD7">
        <w:rPr>
          <w:rFonts w:cs="Times New Roman"/>
          <w:color w:val="000000" w:themeColor="text1"/>
          <w:szCs w:val="24"/>
        </w:rPr>
        <w:t>may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73AD7">
        <w:rPr>
          <w:rFonts w:cs="Times New Roman"/>
          <w:color w:val="000000" w:themeColor="text1"/>
          <w:szCs w:val="24"/>
        </w:rPr>
        <w:t>consider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73AD7">
        <w:rPr>
          <w:rFonts w:cs="Times New Roman"/>
          <w:color w:val="000000" w:themeColor="text1"/>
          <w:szCs w:val="24"/>
        </w:rPr>
        <w:t>granting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73AD7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73AD7">
        <w:rPr>
          <w:rFonts w:cs="Times New Roman"/>
          <w:color w:val="000000" w:themeColor="text1"/>
          <w:szCs w:val="24"/>
        </w:rPr>
        <w:t>time-limited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73AD7">
        <w:rPr>
          <w:rFonts w:cs="Times New Roman"/>
          <w:color w:val="000000" w:themeColor="text1"/>
          <w:szCs w:val="24"/>
        </w:rPr>
        <w:t>exemption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73AD7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73AD7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73AD7">
        <w:rPr>
          <w:rFonts w:cs="Times New Roman"/>
          <w:color w:val="000000" w:themeColor="text1"/>
          <w:szCs w:val="24"/>
        </w:rPr>
        <w:t>specific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73AD7">
        <w:rPr>
          <w:rFonts w:cs="Times New Roman"/>
          <w:color w:val="000000" w:themeColor="text1"/>
          <w:szCs w:val="24"/>
        </w:rPr>
        <w:t>condition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73AD7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73AD7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73AD7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73AD7">
        <w:rPr>
          <w:rFonts w:cs="Times New Roman"/>
          <w:color w:val="000000" w:themeColor="text1"/>
          <w:szCs w:val="24"/>
        </w:rPr>
        <w:t>which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73AD7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4B617505">
        <w:rPr>
          <w:rFonts w:cs="Times New Roman"/>
          <w:color w:val="000000" w:themeColor="text1"/>
          <w:szCs w:val="24"/>
        </w:rPr>
        <w:t>finds</w:t>
      </w:r>
      <w:r w:rsidRPr="00C317BB" w:rsidR="00C73AD7">
        <w:rPr>
          <w:rFonts w:cs="Times New Roman"/>
          <w:color w:val="000000" w:themeColor="text1"/>
          <w:szCs w:val="24"/>
        </w:rPr>
        <w:t>: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73AD7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73AD7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73AD7">
        <w:rPr>
          <w:rFonts w:cs="Times New Roman"/>
          <w:color w:val="000000" w:themeColor="text1"/>
          <w:szCs w:val="24"/>
        </w:rPr>
        <w:t>specific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73AD7">
        <w:rPr>
          <w:rFonts w:cs="Times New Roman"/>
          <w:color w:val="000000" w:themeColor="text1"/>
          <w:szCs w:val="24"/>
        </w:rPr>
        <w:t>condition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73AD7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73AD7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73AD7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73AD7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73AD7">
        <w:rPr>
          <w:rFonts w:cs="Times New Roman"/>
          <w:color w:val="000000" w:themeColor="text1"/>
          <w:szCs w:val="24"/>
        </w:rPr>
        <w:t>critical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73AD7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73AD7">
        <w:rPr>
          <w:rFonts w:cs="Times New Roman"/>
          <w:color w:val="000000" w:themeColor="text1"/>
          <w:szCs w:val="24"/>
        </w:rPr>
        <w:t>essential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73AD7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73AD7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73AD7">
        <w:rPr>
          <w:rFonts w:cs="Times New Roman"/>
          <w:color w:val="000000" w:themeColor="text1"/>
          <w:szCs w:val="24"/>
        </w:rPr>
        <w:t>which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73AD7">
        <w:rPr>
          <w:rFonts w:cs="Times New Roman"/>
          <w:color w:val="000000" w:themeColor="text1"/>
          <w:szCs w:val="24"/>
        </w:rPr>
        <w:t>no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73AD7">
        <w:rPr>
          <w:rFonts w:cs="Times New Roman"/>
          <w:color w:val="000000" w:themeColor="text1"/>
          <w:szCs w:val="24"/>
        </w:rPr>
        <w:t>technically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73AD7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73AD7">
        <w:rPr>
          <w:rFonts w:cs="Times New Roman"/>
          <w:color w:val="000000" w:themeColor="text1"/>
          <w:szCs w:val="24"/>
        </w:rPr>
        <w:t>economically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73AD7">
        <w:rPr>
          <w:rFonts w:cs="Times New Roman"/>
          <w:color w:val="000000" w:themeColor="text1"/>
          <w:szCs w:val="24"/>
        </w:rPr>
        <w:t>feasible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73AD7">
        <w:rPr>
          <w:rFonts w:cs="Times New Roman"/>
          <w:color w:val="000000" w:themeColor="text1"/>
          <w:szCs w:val="24"/>
        </w:rPr>
        <w:t>safer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73AD7">
        <w:rPr>
          <w:rFonts w:cs="Times New Roman"/>
          <w:color w:val="000000" w:themeColor="text1"/>
          <w:szCs w:val="24"/>
        </w:rPr>
        <w:t>alternative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73AD7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73AD7">
        <w:rPr>
          <w:rFonts w:cs="Times New Roman"/>
          <w:color w:val="000000" w:themeColor="text1"/>
          <w:szCs w:val="24"/>
        </w:rPr>
        <w:t>available</w:t>
      </w:r>
      <w:r w:rsidRPr="00C317BB" w:rsidR="005E0A9F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E0A9F">
        <w:rPr>
          <w:rFonts w:cs="Times New Roman"/>
          <w:color w:val="000000" w:themeColor="text1"/>
          <w:szCs w:val="24"/>
        </w:rPr>
        <w:t>taking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E0A9F">
        <w:rPr>
          <w:rFonts w:cs="Times New Roman"/>
          <w:color w:val="000000" w:themeColor="text1"/>
          <w:szCs w:val="24"/>
        </w:rPr>
        <w:t>into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E0A9F">
        <w:rPr>
          <w:rFonts w:cs="Times New Roman"/>
          <w:color w:val="000000" w:themeColor="text1"/>
          <w:szCs w:val="24"/>
        </w:rPr>
        <w:t>consideration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E0A9F">
        <w:rPr>
          <w:rFonts w:cs="Times New Roman"/>
          <w:color w:val="000000" w:themeColor="text1"/>
          <w:szCs w:val="24"/>
        </w:rPr>
        <w:t>hazard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E0A9F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E0A9F">
        <w:rPr>
          <w:rFonts w:cs="Times New Roman"/>
          <w:color w:val="000000" w:themeColor="text1"/>
          <w:szCs w:val="24"/>
        </w:rPr>
        <w:t>exposure;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E0A9F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E0A9F">
        <w:rPr>
          <w:rFonts w:cs="Times New Roman"/>
          <w:color w:val="000000" w:themeColor="text1"/>
          <w:szCs w:val="24"/>
        </w:rPr>
        <w:t>compliance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E0A9F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E0A9F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E0A9F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E0A9F">
        <w:rPr>
          <w:rFonts w:cs="Times New Roman"/>
          <w:color w:val="000000" w:themeColor="text1"/>
          <w:szCs w:val="24"/>
        </w:rPr>
        <w:t>requirement</w:t>
      </w:r>
      <w:r w:rsidRPr="00C317BB" w:rsidR="689F40AB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689F40AB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689F40AB">
        <w:rPr>
          <w:rFonts w:cs="Times New Roman"/>
          <w:color w:val="000000" w:themeColor="text1"/>
          <w:szCs w:val="24"/>
        </w:rPr>
        <w:t>applied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689F40AB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689F40AB">
        <w:rPr>
          <w:rFonts w:cs="Times New Roman"/>
          <w:color w:val="000000" w:themeColor="text1"/>
          <w:szCs w:val="24"/>
        </w:rPr>
        <w:t>respect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689F40A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689F40A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689F40AB">
        <w:rPr>
          <w:rFonts w:cs="Times New Roman"/>
          <w:color w:val="000000" w:themeColor="text1"/>
          <w:szCs w:val="24"/>
        </w:rPr>
        <w:t>specific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689F40AB">
        <w:rPr>
          <w:rFonts w:cs="Times New Roman"/>
          <w:color w:val="000000" w:themeColor="text1"/>
          <w:szCs w:val="24"/>
        </w:rPr>
        <w:t>condition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689F40A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689F40AB">
        <w:rPr>
          <w:rFonts w:cs="Times New Roman"/>
          <w:color w:val="000000" w:themeColor="text1"/>
          <w:szCs w:val="24"/>
        </w:rPr>
        <w:t>use,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E0A9F">
        <w:rPr>
          <w:rFonts w:cs="Times New Roman"/>
          <w:color w:val="000000" w:themeColor="text1"/>
          <w:szCs w:val="24"/>
        </w:rPr>
        <w:t>would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E0A9F">
        <w:rPr>
          <w:rFonts w:cs="Times New Roman"/>
          <w:color w:val="000000" w:themeColor="text1"/>
          <w:szCs w:val="24"/>
        </w:rPr>
        <w:t>significantly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E0A9F">
        <w:rPr>
          <w:rFonts w:cs="Times New Roman"/>
          <w:color w:val="000000" w:themeColor="text1"/>
          <w:szCs w:val="24"/>
        </w:rPr>
        <w:t>disrupt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E0A9F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E0A9F">
        <w:rPr>
          <w:rFonts w:cs="Times New Roman"/>
          <w:color w:val="000000" w:themeColor="text1"/>
          <w:szCs w:val="24"/>
        </w:rPr>
        <w:t>national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E0A9F">
        <w:rPr>
          <w:rFonts w:cs="Times New Roman"/>
          <w:color w:val="000000" w:themeColor="text1"/>
          <w:szCs w:val="24"/>
        </w:rPr>
        <w:t>economy,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E0A9F">
        <w:rPr>
          <w:rFonts w:cs="Times New Roman"/>
          <w:color w:val="000000" w:themeColor="text1"/>
          <w:szCs w:val="24"/>
        </w:rPr>
        <w:t>national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E0A9F">
        <w:rPr>
          <w:rFonts w:cs="Times New Roman"/>
          <w:color w:val="000000" w:themeColor="text1"/>
          <w:szCs w:val="24"/>
        </w:rPr>
        <w:t>security,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E0A9F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E0A9F">
        <w:rPr>
          <w:rFonts w:cs="Times New Roman"/>
          <w:color w:val="000000" w:themeColor="text1"/>
          <w:szCs w:val="24"/>
        </w:rPr>
        <w:t>critical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E0A9F">
        <w:rPr>
          <w:rFonts w:cs="Times New Roman"/>
          <w:color w:val="000000" w:themeColor="text1"/>
          <w:szCs w:val="24"/>
        </w:rPr>
        <w:t>infrastructure;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E0A9F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E0A9F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E0A9F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E0A9F">
        <w:rPr>
          <w:rFonts w:cs="Times New Roman"/>
          <w:color w:val="000000" w:themeColor="text1"/>
          <w:szCs w:val="24"/>
        </w:rPr>
        <w:t>specific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E0A9F">
        <w:rPr>
          <w:rFonts w:cs="Times New Roman"/>
          <w:color w:val="000000" w:themeColor="text1"/>
          <w:szCs w:val="24"/>
        </w:rPr>
        <w:t>condition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E0A9F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E0A9F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E0A9F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E0A9F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E0A9F">
        <w:rPr>
          <w:rFonts w:cs="Times New Roman"/>
          <w:color w:val="000000" w:themeColor="text1"/>
          <w:szCs w:val="24"/>
        </w:rPr>
        <w:t>chemical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E0A9F">
        <w:rPr>
          <w:rFonts w:cs="Times New Roman"/>
          <w:color w:val="000000" w:themeColor="text1"/>
          <w:szCs w:val="24"/>
        </w:rPr>
        <w:t>substance,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E0A9F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E0A9F">
        <w:rPr>
          <w:rFonts w:cs="Times New Roman"/>
          <w:color w:val="000000" w:themeColor="text1"/>
          <w:szCs w:val="24"/>
        </w:rPr>
        <w:t>compared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E0A9F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E0A9F">
        <w:rPr>
          <w:rFonts w:cs="Times New Roman"/>
          <w:color w:val="000000" w:themeColor="text1"/>
          <w:szCs w:val="24"/>
        </w:rPr>
        <w:t>reasonably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E0A9F">
        <w:rPr>
          <w:rFonts w:cs="Times New Roman"/>
          <w:color w:val="000000" w:themeColor="text1"/>
          <w:szCs w:val="24"/>
        </w:rPr>
        <w:t>available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E0A9F">
        <w:rPr>
          <w:rFonts w:cs="Times New Roman"/>
          <w:color w:val="000000" w:themeColor="text1"/>
          <w:szCs w:val="24"/>
        </w:rPr>
        <w:t>alternatives,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E0A9F">
        <w:rPr>
          <w:rFonts w:cs="Times New Roman"/>
          <w:color w:val="000000" w:themeColor="text1"/>
          <w:szCs w:val="24"/>
        </w:rPr>
        <w:t>provides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E0A9F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E0A9F">
        <w:rPr>
          <w:rFonts w:cs="Times New Roman"/>
          <w:color w:val="000000" w:themeColor="text1"/>
          <w:szCs w:val="24"/>
        </w:rPr>
        <w:t>substantial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E0A9F">
        <w:rPr>
          <w:rFonts w:cs="Times New Roman"/>
          <w:color w:val="000000" w:themeColor="text1"/>
          <w:szCs w:val="24"/>
        </w:rPr>
        <w:t>benefit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E0A9F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E0A9F">
        <w:rPr>
          <w:rFonts w:cs="Times New Roman"/>
          <w:color w:val="000000" w:themeColor="text1"/>
          <w:szCs w:val="24"/>
        </w:rPr>
        <w:t>health,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E0A9F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E0A9F">
        <w:rPr>
          <w:rFonts w:cs="Times New Roman"/>
          <w:color w:val="000000" w:themeColor="text1"/>
          <w:szCs w:val="24"/>
        </w:rPr>
        <w:t>environment,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E0A9F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E0A9F">
        <w:rPr>
          <w:rFonts w:cs="Times New Roman"/>
          <w:color w:val="000000" w:themeColor="text1"/>
          <w:szCs w:val="24"/>
        </w:rPr>
        <w:t>public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E0A9F">
        <w:rPr>
          <w:rFonts w:cs="Times New Roman"/>
          <w:color w:val="000000" w:themeColor="text1"/>
          <w:szCs w:val="24"/>
        </w:rPr>
        <w:t>safety</w:t>
      </w:r>
      <w:r w:rsidRPr="00C317BB" w:rsidR="00C73AD7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A611A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A611A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A611A">
        <w:rPr>
          <w:rFonts w:cs="Times New Roman"/>
          <w:color w:val="000000" w:themeColor="text1"/>
          <w:szCs w:val="24"/>
        </w:rPr>
        <w:t>aware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A611A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A611A">
        <w:rPr>
          <w:rFonts w:cs="Times New Roman"/>
          <w:color w:val="000000" w:themeColor="text1"/>
          <w:szCs w:val="24"/>
        </w:rPr>
        <w:t>chlor-alkali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A611A">
        <w:rPr>
          <w:rFonts w:cs="Times New Roman"/>
          <w:color w:val="000000" w:themeColor="text1"/>
          <w:szCs w:val="24"/>
        </w:rPr>
        <w:t>chemicals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A611A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A611A">
        <w:rPr>
          <w:rFonts w:cs="Times New Roman"/>
          <w:color w:val="000000" w:themeColor="text1"/>
          <w:szCs w:val="24"/>
        </w:rPr>
        <w:t>important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A611A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A611A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A611A">
        <w:rPr>
          <w:rFonts w:cs="Times New Roman"/>
          <w:color w:val="000000" w:themeColor="text1"/>
          <w:szCs w:val="24"/>
        </w:rPr>
        <w:t>national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A611A">
        <w:rPr>
          <w:rFonts w:cs="Times New Roman"/>
          <w:color w:val="000000" w:themeColor="text1"/>
          <w:szCs w:val="24"/>
        </w:rPr>
        <w:t>economy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A611A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A611A">
        <w:rPr>
          <w:rFonts w:cs="Times New Roman"/>
          <w:color w:val="000000" w:themeColor="text1"/>
          <w:szCs w:val="24"/>
        </w:rPr>
        <w:t>operation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A611A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0CD5">
        <w:rPr>
          <w:rFonts w:cs="Times New Roman"/>
          <w:color w:val="000000" w:themeColor="text1"/>
          <w:szCs w:val="24"/>
        </w:rPr>
        <w:t>critical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A611A">
        <w:rPr>
          <w:rFonts w:cs="Times New Roman"/>
          <w:color w:val="000000" w:themeColor="text1"/>
          <w:szCs w:val="24"/>
        </w:rPr>
        <w:t>infrastructure,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A611A">
        <w:rPr>
          <w:rFonts w:cs="Times New Roman"/>
          <w:color w:val="000000" w:themeColor="text1"/>
          <w:szCs w:val="24"/>
        </w:rPr>
        <w:t>including: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0CD5">
        <w:rPr>
          <w:rFonts w:cs="Times New Roman"/>
          <w:color w:val="000000" w:themeColor="text1"/>
          <w:szCs w:val="24"/>
        </w:rPr>
        <w:t>W</w:t>
      </w:r>
      <w:r w:rsidRPr="00C317BB" w:rsidR="002A611A">
        <w:rPr>
          <w:rFonts w:cs="Times New Roman"/>
          <w:color w:val="000000" w:themeColor="text1"/>
          <w:szCs w:val="24"/>
        </w:rPr>
        <w:t>ater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A611A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0CD5">
        <w:rPr>
          <w:rFonts w:cs="Times New Roman"/>
          <w:color w:val="000000" w:themeColor="text1"/>
          <w:szCs w:val="24"/>
        </w:rPr>
        <w:t>W</w:t>
      </w:r>
      <w:r w:rsidRPr="00C317BB" w:rsidR="002A611A">
        <w:rPr>
          <w:rFonts w:cs="Times New Roman"/>
          <w:color w:val="000000" w:themeColor="text1"/>
          <w:szCs w:val="24"/>
        </w:rPr>
        <w:t>astewater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0CD5">
        <w:rPr>
          <w:rFonts w:cs="Times New Roman"/>
          <w:color w:val="000000" w:themeColor="text1"/>
          <w:szCs w:val="24"/>
        </w:rPr>
        <w:t>S</w:t>
      </w:r>
      <w:r w:rsidRPr="00C317BB" w:rsidR="002A611A">
        <w:rPr>
          <w:rFonts w:cs="Times New Roman"/>
          <w:color w:val="000000" w:themeColor="text1"/>
          <w:szCs w:val="24"/>
        </w:rPr>
        <w:t>ystems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0CD5">
        <w:rPr>
          <w:rFonts w:cs="Times New Roman"/>
          <w:color w:val="000000" w:themeColor="text1"/>
          <w:szCs w:val="24"/>
        </w:rPr>
        <w:t>S</w:t>
      </w:r>
      <w:r w:rsidRPr="00C317BB" w:rsidR="002A611A">
        <w:rPr>
          <w:rFonts w:cs="Times New Roman"/>
          <w:color w:val="000000" w:themeColor="text1"/>
          <w:szCs w:val="24"/>
        </w:rPr>
        <w:t>ector,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0CD5">
        <w:rPr>
          <w:rFonts w:cs="Times New Roman"/>
          <w:color w:val="000000" w:themeColor="text1"/>
          <w:szCs w:val="24"/>
        </w:rPr>
        <w:t>C</w:t>
      </w:r>
      <w:r w:rsidRPr="00C317BB" w:rsidR="002A611A">
        <w:rPr>
          <w:rFonts w:cs="Times New Roman"/>
          <w:color w:val="000000" w:themeColor="text1"/>
          <w:szCs w:val="24"/>
        </w:rPr>
        <w:t>hemical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0CD5">
        <w:rPr>
          <w:rFonts w:cs="Times New Roman"/>
          <w:color w:val="000000" w:themeColor="text1"/>
          <w:szCs w:val="24"/>
        </w:rPr>
        <w:t>P</w:t>
      </w:r>
      <w:r w:rsidRPr="00C317BB" w:rsidR="002A611A">
        <w:rPr>
          <w:rFonts w:cs="Times New Roman"/>
          <w:color w:val="000000" w:themeColor="text1"/>
          <w:szCs w:val="24"/>
        </w:rPr>
        <w:t>roduction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0CD5">
        <w:rPr>
          <w:rFonts w:cs="Times New Roman"/>
          <w:color w:val="000000" w:themeColor="text1"/>
          <w:szCs w:val="24"/>
        </w:rPr>
        <w:t>S</w:t>
      </w:r>
      <w:r w:rsidRPr="00C317BB" w:rsidR="002A611A">
        <w:rPr>
          <w:rFonts w:cs="Times New Roman"/>
          <w:color w:val="000000" w:themeColor="text1"/>
          <w:szCs w:val="24"/>
        </w:rPr>
        <w:t>ector,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0CD5">
        <w:rPr>
          <w:rFonts w:cs="Times New Roman"/>
          <w:color w:val="000000" w:themeColor="text1"/>
          <w:szCs w:val="24"/>
        </w:rPr>
        <w:t>M</w:t>
      </w:r>
      <w:r w:rsidRPr="00C317BB" w:rsidR="002A611A">
        <w:rPr>
          <w:rFonts w:cs="Times New Roman"/>
          <w:color w:val="000000" w:themeColor="text1"/>
          <w:szCs w:val="24"/>
        </w:rPr>
        <w:t>anufacturing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0CD5">
        <w:rPr>
          <w:rFonts w:cs="Times New Roman"/>
          <w:color w:val="000000" w:themeColor="text1"/>
          <w:szCs w:val="24"/>
        </w:rPr>
        <w:t>S</w:t>
      </w:r>
      <w:r w:rsidRPr="00C317BB" w:rsidR="002A611A">
        <w:rPr>
          <w:rFonts w:cs="Times New Roman"/>
          <w:color w:val="000000" w:themeColor="text1"/>
          <w:szCs w:val="24"/>
        </w:rPr>
        <w:t>ector,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0CD5">
        <w:rPr>
          <w:rFonts w:cs="Times New Roman"/>
          <w:color w:val="000000" w:themeColor="text1"/>
          <w:szCs w:val="24"/>
        </w:rPr>
        <w:t>D</w:t>
      </w:r>
      <w:r w:rsidRPr="00C317BB" w:rsidR="002A611A">
        <w:rPr>
          <w:rFonts w:cs="Times New Roman"/>
          <w:color w:val="000000" w:themeColor="text1"/>
          <w:szCs w:val="24"/>
        </w:rPr>
        <w:t>efense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0CD5">
        <w:rPr>
          <w:rFonts w:cs="Times New Roman"/>
          <w:color w:val="000000" w:themeColor="text1"/>
          <w:szCs w:val="24"/>
        </w:rPr>
        <w:t>I</w:t>
      </w:r>
      <w:r w:rsidRPr="00C317BB" w:rsidR="002A611A">
        <w:rPr>
          <w:rFonts w:cs="Times New Roman"/>
          <w:color w:val="000000" w:themeColor="text1"/>
          <w:szCs w:val="24"/>
        </w:rPr>
        <w:t>ndustrial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0CD5">
        <w:rPr>
          <w:rFonts w:cs="Times New Roman"/>
          <w:color w:val="000000" w:themeColor="text1"/>
          <w:szCs w:val="24"/>
        </w:rPr>
        <w:t>B</w:t>
      </w:r>
      <w:r w:rsidRPr="00C317BB" w:rsidR="002A611A">
        <w:rPr>
          <w:rFonts w:cs="Times New Roman"/>
          <w:color w:val="000000" w:themeColor="text1"/>
          <w:szCs w:val="24"/>
        </w:rPr>
        <w:t>ase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0CD5">
        <w:rPr>
          <w:rFonts w:cs="Times New Roman"/>
          <w:color w:val="000000" w:themeColor="text1"/>
          <w:szCs w:val="24"/>
        </w:rPr>
        <w:t>S</w:t>
      </w:r>
      <w:r w:rsidRPr="00C317BB" w:rsidR="002A611A">
        <w:rPr>
          <w:rFonts w:cs="Times New Roman"/>
          <w:color w:val="000000" w:themeColor="text1"/>
          <w:szCs w:val="24"/>
        </w:rPr>
        <w:t>ector,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0CD5">
        <w:rPr>
          <w:rFonts w:cs="Times New Roman"/>
          <w:color w:val="000000" w:themeColor="text1"/>
          <w:szCs w:val="24"/>
        </w:rPr>
        <w:t>E</w:t>
      </w:r>
      <w:r w:rsidRPr="00C317BB" w:rsidR="002A611A">
        <w:rPr>
          <w:rFonts w:cs="Times New Roman"/>
          <w:color w:val="000000" w:themeColor="text1"/>
          <w:szCs w:val="24"/>
        </w:rPr>
        <w:t>mergency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0CD5">
        <w:rPr>
          <w:rFonts w:cs="Times New Roman"/>
          <w:color w:val="000000" w:themeColor="text1"/>
          <w:szCs w:val="24"/>
        </w:rPr>
        <w:t>S</w:t>
      </w:r>
      <w:r w:rsidRPr="00C317BB" w:rsidR="002A611A">
        <w:rPr>
          <w:rFonts w:cs="Times New Roman"/>
          <w:color w:val="000000" w:themeColor="text1"/>
          <w:szCs w:val="24"/>
        </w:rPr>
        <w:t>ervices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0CD5">
        <w:rPr>
          <w:rFonts w:cs="Times New Roman"/>
          <w:color w:val="000000" w:themeColor="text1"/>
          <w:szCs w:val="24"/>
        </w:rPr>
        <w:t>S</w:t>
      </w:r>
      <w:r w:rsidRPr="00C317BB" w:rsidR="002A611A">
        <w:rPr>
          <w:rFonts w:cs="Times New Roman"/>
          <w:color w:val="000000" w:themeColor="text1"/>
          <w:szCs w:val="24"/>
        </w:rPr>
        <w:t>ector,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0CD5">
        <w:rPr>
          <w:rFonts w:cs="Times New Roman"/>
          <w:color w:val="000000" w:themeColor="text1"/>
          <w:szCs w:val="24"/>
        </w:rPr>
        <w:t>E</w:t>
      </w:r>
      <w:r w:rsidRPr="00C317BB" w:rsidR="002A611A">
        <w:rPr>
          <w:rFonts w:cs="Times New Roman"/>
          <w:color w:val="000000" w:themeColor="text1"/>
          <w:szCs w:val="24"/>
        </w:rPr>
        <w:t>nergy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0CD5">
        <w:rPr>
          <w:rFonts w:cs="Times New Roman"/>
          <w:color w:val="000000" w:themeColor="text1"/>
          <w:szCs w:val="24"/>
        </w:rPr>
        <w:t>S</w:t>
      </w:r>
      <w:r w:rsidRPr="00C317BB" w:rsidR="002A611A">
        <w:rPr>
          <w:rFonts w:cs="Times New Roman"/>
          <w:color w:val="000000" w:themeColor="text1"/>
          <w:szCs w:val="24"/>
        </w:rPr>
        <w:t>ector,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0CD5">
        <w:rPr>
          <w:rFonts w:cs="Times New Roman"/>
          <w:color w:val="000000" w:themeColor="text1"/>
          <w:szCs w:val="24"/>
        </w:rPr>
        <w:t>F</w:t>
      </w:r>
      <w:r w:rsidRPr="00C317BB" w:rsidR="002A611A">
        <w:rPr>
          <w:rFonts w:cs="Times New Roman"/>
          <w:color w:val="000000" w:themeColor="text1"/>
          <w:szCs w:val="24"/>
        </w:rPr>
        <w:t>ood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A611A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0CD5">
        <w:rPr>
          <w:rFonts w:cs="Times New Roman"/>
          <w:color w:val="000000" w:themeColor="text1"/>
          <w:szCs w:val="24"/>
        </w:rPr>
        <w:t>A</w:t>
      </w:r>
      <w:r w:rsidRPr="00C317BB" w:rsidR="002A611A">
        <w:rPr>
          <w:rFonts w:cs="Times New Roman"/>
          <w:color w:val="000000" w:themeColor="text1"/>
          <w:szCs w:val="24"/>
        </w:rPr>
        <w:t>griculture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0CD5">
        <w:rPr>
          <w:rFonts w:cs="Times New Roman"/>
          <w:color w:val="000000" w:themeColor="text1"/>
          <w:szCs w:val="24"/>
        </w:rPr>
        <w:t>S</w:t>
      </w:r>
      <w:r w:rsidRPr="00C317BB" w:rsidR="002A611A">
        <w:rPr>
          <w:rFonts w:cs="Times New Roman"/>
          <w:color w:val="000000" w:themeColor="text1"/>
          <w:szCs w:val="24"/>
        </w:rPr>
        <w:t>ector,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A611A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0CD5">
        <w:rPr>
          <w:rFonts w:cs="Times New Roman"/>
          <w:color w:val="000000" w:themeColor="text1"/>
          <w:szCs w:val="24"/>
        </w:rPr>
        <w:t>H</w:t>
      </w:r>
      <w:r w:rsidRPr="00C317BB" w:rsidR="002A611A">
        <w:rPr>
          <w:rFonts w:cs="Times New Roman"/>
          <w:color w:val="000000" w:themeColor="text1"/>
          <w:szCs w:val="24"/>
        </w:rPr>
        <w:t>ealthcare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A611A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0CD5">
        <w:rPr>
          <w:rFonts w:cs="Times New Roman"/>
          <w:color w:val="000000" w:themeColor="text1"/>
          <w:szCs w:val="24"/>
        </w:rPr>
        <w:t>P</w:t>
      </w:r>
      <w:r w:rsidRPr="00C317BB" w:rsidR="002A611A">
        <w:rPr>
          <w:rFonts w:cs="Times New Roman"/>
          <w:color w:val="000000" w:themeColor="text1"/>
          <w:szCs w:val="24"/>
        </w:rPr>
        <w:t>ublic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0CD5">
        <w:rPr>
          <w:rFonts w:cs="Times New Roman"/>
          <w:color w:val="000000" w:themeColor="text1"/>
          <w:szCs w:val="24"/>
        </w:rPr>
        <w:t>H</w:t>
      </w:r>
      <w:r w:rsidRPr="00C317BB" w:rsidR="002A611A">
        <w:rPr>
          <w:rFonts w:cs="Times New Roman"/>
          <w:color w:val="000000" w:themeColor="text1"/>
          <w:szCs w:val="24"/>
        </w:rPr>
        <w:t>ealth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30CD5">
        <w:rPr>
          <w:rFonts w:cs="Times New Roman"/>
          <w:color w:val="000000" w:themeColor="text1"/>
          <w:szCs w:val="24"/>
        </w:rPr>
        <w:t>S</w:t>
      </w:r>
      <w:r w:rsidRPr="00C317BB" w:rsidR="002A611A">
        <w:rPr>
          <w:rFonts w:cs="Times New Roman"/>
          <w:color w:val="000000" w:themeColor="text1"/>
          <w:szCs w:val="24"/>
        </w:rPr>
        <w:t>ector.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7F5A95" w:rsidP="00F27167" w:rsidRDefault="001C2570" w14:paraId="1DCF81A0" w14:textId="59C2E778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Should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find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justification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exists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2240E">
        <w:rPr>
          <w:rFonts w:cs="Times New Roman"/>
          <w:color w:val="000000" w:themeColor="text1"/>
          <w:szCs w:val="24"/>
        </w:rPr>
        <w:t>such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exemption,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Pr="00C317BB" w:rsidR="006B4EAE">
        <w:rPr>
          <w:rFonts w:cs="Times New Roman"/>
          <w:color w:val="000000" w:themeColor="text1"/>
          <w:szCs w:val="24"/>
        </w:rPr>
        <w:t>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analysis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reasoning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will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published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C6626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C6626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C6626">
        <w:rPr>
          <w:rFonts w:cs="Times New Roman"/>
          <w:color w:val="000000" w:themeColor="text1"/>
          <w:szCs w:val="24"/>
        </w:rPr>
        <w:t>final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C6626">
        <w:rPr>
          <w:rFonts w:cs="Times New Roman"/>
          <w:color w:val="000000" w:themeColor="text1"/>
          <w:szCs w:val="24"/>
        </w:rPr>
        <w:t>rule</w:t>
      </w:r>
      <w:r w:rsidRPr="00C317BB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266A1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4831">
        <w:rPr>
          <w:rFonts w:cs="Times New Roman"/>
          <w:color w:val="000000" w:themeColor="text1"/>
          <w:szCs w:val="24"/>
        </w:rPr>
        <w:t>seek</w:t>
      </w:r>
      <w:r w:rsidRPr="00C317BB" w:rsidR="004E4E7F">
        <w:rPr>
          <w:rFonts w:cs="Times New Roman"/>
          <w:color w:val="000000" w:themeColor="text1"/>
          <w:szCs w:val="24"/>
        </w:rPr>
        <w:t>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4831">
        <w:rPr>
          <w:rFonts w:cs="Times New Roman"/>
          <w:color w:val="000000" w:themeColor="text1"/>
          <w:szCs w:val="24"/>
        </w:rPr>
        <w:t>any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4831">
        <w:rPr>
          <w:rFonts w:cs="Times New Roman"/>
          <w:color w:val="000000" w:themeColor="text1"/>
          <w:szCs w:val="24"/>
        </w:rPr>
        <w:t>public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4831">
        <w:rPr>
          <w:rFonts w:cs="Times New Roman"/>
          <w:color w:val="000000" w:themeColor="text1"/>
          <w:szCs w:val="24"/>
        </w:rPr>
        <w:t>comment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4831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D4180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D4180">
        <w:rPr>
          <w:rFonts w:cs="Times New Roman"/>
          <w:color w:val="000000" w:themeColor="text1"/>
          <w:szCs w:val="24"/>
        </w:rPr>
        <w:t>favors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D4180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D4180">
        <w:rPr>
          <w:rFonts w:cs="Times New Roman"/>
          <w:color w:val="000000" w:themeColor="text1"/>
          <w:szCs w:val="24"/>
        </w:rPr>
        <w:t>disfavors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93497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93497">
        <w:rPr>
          <w:rFonts w:cs="Times New Roman"/>
          <w:color w:val="000000" w:themeColor="text1"/>
          <w:szCs w:val="24"/>
        </w:rPr>
        <w:t>using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B23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4153">
        <w:rPr>
          <w:rFonts w:cs="Times New Roman"/>
          <w:color w:val="000000" w:themeColor="text1"/>
          <w:szCs w:val="24"/>
        </w:rPr>
        <w:t>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B23">
        <w:rPr>
          <w:rFonts w:cs="Times New Roman"/>
          <w:color w:val="000000" w:themeColor="text1"/>
          <w:szCs w:val="24"/>
        </w:rPr>
        <w:t>6(g)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E48E8">
        <w:rPr>
          <w:rFonts w:cs="Times New Roman"/>
          <w:color w:val="000000" w:themeColor="text1"/>
          <w:szCs w:val="24"/>
        </w:rPr>
        <w:t>authority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E48E8">
        <w:rPr>
          <w:rFonts w:cs="Times New Roman"/>
          <w:color w:val="000000" w:themeColor="text1"/>
          <w:szCs w:val="24"/>
        </w:rPr>
        <w:t>f</w:t>
      </w:r>
      <w:r w:rsidRPr="00C317BB" w:rsidR="00551A82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1A82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1A82">
        <w:rPr>
          <w:rFonts w:cs="Times New Roman"/>
          <w:color w:val="000000" w:themeColor="text1"/>
          <w:szCs w:val="24"/>
        </w:rPr>
        <w:t>asbesto</w:t>
      </w:r>
      <w:r w:rsidRPr="00C317BB" w:rsidR="005C2BAA">
        <w:rPr>
          <w:rFonts w:cs="Times New Roman"/>
          <w:color w:val="000000" w:themeColor="text1"/>
          <w:szCs w:val="24"/>
        </w:rPr>
        <w:t>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1A82">
        <w:rPr>
          <w:rFonts w:cs="Times New Roman"/>
          <w:color w:val="000000" w:themeColor="text1"/>
          <w:szCs w:val="24"/>
        </w:rPr>
        <w:t>diaphragms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1A82">
        <w:rPr>
          <w:rFonts w:cs="Times New Roman"/>
          <w:color w:val="000000" w:themeColor="text1"/>
          <w:szCs w:val="24"/>
        </w:rPr>
        <w:t>used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1A82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1A82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1A82">
        <w:rPr>
          <w:rFonts w:cs="Times New Roman"/>
          <w:color w:val="000000" w:themeColor="text1"/>
          <w:szCs w:val="24"/>
        </w:rPr>
        <w:t>chlor-alkali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1A82">
        <w:rPr>
          <w:rFonts w:cs="Times New Roman"/>
          <w:color w:val="000000" w:themeColor="text1"/>
          <w:szCs w:val="24"/>
        </w:rPr>
        <w:t>industry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1A82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1A82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1A82">
        <w:rPr>
          <w:rFonts w:cs="Times New Roman"/>
          <w:color w:val="000000" w:themeColor="text1"/>
          <w:szCs w:val="24"/>
        </w:rPr>
        <w:t>asbestos-containing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1A82">
        <w:rPr>
          <w:rFonts w:cs="Times New Roman"/>
          <w:color w:val="000000" w:themeColor="text1"/>
          <w:szCs w:val="24"/>
        </w:rPr>
        <w:t>sheet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1A82">
        <w:rPr>
          <w:rFonts w:cs="Times New Roman"/>
          <w:color w:val="000000" w:themeColor="text1"/>
          <w:szCs w:val="24"/>
        </w:rPr>
        <w:t>gaskets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1A82">
        <w:rPr>
          <w:rFonts w:cs="Times New Roman"/>
          <w:color w:val="000000" w:themeColor="text1"/>
          <w:szCs w:val="24"/>
        </w:rPr>
        <w:t>used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1A82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1A82">
        <w:rPr>
          <w:rFonts w:cs="Times New Roman"/>
          <w:color w:val="000000" w:themeColor="text1"/>
          <w:szCs w:val="24"/>
        </w:rPr>
        <w:t>chemical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1A82">
        <w:rPr>
          <w:rFonts w:cs="Times New Roman"/>
          <w:color w:val="000000" w:themeColor="text1"/>
          <w:szCs w:val="24"/>
        </w:rPr>
        <w:t>production</w:t>
      </w:r>
      <w:r w:rsidRPr="00C317BB" w:rsidR="00880637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80637">
        <w:rPr>
          <w:rFonts w:cs="Times New Roman"/>
          <w:color w:val="000000" w:themeColor="text1"/>
          <w:szCs w:val="24"/>
        </w:rPr>
        <w:t>Since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80637">
        <w:rPr>
          <w:rFonts w:cs="Times New Roman"/>
          <w:color w:val="000000" w:themeColor="text1"/>
          <w:szCs w:val="24"/>
        </w:rPr>
        <w:t>any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80637">
        <w:rPr>
          <w:rFonts w:cs="Times New Roman"/>
          <w:color w:val="000000" w:themeColor="text1"/>
          <w:szCs w:val="24"/>
        </w:rPr>
        <w:t>decision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80637">
        <w:rPr>
          <w:rFonts w:cs="Times New Roman"/>
          <w:color w:val="000000" w:themeColor="text1"/>
          <w:szCs w:val="24"/>
        </w:rPr>
        <w:t>made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80637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80637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80637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6DBF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4153">
        <w:rPr>
          <w:rFonts w:cs="Times New Roman"/>
          <w:color w:val="000000" w:themeColor="text1"/>
          <w:szCs w:val="24"/>
        </w:rPr>
        <w:t>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80637">
        <w:rPr>
          <w:rFonts w:cs="Times New Roman"/>
          <w:color w:val="000000" w:themeColor="text1"/>
          <w:szCs w:val="24"/>
        </w:rPr>
        <w:t>6(g)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4E9A">
        <w:rPr>
          <w:rFonts w:cs="Times New Roman"/>
          <w:color w:val="000000" w:themeColor="text1"/>
          <w:szCs w:val="24"/>
        </w:rPr>
        <w:t>must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4E9A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4E9A">
        <w:rPr>
          <w:rFonts w:cs="Times New Roman"/>
          <w:color w:val="000000" w:themeColor="text1"/>
          <w:szCs w:val="24"/>
        </w:rPr>
        <w:t>through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4E9A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4E9A">
        <w:rPr>
          <w:rFonts w:cs="Times New Roman"/>
          <w:color w:val="000000" w:themeColor="text1"/>
          <w:szCs w:val="24"/>
        </w:rPr>
        <w:t>rulemaking,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80637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80637">
        <w:rPr>
          <w:rFonts w:cs="Times New Roman"/>
          <w:color w:val="000000" w:themeColor="text1"/>
          <w:szCs w:val="24"/>
        </w:rPr>
        <w:t>believes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80637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80637">
        <w:rPr>
          <w:rFonts w:cs="Times New Roman"/>
          <w:color w:val="000000" w:themeColor="text1"/>
          <w:szCs w:val="24"/>
        </w:rPr>
        <w:t>best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80637">
        <w:rPr>
          <w:rFonts w:cs="Times New Roman"/>
          <w:color w:val="000000" w:themeColor="text1"/>
          <w:szCs w:val="24"/>
        </w:rPr>
        <w:t>means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80637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80637">
        <w:rPr>
          <w:rFonts w:cs="Times New Roman"/>
          <w:color w:val="000000" w:themeColor="text1"/>
          <w:szCs w:val="24"/>
        </w:rPr>
        <w:t>issue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80637">
        <w:rPr>
          <w:rFonts w:cs="Times New Roman"/>
          <w:color w:val="000000" w:themeColor="text1"/>
          <w:szCs w:val="24"/>
        </w:rPr>
        <w:t>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80637">
        <w:rPr>
          <w:rFonts w:cs="Times New Roman"/>
          <w:color w:val="000000" w:themeColor="text1"/>
          <w:szCs w:val="24"/>
        </w:rPr>
        <w:t>exemption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80637">
        <w:rPr>
          <w:rFonts w:cs="Times New Roman"/>
          <w:color w:val="000000" w:themeColor="text1"/>
          <w:szCs w:val="24"/>
        </w:rPr>
        <w:t>would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80637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80637">
        <w:rPr>
          <w:rFonts w:cs="Times New Roman"/>
          <w:color w:val="000000" w:themeColor="text1"/>
          <w:szCs w:val="24"/>
        </w:rPr>
        <w:t>through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80637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80637">
        <w:rPr>
          <w:rFonts w:cs="Times New Roman"/>
          <w:color w:val="000000" w:themeColor="text1"/>
          <w:szCs w:val="24"/>
        </w:rPr>
        <w:t>rulemaking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80637">
        <w:rPr>
          <w:rFonts w:cs="Times New Roman"/>
          <w:color w:val="000000" w:themeColor="text1"/>
          <w:szCs w:val="24"/>
        </w:rPr>
        <w:t>process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B7025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B7025">
        <w:rPr>
          <w:rFonts w:cs="Times New Roman"/>
          <w:color w:val="000000" w:themeColor="text1"/>
          <w:szCs w:val="24"/>
        </w:rPr>
        <w:t>careful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B7025">
        <w:rPr>
          <w:rFonts w:cs="Times New Roman"/>
          <w:color w:val="000000" w:themeColor="text1"/>
          <w:szCs w:val="24"/>
        </w:rPr>
        <w:t>analysis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B7025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71CBF">
        <w:rPr>
          <w:rFonts w:cs="Times New Roman"/>
          <w:color w:val="000000" w:themeColor="text1"/>
          <w:szCs w:val="24"/>
        </w:rPr>
        <w:t>reasonably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4831">
        <w:rPr>
          <w:rFonts w:cs="Times New Roman"/>
          <w:color w:val="000000" w:themeColor="text1"/>
          <w:szCs w:val="24"/>
        </w:rPr>
        <w:t>available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71CBF">
        <w:rPr>
          <w:rFonts w:cs="Times New Roman"/>
          <w:color w:val="000000" w:themeColor="text1"/>
          <w:szCs w:val="24"/>
        </w:rPr>
        <w:t>information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B7025">
        <w:rPr>
          <w:rFonts w:cs="Times New Roman"/>
          <w:color w:val="000000" w:themeColor="text1"/>
          <w:szCs w:val="24"/>
        </w:rPr>
        <w:t>which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B7025">
        <w:rPr>
          <w:rFonts w:cs="Times New Roman"/>
          <w:color w:val="000000" w:themeColor="text1"/>
          <w:szCs w:val="24"/>
        </w:rPr>
        <w:t>supports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B7025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6DBF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4153">
        <w:rPr>
          <w:rFonts w:cs="Times New Roman"/>
          <w:color w:val="000000" w:themeColor="text1"/>
          <w:szCs w:val="24"/>
        </w:rPr>
        <w:t>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B7025">
        <w:rPr>
          <w:rFonts w:cs="Times New Roman"/>
          <w:color w:val="000000" w:themeColor="text1"/>
          <w:szCs w:val="24"/>
        </w:rPr>
        <w:t>6(g)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B7025">
        <w:rPr>
          <w:rFonts w:cs="Times New Roman"/>
          <w:color w:val="000000" w:themeColor="text1"/>
          <w:szCs w:val="24"/>
        </w:rPr>
        <w:t>exemption</w:t>
      </w:r>
      <w:r w:rsidRPr="00C317BB" w:rsidR="002B55B5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95725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95725">
        <w:rPr>
          <w:rFonts w:cs="Times New Roman"/>
          <w:color w:val="000000" w:themeColor="text1"/>
          <w:szCs w:val="24"/>
        </w:rPr>
        <w:t>r</w:t>
      </w:r>
      <w:r w:rsidRPr="00C317BB" w:rsidR="00334D86">
        <w:rPr>
          <w:rFonts w:cs="Times New Roman"/>
          <w:color w:val="000000" w:themeColor="text1"/>
          <w:szCs w:val="24"/>
        </w:rPr>
        <w:t>ulemaking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95725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95725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95725">
        <w:rPr>
          <w:rFonts w:cs="Times New Roman"/>
          <w:color w:val="000000" w:themeColor="text1"/>
          <w:szCs w:val="24"/>
        </w:rPr>
        <w:t>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95725">
        <w:rPr>
          <w:rFonts w:cs="Times New Roman"/>
          <w:color w:val="000000" w:themeColor="text1"/>
          <w:szCs w:val="24"/>
        </w:rPr>
        <w:t>6(g)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95725">
        <w:rPr>
          <w:rFonts w:cs="Times New Roman"/>
          <w:color w:val="000000" w:themeColor="text1"/>
          <w:szCs w:val="24"/>
        </w:rPr>
        <w:t>also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95725">
        <w:rPr>
          <w:rFonts w:cs="Times New Roman"/>
          <w:color w:val="000000" w:themeColor="text1"/>
          <w:szCs w:val="24"/>
        </w:rPr>
        <w:t>allows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95725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95725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95725">
        <w:rPr>
          <w:rFonts w:cs="Times New Roman"/>
          <w:color w:val="000000" w:themeColor="text1"/>
          <w:szCs w:val="24"/>
        </w:rPr>
        <w:t>include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C560D">
        <w:rPr>
          <w:rFonts w:cs="Times New Roman"/>
          <w:color w:val="000000" w:themeColor="text1"/>
          <w:szCs w:val="24"/>
        </w:rPr>
        <w:t>reasonable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95725">
        <w:rPr>
          <w:rFonts w:cs="Times New Roman"/>
          <w:color w:val="000000" w:themeColor="text1"/>
          <w:szCs w:val="24"/>
        </w:rPr>
        <w:t>conditions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C560D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462A">
        <w:rPr>
          <w:rFonts w:cs="Times New Roman"/>
          <w:color w:val="000000" w:themeColor="text1"/>
          <w:szCs w:val="24"/>
        </w:rPr>
        <w:t>protect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462A">
        <w:rPr>
          <w:rFonts w:cs="Times New Roman"/>
          <w:color w:val="000000" w:themeColor="text1"/>
          <w:szCs w:val="24"/>
        </w:rPr>
        <w:t>health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462A">
        <w:rPr>
          <w:rFonts w:cs="Times New Roman"/>
          <w:color w:val="000000" w:themeColor="text1"/>
          <w:szCs w:val="24"/>
        </w:rPr>
        <w:t>while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462A">
        <w:rPr>
          <w:rFonts w:cs="Times New Roman"/>
          <w:color w:val="000000" w:themeColor="text1"/>
          <w:szCs w:val="24"/>
        </w:rPr>
        <w:t>achieving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462A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462A">
        <w:rPr>
          <w:rFonts w:cs="Times New Roman"/>
          <w:color w:val="000000" w:themeColor="text1"/>
          <w:szCs w:val="24"/>
        </w:rPr>
        <w:t>purposes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462A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462A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462A">
        <w:rPr>
          <w:rFonts w:cs="Times New Roman"/>
          <w:color w:val="000000" w:themeColor="text1"/>
          <w:szCs w:val="24"/>
        </w:rPr>
        <w:t>exemption</w:t>
      </w:r>
      <w:r w:rsidRPr="00C317BB" w:rsidR="00065FDB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65FD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65FD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65FDB">
        <w:rPr>
          <w:rFonts w:cs="Times New Roman"/>
          <w:color w:val="000000" w:themeColor="text1"/>
          <w:szCs w:val="24"/>
        </w:rPr>
        <w:t>end,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65FD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50CB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50CB">
        <w:rPr>
          <w:rFonts w:cs="Times New Roman"/>
          <w:color w:val="000000" w:themeColor="text1"/>
          <w:szCs w:val="24"/>
        </w:rPr>
        <w:t>considering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50CB">
        <w:rPr>
          <w:rFonts w:cs="Times New Roman"/>
          <w:color w:val="000000" w:themeColor="text1"/>
          <w:szCs w:val="24"/>
        </w:rPr>
        <w:t>requiring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50CB">
        <w:rPr>
          <w:rFonts w:cs="Times New Roman"/>
          <w:color w:val="000000" w:themeColor="text1"/>
          <w:szCs w:val="24"/>
        </w:rPr>
        <w:t>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50CB">
        <w:rPr>
          <w:rFonts w:cs="Times New Roman"/>
          <w:color w:val="000000" w:themeColor="text1"/>
          <w:szCs w:val="24"/>
        </w:rPr>
        <w:t>ECEL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074F3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074F3">
        <w:rPr>
          <w:rFonts w:cs="Times New Roman"/>
          <w:color w:val="000000" w:themeColor="text1"/>
          <w:szCs w:val="24"/>
        </w:rPr>
        <w:t>downstream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074F3">
        <w:rPr>
          <w:rFonts w:cs="Times New Roman"/>
          <w:color w:val="000000" w:themeColor="text1"/>
          <w:szCs w:val="24"/>
        </w:rPr>
        <w:t>notification,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074F3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074F3">
        <w:rPr>
          <w:rFonts w:cs="Times New Roman"/>
          <w:color w:val="000000" w:themeColor="text1"/>
          <w:szCs w:val="24"/>
        </w:rPr>
        <w:t>described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074F3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074F3">
        <w:rPr>
          <w:rFonts w:cs="Times New Roman"/>
          <w:color w:val="000000" w:themeColor="text1"/>
          <w:szCs w:val="24"/>
        </w:rPr>
        <w:t>Unit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074F3">
        <w:rPr>
          <w:rFonts w:cs="Times New Roman"/>
          <w:color w:val="000000" w:themeColor="text1"/>
          <w:szCs w:val="24"/>
        </w:rPr>
        <w:t>IV.B.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3613F">
        <w:rPr>
          <w:rFonts w:cs="Times New Roman"/>
          <w:color w:val="000000" w:themeColor="text1"/>
          <w:szCs w:val="24"/>
        </w:rPr>
        <w:t>Primary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83D05">
        <w:rPr>
          <w:rFonts w:cs="Times New Roman"/>
          <w:color w:val="000000" w:themeColor="text1"/>
          <w:szCs w:val="24"/>
        </w:rPr>
        <w:t>a</w:t>
      </w:r>
      <w:r w:rsidRPr="00C317BB" w:rsidR="0003613F">
        <w:rPr>
          <w:rFonts w:cs="Times New Roman"/>
          <w:color w:val="000000" w:themeColor="text1"/>
          <w:szCs w:val="24"/>
        </w:rPr>
        <w:t>lternative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3613F">
        <w:rPr>
          <w:rFonts w:cs="Times New Roman"/>
          <w:color w:val="000000" w:themeColor="text1"/>
          <w:szCs w:val="24"/>
        </w:rPr>
        <w:t>regulator</w:t>
      </w:r>
      <w:r w:rsidRPr="00C317BB" w:rsidR="00355F4E">
        <w:rPr>
          <w:rFonts w:cs="Times New Roman"/>
          <w:color w:val="000000" w:themeColor="text1"/>
          <w:szCs w:val="24"/>
        </w:rPr>
        <w:t>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3613F">
        <w:rPr>
          <w:rFonts w:cs="Times New Roman"/>
          <w:color w:val="000000" w:themeColor="text1"/>
          <w:szCs w:val="24"/>
        </w:rPr>
        <w:t>action.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3613F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3613F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3613F">
        <w:rPr>
          <w:rFonts w:cs="Times New Roman"/>
          <w:color w:val="000000" w:themeColor="text1"/>
          <w:szCs w:val="24"/>
        </w:rPr>
        <w:t>seeking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83D05">
        <w:rPr>
          <w:rFonts w:cs="Times New Roman"/>
          <w:color w:val="000000" w:themeColor="text1"/>
          <w:szCs w:val="24"/>
        </w:rPr>
        <w:t>public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3613F">
        <w:rPr>
          <w:rFonts w:cs="Times New Roman"/>
          <w:color w:val="000000" w:themeColor="text1"/>
          <w:szCs w:val="24"/>
        </w:rPr>
        <w:t>comments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3613F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3613F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3613F">
        <w:rPr>
          <w:rFonts w:cs="Times New Roman"/>
          <w:color w:val="000000" w:themeColor="text1"/>
          <w:szCs w:val="24"/>
        </w:rPr>
        <w:t>possible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074F3">
        <w:rPr>
          <w:rFonts w:cs="Times New Roman"/>
          <w:color w:val="000000" w:themeColor="text1"/>
          <w:szCs w:val="24"/>
        </w:rPr>
        <w:t>conditions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074F3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3613F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3613F">
        <w:rPr>
          <w:rFonts w:cs="Times New Roman"/>
          <w:color w:val="000000" w:themeColor="text1"/>
          <w:szCs w:val="24"/>
        </w:rPr>
        <w:t>i</w:t>
      </w:r>
      <w:r w:rsidRPr="00C317BB" w:rsidR="00065FDB">
        <w:rPr>
          <w:rFonts w:cs="Times New Roman"/>
          <w:color w:val="000000" w:themeColor="text1"/>
          <w:szCs w:val="24"/>
        </w:rPr>
        <w:t>nclud</w:t>
      </w:r>
      <w:r w:rsidRPr="00C317BB" w:rsidR="0003613F">
        <w:rPr>
          <w:rFonts w:cs="Times New Roman"/>
          <w:color w:val="000000" w:themeColor="text1"/>
          <w:szCs w:val="24"/>
        </w:rPr>
        <w:t>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12E7F">
        <w:rPr>
          <w:rFonts w:cs="Times New Roman"/>
          <w:color w:val="000000" w:themeColor="text1"/>
          <w:szCs w:val="24"/>
        </w:rPr>
        <w:t>if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12E7F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12E7F">
        <w:rPr>
          <w:rFonts w:cs="Times New Roman"/>
          <w:color w:val="000000" w:themeColor="text1"/>
          <w:szCs w:val="24"/>
        </w:rPr>
        <w:t>issues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12E7F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3613F">
        <w:rPr>
          <w:rFonts w:cs="Times New Roman"/>
          <w:color w:val="000000" w:themeColor="text1"/>
          <w:szCs w:val="24"/>
        </w:rPr>
        <w:t>rulemaking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3613F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3613F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3613F">
        <w:rPr>
          <w:rFonts w:cs="Times New Roman"/>
          <w:color w:val="000000" w:themeColor="text1"/>
          <w:szCs w:val="24"/>
        </w:rPr>
        <w:t>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3613F">
        <w:rPr>
          <w:rFonts w:cs="Times New Roman"/>
          <w:color w:val="000000" w:themeColor="text1"/>
          <w:szCs w:val="24"/>
        </w:rPr>
        <w:t>6(g)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3613F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3613F">
        <w:rPr>
          <w:rFonts w:cs="Times New Roman"/>
          <w:color w:val="000000" w:themeColor="text1"/>
          <w:szCs w:val="24"/>
        </w:rPr>
        <w:t>provide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3613F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3613F">
        <w:rPr>
          <w:rFonts w:cs="Times New Roman"/>
          <w:color w:val="000000" w:themeColor="text1"/>
          <w:szCs w:val="24"/>
        </w:rPr>
        <w:t>time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3613F">
        <w:rPr>
          <w:rFonts w:cs="Times New Roman"/>
          <w:color w:val="000000" w:themeColor="text1"/>
          <w:szCs w:val="24"/>
        </w:rPr>
        <w:t>limited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3613F">
        <w:rPr>
          <w:rFonts w:cs="Times New Roman"/>
          <w:color w:val="000000" w:themeColor="text1"/>
          <w:szCs w:val="24"/>
        </w:rPr>
        <w:t>exemption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3613F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3613F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3613F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3613F">
        <w:rPr>
          <w:rFonts w:cs="Times New Roman"/>
          <w:color w:val="000000" w:themeColor="text1"/>
          <w:szCs w:val="24"/>
        </w:rPr>
        <w:t>diap</w:t>
      </w:r>
      <w:r w:rsidRPr="00C317BB" w:rsidR="00F930C5">
        <w:rPr>
          <w:rFonts w:cs="Times New Roman"/>
          <w:color w:val="000000" w:themeColor="text1"/>
          <w:szCs w:val="24"/>
        </w:rPr>
        <w:t>h</w:t>
      </w:r>
      <w:r w:rsidRPr="00C317BB" w:rsidR="0003613F">
        <w:rPr>
          <w:rFonts w:cs="Times New Roman"/>
          <w:color w:val="000000" w:themeColor="text1"/>
          <w:szCs w:val="24"/>
        </w:rPr>
        <w:t>ragms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3613F">
        <w:rPr>
          <w:rFonts w:cs="Times New Roman"/>
          <w:color w:val="000000" w:themeColor="text1"/>
          <w:szCs w:val="24"/>
        </w:rPr>
        <w:t>used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3613F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3613F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3613F">
        <w:rPr>
          <w:rFonts w:cs="Times New Roman"/>
          <w:color w:val="000000" w:themeColor="text1"/>
          <w:szCs w:val="24"/>
        </w:rPr>
        <w:t>chlor-alkali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3613F">
        <w:rPr>
          <w:rFonts w:cs="Times New Roman"/>
          <w:color w:val="000000" w:themeColor="text1"/>
          <w:szCs w:val="24"/>
        </w:rPr>
        <w:t>industry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3613F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3613F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3613F">
        <w:rPr>
          <w:rFonts w:cs="Times New Roman"/>
          <w:color w:val="000000" w:themeColor="text1"/>
          <w:szCs w:val="24"/>
        </w:rPr>
        <w:t>asbest</w:t>
      </w:r>
      <w:r w:rsidRPr="00C317BB" w:rsidR="00F930C5">
        <w:rPr>
          <w:rFonts w:cs="Times New Roman"/>
          <w:color w:val="000000" w:themeColor="text1"/>
          <w:szCs w:val="24"/>
        </w:rPr>
        <w:t>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930C5">
        <w:rPr>
          <w:rFonts w:cs="Times New Roman"/>
          <w:color w:val="000000" w:themeColor="text1"/>
          <w:szCs w:val="24"/>
        </w:rPr>
        <w:t>sheet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930C5">
        <w:rPr>
          <w:rFonts w:cs="Times New Roman"/>
          <w:color w:val="000000" w:themeColor="text1"/>
          <w:szCs w:val="24"/>
        </w:rPr>
        <w:t>gaskets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930C5">
        <w:rPr>
          <w:rFonts w:cs="Times New Roman"/>
          <w:color w:val="000000" w:themeColor="text1"/>
          <w:szCs w:val="24"/>
        </w:rPr>
        <w:t>used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930C5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930C5">
        <w:rPr>
          <w:rFonts w:cs="Times New Roman"/>
          <w:color w:val="000000" w:themeColor="text1"/>
          <w:szCs w:val="24"/>
        </w:rPr>
        <w:t>chemical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930C5">
        <w:rPr>
          <w:rFonts w:cs="Times New Roman"/>
          <w:color w:val="000000" w:themeColor="text1"/>
          <w:szCs w:val="24"/>
        </w:rPr>
        <w:t>production.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6F31D2" w:rsidP="00F27167" w:rsidRDefault="00FE7821" w14:paraId="6740ECC0" w14:textId="1CD9CFB0">
      <w:pPr>
        <w:pStyle w:val="Heading3"/>
        <w:ind w:firstLine="720"/>
        <w:rPr>
          <w:rFonts w:cs="Times New Roman"/>
          <w:color w:val="000000" w:themeColor="text1"/>
          <w:szCs w:val="24"/>
          <w:lang w:val="en"/>
        </w:rPr>
      </w:pPr>
      <w:r w:rsidRPr="00C317BB">
        <w:rPr>
          <w:rFonts w:cs="Times New Roman"/>
          <w:color w:val="000000" w:themeColor="text1"/>
          <w:szCs w:val="24"/>
          <w:lang w:val="en"/>
        </w:rPr>
        <w:t>5.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F77A6E">
        <w:rPr>
          <w:rFonts w:cs="Times New Roman"/>
          <w:color w:val="000000" w:themeColor="text1"/>
          <w:szCs w:val="24"/>
          <w:lang w:val="en"/>
        </w:rPr>
        <w:t>Primary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724B70">
        <w:rPr>
          <w:rFonts w:cs="Times New Roman"/>
          <w:color w:val="000000" w:themeColor="text1"/>
          <w:szCs w:val="24"/>
          <w:lang w:val="en"/>
        </w:rPr>
        <w:t>a</w:t>
      </w:r>
      <w:r w:rsidRPr="00C317BB" w:rsidR="00F501C5">
        <w:rPr>
          <w:rFonts w:cs="Times New Roman"/>
          <w:color w:val="000000" w:themeColor="text1"/>
          <w:szCs w:val="24"/>
          <w:lang w:val="en"/>
        </w:rPr>
        <w:t>lternative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6F31D2">
        <w:rPr>
          <w:rFonts w:cs="Times New Roman"/>
          <w:color w:val="000000" w:themeColor="text1"/>
          <w:szCs w:val="24"/>
          <w:lang w:val="en"/>
        </w:rPr>
        <w:t>regulatory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6F31D2">
        <w:rPr>
          <w:rFonts w:cs="Times New Roman"/>
          <w:color w:val="000000" w:themeColor="text1"/>
          <w:szCs w:val="24"/>
          <w:lang w:val="en"/>
        </w:rPr>
        <w:t>action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6F31D2">
        <w:rPr>
          <w:rFonts w:cs="Times New Roman"/>
          <w:color w:val="000000" w:themeColor="text1"/>
          <w:szCs w:val="24"/>
          <w:lang w:val="en"/>
        </w:rPr>
        <w:t>for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427F7B">
        <w:rPr>
          <w:rFonts w:cs="Times New Roman"/>
          <w:color w:val="000000" w:themeColor="text1"/>
          <w:szCs w:val="24"/>
          <w:lang w:val="en"/>
        </w:rPr>
        <w:t>m</w:t>
      </w:r>
      <w:r w:rsidRPr="00C317BB" w:rsidR="006F31D2">
        <w:rPr>
          <w:rFonts w:cs="Times New Roman"/>
          <w:color w:val="000000" w:themeColor="text1"/>
          <w:szCs w:val="24"/>
          <w:lang w:val="en"/>
        </w:rPr>
        <w:t>anufacture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4E24B9">
        <w:rPr>
          <w:rFonts w:cs="Times New Roman"/>
          <w:color w:val="000000" w:themeColor="text1"/>
          <w:szCs w:val="24"/>
          <w:lang w:val="en"/>
        </w:rPr>
        <w:t>(including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427F7B">
        <w:rPr>
          <w:rFonts w:cs="Times New Roman"/>
          <w:color w:val="000000" w:themeColor="text1"/>
          <w:szCs w:val="24"/>
          <w:lang w:val="en"/>
        </w:rPr>
        <w:t>i</w:t>
      </w:r>
      <w:r w:rsidRPr="00C317BB" w:rsidR="004E24B9">
        <w:rPr>
          <w:rFonts w:cs="Times New Roman"/>
          <w:color w:val="000000" w:themeColor="text1"/>
          <w:szCs w:val="24"/>
          <w:lang w:val="en"/>
        </w:rPr>
        <w:t>mport)</w:t>
      </w:r>
      <w:r w:rsidRPr="00C317BB" w:rsidR="006F31D2">
        <w:rPr>
          <w:rFonts w:cs="Times New Roman"/>
          <w:color w:val="000000" w:themeColor="text1"/>
          <w:szCs w:val="24"/>
          <w:lang w:val="en"/>
        </w:rPr>
        <w:t>,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427F7B">
        <w:rPr>
          <w:rFonts w:cs="Times New Roman"/>
          <w:color w:val="000000" w:themeColor="text1"/>
          <w:szCs w:val="24"/>
          <w:lang w:val="en"/>
        </w:rPr>
        <w:t>p</w:t>
      </w:r>
      <w:r w:rsidRPr="00C317BB" w:rsidR="006F31D2">
        <w:rPr>
          <w:rFonts w:cs="Times New Roman"/>
          <w:color w:val="000000" w:themeColor="text1"/>
          <w:szCs w:val="24"/>
          <w:lang w:val="en"/>
        </w:rPr>
        <w:t>rocessing,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427F7B">
        <w:rPr>
          <w:rFonts w:cs="Times New Roman"/>
          <w:color w:val="000000" w:themeColor="text1"/>
          <w:szCs w:val="24"/>
          <w:lang w:val="en"/>
        </w:rPr>
        <w:t>d</w:t>
      </w:r>
      <w:r w:rsidRPr="00C317BB" w:rsidR="00BF5452">
        <w:rPr>
          <w:rFonts w:cs="Times New Roman"/>
          <w:color w:val="000000" w:themeColor="text1"/>
          <w:szCs w:val="24"/>
          <w:lang w:val="en"/>
        </w:rPr>
        <w:t>istribution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BF5452">
        <w:rPr>
          <w:rFonts w:cs="Times New Roman"/>
          <w:color w:val="000000" w:themeColor="text1"/>
          <w:szCs w:val="24"/>
          <w:lang w:val="en"/>
        </w:rPr>
        <w:t>in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427F7B">
        <w:rPr>
          <w:rFonts w:cs="Times New Roman"/>
          <w:color w:val="000000" w:themeColor="text1"/>
          <w:szCs w:val="24"/>
          <w:lang w:val="en"/>
        </w:rPr>
        <w:t>c</w:t>
      </w:r>
      <w:r w:rsidRPr="00C317BB" w:rsidR="00BF5452">
        <w:rPr>
          <w:rFonts w:cs="Times New Roman"/>
          <w:color w:val="000000" w:themeColor="text1"/>
          <w:szCs w:val="24"/>
          <w:lang w:val="en"/>
        </w:rPr>
        <w:t>ommerce</w:t>
      </w:r>
      <w:r w:rsidRPr="00C317BB" w:rsidR="006F31D2">
        <w:rPr>
          <w:rFonts w:cs="Times New Roman"/>
          <w:color w:val="000000" w:themeColor="text1"/>
          <w:szCs w:val="24"/>
          <w:lang w:val="en"/>
        </w:rPr>
        <w:t>,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6F31D2">
        <w:rPr>
          <w:rFonts w:cs="Times New Roman"/>
          <w:color w:val="000000" w:themeColor="text1"/>
          <w:szCs w:val="24"/>
          <w:lang w:val="en"/>
        </w:rPr>
        <w:t>and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9B2A1D">
        <w:rPr>
          <w:rFonts w:cs="Times New Roman"/>
          <w:color w:val="000000" w:themeColor="text1"/>
          <w:szCs w:val="24"/>
          <w:lang w:val="en"/>
        </w:rPr>
        <w:t>c</w:t>
      </w:r>
      <w:r w:rsidRPr="00C317BB" w:rsidR="003407E1">
        <w:rPr>
          <w:rFonts w:cs="Times New Roman"/>
          <w:color w:val="000000" w:themeColor="text1"/>
          <w:szCs w:val="24"/>
          <w:lang w:val="en"/>
        </w:rPr>
        <w:t>ommercial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9B2A1D">
        <w:rPr>
          <w:rFonts w:cs="Times New Roman"/>
          <w:color w:val="000000" w:themeColor="text1"/>
          <w:szCs w:val="24"/>
          <w:lang w:val="en"/>
        </w:rPr>
        <w:t>u</w:t>
      </w:r>
      <w:r w:rsidRPr="00C317BB" w:rsidR="006F31D2">
        <w:rPr>
          <w:rFonts w:cs="Times New Roman"/>
          <w:color w:val="000000" w:themeColor="text1"/>
          <w:szCs w:val="24"/>
          <w:lang w:val="en"/>
        </w:rPr>
        <w:t>se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6448D2">
        <w:rPr>
          <w:rFonts w:cs="Times New Roman"/>
          <w:color w:val="000000" w:themeColor="text1"/>
          <w:szCs w:val="24"/>
          <w:lang w:val="en"/>
        </w:rPr>
        <w:t>of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063A5D">
        <w:rPr>
          <w:rFonts w:cs="Times New Roman"/>
          <w:color w:val="000000" w:themeColor="text1"/>
          <w:szCs w:val="24"/>
          <w:lang w:val="en"/>
        </w:rPr>
        <w:t>c</w:t>
      </w:r>
      <w:r w:rsidRPr="00C317BB" w:rsidR="006F31D2">
        <w:rPr>
          <w:rFonts w:cs="Times New Roman"/>
          <w:color w:val="000000" w:themeColor="text1"/>
          <w:szCs w:val="24"/>
          <w:lang w:val="en"/>
        </w:rPr>
        <w:t>hrysotile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063A5D">
        <w:rPr>
          <w:rFonts w:cs="Times New Roman"/>
          <w:color w:val="000000" w:themeColor="text1"/>
          <w:szCs w:val="24"/>
          <w:lang w:val="en"/>
        </w:rPr>
        <w:t>a</w:t>
      </w:r>
      <w:r w:rsidRPr="00C317BB" w:rsidR="006F31D2">
        <w:rPr>
          <w:rFonts w:cs="Times New Roman"/>
          <w:color w:val="000000" w:themeColor="text1"/>
          <w:szCs w:val="24"/>
          <w:lang w:val="en"/>
        </w:rPr>
        <w:t>sbestos-containing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063A5D">
        <w:rPr>
          <w:rFonts w:cs="Times New Roman"/>
          <w:color w:val="000000" w:themeColor="text1"/>
          <w:szCs w:val="24"/>
          <w:lang w:val="en"/>
        </w:rPr>
        <w:t>b</w:t>
      </w:r>
      <w:r w:rsidRPr="00C317BB" w:rsidR="006F31D2">
        <w:rPr>
          <w:rFonts w:cs="Times New Roman"/>
          <w:color w:val="000000" w:themeColor="text1"/>
          <w:szCs w:val="24"/>
          <w:lang w:val="en"/>
        </w:rPr>
        <w:t>rake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063A5D">
        <w:rPr>
          <w:rFonts w:cs="Times New Roman"/>
          <w:color w:val="000000" w:themeColor="text1"/>
          <w:szCs w:val="24"/>
          <w:lang w:val="en"/>
        </w:rPr>
        <w:t>b</w:t>
      </w:r>
      <w:r w:rsidRPr="00C317BB" w:rsidR="006F31D2">
        <w:rPr>
          <w:rFonts w:cs="Times New Roman"/>
          <w:color w:val="000000" w:themeColor="text1"/>
          <w:szCs w:val="24"/>
          <w:lang w:val="en"/>
        </w:rPr>
        <w:t>locks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6F31D2">
        <w:rPr>
          <w:rFonts w:cs="Times New Roman"/>
          <w:color w:val="000000" w:themeColor="text1"/>
          <w:szCs w:val="24"/>
          <w:lang w:val="en"/>
        </w:rPr>
        <w:t>in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6F31D2">
        <w:rPr>
          <w:rFonts w:cs="Times New Roman"/>
          <w:color w:val="000000" w:themeColor="text1"/>
          <w:szCs w:val="24"/>
          <w:lang w:val="en"/>
        </w:rPr>
        <w:t>the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063A5D">
        <w:rPr>
          <w:rFonts w:cs="Times New Roman"/>
          <w:color w:val="000000" w:themeColor="text1"/>
          <w:szCs w:val="24"/>
          <w:lang w:val="en"/>
        </w:rPr>
        <w:t>o</w:t>
      </w:r>
      <w:r w:rsidRPr="00C317BB" w:rsidR="006F31D2">
        <w:rPr>
          <w:rFonts w:cs="Times New Roman"/>
          <w:color w:val="000000" w:themeColor="text1"/>
          <w:szCs w:val="24"/>
          <w:lang w:val="en"/>
        </w:rPr>
        <w:t>il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063A5D">
        <w:rPr>
          <w:rFonts w:cs="Times New Roman"/>
          <w:color w:val="000000" w:themeColor="text1"/>
          <w:szCs w:val="24"/>
          <w:lang w:val="en"/>
        </w:rPr>
        <w:t>i</w:t>
      </w:r>
      <w:r w:rsidRPr="00C317BB" w:rsidR="006F31D2">
        <w:rPr>
          <w:rFonts w:cs="Times New Roman"/>
          <w:color w:val="000000" w:themeColor="text1"/>
          <w:szCs w:val="24"/>
          <w:lang w:val="en"/>
        </w:rPr>
        <w:t>ndustry;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063A5D">
        <w:rPr>
          <w:rFonts w:cs="Times New Roman"/>
          <w:color w:val="000000" w:themeColor="text1"/>
          <w:szCs w:val="24"/>
          <w:lang w:val="en"/>
        </w:rPr>
        <w:t>a</w:t>
      </w:r>
      <w:r w:rsidRPr="00C317BB" w:rsidR="006F31D2">
        <w:rPr>
          <w:rFonts w:cs="Times New Roman"/>
          <w:color w:val="000000" w:themeColor="text1"/>
          <w:szCs w:val="24"/>
          <w:lang w:val="en"/>
        </w:rPr>
        <w:t>ftermarket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063A5D">
        <w:rPr>
          <w:rFonts w:cs="Times New Roman"/>
          <w:color w:val="000000" w:themeColor="text1"/>
          <w:szCs w:val="24"/>
          <w:lang w:val="en"/>
        </w:rPr>
        <w:t>a</w:t>
      </w:r>
      <w:r w:rsidRPr="00C317BB" w:rsidR="006F31D2">
        <w:rPr>
          <w:rFonts w:cs="Times New Roman"/>
          <w:color w:val="000000" w:themeColor="text1"/>
          <w:szCs w:val="24"/>
          <w:lang w:val="en"/>
        </w:rPr>
        <w:t>utomotive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063A5D">
        <w:rPr>
          <w:rFonts w:cs="Times New Roman"/>
          <w:color w:val="000000" w:themeColor="text1"/>
          <w:szCs w:val="24"/>
          <w:lang w:val="en"/>
        </w:rPr>
        <w:t>c</w:t>
      </w:r>
      <w:r w:rsidRPr="00C317BB" w:rsidR="006F31D2">
        <w:rPr>
          <w:rFonts w:cs="Times New Roman"/>
          <w:color w:val="000000" w:themeColor="text1"/>
          <w:szCs w:val="24"/>
          <w:lang w:val="en"/>
        </w:rPr>
        <w:t>hrysotile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063A5D">
        <w:rPr>
          <w:rFonts w:cs="Times New Roman"/>
          <w:color w:val="000000" w:themeColor="text1"/>
          <w:szCs w:val="24"/>
          <w:lang w:val="en"/>
        </w:rPr>
        <w:t>a</w:t>
      </w:r>
      <w:r w:rsidRPr="00C317BB" w:rsidR="006F31D2">
        <w:rPr>
          <w:rFonts w:cs="Times New Roman"/>
          <w:color w:val="000000" w:themeColor="text1"/>
          <w:szCs w:val="24"/>
          <w:lang w:val="en"/>
        </w:rPr>
        <w:t>sbestos-containing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063A5D">
        <w:rPr>
          <w:rFonts w:cs="Times New Roman"/>
          <w:color w:val="000000" w:themeColor="text1"/>
          <w:szCs w:val="24"/>
          <w:lang w:val="en"/>
        </w:rPr>
        <w:t>b</w:t>
      </w:r>
      <w:r w:rsidRPr="00C317BB" w:rsidR="006F31D2">
        <w:rPr>
          <w:rFonts w:cs="Times New Roman"/>
          <w:color w:val="000000" w:themeColor="text1"/>
          <w:szCs w:val="24"/>
          <w:lang w:val="en"/>
        </w:rPr>
        <w:t>rakes/linings;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000652">
        <w:rPr>
          <w:rFonts w:cs="Times New Roman"/>
          <w:color w:val="000000" w:themeColor="text1"/>
          <w:szCs w:val="24"/>
          <w:lang w:val="en"/>
        </w:rPr>
        <w:t>other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F72948">
        <w:rPr>
          <w:rFonts w:cs="Times New Roman"/>
          <w:color w:val="000000" w:themeColor="text1"/>
          <w:szCs w:val="24"/>
          <w:lang w:val="en"/>
        </w:rPr>
        <w:t>a</w:t>
      </w:r>
      <w:r w:rsidRPr="00C317BB" w:rsidR="006F31D2">
        <w:rPr>
          <w:rFonts w:cs="Times New Roman"/>
          <w:color w:val="000000" w:themeColor="text1"/>
          <w:szCs w:val="24"/>
          <w:lang w:val="en"/>
        </w:rPr>
        <w:t>sbestos-</w:t>
      </w:r>
      <w:r w:rsidRPr="00C317BB" w:rsidR="00F72948">
        <w:rPr>
          <w:rFonts w:cs="Times New Roman"/>
          <w:color w:val="000000" w:themeColor="text1"/>
          <w:szCs w:val="24"/>
          <w:lang w:val="en"/>
        </w:rPr>
        <w:t>c</w:t>
      </w:r>
      <w:r w:rsidRPr="00C317BB" w:rsidR="006F31D2">
        <w:rPr>
          <w:rFonts w:cs="Times New Roman"/>
          <w:color w:val="000000" w:themeColor="text1"/>
          <w:szCs w:val="24"/>
          <w:lang w:val="en"/>
        </w:rPr>
        <w:t>ontaining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866B4B">
        <w:rPr>
          <w:rFonts w:cs="Times New Roman"/>
          <w:color w:val="000000" w:themeColor="text1"/>
          <w:szCs w:val="24"/>
          <w:lang w:val="en"/>
        </w:rPr>
        <w:t>v</w:t>
      </w:r>
      <w:r w:rsidRPr="00C317BB" w:rsidR="006F31D2">
        <w:rPr>
          <w:rFonts w:cs="Times New Roman"/>
          <w:color w:val="000000" w:themeColor="text1"/>
          <w:szCs w:val="24"/>
          <w:lang w:val="en"/>
        </w:rPr>
        <w:t>ehicle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4D1863">
        <w:rPr>
          <w:rFonts w:cs="Times New Roman"/>
          <w:color w:val="000000" w:themeColor="text1"/>
          <w:szCs w:val="24"/>
          <w:lang w:val="en"/>
        </w:rPr>
        <w:t>f</w:t>
      </w:r>
      <w:r w:rsidRPr="00C317BB" w:rsidR="006F31D2">
        <w:rPr>
          <w:rFonts w:cs="Times New Roman"/>
          <w:color w:val="000000" w:themeColor="text1"/>
          <w:szCs w:val="24"/>
          <w:lang w:val="en"/>
        </w:rPr>
        <w:t>riction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4D1863">
        <w:rPr>
          <w:rFonts w:cs="Times New Roman"/>
          <w:color w:val="000000" w:themeColor="text1"/>
          <w:szCs w:val="24"/>
          <w:lang w:val="en"/>
        </w:rPr>
        <w:t>p</w:t>
      </w:r>
      <w:r w:rsidRPr="00C317BB" w:rsidR="006F31D2">
        <w:rPr>
          <w:rFonts w:cs="Times New Roman"/>
          <w:color w:val="000000" w:themeColor="text1"/>
          <w:szCs w:val="24"/>
          <w:lang w:val="en"/>
        </w:rPr>
        <w:t>roducts;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D26010">
        <w:rPr>
          <w:rFonts w:cs="Times New Roman"/>
          <w:color w:val="000000" w:themeColor="text1"/>
          <w:szCs w:val="24"/>
          <w:lang w:val="en"/>
        </w:rPr>
        <w:t>and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9B214F">
        <w:rPr>
          <w:rFonts w:cs="Times New Roman"/>
          <w:color w:val="000000" w:themeColor="text1"/>
          <w:szCs w:val="24"/>
          <w:lang w:val="en"/>
        </w:rPr>
        <w:t>o</w:t>
      </w:r>
      <w:r w:rsidRPr="00C317BB" w:rsidR="006F31D2">
        <w:rPr>
          <w:rFonts w:cs="Times New Roman"/>
          <w:color w:val="000000" w:themeColor="text1"/>
          <w:szCs w:val="24"/>
          <w:lang w:val="en"/>
        </w:rPr>
        <w:t>ther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9B214F">
        <w:rPr>
          <w:rFonts w:cs="Times New Roman"/>
          <w:color w:val="000000" w:themeColor="text1"/>
          <w:szCs w:val="24"/>
          <w:lang w:val="en"/>
        </w:rPr>
        <w:t>a</w:t>
      </w:r>
      <w:r w:rsidRPr="00C317BB" w:rsidR="006F31D2">
        <w:rPr>
          <w:rFonts w:cs="Times New Roman"/>
          <w:color w:val="000000" w:themeColor="text1"/>
          <w:szCs w:val="24"/>
          <w:lang w:val="en"/>
        </w:rPr>
        <w:t>sbestos-containing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9B214F">
        <w:rPr>
          <w:rFonts w:cs="Times New Roman"/>
          <w:color w:val="000000" w:themeColor="text1"/>
          <w:szCs w:val="24"/>
          <w:lang w:val="en"/>
        </w:rPr>
        <w:t>g</w:t>
      </w:r>
      <w:r w:rsidRPr="00C317BB" w:rsidR="006F31D2">
        <w:rPr>
          <w:rFonts w:cs="Times New Roman"/>
          <w:color w:val="000000" w:themeColor="text1"/>
          <w:szCs w:val="24"/>
          <w:lang w:val="en"/>
        </w:rPr>
        <w:t>askets</w:t>
      </w:r>
      <w:r w:rsidRPr="00C317BB" w:rsidR="00C070B9">
        <w:rPr>
          <w:rFonts w:cs="Times New Roman"/>
          <w:color w:val="000000" w:themeColor="text1"/>
          <w:szCs w:val="24"/>
          <w:lang w:val="en"/>
        </w:rPr>
        <w:t>.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</w:p>
    <w:p w:rsidRPr="00C317BB" w:rsidR="00AE6B7F" w:rsidP="00F27167" w:rsidRDefault="00285D67" w14:paraId="57F7B181" w14:textId="43FF0551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EPA</w:t>
      </w:r>
      <w:r w:rsidRPr="00C317BB" w:rsidR="00D36BCB">
        <w:rPr>
          <w:rFonts w:cs="Times New Roman"/>
          <w:color w:val="000000" w:themeColor="text1"/>
          <w:szCs w:val="24"/>
        </w:rPr>
        <w:t>’s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97D72">
        <w:rPr>
          <w:rFonts w:cs="Times New Roman"/>
          <w:color w:val="000000" w:themeColor="text1"/>
          <w:szCs w:val="24"/>
        </w:rPr>
        <w:t>primary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36BCB">
        <w:rPr>
          <w:rFonts w:cs="Times New Roman"/>
          <w:color w:val="000000" w:themeColor="text1"/>
          <w:szCs w:val="24"/>
        </w:rPr>
        <w:t>alternative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36BCB">
        <w:rPr>
          <w:rFonts w:cs="Times New Roman"/>
          <w:color w:val="000000" w:themeColor="text1"/>
          <w:szCs w:val="24"/>
        </w:rPr>
        <w:t>regulatory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87A9B">
        <w:rPr>
          <w:rFonts w:cs="Times New Roman"/>
          <w:color w:val="000000" w:themeColor="text1"/>
          <w:szCs w:val="24"/>
        </w:rPr>
        <w:t>action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36BCB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3AFC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3AFC">
        <w:rPr>
          <w:rFonts w:cs="Times New Roman"/>
          <w:color w:val="000000" w:themeColor="text1"/>
          <w:szCs w:val="24"/>
        </w:rPr>
        <w:t>prohibit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3AFC">
        <w:rPr>
          <w:rFonts w:cs="Times New Roman"/>
          <w:color w:val="000000" w:themeColor="text1"/>
          <w:szCs w:val="24"/>
        </w:rPr>
        <w:t>manufacture,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3AFC">
        <w:rPr>
          <w:rFonts w:cs="Times New Roman"/>
          <w:color w:val="000000" w:themeColor="text1"/>
          <w:szCs w:val="24"/>
        </w:rPr>
        <w:t>processing,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3ECF">
        <w:rPr>
          <w:rFonts w:cs="Times New Roman"/>
          <w:color w:val="000000" w:themeColor="text1"/>
          <w:szCs w:val="24"/>
        </w:rPr>
        <w:t>commercial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3AFC">
        <w:rPr>
          <w:rFonts w:cs="Times New Roman"/>
          <w:color w:val="000000" w:themeColor="text1"/>
          <w:szCs w:val="24"/>
        </w:rPr>
        <w:t>use,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53B8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53B8">
        <w:rPr>
          <w:rFonts w:cs="Times New Roman"/>
          <w:color w:val="000000" w:themeColor="text1"/>
          <w:szCs w:val="24"/>
        </w:rPr>
        <w:t>distribution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53B8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53B8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9644D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9644D">
        <w:rPr>
          <w:rFonts w:cs="Times New Roman"/>
          <w:color w:val="000000" w:themeColor="text1"/>
          <w:szCs w:val="24"/>
        </w:rPr>
        <w:t>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9644D">
        <w:rPr>
          <w:rFonts w:cs="Times New Roman"/>
          <w:color w:val="000000" w:themeColor="text1"/>
          <w:szCs w:val="24"/>
        </w:rPr>
        <w:t>brake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9644D">
        <w:rPr>
          <w:rFonts w:cs="Times New Roman"/>
          <w:color w:val="000000" w:themeColor="text1"/>
          <w:szCs w:val="24"/>
        </w:rPr>
        <w:t>blocks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9644D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9644D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9644D">
        <w:rPr>
          <w:rFonts w:cs="Times New Roman"/>
          <w:color w:val="000000" w:themeColor="text1"/>
          <w:szCs w:val="24"/>
        </w:rPr>
        <w:t>oil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9644D">
        <w:rPr>
          <w:rFonts w:cs="Times New Roman"/>
          <w:color w:val="000000" w:themeColor="text1"/>
          <w:szCs w:val="24"/>
        </w:rPr>
        <w:t>industry;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9644D">
        <w:rPr>
          <w:rFonts w:cs="Times New Roman"/>
          <w:color w:val="000000" w:themeColor="text1"/>
          <w:szCs w:val="24"/>
        </w:rPr>
        <w:t>aftermarket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9644D">
        <w:rPr>
          <w:rFonts w:cs="Times New Roman"/>
          <w:color w:val="000000" w:themeColor="text1"/>
          <w:szCs w:val="24"/>
        </w:rPr>
        <w:t>automotive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9644D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9644D">
        <w:rPr>
          <w:rFonts w:cs="Times New Roman"/>
          <w:color w:val="000000" w:themeColor="text1"/>
          <w:szCs w:val="24"/>
        </w:rPr>
        <w:t>asbestos-containing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9644D">
        <w:rPr>
          <w:rFonts w:cs="Times New Roman"/>
          <w:color w:val="000000" w:themeColor="text1"/>
          <w:szCs w:val="24"/>
        </w:rPr>
        <w:t>brakes/linings;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9644D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9644D">
        <w:rPr>
          <w:rFonts w:cs="Times New Roman"/>
          <w:color w:val="000000" w:themeColor="text1"/>
          <w:szCs w:val="24"/>
        </w:rPr>
        <w:t>asbestos-containing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9644D">
        <w:rPr>
          <w:rFonts w:cs="Times New Roman"/>
          <w:color w:val="000000" w:themeColor="text1"/>
          <w:szCs w:val="24"/>
        </w:rPr>
        <w:t>vehicle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9644D">
        <w:rPr>
          <w:rFonts w:cs="Times New Roman"/>
          <w:color w:val="000000" w:themeColor="text1"/>
          <w:szCs w:val="24"/>
        </w:rPr>
        <w:t>friction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9644D">
        <w:rPr>
          <w:rFonts w:cs="Times New Roman"/>
          <w:color w:val="000000" w:themeColor="text1"/>
          <w:szCs w:val="24"/>
        </w:rPr>
        <w:t>products;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9644D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9644D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9644D">
        <w:rPr>
          <w:rFonts w:cs="Times New Roman"/>
          <w:color w:val="000000" w:themeColor="text1"/>
          <w:szCs w:val="24"/>
        </w:rPr>
        <w:t>asbestos-containing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9644D">
        <w:rPr>
          <w:rFonts w:cs="Times New Roman"/>
          <w:color w:val="000000" w:themeColor="text1"/>
          <w:szCs w:val="24"/>
        </w:rPr>
        <w:t>gaskets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26F4">
        <w:rPr>
          <w:rFonts w:cs="Times New Roman"/>
          <w:color w:val="000000" w:themeColor="text1"/>
          <w:szCs w:val="24"/>
        </w:rPr>
        <w:t>two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26F4">
        <w:rPr>
          <w:rFonts w:cs="Times New Roman"/>
          <w:color w:val="000000" w:themeColor="text1"/>
          <w:szCs w:val="24"/>
        </w:rPr>
        <w:t>years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1744">
        <w:rPr>
          <w:rFonts w:cs="Times New Roman"/>
          <w:color w:val="000000" w:themeColor="text1"/>
          <w:szCs w:val="24"/>
        </w:rPr>
        <w:t>after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1744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1744">
        <w:rPr>
          <w:rFonts w:cs="Times New Roman"/>
          <w:color w:val="000000" w:themeColor="text1"/>
          <w:szCs w:val="24"/>
        </w:rPr>
        <w:t>effective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1744">
        <w:rPr>
          <w:rFonts w:cs="Times New Roman"/>
          <w:color w:val="000000" w:themeColor="text1"/>
          <w:szCs w:val="24"/>
        </w:rPr>
        <w:t>date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E56CD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53B8">
        <w:rPr>
          <w:rFonts w:cs="Times New Roman"/>
          <w:color w:val="000000" w:themeColor="text1"/>
          <w:szCs w:val="24"/>
        </w:rPr>
        <w:t>th</w:t>
      </w:r>
      <w:r w:rsidRPr="00C317BB" w:rsidR="005E6CE4">
        <w:rPr>
          <w:rFonts w:cs="Times New Roman"/>
          <w:color w:val="000000" w:themeColor="text1"/>
          <w:szCs w:val="24"/>
        </w:rPr>
        <w:t>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E6CE4">
        <w:rPr>
          <w:rFonts w:cs="Times New Roman"/>
          <w:color w:val="000000" w:themeColor="text1"/>
          <w:szCs w:val="24"/>
        </w:rPr>
        <w:t>final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53B8">
        <w:rPr>
          <w:rFonts w:cs="Times New Roman"/>
          <w:color w:val="000000" w:themeColor="text1"/>
          <w:szCs w:val="24"/>
        </w:rPr>
        <w:t>rule.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7C9B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7C9B">
        <w:rPr>
          <w:rFonts w:cs="Times New Roman"/>
          <w:color w:val="000000" w:themeColor="text1"/>
          <w:szCs w:val="24"/>
        </w:rPr>
        <w:t>additional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7C9B">
        <w:rPr>
          <w:rFonts w:cs="Times New Roman"/>
          <w:color w:val="000000" w:themeColor="text1"/>
          <w:szCs w:val="24"/>
        </w:rPr>
        <w:t>amount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7C9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7C9B">
        <w:rPr>
          <w:rFonts w:cs="Times New Roman"/>
          <w:color w:val="000000" w:themeColor="text1"/>
          <w:szCs w:val="24"/>
        </w:rPr>
        <w:t>time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9644D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9644D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9644D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9644D">
        <w:rPr>
          <w:rFonts w:cs="Times New Roman"/>
          <w:color w:val="000000" w:themeColor="text1"/>
          <w:szCs w:val="24"/>
        </w:rPr>
        <w:t>regulatory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9644D">
        <w:rPr>
          <w:rFonts w:cs="Times New Roman"/>
          <w:color w:val="000000" w:themeColor="text1"/>
          <w:szCs w:val="24"/>
        </w:rPr>
        <w:t>option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7C9B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7C9B">
        <w:rPr>
          <w:rFonts w:cs="Times New Roman"/>
          <w:color w:val="000000" w:themeColor="text1"/>
          <w:szCs w:val="24"/>
        </w:rPr>
        <w:t>meant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7C9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7C9B">
        <w:rPr>
          <w:rFonts w:cs="Times New Roman"/>
          <w:color w:val="000000" w:themeColor="text1"/>
          <w:szCs w:val="24"/>
        </w:rPr>
        <w:t>account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7C9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84BC8">
        <w:rPr>
          <w:rFonts w:cs="Times New Roman"/>
          <w:color w:val="000000" w:themeColor="text1"/>
          <w:szCs w:val="24"/>
        </w:rPr>
        <w:t>stakeholders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84BC8">
        <w:rPr>
          <w:rFonts w:cs="Times New Roman"/>
          <w:color w:val="000000" w:themeColor="text1"/>
          <w:szCs w:val="24"/>
        </w:rPr>
        <w:t>who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84BC8">
        <w:rPr>
          <w:rFonts w:cs="Times New Roman"/>
          <w:color w:val="000000" w:themeColor="text1"/>
          <w:szCs w:val="24"/>
        </w:rPr>
        <w:t>may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84BC8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84BC8">
        <w:rPr>
          <w:rFonts w:cs="Times New Roman"/>
          <w:color w:val="000000" w:themeColor="text1"/>
          <w:szCs w:val="24"/>
        </w:rPr>
        <w:t>have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84BC8">
        <w:rPr>
          <w:rFonts w:cs="Times New Roman"/>
          <w:color w:val="000000" w:themeColor="text1"/>
          <w:szCs w:val="24"/>
        </w:rPr>
        <w:t>engaged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84BC8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84BC8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84BC8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84BC8">
        <w:rPr>
          <w:rFonts w:cs="Times New Roman"/>
          <w:color w:val="000000" w:themeColor="text1"/>
          <w:szCs w:val="24"/>
        </w:rPr>
        <w:t>advance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84BC8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84BC8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84BC8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84BC8">
        <w:rPr>
          <w:rFonts w:cs="Times New Roman"/>
          <w:color w:val="000000" w:themeColor="text1"/>
          <w:szCs w:val="24"/>
        </w:rPr>
        <w:t>rule,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84BC8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84BC8">
        <w:rPr>
          <w:rFonts w:cs="Times New Roman"/>
          <w:color w:val="000000" w:themeColor="text1"/>
          <w:szCs w:val="24"/>
        </w:rPr>
        <w:t>who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84BC8">
        <w:rPr>
          <w:rFonts w:cs="Times New Roman"/>
          <w:color w:val="000000" w:themeColor="text1"/>
          <w:szCs w:val="24"/>
        </w:rPr>
        <w:t>may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E652B">
        <w:rPr>
          <w:rFonts w:cs="Times New Roman"/>
          <w:color w:val="000000" w:themeColor="text1"/>
          <w:szCs w:val="24"/>
        </w:rPr>
        <w:t>potentially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E652B">
        <w:rPr>
          <w:rFonts w:cs="Times New Roman"/>
          <w:color w:val="000000" w:themeColor="text1"/>
          <w:szCs w:val="24"/>
        </w:rPr>
        <w:t>have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299C">
        <w:rPr>
          <w:rFonts w:cs="Times New Roman"/>
          <w:color w:val="000000" w:themeColor="text1"/>
          <w:szCs w:val="24"/>
        </w:rPr>
        <w:t>difficulty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E2EF4">
        <w:rPr>
          <w:rFonts w:cs="Times New Roman"/>
          <w:color w:val="000000" w:themeColor="text1"/>
          <w:szCs w:val="24"/>
        </w:rPr>
        <w:t>immediately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E2EF4">
        <w:rPr>
          <w:rFonts w:cs="Times New Roman"/>
          <w:color w:val="000000" w:themeColor="text1"/>
          <w:szCs w:val="24"/>
        </w:rPr>
        <w:t>transitioning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E2EF4">
        <w:rPr>
          <w:rFonts w:cs="Times New Roman"/>
          <w:color w:val="000000" w:themeColor="text1"/>
          <w:szCs w:val="24"/>
        </w:rPr>
        <w:t>away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44500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44500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44500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24E15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24E15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2767C">
        <w:rPr>
          <w:rFonts w:cs="Times New Roman"/>
          <w:color w:val="000000" w:themeColor="text1"/>
          <w:szCs w:val="24"/>
        </w:rPr>
        <w:t>manufacture,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2767C">
        <w:rPr>
          <w:rFonts w:cs="Times New Roman"/>
          <w:color w:val="000000" w:themeColor="text1"/>
          <w:szCs w:val="24"/>
        </w:rPr>
        <w:t>process</w:t>
      </w:r>
      <w:r w:rsidRPr="00C317BB" w:rsidR="00FA411A">
        <w:rPr>
          <w:rFonts w:cs="Times New Roman"/>
          <w:color w:val="000000" w:themeColor="text1"/>
          <w:szCs w:val="24"/>
        </w:rPr>
        <w:t>ing</w:t>
      </w:r>
      <w:r w:rsidRPr="00C317BB" w:rsidR="00F2767C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70522">
        <w:rPr>
          <w:rFonts w:cs="Times New Roman"/>
          <w:color w:val="000000" w:themeColor="text1"/>
          <w:szCs w:val="24"/>
        </w:rPr>
        <w:t>distribution,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70522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2767C">
        <w:rPr>
          <w:rFonts w:cs="Times New Roman"/>
          <w:color w:val="000000" w:themeColor="text1"/>
          <w:szCs w:val="24"/>
        </w:rPr>
        <w:t>use,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55C97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9691A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9691A">
        <w:rPr>
          <w:rFonts w:cs="Times New Roman"/>
          <w:color w:val="000000" w:themeColor="text1"/>
          <w:szCs w:val="24"/>
        </w:rPr>
        <w:t>asbestos</w:t>
      </w:r>
      <w:r w:rsidRPr="00C317BB" w:rsidR="002E3970">
        <w:rPr>
          <w:rFonts w:cs="Times New Roman"/>
          <w:color w:val="000000" w:themeColor="text1"/>
          <w:szCs w:val="24"/>
        </w:rPr>
        <w:t>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82736">
        <w:rPr>
          <w:rFonts w:cs="Times New Roman"/>
          <w:color w:val="000000" w:themeColor="text1"/>
          <w:szCs w:val="24"/>
        </w:rPr>
        <w:t>brake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82736">
        <w:rPr>
          <w:rFonts w:cs="Times New Roman"/>
          <w:color w:val="000000" w:themeColor="text1"/>
          <w:szCs w:val="24"/>
        </w:rPr>
        <w:t>blocks,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0462C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0462C">
        <w:rPr>
          <w:rFonts w:cs="Times New Roman"/>
          <w:color w:val="000000" w:themeColor="text1"/>
          <w:szCs w:val="24"/>
        </w:rPr>
        <w:t>asbestos-containing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24791">
        <w:rPr>
          <w:rFonts w:cs="Times New Roman"/>
          <w:color w:val="000000" w:themeColor="text1"/>
          <w:szCs w:val="24"/>
        </w:rPr>
        <w:t>a</w:t>
      </w:r>
      <w:r w:rsidRPr="00C317BB" w:rsidR="00FD0FA9">
        <w:rPr>
          <w:rFonts w:cs="Times New Roman"/>
          <w:color w:val="000000" w:themeColor="text1"/>
          <w:szCs w:val="24"/>
        </w:rPr>
        <w:t>ftermarket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93AF3">
        <w:rPr>
          <w:rFonts w:cs="Times New Roman"/>
          <w:color w:val="000000" w:themeColor="text1"/>
          <w:szCs w:val="24"/>
        </w:rPr>
        <w:t>automotive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30363">
        <w:rPr>
          <w:rFonts w:cs="Times New Roman"/>
          <w:color w:val="000000" w:themeColor="text1"/>
          <w:szCs w:val="24"/>
        </w:rPr>
        <w:t>brakes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30363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30363">
        <w:rPr>
          <w:rFonts w:cs="Times New Roman"/>
          <w:color w:val="000000" w:themeColor="text1"/>
          <w:szCs w:val="24"/>
        </w:rPr>
        <w:t>linings</w:t>
      </w:r>
      <w:r w:rsidRPr="00C317BB" w:rsidR="00E62B03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62B03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3B5F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3B5F">
        <w:rPr>
          <w:rFonts w:cs="Times New Roman"/>
          <w:color w:val="000000" w:themeColor="text1"/>
          <w:szCs w:val="24"/>
        </w:rPr>
        <w:t>asbestos-containing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62B03">
        <w:rPr>
          <w:rFonts w:cs="Times New Roman"/>
          <w:color w:val="000000" w:themeColor="text1"/>
          <w:szCs w:val="24"/>
        </w:rPr>
        <w:t>vehicle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62B03">
        <w:rPr>
          <w:rFonts w:cs="Times New Roman"/>
          <w:color w:val="000000" w:themeColor="text1"/>
          <w:szCs w:val="24"/>
        </w:rPr>
        <w:t>friction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62B03">
        <w:rPr>
          <w:rFonts w:cs="Times New Roman"/>
          <w:color w:val="000000" w:themeColor="text1"/>
          <w:szCs w:val="24"/>
        </w:rPr>
        <w:t>products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91A83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B42DD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B42DD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91A83">
        <w:rPr>
          <w:rFonts w:cs="Times New Roman"/>
          <w:color w:val="000000" w:themeColor="text1"/>
          <w:szCs w:val="24"/>
        </w:rPr>
        <w:t>asbestos-containing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91A83">
        <w:rPr>
          <w:rFonts w:cs="Times New Roman"/>
          <w:color w:val="000000" w:themeColor="text1"/>
          <w:szCs w:val="24"/>
        </w:rPr>
        <w:t>gaskets.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06578">
        <w:rPr>
          <w:rFonts w:cs="Times New Roman"/>
          <w:color w:val="000000" w:themeColor="text1"/>
          <w:szCs w:val="24"/>
        </w:rPr>
        <w:t>While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06578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06578">
        <w:rPr>
          <w:rFonts w:cs="Times New Roman"/>
          <w:color w:val="000000" w:themeColor="text1"/>
          <w:szCs w:val="24"/>
        </w:rPr>
        <w:t>does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06578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06578">
        <w:rPr>
          <w:rFonts w:cs="Times New Roman"/>
          <w:color w:val="000000" w:themeColor="text1"/>
          <w:szCs w:val="24"/>
        </w:rPr>
        <w:t>have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06578">
        <w:rPr>
          <w:rFonts w:cs="Times New Roman"/>
          <w:color w:val="000000" w:themeColor="text1"/>
          <w:szCs w:val="24"/>
        </w:rPr>
        <w:t>specific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06578">
        <w:rPr>
          <w:rFonts w:cs="Times New Roman"/>
          <w:color w:val="000000" w:themeColor="text1"/>
          <w:szCs w:val="24"/>
        </w:rPr>
        <w:t>knowledge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06578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A2DBA">
        <w:rPr>
          <w:rFonts w:cs="Times New Roman"/>
          <w:color w:val="000000" w:themeColor="text1"/>
          <w:szCs w:val="24"/>
        </w:rPr>
        <w:t>regulated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A2DBA">
        <w:rPr>
          <w:rFonts w:cs="Times New Roman"/>
          <w:color w:val="000000" w:themeColor="text1"/>
          <w:szCs w:val="24"/>
        </w:rPr>
        <w:t>entities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A2DBA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A2DBA">
        <w:rPr>
          <w:rFonts w:cs="Times New Roman"/>
          <w:color w:val="000000" w:themeColor="text1"/>
          <w:szCs w:val="24"/>
        </w:rPr>
        <w:t>would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A2DBA">
        <w:rPr>
          <w:rFonts w:cs="Times New Roman"/>
          <w:color w:val="000000" w:themeColor="text1"/>
          <w:szCs w:val="24"/>
        </w:rPr>
        <w:t>have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A2DBA">
        <w:rPr>
          <w:rFonts w:cs="Times New Roman"/>
          <w:color w:val="000000" w:themeColor="text1"/>
          <w:szCs w:val="24"/>
        </w:rPr>
        <w:t>difficulty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A2DBA">
        <w:rPr>
          <w:rFonts w:cs="Times New Roman"/>
          <w:color w:val="000000" w:themeColor="text1"/>
          <w:szCs w:val="24"/>
        </w:rPr>
        <w:t>complying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A2DBA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A2DBA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A2DBA">
        <w:rPr>
          <w:rFonts w:cs="Times New Roman"/>
          <w:color w:val="000000" w:themeColor="text1"/>
          <w:szCs w:val="24"/>
        </w:rPr>
        <w:t>shorter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A2DBA">
        <w:rPr>
          <w:rFonts w:cs="Times New Roman"/>
          <w:color w:val="000000" w:themeColor="text1"/>
          <w:szCs w:val="24"/>
        </w:rPr>
        <w:t>compliance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A2DBA">
        <w:rPr>
          <w:rFonts w:cs="Times New Roman"/>
          <w:color w:val="000000" w:themeColor="text1"/>
          <w:szCs w:val="24"/>
        </w:rPr>
        <w:t>date,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A2DBA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7C9B">
        <w:rPr>
          <w:rFonts w:cs="Times New Roman"/>
          <w:color w:val="000000" w:themeColor="text1"/>
          <w:szCs w:val="24"/>
        </w:rPr>
        <w:t>period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7C9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7C9B">
        <w:rPr>
          <w:rFonts w:cs="Times New Roman"/>
          <w:color w:val="000000" w:themeColor="text1"/>
          <w:szCs w:val="24"/>
        </w:rPr>
        <w:t>two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7C9B">
        <w:rPr>
          <w:rFonts w:cs="Times New Roman"/>
          <w:color w:val="000000" w:themeColor="text1"/>
          <w:szCs w:val="24"/>
        </w:rPr>
        <w:t>years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7C9B">
        <w:rPr>
          <w:rFonts w:cs="Times New Roman"/>
          <w:color w:val="000000" w:themeColor="text1"/>
          <w:szCs w:val="24"/>
        </w:rPr>
        <w:t>may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9691A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9691A">
        <w:rPr>
          <w:rFonts w:cs="Times New Roman"/>
          <w:color w:val="000000" w:themeColor="text1"/>
          <w:szCs w:val="24"/>
        </w:rPr>
        <w:t>more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E6B7F">
        <w:rPr>
          <w:rFonts w:cs="Times New Roman"/>
          <w:color w:val="000000" w:themeColor="text1"/>
          <w:szCs w:val="24"/>
        </w:rPr>
        <w:t>feasible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9691A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9691A">
        <w:rPr>
          <w:rFonts w:cs="Times New Roman"/>
          <w:color w:val="000000" w:themeColor="text1"/>
          <w:szCs w:val="24"/>
        </w:rPr>
        <w:t>regulated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9691A">
        <w:rPr>
          <w:rFonts w:cs="Times New Roman"/>
          <w:color w:val="000000" w:themeColor="text1"/>
          <w:szCs w:val="24"/>
        </w:rPr>
        <w:t>entities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9691A">
        <w:rPr>
          <w:rFonts w:cs="Times New Roman"/>
          <w:color w:val="000000" w:themeColor="text1"/>
          <w:szCs w:val="24"/>
        </w:rPr>
        <w:t>who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9691A">
        <w:rPr>
          <w:rFonts w:cs="Times New Roman"/>
          <w:color w:val="000000" w:themeColor="text1"/>
          <w:szCs w:val="24"/>
        </w:rPr>
        <w:t>have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9691A">
        <w:rPr>
          <w:rFonts w:cs="Times New Roman"/>
          <w:color w:val="000000" w:themeColor="text1"/>
          <w:szCs w:val="24"/>
        </w:rPr>
        <w:t>yet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9691A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E6B7F">
        <w:rPr>
          <w:rFonts w:cs="Times New Roman"/>
          <w:color w:val="000000" w:themeColor="text1"/>
          <w:szCs w:val="24"/>
        </w:rPr>
        <w:t>transition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A2DBA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E6B7F">
        <w:rPr>
          <w:rFonts w:cs="Times New Roman"/>
          <w:color w:val="000000" w:themeColor="text1"/>
          <w:szCs w:val="24"/>
        </w:rPr>
        <w:t>asbestos</w:t>
      </w:r>
      <w:r w:rsidRPr="00C317BB" w:rsidR="009F0847">
        <w:rPr>
          <w:rFonts w:cs="Times New Roman"/>
          <w:color w:val="000000" w:themeColor="text1"/>
          <w:szCs w:val="24"/>
        </w:rPr>
        <w:t>-</w:t>
      </w:r>
      <w:r w:rsidRPr="00C317BB" w:rsidR="00AE6B7F">
        <w:rPr>
          <w:rFonts w:cs="Times New Roman"/>
          <w:color w:val="000000" w:themeColor="text1"/>
          <w:szCs w:val="24"/>
        </w:rPr>
        <w:t>free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E6B7F">
        <w:rPr>
          <w:rFonts w:cs="Times New Roman"/>
          <w:color w:val="000000" w:themeColor="text1"/>
          <w:szCs w:val="24"/>
        </w:rPr>
        <w:t>technology.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8707F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8707F">
        <w:rPr>
          <w:rFonts w:cs="Times New Roman"/>
          <w:color w:val="000000" w:themeColor="text1"/>
          <w:szCs w:val="24"/>
        </w:rPr>
        <w:t>amount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8707F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8707F">
        <w:rPr>
          <w:rFonts w:cs="Times New Roman"/>
          <w:color w:val="000000" w:themeColor="text1"/>
          <w:szCs w:val="24"/>
        </w:rPr>
        <w:t>time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8707F">
        <w:rPr>
          <w:rFonts w:cs="Times New Roman"/>
          <w:color w:val="000000" w:themeColor="text1"/>
          <w:szCs w:val="24"/>
        </w:rPr>
        <w:t>would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8707F">
        <w:rPr>
          <w:rFonts w:cs="Times New Roman"/>
          <w:color w:val="000000" w:themeColor="text1"/>
          <w:szCs w:val="24"/>
        </w:rPr>
        <w:t>account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8707F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8707F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8707F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8707F">
        <w:rPr>
          <w:rFonts w:cs="Times New Roman"/>
          <w:color w:val="000000" w:themeColor="text1"/>
          <w:szCs w:val="24"/>
        </w:rPr>
        <w:t>existing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8707F">
        <w:rPr>
          <w:rFonts w:cs="Times New Roman"/>
          <w:color w:val="000000" w:themeColor="text1"/>
          <w:szCs w:val="24"/>
        </w:rPr>
        <w:t>stocks,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8707F">
        <w:rPr>
          <w:rFonts w:cs="Times New Roman"/>
          <w:color w:val="000000" w:themeColor="text1"/>
          <w:szCs w:val="24"/>
        </w:rPr>
        <w:t>expiration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8707F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B4194">
        <w:rPr>
          <w:rFonts w:cs="Times New Roman"/>
          <w:color w:val="000000" w:themeColor="text1"/>
          <w:szCs w:val="24"/>
        </w:rPr>
        <w:t>equipment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B4194">
        <w:rPr>
          <w:rFonts w:cs="Times New Roman"/>
          <w:color w:val="000000" w:themeColor="text1"/>
          <w:szCs w:val="24"/>
        </w:rPr>
        <w:t>like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B4194">
        <w:rPr>
          <w:rFonts w:cs="Times New Roman"/>
          <w:color w:val="000000" w:themeColor="text1"/>
          <w:szCs w:val="24"/>
        </w:rPr>
        <w:t>asbestos-containing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B4194">
        <w:rPr>
          <w:rFonts w:cs="Times New Roman"/>
          <w:color w:val="000000" w:themeColor="text1"/>
          <w:szCs w:val="24"/>
        </w:rPr>
        <w:t>brake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B4194">
        <w:rPr>
          <w:rFonts w:cs="Times New Roman"/>
          <w:color w:val="000000" w:themeColor="text1"/>
          <w:szCs w:val="24"/>
        </w:rPr>
        <w:t>blocks,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B4194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B4194">
        <w:rPr>
          <w:rFonts w:cs="Times New Roman"/>
          <w:color w:val="000000" w:themeColor="text1"/>
          <w:szCs w:val="24"/>
        </w:rPr>
        <w:t>investment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B4194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B4194">
        <w:rPr>
          <w:rFonts w:cs="Times New Roman"/>
          <w:color w:val="000000" w:themeColor="text1"/>
          <w:szCs w:val="24"/>
        </w:rPr>
        <w:t>asbestos-free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B4194">
        <w:rPr>
          <w:rFonts w:cs="Times New Roman"/>
          <w:color w:val="000000" w:themeColor="text1"/>
          <w:szCs w:val="24"/>
        </w:rPr>
        <w:t>technology.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FE7821" w:rsidP="00F27167" w:rsidRDefault="008275F4" w14:paraId="48D79091" w14:textId="77777777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</w:t>
      </w:r>
      <w:r w:rsidRPr="00C317BB" w:rsidR="00E20AC1">
        <w:rPr>
          <w:rFonts w:cs="Times New Roman"/>
          <w:color w:val="000000" w:themeColor="text1"/>
          <w:szCs w:val="24"/>
        </w:rPr>
        <w:t>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regulatory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action,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77A6E">
        <w:rPr>
          <w:rFonts w:cs="Times New Roman"/>
          <w:color w:val="000000" w:themeColor="text1"/>
          <w:szCs w:val="24"/>
        </w:rPr>
        <w:t>primary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8652A">
        <w:rPr>
          <w:rFonts w:cs="Times New Roman"/>
          <w:color w:val="000000" w:themeColor="text1"/>
          <w:szCs w:val="24"/>
        </w:rPr>
        <w:t>alternative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A2DBA">
        <w:rPr>
          <w:rFonts w:cs="Times New Roman"/>
          <w:color w:val="000000" w:themeColor="text1"/>
          <w:szCs w:val="24"/>
        </w:rPr>
        <w:t>action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</w:t>
      </w:r>
      <w:r w:rsidRPr="00C317BB" w:rsidR="00A91A83">
        <w:rPr>
          <w:rFonts w:cs="Times New Roman"/>
          <w:color w:val="000000" w:themeColor="text1"/>
          <w:szCs w:val="24"/>
        </w:rPr>
        <w:t>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apply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NASA’s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</w:t>
      </w:r>
      <w:r w:rsidRPr="00C317BB" w:rsidR="00E859A2">
        <w:rPr>
          <w:rFonts w:cs="Times New Roman"/>
          <w:color w:val="000000" w:themeColor="text1"/>
          <w:szCs w:val="24"/>
        </w:rPr>
        <w:t>uper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859A2">
        <w:rPr>
          <w:rFonts w:cs="Times New Roman"/>
          <w:color w:val="000000" w:themeColor="text1"/>
          <w:szCs w:val="24"/>
        </w:rPr>
        <w:t>Guppy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859A2">
        <w:rPr>
          <w:rFonts w:cs="Times New Roman"/>
          <w:color w:val="000000" w:themeColor="text1"/>
          <w:szCs w:val="24"/>
        </w:rPr>
        <w:t>Turbine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B3E28">
        <w:rPr>
          <w:rFonts w:cs="Times New Roman"/>
          <w:color w:val="000000" w:themeColor="text1"/>
          <w:szCs w:val="24"/>
        </w:rPr>
        <w:t>aircraft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97120">
        <w:rPr>
          <w:rFonts w:cs="Times New Roman"/>
          <w:color w:val="000000" w:themeColor="text1"/>
          <w:szCs w:val="24"/>
        </w:rPr>
        <w:t>use</w:t>
      </w:r>
      <w:r w:rsidRPr="00C317BB">
        <w:rPr>
          <w:rFonts w:cs="Times New Roman"/>
          <w:color w:val="000000" w:themeColor="text1"/>
          <w:szCs w:val="24"/>
        </w:rPr>
        <w:t>.</w:t>
      </w:r>
    </w:p>
    <w:p w:rsidRPr="00C317BB" w:rsidR="00363AB0" w:rsidP="00F27167" w:rsidRDefault="00FE7821" w14:paraId="6E6C6EB8" w14:textId="31979968">
      <w:pPr>
        <w:pStyle w:val="Heading3"/>
        <w:ind w:firstLine="720"/>
        <w:rPr>
          <w:rFonts w:cs="Times New Roman"/>
          <w:color w:val="000000" w:themeColor="text1"/>
          <w:szCs w:val="24"/>
          <w:lang w:val="en"/>
        </w:rPr>
      </w:pPr>
      <w:r w:rsidRPr="00C317BB">
        <w:rPr>
          <w:rFonts w:cs="Times New Roman"/>
          <w:color w:val="000000" w:themeColor="text1"/>
          <w:szCs w:val="24"/>
          <w:lang w:val="en"/>
        </w:rPr>
        <w:t>6.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363AB0">
        <w:rPr>
          <w:rFonts w:cs="Times New Roman"/>
          <w:color w:val="000000" w:themeColor="text1"/>
          <w:szCs w:val="24"/>
          <w:lang w:val="en"/>
        </w:rPr>
        <w:t>Primary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363AB0">
        <w:rPr>
          <w:rFonts w:cs="Times New Roman"/>
          <w:color w:val="000000" w:themeColor="text1"/>
          <w:szCs w:val="24"/>
          <w:lang w:val="en"/>
        </w:rPr>
        <w:t>alternative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363AB0">
        <w:rPr>
          <w:rFonts w:cs="Times New Roman"/>
          <w:color w:val="000000" w:themeColor="text1"/>
          <w:szCs w:val="24"/>
          <w:lang w:val="en"/>
        </w:rPr>
        <w:t>regulatory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363AB0">
        <w:rPr>
          <w:rFonts w:cs="Times New Roman"/>
          <w:color w:val="000000" w:themeColor="text1"/>
          <w:szCs w:val="24"/>
          <w:lang w:val="en"/>
        </w:rPr>
        <w:t>action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363AB0">
        <w:rPr>
          <w:rFonts w:cs="Times New Roman"/>
          <w:color w:val="000000" w:themeColor="text1"/>
          <w:szCs w:val="24"/>
          <w:lang w:val="en"/>
        </w:rPr>
        <w:t>for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363AB0">
        <w:rPr>
          <w:rFonts w:cs="Times New Roman"/>
          <w:color w:val="000000" w:themeColor="text1"/>
          <w:szCs w:val="24"/>
          <w:lang w:val="en"/>
        </w:rPr>
        <w:t>the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363AB0">
        <w:rPr>
          <w:rFonts w:cs="Times New Roman"/>
          <w:color w:val="000000" w:themeColor="text1"/>
          <w:szCs w:val="24"/>
          <w:lang w:val="en"/>
        </w:rPr>
        <w:t>disposal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363AB0">
        <w:rPr>
          <w:rFonts w:cs="Times New Roman"/>
          <w:color w:val="000000" w:themeColor="text1"/>
          <w:szCs w:val="24"/>
          <w:lang w:val="en"/>
        </w:rPr>
        <w:t>of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363AB0">
        <w:rPr>
          <w:rFonts w:cs="Times New Roman"/>
          <w:color w:val="000000" w:themeColor="text1"/>
          <w:szCs w:val="24"/>
          <w:lang w:val="en"/>
        </w:rPr>
        <w:t>chrysotile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363AB0">
        <w:rPr>
          <w:rFonts w:cs="Times New Roman"/>
          <w:color w:val="000000" w:themeColor="text1"/>
          <w:szCs w:val="24"/>
          <w:lang w:val="en"/>
        </w:rPr>
        <w:t>asbestos-containing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363AB0">
        <w:rPr>
          <w:rFonts w:cs="Times New Roman"/>
          <w:color w:val="000000" w:themeColor="text1"/>
          <w:szCs w:val="24"/>
          <w:lang w:val="en"/>
        </w:rPr>
        <w:t>brake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363AB0">
        <w:rPr>
          <w:rFonts w:cs="Times New Roman"/>
          <w:color w:val="000000" w:themeColor="text1"/>
          <w:szCs w:val="24"/>
          <w:lang w:val="en"/>
        </w:rPr>
        <w:t>blocks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363AB0">
        <w:rPr>
          <w:rFonts w:cs="Times New Roman"/>
          <w:color w:val="000000" w:themeColor="text1"/>
          <w:szCs w:val="24"/>
          <w:lang w:val="en"/>
        </w:rPr>
        <w:t>in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363AB0">
        <w:rPr>
          <w:rFonts w:cs="Times New Roman"/>
          <w:color w:val="000000" w:themeColor="text1"/>
          <w:szCs w:val="24"/>
          <w:lang w:val="en"/>
        </w:rPr>
        <w:t>the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363AB0">
        <w:rPr>
          <w:rFonts w:cs="Times New Roman"/>
          <w:color w:val="000000" w:themeColor="text1"/>
          <w:szCs w:val="24"/>
          <w:lang w:val="en"/>
        </w:rPr>
        <w:t>oil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363AB0">
        <w:rPr>
          <w:rFonts w:cs="Times New Roman"/>
          <w:color w:val="000000" w:themeColor="text1"/>
          <w:szCs w:val="24"/>
          <w:lang w:val="en"/>
        </w:rPr>
        <w:t>industry;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363AB0">
        <w:rPr>
          <w:rFonts w:cs="Times New Roman"/>
          <w:color w:val="000000" w:themeColor="text1"/>
          <w:szCs w:val="24"/>
          <w:lang w:val="en"/>
        </w:rPr>
        <w:t>aftermarket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363AB0">
        <w:rPr>
          <w:rFonts w:cs="Times New Roman"/>
          <w:color w:val="000000" w:themeColor="text1"/>
          <w:szCs w:val="24"/>
          <w:lang w:val="en"/>
        </w:rPr>
        <w:t>automotive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363AB0">
        <w:rPr>
          <w:rFonts w:cs="Times New Roman"/>
          <w:color w:val="000000" w:themeColor="text1"/>
          <w:szCs w:val="24"/>
          <w:lang w:val="en"/>
        </w:rPr>
        <w:t>chrysotile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363AB0">
        <w:rPr>
          <w:rFonts w:cs="Times New Roman"/>
          <w:color w:val="000000" w:themeColor="text1"/>
          <w:szCs w:val="24"/>
          <w:lang w:val="en"/>
        </w:rPr>
        <w:t>asbestos-containing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363AB0">
        <w:rPr>
          <w:rFonts w:cs="Times New Roman"/>
          <w:color w:val="000000" w:themeColor="text1"/>
          <w:szCs w:val="24"/>
          <w:lang w:val="en"/>
        </w:rPr>
        <w:t>brakes/linings;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363AB0">
        <w:rPr>
          <w:rFonts w:cs="Times New Roman"/>
          <w:color w:val="000000" w:themeColor="text1"/>
          <w:szCs w:val="24"/>
          <w:lang w:val="en"/>
        </w:rPr>
        <w:t>chrysotile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363AB0">
        <w:rPr>
          <w:rFonts w:cs="Times New Roman"/>
          <w:color w:val="000000" w:themeColor="text1"/>
          <w:szCs w:val="24"/>
          <w:lang w:val="en"/>
        </w:rPr>
        <w:t>asbestos-containing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363AB0">
        <w:rPr>
          <w:rFonts w:cs="Times New Roman"/>
          <w:color w:val="000000" w:themeColor="text1"/>
          <w:szCs w:val="24"/>
          <w:lang w:val="en"/>
        </w:rPr>
        <w:t>other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363AB0">
        <w:rPr>
          <w:rFonts w:cs="Times New Roman"/>
          <w:color w:val="000000" w:themeColor="text1"/>
          <w:szCs w:val="24"/>
          <w:lang w:val="en"/>
        </w:rPr>
        <w:t>vehicle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363AB0">
        <w:rPr>
          <w:rFonts w:cs="Times New Roman"/>
          <w:color w:val="000000" w:themeColor="text1"/>
          <w:szCs w:val="24"/>
          <w:lang w:val="en"/>
        </w:rPr>
        <w:t>friction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363AB0">
        <w:rPr>
          <w:rFonts w:cs="Times New Roman"/>
          <w:color w:val="000000" w:themeColor="text1"/>
          <w:szCs w:val="24"/>
          <w:lang w:val="en"/>
        </w:rPr>
        <w:t>products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363AB0">
        <w:rPr>
          <w:rFonts w:cs="Times New Roman"/>
          <w:color w:val="000000" w:themeColor="text1"/>
          <w:szCs w:val="24"/>
          <w:lang w:val="en"/>
        </w:rPr>
        <w:t>and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363AB0">
        <w:rPr>
          <w:rFonts w:cs="Times New Roman"/>
          <w:color w:val="000000" w:themeColor="text1"/>
          <w:szCs w:val="24"/>
          <w:lang w:val="en"/>
        </w:rPr>
        <w:t>other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363AB0">
        <w:rPr>
          <w:rFonts w:cs="Times New Roman"/>
          <w:color w:val="000000" w:themeColor="text1"/>
          <w:szCs w:val="24"/>
          <w:lang w:val="en"/>
        </w:rPr>
        <w:t>chrysotile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363AB0">
        <w:rPr>
          <w:rFonts w:cs="Times New Roman"/>
          <w:color w:val="000000" w:themeColor="text1"/>
          <w:szCs w:val="24"/>
          <w:lang w:val="en"/>
        </w:rPr>
        <w:t>asbestos-containing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363AB0">
        <w:rPr>
          <w:rFonts w:cs="Times New Roman"/>
          <w:color w:val="000000" w:themeColor="text1"/>
          <w:szCs w:val="24"/>
          <w:lang w:val="en"/>
        </w:rPr>
        <w:t>gaskets</w:t>
      </w:r>
      <w:r w:rsidRPr="00C317BB" w:rsidR="00C070B9">
        <w:rPr>
          <w:rFonts w:cs="Times New Roman"/>
          <w:color w:val="000000" w:themeColor="text1"/>
          <w:szCs w:val="24"/>
          <w:lang w:val="en"/>
        </w:rPr>
        <w:t>.</w:t>
      </w:r>
    </w:p>
    <w:p w:rsidRPr="00C317BB" w:rsidR="00DA043D" w:rsidP="00F27167" w:rsidRDefault="00E213E5" w14:paraId="770DAE75" w14:textId="422D80BA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24B70">
        <w:rPr>
          <w:rFonts w:cs="Times New Roman"/>
          <w:color w:val="000000" w:themeColor="text1"/>
          <w:szCs w:val="24"/>
        </w:rPr>
        <w:t>primary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D1FA2">
        <w:rPr>
          <w:rFonts w:cs="Times New Roman"/>
          <w:color w:val="000000" w:themeColor="text1"/>
          <w:szCs w:val="24"/>
        </w:rPr>
        <w:t>alternative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938C6">
        <w:rPr>
          <w:rFonts w:cs="Times New Roman"/>
          <w:color w:val="000000" w:themeColor="text1"/>
          <w:szCs w:val="24"/>
        </w:rPr>
        <w:t>regulatory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938C6">
        <w:rPr>
          <w:rFonts w:cs="Times New Roman"/>
          <w:color w:val="000000" w:themeColor="text1"/>
          <w:szCs w:val="24"/>
        </w:rPr>
        <w:t>action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A043D">
        <w:rPr>
          <w:rFonts w:cs="Times New Roman"/>
          <w:color w:val="000000" w:themeColor="text1"/>
          <w:szCs w:val="24"/>
        </w:rPr>
        <w:t>also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938C6">
        <w:rPr>
          <w:rFonts w:cs="Times New Roman"/>
          <w:color w:val="000000" w:themeColor="text1"/>
          <w:szCs w:val="24"/>
        </w:rPr>
        <w:t>require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938C6">
        <w:rPr>
          <w:rFonts w:cs="Times New Roman"/>
          <w:color w:val="000000" w:themeColor="text1"/>
          <w:szCs w:val="24"/>
        </w:rPr>
        <w:t>regulated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938C6">
        <w:rPr>
          <w:rFonts w:cs="Times New Roman"/>
          <w:color w:val="000000" w:themeColor="text1"/>
          <w:szCs w:val="24"/>
        </w:rPr>
        <w:t>entities</w:t>
      </w:r>
      <w:r w:rsidRPr="00C317BB" w:rsidR="00FE7A65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E7A65">
        <w:rPr>
          <w:rFonts w:cs="Times New Roman"/>
          <w:color w:val="000000" w:themeColor="text1"/>
          <w:szCs w:val="24"/>
        </w:rPr>
        <w:t>upon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E7A65">
        <w:rPr>
          <w:rFonts w:cs="Times New Roman"/>
          <w:color w:val="000000" w:themeColor="text1"/>
          <w:szCs w:val="24"/>
        </w:rPr>
        <w:t>disposal,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938C6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325F">
        <w:rPr>
          <w:rFonts w:cs="Times New Roman"/>
          <w:color w:val="000000" w:themeColor="text1"/>
          <w:szCs w:val="24"/>
        </w:rPr>
        <w:t>dispose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325F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54B5E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6325F">
        <w:rPr>
          <w:rFonts w:cs="Times New Roman"/>
          <w:color w:val="000000" w:themeColor="text1"/>
          <w:szCs w:val="24"/>
        </w:rPr>
        <w:t>asbestos-containing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A11AF">
        <w:rPr>
          <w:rFonts w:cs="Times New Roman"/>
          <w:color w:val="000000" w:themeColor="text1"/>
          <w:szCs w:val="24"/>
        </w:rPr>
        <w:t>brake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A11AF">
        <w:rPr>
          <w:rFonts w:cs="Times New Roman"/>
          <w:color w:val="000000" w:themeColor="text1"/>
          <w:szCs w:val="24"/>
        </w:rPr>
        <w:t>blocks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A11AF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A11AF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A11AF">
        <w:rPr>
          <w:rFonts w:cs="Times New Roman"/>
          <w:color w:val="000000" w:themeColor="text1"/>
          <w:szCs w:val="24"/>
        </w:rPr>
        <w:t>oil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A11AF">
        <w:rPr>
          <w:rFonts w:cs="Times New Roman"/>
          <w:color w:val="000000" w:themeColor="text1"/>
          <w:szCs w:val="24"/>
        </w:rPr>
        <w:t>industry;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12EE4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12EE4">
        <w:rPr>
          <w:rFonts w:cs="Times New Roman"/>
          <w:color w:val="000000" w:themeColor="text1"/>
          <w:szCs w:val="24"/>
        </w:rPr>
        <w:t>asbestos-containing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A11AF">
        <w:rPr>
          <w:rFonts w:cs="Times New Roman"/>
          <w:color w:val="000000" w:themeColor="text1"/>
          <w:szCs w:val="24"/>
        </w:rPr>
        <w:t>aftermarket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A11AF">
        <w:rPr>
          <w:rFonts w:cs="Times New Roman"/>
          <w:color w:val="000000" w:themeColor="text1"/>
          <w:szCs w:val="24"/>
        </w:rPr>
        <w:t>automotive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D4B2D">
        <w:rPr>
          <w:rFonts w:cs="Times New Roman"/>
          <w:color w:val="000000" w:themeColor="text1"/>
          <w:szCs w:val="24"/>
        </w:rPr>
        <w:t>brakes/linings;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E7A65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A11AF">
        <w:rPr>
          <w:rFonts w:cs="Times New Roman"/>
          <w:color w:val="000000" w:themeColor="text1"/>
          <w:szCs w:val="24"/>
        </w:rPr>
        <w:t>chry</w:t>
      </w:r>
      <w:r w:rsidRPr="00C317BB" w:rsidR="00293C7A">
        <w:rPr>
          <w:rFonts w:cs="Times New Roman"/>
          <w:color w:val="000000" w:themeColor="text1"/>
          <w:szCs w:val="24"/>
        </w:rPr>
        <w:t>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A11AF">
        <w:rPr>
          <w:rFonts w:cs="Times New Roman"/>
          <w:color w:val="000000" w:themeColor="text1"/>
          <w:szCs w:val="24"/>
        </w:rPr>
        <w:t>asbestos-containing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A11AF">
        <w:rPr>
          <w:rFonts w:cs="Times New Roman"/>
          <w:color w:val="000000" w:themeColor="text1"/>
          <w:szCs w:val="24"/>
        </w:rPr>
        <w:t>vehicle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A11AF">
        <w:rPr>
          <w:rFonts w:cs="Times New Roman"/>
          <w:color w:val="000000" w:themeColor="text1"/>
          <w:szCs w:val="24"/>
        </w:rPr>
        <w:t>friction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A11AF">
        <w:rPr>
          <w:rFonts w:cs="Times New Roman"/>
          <w:color w:val="000000" w:themeColor="text1"/>
          <w:szCs w:val="24"/>
        </w:rPr>
        <w:t>products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A11AF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A11AF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1822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A11AF">
        <w:rPr>
          <w:rFonts w:cs="Times New Roman"/>
          <w:color w:val="000000" w:themeColor="text1"/>
          <w:szCs w:val="24"/>
        </w:rPr>
        <w:t>asbestos-containing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A11AF">
        <w:rPr>
          <w:rFonts w:cs="Times New Roman"/>
          <w:color w:val="000000" w:themeColor="text1"/>
          <w:szCs w:val="24"/>
        </w:rPr>
        <w:t>gaskets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54B5E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54B5E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54B5E">
        <w:rPr>
          <w:rFonts w:cs="Times New Roman"/>
          <w:color w:val="000000" w:themeColor="text1"/>
          <w:szCs w:val="24"/>
        </w:rPr>
        <w:t>manner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54B5E">
        <w:rPr>
          <w:rFonts w:cs="Times New Roman"/>
          <w:color w:val="000000" w:themeColor="text1"/>
          <w:szCs w:val="24"/>
        </w:rPr>
        <w:t>consistent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F0319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26145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26145">
        <w:rPr>
          <w:rFonts w:cs="Times New Roman"/>
          <w:color w:val="000000" w:themeColor="text1"/>
          <w:szCs w:val="24"/>
        </w:rPr>
        <w:t>waste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26145">
        <w:rPr>
          <w:rFonts w:cs="Times New Roman"/>
          <w:color w:val="000000" w:themeColor="text1"/>
          <w:szCs w:val="24"/>
        </w:rPr>
        <w:t>disposal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26145">
        <w:rPr>
          <w:rFonts w:cs="Times New Roman"/>
          <w:color w:val="000000" w:themeColor="text1"/>
          <w:szCs w:val="24"/>
        </w:rPr>
        <w:t>requirements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26145">
        <w:rPr>
          <w:rFonts w:cs="Times New Roman"/>
          <w:color w:val="000000" w:themeColor="text1"/>
          <w:szCs w:val="24"/>
        </w:rPr>
        <w:t>described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26145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26145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26145">
        <w:rPr>
          <w:rFonts w:cs="Times New Roman"/>
          <w:color w:val="000000" w:themeColor="text1"/>
          <w:szCs w:val="24"/>
        </w:rPr>
        <w:t>housekeeping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26145">
        <w:rPr>
          <w:rFonts w:cs="Times New Roman"/>
          <w:color w:val="000000" w:themeColor="text1"/>
          <w:szCs w:val="24"/>
        </w:rPr>
        <w:t>provision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26145">
        <w:rPr>
          <w:rFonts w:cs="Times New Roman"/>
          <w:color w:val="000000" w:themeColor="text1"/>
          <w:szCs w:val="24"/>
        </w:rPr>
        <w:t>(1910.1001(k)(6))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26145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26145">
        <w:rPr>
          <w:rFonts w:cs="Times New Roman"/>
          <w:color w:val="000000" w:themeColor="text1"/>
          <w:szCs w:val="24"/>
        </w:rPr>
        <w:t>OSHA’s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26145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26145">
        <w:rPr>
          <w:rFonts w:cs="Times New Roman"/>
          <w:color w:val="000000" w:themeColor="text1"/>
          <w:szCs w:val="24"/>
        </w:rPr>
        <w:t>standard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26145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26145">
        <w:rPr>
          <w:rFonts w:cs="Times New Roman"/>
          <w:color w:val="000000" w:themeColor="text1"/>
          <w:szCs w:val="24"/>
        </w:rPr>
        <w:t>general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26145">
        <w:rPr>
          <w:rFonts w:cs="Times New Roman"/>
          <w:color w:val="000000" w:themeColor="text1"/>
          <w:szCs w:val="24"/>
        </w:rPr>
        <w:t>industry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F0319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F0319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F0319">
        <w:rPr>
          <w:rFonts w:cs="Times New Roman"/>
          <w:color w:val="000000" w:themeColor="text1"/>
          <w:szCs w:val="24"/>
        </w:rPr>
        <w:t>conformance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F0319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F0319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F0319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F0319">
        <w:rPr>
          <w:rFonts w:cs="Times New Roman"/>
          <w:color w:val="000000" w:themeColor="text1"/>
          <w:szCs w:val="24"/>
        </w:rPr>
        <w:t>waste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F0319">
        <w:rPr>
          <w:rFonts w:cs="Times New Roman"/>
          <w:color w:val="000000" w:themeColor="text1"/>
          <w:szCs w:val="24"/>
        </w:rPr>
        <w:t>disposal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F0319">
        <w:rPr>
          <w:rFonts w:cs="Times New Roman"/>
          <w:color w:val="000000" w:themeColor="text1"/>
          <w:szCs w:val="24"/>
        </w:rPr>
        <w:t>requirements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F0319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F0319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F0319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F0319">
        <w:rPr>
          <w:rFonts w:cs="Times New Roman"/>
          <w:color w:val="000000" w:themeColor="text1"/>
          <w:szCs w:val="24"/>
        </w:rPr>
        <w:t>NESHAP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F0319">
        <w:rPr>
          <w:rFonts w:cs="Times New Roman"/>
          <w:color w:val="000000" w:themeColor="text1"/>
          <w:szCs w:val="24"/>
        </w:rPr>
        <w:t>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F0319">
        <w:rPr>
          <w:rFonts w:cs="Times New Roman"/>
          <w:color w:val="000000" w:themeColor="text1"/>
          <w:szCs w:val="24"/>
        </w:rPr>
        <w:t>40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F0319">
        <w:rPr>
          <w:rFonts w:cs="Times New Roman"/>
          <w:color w:val="000000" w:themeColor="text1"/>
          <w:szCs w:val="24"/>
        </w:rPr>
        <w:t>CFR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F0319">
        <w:rPr>
          <w:rFonts w:cs="Times New Roman"/>
          <w:color w:val="000000" w:themeColor="text1"/>
          <w:szCs w:val="24"/>
        </w:rPr>
        <w:t>61.150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F0319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F0319">
        <w:rPr>
          <w:rFonts w:cs="Times New Roman"/>
          <w:color w:val="000000" w:themeColor="text1"/>
          <w:szCs w:val="24"/>
        </w:rPr>
        <w:t>any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F0319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F0319">
        <w:rPr>
          <w:rFonts w:cs="Times New Roman"/>
          <w:color w:val="000000" w:themeColor="text1"/>
          <w:szCs w:val="24"/>
        </w:rPr>
        <w:t>applicable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F0319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F0319">
        <w:rPr>
          <w:rFonts w:cs="Times New Roman"/>
          <w:color w:val="000000" w:themeColor="text1"/>
          <w:szCs w:val="24"/>
        </w:rPr>
        <w:t>existing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F0319">
        <w:rPr>
          <w:rFonts w:cs="Times New Roman"/>
          <w:color w:val="000000" w:themeColor="text1"/>
          <w:szCs w:val="24"/>
        </w:rPr>
        <w:t>law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F0319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F0319">
        <w:rPr>
          <w:rFonts w:cs="Times New Roman"/>
          <w:color w:val="000000" w:themeColor="text1"/>
          <w:szCs w:val="24"/>
        </w:rPr>
        <w:t>may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F0319">
        <w:rPr>
          <w:rFonts w:cs="Times New Roman"/>
          <w:color w:val="000000" w:themeColor="text1"/>
          <w:szCs w:val="24"/>
        </w:rPr>
        <w:t>apply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F0319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F0319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F0319">
        <w:rPr>
          <w:rFonts w:cs="Times New Roman"/>
          <w:color w:val="000000" w:themeColor="text1"/>
          <w:szCs w:val="24"/>
        </w:rPr>
        <w:t>commercial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F0319">
        <w:rPr>
          <w:rFonts w:cs="Times New Roman"/>
          <w:color w:val="000000" w:themeColor="text1"/>
          <w:szCs w:val="24"/>
        </w:rPr>
        <w:t>disposal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F0319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F0319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F0319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F0319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F0319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F0319">
        <w:rPr>
          <w:rFonts w:cs="Times New Roman"/>
          <w:color w:val="000000" w:themeColor="text1"/>
          <w:szCs w:val="24"/>
        </w:rPr>
        <w:t>asbestos-containing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F0319">
        <w:rPr>
          <w:rFonts w:cs="Times New Roman"/>
          <w:color w:val="000000" w:themeColor="text1"/>
          <w:szCs w:val="24"/>
        </w:rPr>
        <w:t>products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F0319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F0319">
        <w:rPr>
          <w:rFonts w:cs="Times New Roman"/>
          <w:color w:val="000000" w:themeColor="text1"/>
          <w:szCs w:val="24"/>
        </w:rPr>
        <w:t>article</w:t>
      </w:r>
      <w:r w:rsidRPr="00C317BB" w:rsidR="00AB3B28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051B7">
        <w:rPr>
          <w:rFonts w:cs="Times New Roman"/>
          <w:color w:val="000000" w:themeColor="text1"/>
          <w:szCs w:val="24"/>
          <w:lang w:val="en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54B5E">
        <w:rPr>
          <w:rFonts w:cs="Times New Roman"/>
          <w:color w:val="000000" w:themeColor="text1"/>
          <w:szCs w:val="24"/>
        </w:rPr>
        <w:t>requirement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54B5E">
        <w:rPr>
          <w:rFonts w:cs="Times New Roman"/>
          <w:color w:val="000000" w:themeColor="text1"/>
          <w:szCs w:val="24"/>
        </w:rPr>
        <w:t>apply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54B5E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54B5E">
        <w:rPr>
          <w:rFonts w:cs="Times New Roman"/>
          <w:color w:val="000000" w:themeColor="text1"/>
          <w:szCs w:val="24"/>
        </w:rPr>
        <w:t>any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54B5E">
        <w:rPr>
          <w:rFonts w:cs="Times New Roman"/>
          <w:color w:val="000000" w:themeColor="text1"/>
          <w:szCs w:val="24"/>
        </w:rPr>
        <w:t>unused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54B5E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B6C6A">
        <w:rPr>
          <w:rFonts w:cs="Times New Roman"/>
          <w:color w:val="000000" w:themeColor="text1"/>
          <w:szCs w:val="24"/>
        </w:rPr>
        <w:t>end-of-use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5528">
        <w:rPr>
          <w:rFonts w:cs="Times New Roman"/>
          <w:color w:val="000000" w:themeColor="text1"/>
          <w:szCs w:val="24"/>
        </w:rPr>
        <w:t>products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5528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5528">
        <w:rPr>
          <w:rFonts w:cs="Times New Roman"/>
          <w:color w:val="000000" w:themeColor="text1"/>
          <w:szCs w:val="24"/>
        </w:rPr>
        <w:t>these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5528">
        <w:rPr>
          <w:rFonts w:cs="Times New Roman"/>
          <w:color w:val="000000" w:themeColor="text1"/>
          <w:szCs w:val="24"/>
        </w:rPr>
        <w:t>uses</w:t>
      </w:r>
      <w:r w:rsidRPr="00C317BB" w:rsidR="003B6C6A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DA420E" w:rsidP="00F27167" w:rsidRDefault="00DA043D" w14:paraId="052CD9DC" w14:textId="212687C4">
      <w:pPr>
        <w:pStyle w:val="Heading3"/>
        <w:ind w:firstLine="720"/>
        <w:rPr>
          <w:rFonts w:cs="Times New Roman"/>
          <w:color w:val="000000" w:themeColor="text1"/>
          <w:szCs w:val="24"/>
          <w:lang w:val="en"/>
        </w:rPr>
      </w:pPr>
      <w:r w:rsidRPr="00C317BB">
        <w:rPr>
          <w:rFonts w:cs="Times New Roman"/>
          <w:color w:val="000000" w:themeColor="text1"/>
          <w:szCs w:val="24"/>
          <w:lang w:val="en"/>
        </w:rPr>
        <w:t>7.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DA420E">
        <w:rPr>
          <w:rFonts w:cs="Times New Roman"/>
          <w:color w:val="000000" w:themeColor="text1"/>
          <w:szCs w:val="24"/>
          <w:lang w:val="en"/>
        </w:rPr>
        <w:t>Other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F04EED">
        <w:rPr>
          <w:rFonts w:cs="Times New Roman"/>
          <w:color w:val="000000" w:themeColor="text1"/>
          <w:szCs w:val="24"/>
          <w:lang w:val="en"/>
        </w:rPr>
        <w:t>provisions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F04EED">
        <w:rPr>
          <w:rFonts w:cs="Times New Roman"/>
          <w:color w:val="000000" w:themeColor="text1"/>
          <w:szCs w:val="24"/>
          <w:lang w:val="en"/>
        </w:rPr>
        <w:t>of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F04EED">
        <w:rPr>
          <w:rFonts w:cs="Times New Roman"/>
          <w:color w:val="000000" w:themeColor="text1"/>
          <w:szCs w:val="24"/>
          <w:lang w:val="en"/>
        </w:rPr>
        <w:t>the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F77A6E">
        <w:rPr>
          <w:rFonts w:cs="Times New Roman"/>
          <w:color w:val="000000" w:themeColor="text1"/>
          <w:szCs w:val="24"/>
          <w:lang w:val="en"/>
        </w:rPr>
        <w:t>primary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F04EED">
        <w:rPr>
          <w:rFonts w:cs="Times New Roman"/>
          <w:color w:val="000000" w:themeColor="text1"/>
          <w:szCs w:val="24"/>
          <w:lang w:val="en"/>
        </w:rPr>
        <w:t>alternative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F04EED">
        <w:rPr>
          <w:rFonts w:cs="Times New Roman"/>
          <w:color w:val="000000" w:themeColor="text1"/>
          <w:szCs w:val="24"/>
          <w:lang w:val="en"/>
        </w:rPr>
        <w:t>regulatory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F04EED">
        <w:rPr>
          <w:rFonts w:cs="Times New Roman"/>
          <w:color w:val="000000" w:themeColor="text1"/>
          <w:szCs w:val="24"/>
          <w:lang w:val="en"/>
        </w:rPr>
        <w:t>action</w:t>
      </w:r>
      <w:r w:rsidRPr="00C317BB" w:rsidR="00C070B9">
        <w:rPr>
          <w:rFonts w:cs="Times New Roman"/>
          <w:color w:val="000000" w:themeColor="text1"/>
          <w:szCs w:val="24"/>
          <w:lang w:val="en"/>
        </w:rPr>
        <w:t>.</w:t>
      </w:r>
    </w:p>
    <w:p w:rsidRPr="00C317BB" w:rsidR="005060B9" w:rsidP="00F27167" w:rsidRDefault="005060B9" w14:paraId="20BC7C8C" w14:textId="5F5B220F">
      <w:pPr>
        <w:pStyle w:val="Heading4"/>
        <w:keepNext w:val="0"/>
        <w:keepLines w:val="0"/>
        <w:spacing w:before="0"/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a.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Prohibition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manufacture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(including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import),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processing,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distribution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commerce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7A30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aftermarket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automotive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brakes/linings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E5F8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E5F8B">
        <w:rPr>
          <w:rFonts w:cs="Times New Roman"/>
          <w:color w:val="000000" w:themeColor="text1"/>
          <w:szCs w:val="24"/>
        </w:rPr>
        <w:t>consumer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E5F8B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E5F8B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gaskets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consumer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use</w:t>
      </w:r>
      <w:r w:rsidRPr="00C317BB" w:rsidR="00C070B9">
        <w:rPr>
          <w:rFonts w:cs="Times New Roman"/>
          <w:color w:val="000000" w:themeColor="text1"/>
          <w:szCs w:val="24"/>
        </w:rPr>
        <w:t>:</w:t>
      </w:r>
    </w:p>
    <w:p w:rsidRPr="00C317BB" w:rsidR="00B9644D" w:rsidP="00F27167" w:rsidRDefault="00B9644D" w14:paraId="0C345E03" w14:textId="4D7D5ED1">
      <w:pPr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ab/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primary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alternative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regulatory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prohibit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manufacture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(including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import),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processing,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distribution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commerce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aftermarket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automotive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brakes/linings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52D7A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52D7A">
        <w:rPr>
          <w:rFonts w:cs="Times New Roman"/>
          <w:color w:val="000000" w:themeColor="text1"/>
          <w:szCs w:val="24"/>
        </w:rPr>
        <w:t>consumer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52D7A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gaskets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consumer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two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years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78B3">
        <w:rPr>
          <w:rFonts w:cs="Times New Roman"/>
          <w:color w:val="000000" w:themeColor="text1"/>
          <w:szCs w:val="24"/>
        </w:rPr>
        <w:t>after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78B3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78B3">
        <w:rPr>
          <w:rFonts w:cs="Times New Roman"/>
          <w:color w:val="000000" w:themeColor="text1"/>
          <w:szCs w:val="24"/>
        </w:rPr>
        <w:t>effective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78B3">
        <w:rPr>
          <w:rFonts w:cs="Times New Roman"/>
          <w:color w:val="000000" w:themeColor="text1"/>
          <w:szCs w:val="24"/>
        </w:rPr>
        <w:t>date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78B3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final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rule.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additional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amount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time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regulatory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option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aligns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compliance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dates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provided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commercial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articles.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rationale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compliance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same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provided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earlier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Unit.</w:t>
      </w:r>
    </w:p>
    <w:p w:rsidRPr="00C317BB" w:rsidR="00337E43" w:rsidP="00F27167" w:rsidRDefault="00337E43" w14:paraId="64DBB476" w14:textId="73AB2436">
      <w:pPr>
        <w:pStyle w:val="Heading4"/>
        <w:keepNext w:val="0"/>
        <w:keepLines w:val="0"/>
        <w:spacing w:before="0"/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b.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Downstream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notification</w:t>
      </w:r>
      <w:r w:rsidRPr="00C317BB" w:rsidR="00C070B9">
        <w:rPr>
          <w:rFonts w:cs="Times New Roman"/>
          <w:color w:val="000000" w:themeColor="text1"/>
          <w:szCs w:val="24"/>
        </w:rPr>
        <w:t>: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DA420E" w:rsidP="00F27167" w:rsidRDefault="00DA420E" w14:paraId="3C6EE15A" w14:textId="66B038BC">
      <w:pPr>
        <w:ind w:firstLine="720"/>
        <w:rPr>
          <w:rFonts w:cs="Times New Roman"/>
          <w:color w:val="000000" w:themeColor="text1"/>
          <w:szCs w:val="24"/>
          <w:lang w:val="en"/>
        </w:rPr>
      </w:pPr>
      <w:r w:rsidRPr="00C317BB">
        <w:rPr>
          <w:rFonts w:cs="Times New Roman"/>
          <w:color w:val="000000" w:themeColor="text1"/>
          <w:szCs w:val="24"/>
          <w:lang w:val="en"/>
        </w:rPr>
        <w:t>EPA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227203">
        <w:rPr>
          <w:rFonts w:cs="Times New Roman"/>
          <w:color w:val="000000" w:themeColor="text1"/>
          <w:szCs w:val="24"/>
          <w:lang w:val="en"/>
        </w:rPr>
        <w:t>would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7C1051">
        <w:rPr>
          <w:rFonts w:cs="Times New Roman"/>
          <w:color w:val="000000" w:themeColor="text1"/>
          <w:szCs w:val="24"/>
          <w:lang w:val="en"/>
        </w:rPr>
        <w:t>require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7C1051">
        <w:rPr>
          <w:rFonts w:cs="Times New Roman"/>
          <w:color w:val="000000" w:themeColor="text1"/>
          <w:szCs w:val="24"/>
          <w:lang w:val="en"/>
        </w:rPr>
        <w:t>as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7C1051">
        <w:rPr>
          <w:rFonts w:cs="Times New Roman"/>
          <w:color w:val="000000" w:themeColor="text1"/>
          <w:szCs w:val="24"/>
          <w:lang w:val="en"/>
        </w:rPr>
        <w:t>part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7C1051">
        <w:rPr>
          <w:rFonts w:cs="Times New Roman"/>
          <w:color w:val="000000" w:themeColor="text1"/>
          <w:szCs w:val="24"/>
          <w:lang w:val="en"/>
        </w:rPr>
        <w:t>of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7C1051">
        <w:rPr>
          <w:rFonts w:cs="Times New Roman"/>
          <w:color w:val="000000" w:themeColor="text1"/>
          <w:szCs w:val="24"/>
          <w:lang w:val="en"/>
        </w:rPr>
        <w:t>the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7C1051">
        <w:rPr>
          <w:rFonts w:cs="Times New Roman"/>
          <w:color w:val="000000" w:themeColor="text1"/>
          <w:szCs w:val="24"/>
          <w:lang w:val="en"/>
        </w:rPr>
        <w:t>primary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7C5F7A">
        <w:rPr>
          <w:rFonts w:cs="Times New Roman"/>
          <w:color w:val="000000" w:themeColor="text1"/>
          <w:szCs w:val="24"/>
          <w:lang w:val="en"/>
        </w:rPr>
        <w:t>alternative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9B797D">
        <w:rPr>
          <w:rFonts w:cs="Times New Roman"/>
          <w:color w:val="000000" w:themeColor="text1"/>
          <w:szCs w:val="24"/>
          <w:lang w:val="en"/>
        </w:rPr>
        <w:t>regulatory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9B797D">
        <w:rPr>
          <w:rFonts w:cs="Times New Roman"/>
          <w:color w:val="000000" w:themeColor="text1"/>
          <w:szCs w:val="24"/>
          <w:lang w:val="en"/>
        </w:rPr>
        <w:t>action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under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TSCA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section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6(a)(3)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that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manufacturers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503446">
        <w:rPr>
          <w:rFonts w:cs="Times New Roman"/>
          <w:color w:val="000000" w:themeColor="text1"/>
          <w:szCs w:val="24"/>
          <w:lang w:val="en"/>
        </w:rPr>
        <w:t>(including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503446">
        <w:rPr>
          <w:rFonts w:cs="Times New Roman"/>
          <w:color w:val="000000" w:themeColor="text1"/>
          <w:szCs w:val="24"/>
          <w:lang w:val="en"/>
        </w:rPr>
        <w:t>importers)</w:t>
      </w:r>
      <w:r w:rsidRPr="00C317BB">
        <w:rPr>
          <w:rFonts w:cs="Times New Roman"/>
          <w:color w:val="000000" w:themeColor="text1"/>
          <w:szCs w:val="24"/>
          <w:lang w:val="en"/>
        </w:rPr>
        <w:t>,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processors,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and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distributors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of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chrysotile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asbestos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0968A0">
        <w:rPr>
          <w:rFonts w:cs="Times New Roman"/>
          <w:color w:val="000000" w:themeColor="text1"/>
          <w:szCs w:val="24"/>
          <w:lang w:val="en"/>
        </w:rPr>
        <w:t>in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0968A0">
        <w:rPr>
          <w:rFonts w:cs="Times New Roman"/>
          <w:color w:val="000000" w:themeColor="text1"/>
          <w:szCs w:val="24"/>
          <w:lang w:val="en"/>
        </w:rPr>
        <w:t>bulk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0968A0">
        <w:rPr>
          <w:rFonts w:cs="Times New Roman"/>
          <w:color w:val="000000" w:themeColor="text1"/>
          <w:szCs w:val="24"/>
          <w:lang w:val="en"/>
        </w:rPr>
        <w:t>form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0968A0">
        <w:rPr>
          <w:rFonts w:cs="Times New Roman"/>
          <w:color w:val="000000" w:themeColor="text1"/>
          <w:szCs w:val="24"/>
          <w:lang w:val="en"/>
        </w:rPr>
        <w:t>or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0968A0">
        <w:rPr>
          <w:rFonts w:cs="Times New Roman"/>
          <w:color w:val="000000" w:themeColor="text1"/>
          <w:szCs w:val="24"/>
          <w:lang w:val="en"/>
        </w:rPr>
        <w:t>as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0968A0">
        <w:rPr>
          <w:rFonts w:cs="Times New Roman"/>
          <w:color w:val="000000" w:themeColor="text1"/>
          <w:szCs w:val="24"/>
          <w:lang w:val="en"/>
        </w:rPr>
        <w:t>part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0968A0">
        <w:rPr>
          <w:rFonts w:cs="Times New Roman"/>
          <w:color w:val="000000" w:themeColor="text1"/>
          <w:szCs w:val="24"/>
          <w:lang w:val="en"/>
        </w:rPr>
        <w:t>of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0968A0">
        <w:rPr>
          <w:rFonts w:cs="Times New Roman"/>
          <w:color w:val="000000" w:themeColor="text1"/>
          <w:szCs w:val="24"/>
          <w:lang w:val="en"/>
        </w:rPr>
        <w:t>chrysotile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0968A0">
        <w:rPr>
          <w:rFonts w:cs="Times New Roman"/>
          <w:color w:val="000000" w:themeColor="text1"/>
          <w:szCs w:val="24"/>
          <w:lang w:val="en"/>
        </w:rPr>
        <w:t>asbestos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707C74">
        <w:rPr>
          <w:rFonts w:cs="Times New Roman"/>
          <w:color w:val="000000" w:themeColor="text1"/>
          <w:szCs w:val="24"/>
          <w:lang w:val="en"/>
        </w:rPr>
        <w:t>diaphragms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707C74">
        <w:rPr>
          <w:rFonts w:cs="Times New Roman"/>
          <w:color w:val="000000" w:themeColor="text1"/>
          <w:szCs w:val="24"/>
          <w:lang w:val="en"/>
        </w:rPr>
        <w:t>use</w:t>
      </w:r>
      <w:r w:rsidRPr="00C317BB" w:rsidR="005E5D73">
        <w:rPr>
          <w:rFonts w:cs="Times New Roman"/>
          <w:color w:val="000000" w:themeColor="text1"/>
          <w:szCs w:val="24"/>
          <w:lang w:val="en"/>
        </w:rPr>
        <w:t>d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707C74">
        <w:rPr>
          <w:rFonts w:cs="Times New Roman"/>
          <w:color w:val="000000" w:themeColor="text1"/>
          <w:szCs w:val="24"/>
          <w:lang w:val="en"/>
        </w:rPr>
        <w:t>in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707C74">
        <w:rPr>
          <w:rFonts w:cs="Times New Roman"/>
          <w:color w:val="000000" w:themeColor="text1"/>
          <w:szCs w:val="24"/>
          <w:lang w:val="en"/>
        </w:rPr>
        <w:t>the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7E71D6">
        <w:rPr>
          <w:rFonts w:cs="Times New Roman"/>
          <w:color w:val="000000" w:themeColor="text1"/>
          <w:szCs w:val="24"/>
          <w:lang w:val="en"/>
        </w:rPr>
        <w:t>chlor-alkali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7E71D6">
        <w:rPr>
          <w:rFonts w:cs="Times New Roman"/>
          <w:color w:val="000000" w:themeColor="text1"/>
          <w:szCs w:val="24"/>
          <w:lang w:val="en"/>
        </w:rPr>
        <w:t>industry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5E5D73">
        <w:rPr>
          <w:rFonts w:cs="Times New Roman"/>
          <w:color w:val="000000" w:themeColor="text1"/>
          <w:szCs w:val="24"/>
          <w:lang w:val="en"/>
        </w:rPr>
        <w:t>a</w:t>
      </w:r>
      <w:r w:rsidRPr="00C317BB" w:rsidR="00E2278D">
        <w:rPr>
          <w:rFonts w:cs="Times New Roman"/>
          <w:color w:val="000000" w:themeColor="text1"/>
          <w:szCs w:val="24"/>
          <w:lang w:val="en"/>
        </w:rPr>
        <w:t>nd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E2278D">
        <w:rPr>
          <w:rFonts w:cs="Times New Roman"/>
          <w:color w:val="000000" w:themeColor="text1"/>
          <w:szCs w:val="24"/>
          <w:lang w:val="en"/>
        </w:rPr>
        <w:t>chrysotile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E2278D">
        <w:rPr>
          <w:rFonts w:cs="Times New Roman"/>
          <w:color w:val="000000" w:themeColor="text1"/>
          <w:szCs w:val="24"/>
          <w:lang w:val="en"/>
        </w:rPr>
        <w:t>asbestos-containing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E2278D">
        <w:rPr>
          <w:rFonts w:cs="Times New Roman"/>
          <w:color w:val="000000" w:themeColor="text1"/>
          <w:szCs w:val="24"/>
          <w:lang w:val="en"/>
        </w:rPr>
        <w:t>sheet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E2278D">
        <w:rPr>
          <w:rFonts w:cs="Times New Roman"/>
          <w:color w:val="000000" w:themeColor="text1"/>
          <w:szCs w:val="24"/>
          <w:lang w:val="en"/>
        </w:rPr>
        <w:t>gaskets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E2278D">
        <w:rPr>
          <w:rFonts w:cs="Times New Roman"/>
          <w:color w:val="000000" w:themeColor="text1"/>
          <w:szCs w:val="24"/>
          <w:lang w:val="en"/>
        </w:rPr>
        <w:t>used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E2278D">
        <w:rPr>
          <w:rFonts w:cs="Times New Roman"/>
          <w:color w:val="000000" w:themeColor="text1"/>
          <w:szCs w:val="24"/>
          <w:lang w:val="en"/>
        </w:rPr>
        <w:t>in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E2278D">
        <w:rPr>
          <w:rFonts w:cs="Times New Roman"/>
          <w:color w:val="000000" w:themeColor="text1"/>
          <w:szCs w:val="24"/>
          <w:lang w:val="en"/>
        </w:rPr>
        <w:t>chemical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E2278D">
        <w:rPr>
          <w:rFonts w:cs="Times New Roman"/>
          <w:color w:val="000000" w:themeColor="text1"/>
          <w:szCs w:val="24"/>
          <w:lang w:val="en"/>
        </w:rPr>
        <w:t>production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provide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notification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of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the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prohibitions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through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650A9D">
        <w:rPr>
          <w:rFonts w:cs="Times New Roman"/>
          <w:color w:val="000000" w:themeColor="text1"/>
          <w:szCs w:val="24"/>
          <w:lang w:val="en"/>
        </w:rPr>
        <w:t>existing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650A9D">
        <w:rPr>
          <w:rFonts w:cs="Times New Roman"/>
          <w:color w:val="000000" w:themeColor="text1"/>
          <w:szCs w:val="24"/>
          <w:lang w:val="en"/>
        </w:rPr>
        <w:t>safety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650A9D">
        <w:rPr>
          <w:rFonts w:cs="Times New Roman"/>
          <w:color w:val="000000" w:themeColor="text1"/>
          <w:szCs w:val="24"/>
          <w:lang w:val="en"/>
        </w:rPr>
        <w:t>data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650A9D">
        <w:rPr>
          <w:rFonts w:cs="Times New Roman"/>
          <w:color w:val="000000" w:themeColor="text1"/>
          <w:szCs w:val="24"/>
          <w:lang w:val="en"/>
        </w:rPr>
        <w:t>sheets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650A9D">
        <w:rPr>
          <w:rFonts w:cs="Times New Roman"/>
          <w:color w:val="000000" w:themeColor="text1"/>
          <w:szCs w:val="24"/>
          <w:lang w:val="en"/>
        </w:rPr>
        <w:t>(</w:t>
      </w:r>
      <w:r w:rsidRPr="00C317BB">
        <w:rPr>
          <w:rFonts w:cs="Times New Roman"/>
          <w:color w:val="000000" w:themeColor="text1"/>
          <w:szCs w:val="24"/>
          <w:lang w:val="en"/>
        </w:rPr>
        <w:t>SDS</w:t>
      </w:r>
      <w:r w:rsidRPr="00C317BB" w:rsidR="00650A9D">
        <w:rPr>
          <w:rFonts w:cs="Times New Roman"/>
          <w:color w:val="000000" w:themeColor="text1"/>
          <w:szCs w:val="24"/>
          <w:lang w:val="en"/>
        </w:rPr>
        <w:t>)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by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adding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to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sections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1(c)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and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15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of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the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SDS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the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following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language: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“This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chemical/</w:t>
      </w:r>
      <w:r w:rsidRPr="00C317BB" w:rsidR="00991BD4">
        <w:rPr>
          <w:rFonts w:cs="Times New Roman"/>
          <w:color w:val="000000" w:themeColor="text1"/>
          <w:szCs w:val="24"/>
          <w:lang w:val="en"/>
        </w:rPr>
        <w:t>item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is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not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and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cannot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be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distributed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in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commerce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(as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defined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in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TSCA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section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3(5))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or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processed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(as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defined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in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TSCA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section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3(13))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for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commercial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and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consumer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use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DF0C58">
        <w:rPr>
          <w:rFonts w:cs="Times New Roman"/>
          <w:color w:val="000000" w:themeColor="text1"/>
          <w:szCs w:val="24"/>
          <w:lang w:val="en"/>
        </w:rPr>
        <w:t>after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DF0C58">
        <w:rPr>
          <w:rFonts w:cs="Times New Roman"/>
          <w:color w:val="000000" w:themeColor="text1"/>
          <w:szCs w:val="24"/>
          <w:lang w:val="en"/>
        </w:rPr>
        <w:t>[prohibition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DF0C58">
        <w:rPr>
          <w:rFonts w:cs="Times New Roman"/>
          <w:color w:val="000000" w:themeColor="text1"/>
          <w:szCs w:val="24"/>
          <w:lang w:val="en"/>
        </w:rPr>
        <w:t>date].</w:t>
      </w:r>
      <w:r w:rsidRPr="00C317BB">
        <w:rPr>
          <w:rFonts w:cs="Times New Roman"/>
          <w:color w:val="000000" w:themeColor="text1"/>
          <w:szCs w:val="24"/>
          <w:lang w:val="en"/>
        </w:rPr>
        <w:t>”</w:t>
      </w:r>
    </w:p>
    <w:p w:rsidRPr="00C317BB" w:rsidR="00FC0717" w:rsidP="00F27167" w:rsidRDefault="00DA420E" w14:paraId="04E5B719" w14:textId="0A6CAD2C">
      <w:pPr>
        <w:ind w:firstLine="720"/>
        <w:rPr>
          <w:rFonts w:cs="Times New Roman"/>
          <w:color w:val="000000" w:themeColor="text1"/>
          <w:szCs w:val="24"/>
          <w:lang w:val="en"/>
        </w:rPr>
      </w:pP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8652A">
        <w:rPr>
          <w:rFonts w:cs="Times New Roman"/>
          <w:color w:val="000000" w:themeColor="text1"/>
          <w:szCs w:val="24"/>
        </w:rPr>
        <w:t>requirement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8652A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8652A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74AAA">
        <w:rPr>
          <w:rFonts w:cs="Times New Roman"/>
          <w:color w:val="000000" w:themeColor="text1"/>
          <w:szCs w:val="24"/>
        </w:rPr>
        <w:t>primary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450A5">
        <w:rPr>
          <w:rFonts w:cs="Times New Roman"/>
          <w:color w:val="000000" w:themeColor="text1"/>
          <w:szCs w:val="24"/>
        </w:rPr>
        <w:t>alternative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8652A">
        <w:rPr>
          <w:rFonts w:cs="Times New Roman"/>
          <w:color w:val="000000" w:themeColor="text1"/>
          <w:szCs w:val="24"/>
        </w:rPr>
        <w:t>regulatory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450A5">
        <w:rPr>
          <w:rFonts w:cs="Times New Roman"/>
          <w:color w:val="000000" w:themeColor="text1"/>
          <w:szCs w:val="24"/>
        </w:rPr>
        <w:t>action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take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effect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911B8">
        <w:rPr>
          <w:rFonts w:cs="Times New Roman"/>
          <w:color w:val="000000" w:themeColor="text1"/>
          <w:szCs w:val="24"/>
        </w:rPr>
        <w:t>180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days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after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effective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final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rule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in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order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to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provide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adequate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time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to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undertake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the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changes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to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the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SDS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and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ensure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that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all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products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in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the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supply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chain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include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the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revised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SDS</w:t>
      </w:r>
      <w:r w:rsidRPr="00C317BB" w:rsidR="00FC0717">
        <w:rPr>
          <w:rFonts w:cs="Times New Roman"/>
          <w:color w:val="000000" w:themeColor="text1"/>
          <w:szCs w:val="24"/>
          <w:lang w:val="en"/>
        </w:rPr>
        <w:t>.</w:t>
      </w:r>
    </w:p>
    <w:p w:rsidRPr="00C317BB" w:rsidR="00DA420E" w:rsidP="00F27167" w:rsidRDefault="00363AB0" w14:paraId="0C90AA33" w14:textId="18C984AB">
      <w:pPr>
        <w:pStyle w:val="Heading4"/>
        <w:keepNext w:val="0"/>
        <w:keepLines w:val="0"/>
        <w:spacing w:before="0"/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c</w:t>
      </w:r>
      <w:r w:rsidRPr="00C317BB" w:rsidR="008733C4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21D09">
        <w:rPr>
          <w:rFonts w:cs="Times New Roman"/>
          <w:color w:val="000000" w:themeColor="text1"/>
          <w:szCs w:val="24"/>
        </w:rPr>
        <w:t>Primary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A3AEE">
        <w:rPr>
          <w:rFonts w:cs="Times New Roman"/>
          <w:color w:val="000000" w:themeColor="text1"/>
          <w:szCs w:val="24"/>
        </w:rPr>
        <w:t>alternative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A3AEE">
        <w:rPr>
          <w:rFonts w:cs="Times New Roman"/>
          <w:color w:val="000000" w:themeColor="text1"/>
          <w:szCs w:val="24"/>
        </w:rPr>
        <w:t>regulatory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A3AEE">
        <w:rPr>
          <w:rFonts w:cs="Times New Roman"/>
          <w:color w:val="000000" w:themeColor="text1"/>
          <w:szCs w:val="24"/>
        </w:rPr>
        <w:t>action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06177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A3AEE">
        <w:rPr>
          <w:rFonts w:cs="Times New Roman"/>
          <w:color w:val="000000" w:themeColor="text1"/>
          <w:szCs w:val="24"/>
        </w:rPr>
        <w:t>signage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A420E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A3AEE">
        <w:rPr>
          <w:rFonts w:cs="Times New Roman"/>
          <w:color w:val="000000" w:themeColor="text1"/>
          <w:szCs w:val="24"/>
        </w:rPr>
        <w:t>labeling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A3AEE">
        <w:rPr>
          <w:rFonts w:cs="Times New Roman"/>
          <w:color w:val="000000" w:themeColor="text1"/>
          <w:szCs w:val="24"/>
        </w:rPr>
        <w:t>requirements:</w:t>
      </w:r>
    </w:p>
    <w:p w:rsidRPr="00C317BB" w:rsidR="00EE0927" w:rsidP="00F27167" w:rsidRDefault="00DA420E" w14:paraId="32C2CED9" w14:textId="308C1E28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  <w:lang w:val="en"/>
        </w:rPr>
        <w:t>EPA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5B5991">
        <w:rPr>
          <w:rFonts w:cs="Times New Roman"/>
          <w:color w:val="000000" w:themeColor="text1"/>
          <w:szCs w:val="24"/>
          <w:lang w:val="en"/>
        </w:rPr>
        <w:t>would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5B5991">
        <w:rPr>
          <w:rFonts w:cs="Times New Roman"/>
          <w:color w:val="000000" w:themeColor="text1"/>
          <w:szCs w:val="24"/>
          <w:lang w:val="en"/>
        </w:rPr>
        <w:t>also</w:t>
      </w:r>
      <w:r w:rsidRPr="00C317BB" w:rsidR="00EC4C99">
        <w:rPr>
          <w:rFonts w:cs="Times New Roman"/>
          <w:color w:val="000000" w:themeColor="text1"/>
          <w:szCs w:val="24"/>
          <w:lang w:val="en"/>
        </w:rPr>
        <w:t>,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EC4C99">
        <w:rPr>
          <w:rFonts w:cs="Times New Roman"/>
          <w:color w:val="000000" w:themeColor="text1"/>
          <w:szCs w:val="24"/>
          <w:lang w:val="en"/>
        </w:rPr>
        <w:t>pursuant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EC4C99">
        <w:rPr>
          <w:rFonts w:cs="Times New Roman"/>
          <w:color w:val="000000" w:themeColor="text1"/>
          <w:szCs w:val="24"/>
          <w:lang w:val="en"/>
        </w:rPr>
        <w:t>to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EC4C99">
        <w:rPr>
          <w:rFonts w:cs="Times New Roman"/>
          <w:color w:val="000000" w:themeColor="text1"/>
          <w:szCs w:val="24"/>
          <w:lang w:val="en"/>
        </w:rPr>
        <w:t>TSCA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EC4C99">
        <w:rPr>
          <w:rFonts w:cs="Times New Roman"/>
          <w:color w:val="000000" w:themeColor="text1"/>
          <w:szCs w:val="24"/>
          <w:lang w:val="en"/>
        </w:rPr>
        <w:t>section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EC4C99">
        <w:rPr>
          <w:rFonts w:cs="Times New Roman"/>
          <w:color w:val="000000" w:themeColor="text1"/>
          <w:szCs w:val="24"/>
          <w:lang w:val="en"/>
        </w:rPr>
        <w:t>6(a)(3),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require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processors,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and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5C0BFF">
        <w:rPr>
          <w:rFonts w:cs="Times New Roman"/>
          <w:color w:val="000000" w:themeColor="text1"/>
          <w:szCs w:val="24"/>
          <w:lang w:val="en"/>
        </w:rPr>
        <w:t>commercial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users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4C3C20">
        <w:rPr>
          <w:rFonts w:cs="Times New Roman"/>
          <w:color w:val="000000" w:themeColor="text1"/>
          <w:szCs w:val="24"/>
          <w:lang w:val="en"/>
        </w:rPr>
        <w:t>of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4C3C20">
        <w:rPr>
          <w:rFonts w:cs="Times New Roman"/>
          <w:color w:val="000000" w:themeColor="text1"/>
          <w:szCs w:val="24"/>
          <w:lang w:val="en"/>
        </w:rPr>
        <w:t>chrysotile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4C3C20">
        <w:rPr>
          <w:rFonts w:cs="Times New Roman"/>
          <w:color w:val="000000" w:themeColor="text1"/>
          <w:szCs w:val="24"/>
          <w:lang w:val="en"/>
        </w:rPr>
        <w:t>asbestos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5C0BFF">
        <w:rPr>
          <w:rFonts w:cs="Times New Roman"/>
          <w:color w:val="000000" w:themeColor="text1"/>
          <w:szCs w:val="24"/>
          <w:lang w:val="en"/>
        </w:rPr>
        <w:t>in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5C0BFF">
        <w:rPr>
          <w:rFonts w:cs="Times New Roman"/>
          <w:color w:val="000000" w:themeColor="text1"/>
          <w:szCs w:val="24"/>
          <w:lang w:val="en"/>
        </w:rPr>
        <w:t>bulk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5C0BFF">
        <w:rPr>
          <w:rFonts w:cs="Times New Roman"/>
          <w:color w:val="000000" w:themeColor="text1"/>
          <w:szCs w:val="24"/>
          <w:lang w:val="en"/>
        </w:rPr>
        <w:t>form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5C0BFF">
        <w:rPr>
          <w:rFonts w:cs="Times New Roman"/>
          <w:color w:val="000000" w:themeColor="text1"/>
          <w:szCs w:val="24"/>
          <w:lang w:val="en"/>
        </w:rPr>
        <w:t>or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5C0BFF">
        <w:rPr>
          <w:rFonts w:cs="Times New Roman"/>
          <w:color w:val="000000" w:themeColor="text1"/>
          <w:szCs w:val="24"/>
          <w:lang w:val="en"/>
        </w:rPr>
        <w:t>as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5C0BFF">
        <w:rPr>
          <w:rFonts w:cs="Times New Roman"/>
          <w:color w:val="000000" w:themeColor="text1"/>
          <w:szCs w:val="24"/>
          <w:lang w:val="en"/>
        </w:rPr>
        <w:t>part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5C0BFF">
        <w:rPr>
          <w:rFonts w:cs="Times New Roman"/>
          <w:color w:val="000000" w:themeColor="text1"/>
          <w:szCs w:val="24"/>
          <w:lang w:val="en"/>
        </w:rPr>
        <w:t>of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5C0BFF">
        <w:rPr>
          <w:rFonts w:cs="Times New Roman"/>
          <w:color w:val="000000" w:themeColor="text1"/>
          <w:szCs w:val="24"/>
          <w:lang w:val="en"/>
        </w:rPr>
        <w:t>chrysotile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5C0BFF">
        <w:rPr>
          <w:rFonts w:cs="Times New Roman"/>
          <w:color w:val="000000" w:themeColor="text1"/>
          <w:szCs w:val="24"/>
          <w:lang w:val="en"/>
        </w:rPr>
        <w:t>asbestos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0619A7">
        <w:rPr>
          <w:rFonts w:cs="Times New Roman"/>
          <w:color w:val="000000" w:themeColor="text1"/>
          <w:szCs w:val="24"/>
          <w:lang w:val="en"/>
        </w:rPr>
        <w:t>chlor-alkali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0619A7">
        <w:rPr>
          <w:rFonts w:cs="Times New Roman"/>
          <w:color w:val="000000" w:themeColor="text1"/>
          <w:szCs w:val="24"/>
          <w:lang w:val="en"/>
        </w:rPr>
        <w:t>diap</w:t>
      </w:r>
      <w:r w:rsidRPr="00C317BB" w:rsidR="00E85DB9">
        <w:rPr>
          <w:rFonts w:cs="Times New Roman"/>
          <w:color w:val="000000" w:themeColor="text1"/>
          <w:szCs w:val="24"/>
          <w:lang w:val="en"/>
        </w:rPr>
        <w:t>hragms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41730B">
        <w:rPr>
          <w:rFonts w:cs="Times New Roman"/>
          <w:color w:val="000000" w:themeColor="text1"/>
          <w:szCs w:val="24"/>
          <w:lang w:val="en"/>
        </w:rPr>
        <w:t>and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AF3257">
        <w:rPr>
          <w:rFonts w:cs="Times New Roman"/>
          <w:color w:val="000000" w:themeColor="text1"/>
          <w:szCs w:val="24"/>
          <w:lang w:val="en"/>
        </w:rPr>
        <w:t>ch</w:t>
      </w:r>
      <w:r w:rsidRPr="00C317BB" w:rsidR="006B193E">
        <w:rPr>
          <w:rFonts w:cs="Times New Roman"/>
          <w:color w:val="000000" w:themeColor="text1"/>
          <w:szCs w:val="24"/>
          <w:lang w:val="en"/>
        </w:rPr>
        <w:t>rysotile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6B193E">
        <w:rPr>
          <w:rFonts w:cs="Times New Roman"/>
          <w:color w:val="000000" w:themeColor="text1"/>
          <w:szCs w:val="24"/>
          <w:lang w:val="en"/>
        </w:rPr>
        <w:t>asbestos</w:t>
      </w:r>
      <w:r w:rsidRPr="00C317BB" w:rsidR="00E04C0F">
        <w:rPr>
          <w:rFonts w:cs="Times New Roman"/>
          <w:color w:val="000000" w:themeColor="text1"/>
          <w:szCs w:val="24"/>
          <w:lang w:val="en"/>
        </w:rPr>
        <w:t>-</w:t>
      </w:r>
      <w:r w:rsidRPr="00C317BB" w:rsidR="006B193E">
        <w:rPr>
          <w:rFonts w:cs="Times New Roman"/>
          <w:color w:val="000000" w:themeColor="text1"/>
          <w:szCs w:val="24"/>
          <w:lang w:val="en"/>
        </w:rPr>
        <w:t>containing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60195C">
        <w:rPr>
          <w:rFonts w:cs="Times New Roman"/>
          <w:color w:val="000000" w:themeColor="text1"/>
          <w:szCs w:val="24"/>
          <w:lang w:val="en"/>
        </w:rPr>
        <w:t>sheet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212AA7">
        <w:rPr>
          <w:rFonts w:cs="Times New Roman"/>
          <w:color w:val="000000" w:themeColor="text1"/>
          <w:szCs w:val="24"/>
          <w:lang w:val="en"/>
        </w:rPr>
        <w:t>gaskets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212AA7">
        <w:rPr>
          <w:rFonts w:cs="Times New Roman"/>
          <w:color w:val="000000" w:themeColor="text1"/>
          <w:szCs w:val="24"/>
          <w:lang w:val="en"/>
        </w:rPr>
        <w:t>used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212AA7">
        <w:rPr>
          <w:rFonts w:cs="Times New Roman"/>
          <w:color w:val="000000" w:themeColor="text1"/>
          <w:szCs w:val="24"/>
          <w:lang w:val="en"/>
        </w:rPr>
        <w:t>in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212AA7">
        <w:rPr>
          <w:rFonts w:cs="Times New Roman"/>
          <w:color w:val="000000" w:themeColor="text1"/>
          <w:szCs w:val="24"/>
          <w:lang w:val="en"/>
        </w:rPr>
        <w:t>chemical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212AA7">
        <w:rPr>
          <w:rFonts w:cs="Times New Roman"/>
          <w:color w:val="000000" w:themeColor="text1"/>
          <w:szCs w:val="24"/>
          <w:lang w:val="en"/>
        </w:rPr>
        <w:t>production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to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post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8917E5">
        <w:rPr>
          <w:rFonts w:cs="Times New Roman"/>
          <w:color w:val="000000" w:themeColor="text1"/>
          <w:szCs w:val="24"/>
          <w:lang w:val="en"/>
        </w:rPr>
        <w:t>visible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8917E5">
        <w:rPr>
          <w:rFonts w:cs="Times New Roman"/>
          <w:color w:val="000000" w:themeColor="text1"/>
          <w:szCs w:val="24"/>
          <w:lang w:val="en"/>
        </w:rPr>
        <w:t>and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8A2349">
        <w:rPr>
          <w:rFonts w:cs="Times New Roman"/>
          <w:color w:val="000000" w:themeColor="text1"/>
          <w:szCs w:val="24"/>
          <w:lang w:val="en"/>
        </w:rPr>
        <w:t>clearly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325819">
        <w:rPr>
          <w:rFonts w:cs="Times New Roman"/>
          <w:color w:val="000000" w:themeColor="text1"/>
          <w:szCs w:val="24"/>
          <w:lang w:val="en"/>
        </w:rPr>
        <w:t>noticeable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signs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in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the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work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area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of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the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ECEL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value</w:t>
      </w:r>
      <w:r w:rsidRPr="00C317BB" w:rsidR="00B244C1">
        <w:rPr>
          <w:rFonts w:cs="Times New Roman"/>
          <w:color w:val="000000" w:themeColor="text1"/>
          <w:szCs w:val="24"/>
          <w:lang w:val="en"/>
        </w:rPr>
        <w:t>,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compliance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with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any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monitoring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requirements</w:t>
      </w:r>
      <w:r w:rsidRPr="00C317BB" w:rsidR="00B244C1">
        <w:rPr>
          <w:rFonts w:cs="Times New Roman"/>
          <w:color w:val="000000" w:themeColor="text1"/>
          <w:szCs w:val="24"/>
          <w:lang w:val="en"/>
        </w:rPr>
        <w:t>,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B244C1">
        <w:rPr>
          <w:rFonts w:cs="Times New Roman"/>
          <w:color w:val="000000" w:themeColor="text1"/>
          <w:szCs w:val="24"/>
          <w:lang w:val="en"/>
        </w:rPr>
        <w:t>and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B244C1">
        <w:rPr>
          <w:rFonts w:cs="Times New Roman"/>
          <w:color w:val="000000" w:themeColor="text1"/>
          <w:szCs w:val="24"/>
          <w:lang w:val="en"/>
        </w:rPr>
        <w:t>worker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B244C1">
        <w:rPr>
          <w:rFonts w:cs="Times New Roman"/>
          <w:color w:val="000000" w:themeColor="text1"/>
          <w:szCs w:val="24"/>
          <w:lang w:val="en"/>
        </w:rPr>
        <w:t>protection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B244C1">
        <w:rPr>
          <w:rFonts w:cs="Times New Roman"/>
          <w:color w:val="000000" w:themeColor="text1"/>
          <w:szCs w:val="24"/>
          <w:lang w:val="en"/>
        </w:rPr>
        <w:t>requirements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in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this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rule.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Such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signs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w</w:t>
      </w:r>
      <w:r w:rsidRPr="00C317BB" w:rsidR="00F04EED">
        <w:rPr>
          <w:rFonts w:cs="Times New Roman"/>
          <w:color w:val="000000" w:themeColor="text1"/>
          <w:szCs w:val="24"/>
          <w:lang w:val="en"/>
        </w:rPr>
        <w:t>ould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be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used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where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any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worker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or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ONU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may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be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exposed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to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chrysotile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asbestos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and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1101C9">
        <w:rPr>
          <w:rFonts w:cs="Times New Roman"/>
          <w:color w:val="000000" w:themeColor="text1"/>
          <w:szCs w:val="24"/>
          <w:lang w:val="en"/>
        </w:rPr>
        <w:t>according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 w:rsidR="001101C9">
        <w:rPr>
          <w:rFonts w:cs="Times New Roman"/>
          <w:color w:val="000000" w:themeColor="text1"/>
          <w:szCs w:val="24"/>
          <w:lang w:val="en"/>
        </w:rPr>
        <w:t>to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the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requirements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for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signage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under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29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CFR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  <w:r w:rsidRPr="00C317BB">
        <w:rPr>
          <w:rFonts w:cs="Times New Roman"/>
          <w:color w:val="000000" w:themeColor="text1"/>
          <w:szCs w:val="24"/>
          <w:lang w:val="en"/>
        </w:rPr>
        <w:t>1910.1001(j)(4).</w:t>
      </w:r>
      <w:r w:rsidR="005613B2">
        <w:rPr>
          <w:rFonts w:cs="Times New Roman"/>
          <w:color w:val="000000" w:themeColor="text1"/>
          <w:szCs w:val="24"/>
          <w:lang w:val="en"/>
        </w:rPr>
        <w:t xml:space="preserve"> </w:t>
      </w:r>
    </w:p>
    <w:p w:rsidRPr="00C317BB" w:rsidR="00813F81" w:rsidP="00F27167" w:rsidRDefault="00813F81" w14:paraId="63A6FA94" w14:textId="68BC15D5">
      <w:pPr>
        <w:pStyle w:val="Heading1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V.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F0C6D">
        <w:rPr>
          <w:rFonts w:cs="Times New Roman"/>
          <w:color w:val="000000" w:themeColor="text1"/>
          <w:szCs w:val="24"/>
        </w:rPr>
        <w:t>Sectio</w:t>
      </w:r>
      <w:r w:rsidRPr="00C317BB" w:rsidR="00383A37">
        <w:rPr>
          <w:rFonts w:cs="Times New Roman"/>
          <w:color w:val="000000" w:themeColor="text1"/>
          <w:szCs w:val="24"/>
        </w:rPr>
        <w:t>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(c)(2)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Considerations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4C68CC" w:rsidP="00F27167" w:rsidRDefault="004C68CC" w14:paraId="6D76197E" w14:textId="750F1EE2">
      <w:pPr>
        <w:pStyle w:val="ListParagraph"/>
        <w:ind w:left="0"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following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EPA’s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statement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03446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03446">
        <w:rPr>
          <w:rFonts w:cs="Times New Roman"/>
          <w:color w:val="000000" w:themeColor="text1"/>
          <w:szCs w:val="24"/>
        </w:rPr>
        <w:t>effects</w:t>
      </w:r>
      <w:r w:rsidRPr="00C317BB" w:rsidR="00E01E6F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01E6F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01E6F">
        <w:rPr>
          <w:rFonts w:cs="Times New Roman"/>
          <w:color w:val="000000" w:themeColor="text1"/>
          <w:szCs w:val="24"/>
        </w:rPr>
        <w:t>required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01E6F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01E6F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F0C6D">
        <w:rPr>
          <w:rFonts w:cs="Times New Roman"/>
          <w:color w:val="000000" w:themeColor="text1"/>
          <w:szCs w:val="24"/>
        </w:rPr>
        <w:t>sec</w:t>
      </w:r>
      <w:r w:rsidRPr="00C317BB" w:rsidR="00383A37">
        <w:rPr>
          <w:rFonts w:cs="Times New Roman"/>
          <w:color w:val="000000" w:themeColor="text1"/>
          <w:szCs w:val="24"/>
        </w:rPr>
        <w:t>tio</w:t>
      </w:r>
      <w:r w:rsidRPr="00C317BB" w:rsidR="00CF0C6D">
        <w:rPr>
          <w:rFonts w:cs="Times New Roman"/>
          <w:color w:val="000000" w:themeColor="text1"/>
          <w:szCs w:val="24"/>
        </w:rPr>
        <w:t>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01E6F">
        <w:rPr>
          <w:rFonts w:cs="Times New Roman"/>
          <w:color w:val="000000" w:themeColor="text1"/>
          <w:szCs w:val="24"/>
        </w:rPr>
        <w:t>6(c)(2)</w:t>
      </w:r>
      <w:r w:rsidRPr="00C317BB" w:rsidR="00503446">
        <w:rPr>
          <w:rFonts w:cs="Times New Roman"/>
          <w:color w:val="000000" w:themeColor="text1"/>
          <w:szCs w:val="24"/>
        </w:rPr>
        <w:t>(A</w:t>
      </w:r>
      <w:r w:rsidRPr="00C317BB" w:rsidR="00E01E6F">
        <w:rPr>
          <w:rFonts w:cs="Times New Roman"/>
          <w:color w:val="000000" w:themeColor="text1"/>
          <w:szCs w:val="24"/>
        </w:rPr>
        <w:t>),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respect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propo</w:t>
      </w:r>
      <w:r w:rsidRPr="00C317BB" w:rsidR="00640E26">
        <w:rPr>
          <w:rFonts w:cs="Times New Roman"/>
          <w:color w:val="000000" w:themeColor="text1"/>
          <w:szCs w:val="24"/>
        </w:rPr>
        <w:t>s</w:t>
      </w:r>
      <w:r w:rsidRPr="00C317BB" w:rsidR="000F2206">
        <w:rPr>
          <w:rFonts w:cs="Times New Roman"/>
          <w:color w:val="000000" w:themeColor="text1"/>
          <w:szCs w:val="24"/>
        </w:rPr>
        <w:t>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1019F">
        <w:rPr>
          <w:rFonts w:cs="Times New Roman"/>
          <w:color w:val="000000" w:themeColor="text1"/>
          <w:szCs w:val="24"/>
        </w:rPr>
        <w:t>rule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1019F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1019F">
        <w:rPr>
          <w:rFonts w:cs="Times New Roman"/>
          <w:color w:val="000000" w:themeColor="text1"/>
          <w:szCs w:val="24"/>
        </w:rPr>
        <w:t>well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1019F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1019F">
        <w:rPr>
          <w:rFonts w:cs="Times New Roman"/>
          <w:color w:val="000000" w:themeColor="text1"/>
          <w:szCs w:val="24"/>
        </w:rPr>
        <w:t>discussions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1019F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1019F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1019F">
        <w:rPr>
          <w:rFonts w:cs="Times New Roman"/>
          <w:color w:val="000000" w:themeColor="text1"/>
          <w:szCs w:val="24"/>
        </w:rPr>
        <w:t>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1019F">
        <w:rPr>
          <w:rFonts w:cs="Times New Roman"/>
          <w:color w:val="000000" w:themeColor="text1"/>
          <w:szCs w:val="24"/>
        </w:rPr>
        <w:t>6(c)(2)(D)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1019F">
        <w:rPr>
          <w:rFonts w:cs="Times New Roman"/>
          <w:color w:val="000000" w:themeColor="text1"/>
          <w:szCs w:val="24"/>
        </w:rPr>
        <w:t>about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1019F">
        <w:rPr>
          <w:rFonts w:cs="Times New Roman"/>
          <w:color w:val="000000" w:themeColor="text1"/>
          <w:szCs w:val="24"/>
        </w:rPr>
        <w:t>replacement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1019F">
        <w:rPr>
          <w:rFonts w:cs="Times New Roman"/>
          <w:color w:val="000000" w:themeColor="text1"/>
          <w:szCs w:val="24"/>
        </w:rPr>
        <w:t>parts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1019F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1019F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1019F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1019F">
        <w:rPr>
          <w:rFonts w:cs="Times New Roman"/>
          <w:color w:val="000000" w:themeColor="text1"/>
          <w:szCs w:val="24"/>
        </w:rPr>
        <w:t>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1019F">
        <w:rPr>
          <w:rFonts w:cs="Times New Roman"/>
          <w:color w:val="000000" w:themeColor="text1"/>
          <w:szCs w:val="24"/>
        </w:rPr>
        <w:t>6(c)(2)(E)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1019F">
        <w:rPr>
          <w:rFonts w:cs="Times New Roman"/>
          <w:color w:val="000000" w:themeColor="text1"/>
          <w:szCs w:val="24"/>
        </w:rPr>
        <w:t>about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1019F">
        <w:rPr>
          <w:rFonts w:cs="Times New Roman"/>
          <w:color w:val="000000" w:themeColor="text1"/>
          <w:szCs w:val="24"/>
        </w:rPr>
        <w:t>articles</w:t>
      </w:r>
      <w:r w:rsidRPr="00C317BB">
        <w:rPr>
          <w:rFonts w:cs="Times New Roman"/>
          <w:color w:val="000000" w:themeColor="text1"/>
          <w:szCs w:val="24"/>
        </w:rPr>
        <w:t>.</w:t>
      </w:r>
    </w:p>
    <w:p w:rsidRPr="00C317BB" w:rsidR="00283EED" w:rsidP="00F27167" w:rsidRDefault="00813F81" w14:paraId="2C0C1676" w14:textId="0A6DBDED">
      <w:pPr>
        <w:pStyle w:val="Heading2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A.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Health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effects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F5C0C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F5C0C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magnitude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human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F5C0C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F5C0C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D66150" w:rsidP="00F27167" w:rsidRDefault="00813F81" w14:paraId="39BCEF23" w14:textId="0D979FC4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EPA’s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analysis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health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effects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magnitude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D7182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D7182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835AB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E6D31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E6D31">
        <w:rPr>
          <w:rFonts w:cs="Times New Roman"/>
          <w:color w:val="000000" w:themeColor="text1"/>
          <w:szCs w:val="24"/>
        </w:rPr>
        <w:t>Evaluation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E6D31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36E40">
        <w:rPr>
          <w:rFonts w:cs="Times New Roman"/>
          <w:color w:val="000000" w:themeColor="text1"/>
          <w:szCs w:val="24"/>
        </w:rPr>
        <w:t>Asbesto</w:t>
      </w:r>
      <w:r w:rsidRPr="00C317BB" w:rsidR="004D65C6">
        <w:rPr>
          <w:rFonts w:cs="Times New Roman"/>
          <w:color w:val="000000" w:themeColor="text1"/>
          <w:szCs w:val="24"/>
        </w:rPr>
        <w:t>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80D98">
        <w:rPr>
          <w:rFonts w:cs="Times New Roman"/>
          <w:color w:val="000000" w:themeColor="text1"/>
          <w:szCs w:val="24"/>
        </w:rPr>
        <w:t>Part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80D98">
        <w:rPr>
          <w:rFonts w:cs="Times New Roman"/>
          <w:color w:val="000000" w:themeColor="text1"/>
          <w:szCs w:val="24"/>
        </w:rPr>
        <w:t>1</w:t>
      </w:r>
      <w:r w:rsidRPr="00C317BB" w:rsidR="00AE6D31">
        <w:rPr>
          <w:rFonts w:cs="Times New Roman"/>
          <w:color w:val="000000" w:themeColor="text1"/>
          <w:szCs w:val="24"/>
        </w:rPr>
        <w:t>: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E6D31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E6D31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12377">
        <w:rPr>
          <w:rFonts w:cs="Times New Roman"/>
          <w:color w:val="000000" w:themeColor="text1"/>
          <w:szCs w:val="24"/>
        </w:rPr>
        <w:t>(Ref.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8396D">
        <w:rPr>
          <w:rFonts w:cs="Times New Roman"/>
          <w:color w:val="000000" w:themeColor="text1"/>
          <w:szCs w:val="24"/>
        </w:rPr>
        <w:t>1</w:t>
      </w:r>
      <w:r w:rsidRPr="00C317BB" w:rsidR="00812377">
        <w:rPr>
          <w:rFonts w:cs="Times New Roman"/>
          <w:color w:val="000000" w:themeColor="text1"/>
          <w:szCs w:val="24"/>
        </w:rPr>
        <w:t>)</w:t>
      </w:r>
      <w:r w:rsidRPr="00C317BB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summary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presented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here</w:t>
      </w:r>
      <w:r w:rsidR="00C317BB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="00C317BB">
        <w:rPr>
          <w:rFonts w:cs="Times New Roman"/>
          <w:color w:val="000000" w:themeColor="text1"/>
          <w:szCs w:val="24"/>
        </w:rPr>
        <w:t>M</w:t>
      </w:r>
      <w:r w:rsidRPr="00C317BB" w:rsidR="00E731A6">
        <w:rPr>
          <w:rFonts w:cs="Times New Roman"/>
          <w:color w:val="000000" w:themeColor="text1"/>
          <w:szCs w:val="24"/>
        </w:rPr>
        <w:t>any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731A6">
        <w:rPr>
          <w:rFonts w:cs="Times New Roman"/>
          <w:color w:val="000000" w:themeColor="text1"/>
          <w:szCs w:val="24"/>
        </w:rPr>
        <w:t>authorities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731A6">
        <w:rPr>
          <w:rFonts w:cs="Times New Roman"/>
          <w:color w:val="000000" w:themeColor="text1"/>
          <w:szCs w:val="24"/>
        </w:rPr>
        <w:t>have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731A6">
        <w:rPr>
          <w:rFonts w:cs="Times New Roman"/>
          <w:color w:val="000000" w:themeColor="text1"/>
          <w:szCs w:val="24"/>
        </w:rPr>
        <w:t>established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85E87">
        <w:rPr>
          <w:rFonts w:cs="Times New Roman"/>
          <w:color w:val="000000" w:themeColor="text1"/>
          <w:szCs w:val="24"/>
        </w:rPr>
        <w:t>causal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85E87">
        <w:rPr>
          <w:rFonts w:cs="Times New Roman"/>
          <w:color w:val="000000" w:themeColor="text1"/>
          <w:szCs w:val="24"/>
        </w:rPr>
        <w:t>associations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85E87">
        <w:rPr>
          <w:rFonts w:cs="Times New Roman"/>
          <w:color w:val="000000" w:themeColor="text1"/>
          <w:szCs w:val="24"/>
        </w:rPr>
        <w:t>between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85E87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85E87">
        <w:rPr>
          <w:rFonts w:cs="Times New Roman"/>
          <w:color w:val="000000" w:themeColor="text1"/>
          <w:szCs w:val="24"/>
        </w:rPr>
        <w:t>exposures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85E87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85E87">
        <w:rPr>
          <w:rFonts w:cs="Times New Roman"/>
          <w:color w:val="000000" w:themeColor="text1"/>
          <w:szCs w:val="24"/>
        </w:rPr>
        <w:t>lung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85E87">
        <w:rPr>
          <w:rFonts w:cs="Times New Roman"/>
          <w:color w:val="000000" w:themeColor="text1"/>
          <w:szCs w:val="24"/>
        </w:rPr>
        <w:t>cancer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85E87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85E87">
        <w:rPr>
          <w:rFonts w:cs="Times New Roman"/>
          <w:color w:val="000000" w:themeColor="text1"/>
          <w:szCs w:val="24"/>
        </w:rPr>
        <w:t>mesothelioma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22681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85E87">
        <w:rPr>
          <w:rFonts w:cs="Times New Roman"/>
          <w:color w:val="000000" w:themeColor="text1"/>
          <w:szCs w:val="24"/>
        </w:rPr>
        <w:t>humans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85E87">
        <w:rPr>
          <w:rFonts w:cs="Times New Roman"/>
          <w:color w:val="000000" w:themeColor="text1"/>
          <w:szCs w:val="24"/>
        </w:rPr>
        <w:t>based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85E87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85E87">
        <w:rPr>
          <w:rFonts w:cs="Times New Roman"/>
          <w:color w:val="000000" w:themeColor="text1"/>
          <w:szCs w:val="24"/>
        </w:rPr>
        <w:t>epidemiologic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85E87">
        <w:rPr>
          <w:rFonts w:cs="Times New Roman"/>
          <w:color w:val="000000" w:themeColor="text1"/>
          <w:szCs w:val="24"/>
        </w:rPr>
        <w:t>studies.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65942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05CF9">
        <w:rPr>
          <w:rFonts w:cs="Times New Roman"/>
          <w:color w:val="000000" w:themeColor="text1"/>
          <w:szCs w:val="24"/>
        </w:rPr>
        <w:t>identified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C16AA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C16AA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C16AA">
        <w:rPr>
          <w:rFonts w:cs="Times New Roman"/>
          <w:color w:val="000000" w:themeColor="text1"/>
          <w:szCs w:val="24"/>
        </w:rPr>
        <w:t>literature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05CF9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05CF9">
        <w:rPr>
          <w:rFonts w:cs="Times New Roman"/>
          <w:color w:val="000000" w:themeColor="text1"/>
          <w:szCs w:val="24"/>
        </w:rPr>
        <w:t>causal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05CF9">
        <w:rPr>
          <w:rFonts w:cs="Times New Roman"/>
          <w:color w:val="000000" w:themeColor="text1"/>
          <w:szCs w:val="24"/>
        </w:rPr>
        <w:t>association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05CF9">
        <w:rPr>
          <w:rFonts w:cs="Times New Roman"/>
          <w:color w:val="000000" w:themeColor="text1"/>
          <w:szCs w:val="24"/>
        </w:rPr>
        <w:t>between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D3CBC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D3CBC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D3CBC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D3CBC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D3CBC">
        <w:rPr>
          <w:rFonts w:cs="Times New Roman"/>
          <w:color w:val="000000" w:themeColor="text1"/>
          <w:szCs w:val="24"/>
        </w:rPr>
        <w:t>cancer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D3CBC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D3CBC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D3CBC">
        <w:rPr>
          <w:rFonts w:cs="Times New Roman"/>
          <w:color w:val="000000" w:themeColor="text1"/>
          <w:szCs w:val="24"/>
        </w:rPr>
        <w:t>larynx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D3CBC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D3CBC">
        <w:rPr>
          <w:rFonts w:cs="Times New Roman"/>
          <w:color w:val="000000" w:themeColor="text1"/>
          <w:szCs w:val="24"/>
        </w:rPr>
        <w:t>cancer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D3CBC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66150">
        <w:rPr>
          <w:rFonts w:cs="Times New Roman"/>
          <w:color w:val="000000" w:themeColor="text1"/>
          <w:szCs w:val="24"/>
        </w:rPr>
        <w:t>t</w:t>
      </w:r>
      <w:r w:rsidRPr="00C317BB" w:rsidR="003D3CBC">
        <w:rPr>
          <w:rFonts w:cs="Times New Roman"/>
          <w:color w:val="000000" w:themeColor="text1"/>
          <w:szCs w:val="24"/>
        </w:rPr>
        <w:t>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D3CBC">
        <w:rPr>
          <w:rFonts w:cs="Times New Roman"/>
          <w:color w:val="000000" w:themeColor="text1"/>
          <w:szCs w:val="24"/>
        </w:rPr>
        <w:t>ovary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D3CBC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D3CBC">
        <w:rPr>
          <w:rFonts w:cs="Times New Roman"/>
          <w:color w:val="000000" w:themeColor="text1"/>
          <w:szCs w:val="24"/>
        </w:rPr>
        <w:t>suggestive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D3CBC">
        <w:rPr>
          <w:rFonts w:cs="Times New Roman"/>
          <w:color w:val="000000" w:themeColor="text1"/>
          <w:szCs w:val="24"/>
        </w:rPr>
        <w:t>evidence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D3CBC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D3CBC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D3CBC">
        <w:rPr>
          <w:rFonts w:cs="Times New Roman"/>
          <w:color w:val="000000" w:themeColor="text1"/>
          <w:szCs w:val="24"/>
        </w:rPr>
        <w:t>positive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D3CBC">
        <w:rPr>
          <w:rFonts w:cs="Times New Roman"/>
          <w:color w:val="000000" w:themeColor="text1"/>
          <w:szCs w:val="24"/>
        </w:rPr>
        <w:t>association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D3CBC">
        <w:rPr>
          <w:rFonts w:cs="Times New Roman"/>
          <w:color w:val="000000" w:themeColor="text1"/>
          <w:szCs w:val="24"/>
        </w:rPr>
        <w:t>between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D3CBC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D3CBC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D3CBC">
        <w:rPr>
          <w:rFonts w:cs="Times New Roman"/>
          <w:color w:val="000000" w:themeColor="text1"/>
          <w:szCs w:val="24"/>
        </w:rPr>
        <w:t>cancer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D3CBC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D3CBC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D3CBC">
        <w:rPr>
          <w:rFonts w:cs="Times New Roman"/>
          <w:color w:val="000000" w:themeColor="text1"/>
          <w:szCs w:val="24"/>
        </w:rPr>
        <w:t>pharyn</w:t>
      </w:r>
      <w:r w:rsidRPr="00C317BB" w:rsidR="00D66150">
        <w:rPr>
          <w:rFonts w:cs="Times New Roman"/>
          <w:color w:val="000000" w:themeColor="text1"/>
          <w:szCs w:val="24"/>
        </w:rPr>
        <w:t>x</w:t>
      </w:r>
      <w:r w:rsidRPr="00C317BB" w:rsidR="003D3CBC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D3CBC">
        <w:rPr>
          <w:rFonts w:cs="Times New Roman"/>
          <w:color w:val="000000" w:themeColor="text1"/>
          <w:szCs w:val="24"/>
        </w:rPr>
        <w:t>stomach,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D3CBC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D3CBC">
        <w:rPr>
          <w:rFonts w:cs="Times New Roman"/>
          <w:color w:val="000000" w:themeColor="text1"/>
          <w:szCs w:val="24"/>
        </w:rPr>
        <w:t>colorectum</w:t>
      </w:r>
      <w:r w:rsidRPr="00C317BB" w:rsidR="00B668D9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266E7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266E7">
        <w:rPr>
          <w:rFonts w:cs="Times New Roman"/>
          <w:color w:val="000000" w:themeColor="text1"/>
          <w:szCs w:val="24"/>
        </w:rPr>
        <w:t>also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266E7">
        <w:rPr>
          <w:rFonts w:cs="Times New Roman"/>
          <w:color w:val="000000" w:themeColor="text1"/>
          <w:szCs w:val="24"/>
        </w:rPr>
        <w:t>identified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F7928">
        <w:rPr>
          <w:rFonts w:cs="Times New Roman"/>
          <w:color w:val="000000" w:themeColor="text1"/>
          <w:szCs w:val="24"/>
        </w:rPr>
        <w:t>increases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F7928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F7928">
        <w:rPr>
          <w:rFonts w:cs="Times New Roman"/>
          <w:color w:val="000000" w:themeColor="text1"/>
          <w:szCs w:val="24"/>
        </w:rPr>
        <w:t>lung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F7928">
        <w:rPr>
          <w:rFonts w:cs="Times New Roman"/>
          <w:color w:val="000000" w:themeColor="text1"/>
          <w:szCs w:val="24"/>
        </w:rPr>
        <w:t>cancer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F75F9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F75F9">
        <w:rPr>
          <w:rFonts w:cs="Times New Roman"/>
          <w:color w:val="000000" w:themeColor="text1"/>
          <w:szCs w:val="24"/>
        </w:rPr>
        <w:t>mesothelioma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F7928">
        <w:rPr>
          <w:rFonts w:cs="Times New Roman"/>
          <w:color w:val="000000" w:themeColor="text1"/>
          <w:szCs w:val="24"/>
        </w:rPr>
        <w:t>mortality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F7928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F7928">
        <w:rPr>
          <w:rFonts w:cs="Times New Roman"/>
          <w:color w:val="000000" w:themeColor="text1"/>
          <w:szCs w:val="24"/>
        </w:rPr>
        <w:t>both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F7928">
        <w:rPr>
          <w:rFonts w:cs="Times New Roman"/>
          <w:color w:val="000000" w:themeColor="text1"/>
          <w:szCs w:val="24"/>
        </w:rPr>
        <w:t>workers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F7928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F7928">
        <w:rPr>
          <w:rFonts w:cs="Times New Roman"/>
          <w:color w:val="000000" w:themeColor="text1"/>
          <w:szCs w:val="24"/>
        </w:rPr>
        <w:t>residents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F7928">
        <w:rPr>
          <w:rFonts w:cs="Times New Roman"/>
          <w:color w:val="000000" w:themeColor="text1"/>
          <w:szCs w:val="24"/>
        </w:rPr>
        <w:t>exposed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F7928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F7928">
        <w:rPr>
          <w:rFonts w:cs="Times New Roman"/>
          <w:color w:val="000000" w:themeColor="text1"/>
          <w:szCs w:val="24"/>
        </w:rPr>
        <w:t>various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F7928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F7928">
        <w:rPr>
          <w:rFonts w:cs="Times New Roman"/>
          <w:color w:val="000000" w:themeColor="text1"/>
          <w:szCs w:val="24"/>
        </w:rPr>
        <w:t>fiber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F7928">
        <w:rPr>
          <w:rFonts w:cs="Times New Roman"/>
          <w:color w:val="000000" w:themeColor="text1"/>
          <w:szCs w:val="24"/>
        </w:rPr>
        <w:t>types,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F7928">
        <w:rPr>
          <w:rFonts w:cs="Times New Roman"/>
          <w:color w:val="000000" w:themeColor="text1"/>
          <w:szCs w:val="24"/>
        </w:rPr>
        <w:t>including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F7928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F7928">
        <w:rPr>
          <w:rFonts w:cs="Times New Roman"/>
          <w:color w:val="000000" w:themeColor="text1"/>
          <w:szCs w:val="24"/>
        </w:rPr>
        <w:t>asbestos</w:t>
      </w:r>
      <w:r w:rsidRPr="00C317BB" w:rsidR="005C5A2C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5A2C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5A2C">
        <w:rPr>
          <w:rFonts w:cs="Times New Roman"/>
          <w:color w:val="000000" w:themeColor="text1"/>
          <w:szCs w:val="24"/>
        </w:rPr>
        <w:t>well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5A2C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5A2C">
        <w:rPr>
          <w:rFonts w:cs="Times New Roman"/>
          <w:color w:val="000000" w:themeColor="text1"/>
          <w:szCs w:val="24"/>
        </w:rPr>
        <w:t>fiber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5A2C">
        <w:rPr>
          <w:rFonts w:cs="Times New Roman"/>
          <w:color w:val="000000" w:themeColor="text1"/>
          <w:szCs w:val="24"/>
        </w:rPr>
        <w:t>mixtures.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5A2C">
        <w:rPr>
          <w:rFonts w:cs="Times New Roman"/>
          <w:color w:val="000000" w:themeColor="text1"/>
          <w:szCs w:val="24"/>
        </w:rPr>
        <w:t>Mesothelioma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5A2C">
        <w:rPr>
          <w:rFonts w:cs="Times New Roman"/>
          <w:color w:val="000000" w:themeColor="text1"/>
          <w:szCs w:val="24"/>
        </w:rPr>
        <w:t>t</w:t>
      </w:r>
      <w:r w:rsidRPr="00C317BB" w:rsidR="008A42FE">
        <w:rPr>
          <w:rFonts w:cs="Times New Roman"/>
          <w:color w:val="000000" w:themeColor="text1"/>
          <w:szCs w:val="24"/>
        </w:rPr>
        <w:t>u</w:t>
      </w:r>
      <w:r w:rsidRPr="00C317BB" w:rsidR="005C5A2C">
        <w:rPr>
          <w:rFonts w:cs="Times New Roman"/>
          <w:color w:val="000000" w:themeColor="text1"/>
          <w:szCs w:val="24"/>
        </w:rPr>
        <w:t>mor</w:t>
      </w:r>
      <w:r w:rsidRPr="00C317BB" w:rsidR="008A42FE">
        <w:rPr>
          <w:rFonts w:cs="Times New Roman"/>
          <w:color w:val="000000" w:themeColor="text1"/>
          <w:szCs w:val="24"/>
        </w:rPr>
        <w:t>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5A2C">
        <w:rPr>
          <w:rFonts w:cs="Times New Roman"/>
          <w:color w:val="000000" w:themeColor="text1"/>
          <w:szCs w:val="24"/>
        </w:rPr>
        <w:t>aris</w:t>
      </w:r>
      <w:r w:rsidRPr="00C317BB" w:rsidR="004F75F9">
        <w:rPr>
          <w:rFonts w:cs="Times New Roman"/>
          <w:color w:val="000000" w:themeColor="text1"/>
          <w:szCs w:val="24"/>
        </w:rPr>
        <w:t>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5A2C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5A2C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5A2C">
        <w:rPr>
          <w:rFonts w:cs="Times New Roman"/>
          <w:color w:val="000000" w:themeColor="text1"/>
          <w:szCs w:val="24"/>
        </w:rPr>
        <w:t>thin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5A2C">
        <w:rPr>
          <w:rFonts w:cs="Times New Roman"/>
          <w:color w:val="000000" w:themeColor="text1"/>
          <w:szCs w:val="24"/>
        </w:rPr>
        <w:t>membranes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5A2C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5A2C">
        <w:rPr>
          <w:rFonts w:cs="Times New Roman"/>
          <w:color w:val="000000" w:themeColor="text1"/>
          <w:szCs w:val="24"/>
        </w:rPr>
        <w:t>line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5A2C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5A2C">
        <w:rPr>
          <w:rFonts w:cs="Times New Roman"/>
          <w:color w:val="000000" w:themeColor="text1"/>
          <w:szCs w:val="24"/>
        </w:rPr>
        <w:t>chest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5A2C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42FE">
        <w:rPr>
          <w:rFonts w:cs="Times New Roman"/>
          <w:color w:val="000000" w:themeColor="text1"/>
          <w:szCs w:val="24"/>
        </w:rPr>
        <w:t>abdominal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5A2C">
        <w:rPr>
          <w:rFonts w:cs="Times New Roman"/>
          <w:color w:val="000000" w:themeColor="text1"/>
          <w:szCs w:val="24"/>
        </w:rPr>
        <w:t>cavities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5A2C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5A2C">
        <w:rPr>
          <w:rFonts w:cs="Times New Roman"/>
          <w:color w:val="000000" w:themeColor="text1"/>
          <w:szCs w:val="24"/>
        </w:rPr>
        <w:t>surround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5A2C">
        <w:rPr>
          <w:rFonts w:cs="Times New Roman"/>
          <w:color w:val="000000" w:themeColor="text1"/>
          <w:szCs w:val="24"/>
        </w:rPr>
        <w:t>internal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5A2C">
        <w:rPr>
          <w:rFonts w:cs="Times New Roman"/>
          <w:color w:val="000000" w:themeColor="text1"/>
          <w:szCs w:val="24"/>
        </w:rPr>
        <w:t>organs</w:t>
      </w:r>
      <w:r w:rsidRPr="00C317BB" w:rsidR="004F75F9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CE4EAA" w:rsidP="00F27167" w:rsidRDefault="00677CA3" w14:paraId="13BAD5C5" w14:textId="4B5788A6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A</w:t>
      </w:r>
      <w:r w:rsidRPr="00C317BB" w:rsidR="00260A85">
        <w:rPr>
          <w:rFonts w:cs="Times New Roman"/>
          <w:color w:val="000000" w:themeColor="text1"/>
          <w:szCs w:val="24"/>
        </w:rPr>
        <w:t>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4EAA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known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cause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various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A1E7A">
        <w:rPr>
          <w:rFonts w:cs="Times New Roman"/>
          <w:color w:val="000000" w:themeColor="text1"/>
          <w:szCs w:val="24"/>
        </w:rPr>
        <w:t>non-cancer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A1E7A">
        <w:rPr>
          <w:rFonts w:cs="Times New Roman"/>
          <w:color w:val="000000" w:themeColor="text1"/>
          <w:szCs w:val="24"/>
        </w:rPr>
        <w:t>health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A1E7A">
        <w:rPr>
          <w:rFonts w:cs="Times New Roman"/>
          <w:color w:val="000000" w:themeColor="text1"/>
          <w:szCs w:val="24"/>
        </w:rPr>
        <w:t>outcomes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B0AAB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B0AAB">
        <w:rPr>
          <w:rFonts w:cs="Times New Roman"/>
          <w:color w:val="000000" w:themeColor="text1"/>
          <w:szCs w:val="24"/>
        </w:rPr>
        <w:t>well,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A1E7A">
        <w:rPr>
          <w:rFonts w:cs="Times New Roman"/>
          <w:color w:val="000000" w:themeColor="text1"/>
          <w:szCs w:val="24"/>
        </w:rPr>
        <w:t>including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C0E0F">
        <w:rPr>
          <w:rFonts w:cs="Times New Roman"/>
          <w:color w:val="000000" w:themeColor="text1"/>
          <w:szCs w:val="24"/>
        </w:rPr>
        <w:t>asbestosis</w:t>
      </w:r>
      <w:r w:rsidRPr="00C317BB" w:rsidR="00184326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4326">
        <w:rPr>
          <w:rFonts w:cs="Times New Roman"/>
          <w:color w:val="000000" w:themeColor="text1"/>
          <w:szCs w:val="24"/>
        </w:rPr>
        <w:t>non-</w:t>
      </w:r>
      <w:r w:rsidRPr="00C317BB" w:rsidR="00090766">
        <w:rPr>
          <w:rFonts w:cs="Times New Roman"/>
          <w:color w:val="000000" w:themeColor="text1"/>
          <w:szCs w:val="24"/>
        </w:rPr>
        <w:t>malignant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90766">
        <w:rPr>
          <w:rFonts w:cs="Times New Roman"/>
          <w:color w:val="000000" w:themeColor="text1"/>
          <w:szCs w:val="24"/>
        </w:rPr>
        <w:t>resp</w:t>
      </w:r>
      <w:r w:rsidRPr="00C317BB" w:rsidR="009F3BCA">
        <w:rPr>
          <w:rFonts w:cs="Times New Roman"/>
          <w:color w:val="000000" w:themeColor="text1"/>
          <w:szCs w:val="24"/>
        </w:rPr>
        <w:t>iratory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7489">
        <w:rPr>
          <w:rFonts w:cs="Times New Roman"/>
          <w:color w:val="000000" w:themeColor="text1"/>
          <w:szCs w:val="24"/>
        </w:rPr>
        <w:t>disease</w:t>
      </w:r>
      <w:r w:rsidRPr="00C317BB" w:rsidR="009F3BCA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F3BCA">
        <w:rPr>
          <w:rFonts w:cs="Times New Roman"/>
          <w:color w:val="000000" w:themeColor="text1"/>
          <w:szCs w:val="24"/>
        </w:rPr>
        <w:t>deficits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F3BCA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F3BCA">
        <w:rPr>
          <w:rFonts w:cs="Times New Roman"/>
          <w:color w:val="000000" w:themeColor="text1"/>
          <w:szCs w:val="24"/>
        </w:rPr>
        <w:t>pulmonary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F3BCA">
        <w:rPr>
          <w:rFonts w:cs="Times New Roman"/>
          <w:color w:val="000000" w:themeColor="text1"/>
          <w:szCs w:val="24"/>
        </w:rPr>
        <w:t>function,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F3BCA">
        <w:rPr>
          <w:rFonts w:cs="Times New Roman"/>
          <w:color w:val="000000" w:themeColor="text1"/>
          <w:szCs w:val="24"/>
        </w:rPr>
        <w:t>diffuse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F3BCA">
        <w:rPr>
          <w:rFonts w:cs="Times New Roman"/>
          <w:color w:val="000000" w:themeColor="text1"/>
          <w:szCs w:val="24"/>
        </w:rPr>
        <w:t>pleural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F3BCA">
        <w:rPr>
          <w:rFonts w:cs="Times New Roman"/>
          <w:color w:val="000000" w:themeColor="text1"/>
          <w:szCs w:val="24"/>
        </w:rPr>
        <w:t>thickening,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F3BCA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F3BCA">
        <w:rPr>
          <w:rFonts w:cs="Times New Roman"/>
          <w:color w:val="000000" w:themeColor="text1"/>
          <w:szCs w:val="24"/>
        </w:rPr>
        <w:t>pleural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F3BCA">
        <w:rPr>
          <w:rFonts w:cs="Times New Roman"/>
          <w:color w:val="000000" w:themeColor="text1"/>
          <w:szCs w:val="24"/>
        </w:rPr>
        <w:t>plaque</w:t>
      </w:r>
      <w:r w:rsidRPr="00C317BB" w:rsidR="00BD7145">
        <w:rPr>
          <w:rFonts w:cs="Times New Roman"/>
          <w:color w:val="000000" w:themeColor="text1"/>
          <w:szCs w:val="24"/>
        </w:rPr>
        <w:t>s</w:t>
      </w:r>
      <w:r w:rsidRPr="00C317BB" w:rsidR="00C272DA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272DA">
        <w:rPr>
          <w:rFonts w:cs="Times New Roman"/>
          <w:color w:val="000000" w:themeColor="text1"/>
          <w:szCs w:val="24"/>
        </w:rPr>
        <w:t>Various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05ABA">
        <w:rPr>
          <w:rFonts w:cs="Times New Roman"/>
          <w:color w:val="000000" w:themeColor="text1"/>
          <w:szCs w:val="24"/>
        </w:rPr>
        <w:t>immun</w:t>
      </w:r>
      <w:r w:rsidRPr="00C317BB" w:rsidR="00D513A9">
        <w:rPr>
          <w:rFonts w:cs="Times New Roman"/>
          <w:color w:val="000000" w:themeColor="text1"/>
          <w:szCs w:val="24"/>
        </w:rPr>
        <w:t>ological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13A9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7489">
        <w:rPr>
          <w:rFonts w:cs="Times New Roman"/>
          <w:color w:val="000000" w:themeColor="text1"/>
          <w:szCs w:val="24"/>
        </w:rPr>
        <w:t>lymphoreticular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E4C76">
        <w:rPr>
          <w:rFonts w:cs="Times New Roman"/>
          <w:color w:val="000000" w:themeColor="text1"/>
          <w:szCs w:val="24"/>
        </w:rPr>
        <w:t>effects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suggested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but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well-established</w:t>
      </w:r>
      <w:r w:rsidRPr="00C317BB" w:rsidR="00AE4C76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CE4EAA" w:rsidP="00F27167" w:rsidRDefault="00157016" w14:paraId="01A7B3D2" w14:textId="2F1BD4F6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conditions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E28C7">
        <w:rPr>
          <w:rFonts w:cs="Times New Roman"/>
          <w:color w:val="000000" w:themeColor="text1"/>
          <w:szCs w:val="24"/>
        </w:rPr>
        <w:t>drive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unreasonable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risk,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</w:t>
      </w:r>
      <w:r w:rsidRPr="00C317BB" w:rsidR="00CE4EAA">
        <w:rPr>
          <w:rFonts w:cs="Times New Roman"/>
          <w:color w:val="000000" w:themeColor="text1"/>
          <w:szCs w:val="24"/>
        </w:rPr>
        <w:t>opulations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4EAA">
        <w:rPr>
          <w:rFonts w:cs="Times New Roman"/>
          <w:color w:val="000000" w:themeColor="text1"/>
          <w:szCs w:val="24"/>
        </w:rPr>
        <w:t>exposed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4EAA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F23A2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F23A2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A6085">
        <w:rPr>
          <w:rFonts w:cs="Times New Roman"/>
          <w:color w:val="000000" w:themeColor="text1"/>
          <w:szCs w:val="24"/>
        </w:rPr>
        <w:t>(including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A6085">
        <w:rPr>
          <w:rFonts w:cs="Times New Roman"/>
          <w:color w:val="000000" w:themeColor="text1"/>
          <w:szCs w:val="24"/>
        </w:rPr>
        <w:t>potentially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A6085">
        <w:rPr>
          <w:rFonts w:cs="Times New Roman"/>
          <w:color w:val="000000" w:themeColor="text1"/>
          <w:szCs w:val="24"/>
        </w:rPr>
        <w:t>exposed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A6085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A6085">
        <w:rPr>
          <w:rFonts w:cs="Times New Roman"/>
          <w:color w:val="000000" w:themeColor="text1"/>
          <w:szCs w:val="24"/>
        </w:rPr>
        <w:t>susceptible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A6085">
        <w:rPr>
          <w:rFonts w:cs="Times New Roman"/>
          <w:color w:val="000000" w:themeColor="text1"/>
          <w:szCs w:val="24"/>
        </w:rPr>
        <w:t>subpopulations)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4EAA">
        <w:rPr>
          <w:rFonts w:cs="Times New Roman"/>
          <w:color w:val="000000" w:themeColor="text1"/>
          <w:szCs w:val="24"/>
        </w:rPr>
        <w:t>include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4EAA">
        <w:rPr>
          <w:rFonts w:cs="Times New Roman"/>
          <w:color w:val="000000" w:themeColor="text1"/>
          <w:szCs w:val="24"/>
        </w:rPr>
        <w:t>workers,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4EAA">
        <w:rPr>
          <w:rFonts w:cs="Times New Roman"/>
          <w:color w:val="000000" w:themeColor="text1"/>
          <w:szCs w:val="24"/>
        </w:rPr>
        <w:t>ONUs,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4EAA">
        <w:rPr>
          <w:rFonts w:cs="Times New Roman"/>
          <w:color w:val="000000" w:themeColor="text1"/>
          <w:szCs w:val="24"/>
        </w:rPr>
        <w:t>consumer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4EAA">
        <w:rPr>
          <w:rFonts w:cs="Times New Roman"/>
          <w:color w:val="000000" w:themeColor="text1"/>
          <w:szCs w:val="24"/>
        </w:rPr>
        <w:t>users,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4EAA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4EAA">
        <w:rPr>
          <w:rFonts w:cs="Times New Roman"/>
          <w:color w:val="000000" w:themeColor="text1"/>
          <w:szCs w:val="24"/>
        </w:rPr>
        <w:t>bystanders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4EAA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4EAA">
        <w:rPr>
          <w:rFonts w:cs="Times New Roman"/>
          <w:color w:val="000000" w:themeColor="text1"/>
          <w:szCs w:val="24"/>
        </w:rPr>
        <w:t>consumers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4EAA">
        <w:rPr>
          <w:rFonts w:cs="Times New Roman"/>
          <w:color w:val="000000" w:themeColor="text1"/>
          <w:szCs w:val="24"/>
        </w:rPr>
        <w:t>using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4EAA">
        <w:rPr>
          <w:rFonts w:cs="Times New Roman"/>
          <w:color w:val="000000" w:themeColor="text1"/>
          <w:szCs w:val="24"/>
        </w:rPr>
        <w:t>products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4EAA">
        <w:rPr>
          <w:rFonts w:cs="Times New Roman"/>
          <w:color w:val="000000" w:themeColor="text1"/>
          <w:szCs w:val="24"/>
        </w:rPr>
        <w:t>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F23A2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F23A2">
        <w:rPr>
          <w:rFonts w:cs="Times New Roman"/>
          <w:color w:val="000000" w:themeColor="text1"/>
          <w:szCs w:val="24"/>
        </w:rPr>
        <w:t>asbestos</w:t>
      </w:r>
      <w:r w:rsidRPr="00C317BB" w:rsidR="00CE4EAA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4EAA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83F5C">
        <w:rPr>
          <w:rFonts w:cs="Times New Roman"/>
          <w:color w:val="000000" w:themeColor="text1"/>
          <w:szCs w:val="24"/>
        </w:rPr>
        <w:t>these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564CC">
        <w:rPr>
          <w:rFonts w:cs="Times New Roman"/>
          <w:color w:val="000000" w:themeColor="text1"/>
          <w:szCs w:val="24"/>
        </w:rPr>
        <w:t>conditions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564CC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83F5C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4EAA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4EAA">
        <w:rPr>
          <w:rFonts w:cs="Times New Roman"/>
          <w:color w:val="000000" w:themeColor="text1"/>
          <w:szCs w:val="24"/>
        </w:rPr>
        <w:t>estimates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4EAA">
        <w:rPr>
          <w:rFonts w:cs="Times New Roman"/>
          <w:color w:val="000000" w:themeColor="text1"/>
          <w:szCs w:val="24"/>
        </w:rPr>
        <w:t>that,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4EAA">
        <w:rPr>
          <w:rFonts w:cs="Times New Roman"/>
          <w:color w:val="000000" w:themeColor="text1"/>
          <w:szCs w:val="24"/>
        </w:rPr>
        <w:t>annually,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40896">
        <w:rPr>
          <w:rFonts w:cs="Times New Roman"/>
          <w:color w:val="000000" w:themeColor="text1"/>
          <w:szCs w:val="24"/>
        </w:rPr>
        <w:t>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40896">
        <w:rPr>
          <w:rFonts w:cs="Times New Roman"/>
          <w:color w:val="000000" w:themeColor="text1"/>
          <w:szCs w:val="24"/>
        </w:rPr>
        <w:t>least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71904">
        <w:rPr>
          <w:rFonts w:cs="Times New Roman"/>
          <w:color w:val="000000" w:themeColor="text1"/>
          <w:szCs w:val="24"/>
        </w:rPr>
        <w:t>144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4EAA">
        <w:rPr>
          <w:rFonts w:cs="Times New Roman"/>
          <w:color w:val="000000" w:themeColor="text1"/>
          <w:szCs w:val="24"/>
        </w:rPr>
        <w:t>workers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10329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71904">
        <w:rPr>
          <w:rFonts w:cs="Times New Roman"/>
          <w:color w:val="000000" w:themeColor="text1"/>
          <w:szCs w:val="24"/>
        </w:rPr>
        <w:t>276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6F4A">
        <w:rPr>
          <w:rFonts w:cs="Times New Roman"/>
          <w:color w:val="000000" w:themeColor="text1"/>
          <w:szCs w:val="24"/>
        </w:rPr>
        <w:t>ONUs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55C56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55C56">
        <w:rPr>
          <w:rFonts w:cs="Times New Roman"/>
          <w:color w:val="000000" w:themeColor="text1"/>
          <w:szCs w:val="24"/>
        </w:rPr>
        <w:t>exposed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55C56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55C56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55C56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4EAA">
        <w:rPr>
          <w:rFonts w:cs="Times New Roman"/>
          <w:color w:val="000000" w:themeColor="text1"/>
          <w:szCs w:val="24"/>
        </w:rPr>
        <w:t>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A0C25">
        <w:rPr>
          <w:rFonts w:cs="Times New Roman"/>
          <w:color w:val="000000" w:themeColor="text1"/>
          <w:szCs w:val="24"/>
        </w:rPr>
        <w:t>over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71904">
        <w:rPr>
          <w:rFonts w:cs="Times New Roman"/>
          <w:color w:val="000000" w:themeColor="text1"/>
          <w:szCs w:val="24"/>
        </w:rPr>
        <w:t>31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4EAA">
        <w:rPr>
          <w:rFonts w:cs="Times New Roman"/>
          <w:color w:val="000000" w:themeColor="text1"/>
          <w:szCs w:val="24"/>
        </w:rPr>
        <w:t>commercial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4EAA">
        <w:rPr>
          <w:rFonts w:cs="Times New Roman"/>
          <w:color w:val="000000" w:themeColor="text1"/>
          <w:szCs w:val="24"/>
        </w:rPr>
        <w:t>operations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4EAA">
        <w:rPr>
          <w:rFonts w:cs="Times New Roman"/>
          <w:color w:val="000000" w:themeColor="text1"/>
          <w:szCs w:val="24"/>
        </w:rPr>
        <w:t>either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4EAA">
        <w:rPr>
          <w:rFonts w:cs="Times New Roman"/>
          <w:color w:val="000000" w:themeColor="text1"/>
          <w:szCs w:val="24"/>
        </w:rPr>
        <w:t>processing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4EAA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4EAA">
        <w:rPr>
          <w:rFonts w:cs="Times New Roman"/>
          <w:color w:val="000000" w:themeColor="text1"/>
          <w:szCs w:val="24"/>
        </w:rPr>
        <w:t>using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4EAA">
        <w:rPr>
          <w:rFonts w:cs="Times New Roman"/>
          <w:color w:val="000000" w:themeColor="text1"/>
          <w:szCs w:val="24"/>
        </w:rPr>
        <w:t>products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4EAA">
        <w:rPr>
          <w:rFonts w:cs="Times New Roman"/>
          <w:color w:val="000000" w:themeColor="text1"/>
          <w:szCs w:val="24"/>
        </w:rPr>
        <w:t>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40127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40127">
        <w:rPr>
          <w:rFonts w:cs="Times New Roman"/>
          <w:color w:val="000000" w:themeColor="text1"/>
          <w:szCs w:val="24"/>
        </w:rPr>
        <w:t>a</w:t>
      </w:r>
      <w:r w:rsidRPr="00C317BB" w:rsidR="00B55C56">
        <w:rPr>
          <w:rFonts w:cs="Times New Roman"/>
          <w:color w:val="000000" w:themeColor="text1"/>
          <w:szCs w:val="24"/>
        </w:rPr>
        <w:t>s</w:t>
      </w:r>
      <w:r w:rsidRPr="00C317BB" w:rsidR="00140127">
        <w:rPr>
          <w:rFonts w:cs="Times New Roman"/>
          <w:color w:val="000000" w:themeColor="text1"/>
          <w:szCs w:val="24"/>
        </w:rPr>
        <w:t>bestos</w:t>
      </w:r>
      <w:r w:rsidRPr="00C317BB" w:rsidR="00121E91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1779C">
        <w:rPr>
          <w:rFonts w:cs="Times New Roman"/>
          <w:color w:val="000000" w:themeColor="text1"/>
          <w:szCs w:val="24"/>
        </w:rPr>
        <w:t>Additional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1779C">
        <w:rPr>
          <w:rFonts w:cs="Times New Roman"/>
          <w:color w:val="000000" w:themeColor="text1"/>
          <w:szCs w:val="24"/>
        </w:rPr>
        <w:t>workers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1779C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1779C">
        <w:rPr>
          <w:rFonts w:cs="Times New Roman"/>
          <w:color w:val="000000" w:themeColor="text1"/>
          <w:szCs w:val="24"/>
        </w:rPr>
        <w:t>ONUs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1779C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1779C">
        <w:rPr>
          <w:rFonts w:cs="Times New Roman"/>
          <w:color w:val="000000" w:themeColor="text1"/>
          <w:szCs w:val="24"/>
        </w:rPr>
        <w:t>exposed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1779C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1779C">
        <w:rPr>
          <w:rFonts w:cs="Times New Roman"/>
          <w:color w:val="000000" w:themeColor="text1"/>
          <w:szCs w:val="24"/>
        </w:rPr>
        <w:t>oilfield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1779C">
        <w:rPr>
          <w:rFonts w:cs="Times New Roman"/>
          <w:color w:val="000000" w:themeColor="text1"/>
          <w:szCs w:val="24"/>
        </w:rPr>
        <w:t>brake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1779C">
        <w:rPr>
          <w:rFonts w:cs="Times New Roman"/>
          <w:color w:val="000000" w:themeColor="text1"/>
          <w:szCs w:val="24"/>
        </w:rPr>
        <w:t>blocks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1779C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1779C">
        <w:rPr>
          <w:rFonts w:cs="Times New Roman"/>
          <w:color w:val="000000" w:themeColor="text1"/>
          <w:szCs w:val="24"/>
        </w:rPr>
        <w:t>may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60BAF">
        <w:rPr>
          <w:rFonts w:cs="Times New Roman"/>
          <w:color w:val="000000" w:themeColor="text1"/>
          <w:szCs w:val="24"/>
        </w:rPr>
        <w:t>potentially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1779C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1779C">
        <w:rPr>
          <w:rFonts w:cs="Times New Roman"/>
          <w:color w:val="000000" w:themeColor="text1"/>
          <w:szCs w:val="24"/>
        </w:rPr>
        <w:t>exposed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1779C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60BAF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60BAF">
        <w:rPr>
          <w:rFonts w:cs="Times New Roman"/>
          <w:color w:val="000000" w:themeColor="text1"/>
          <w:szCs w:val="24"/>
        </w:rPr>
        <w:t>vehic</w:t>
      </w:r>
      <w:r w:rsidRPr="00C317BB" w:rsidR="00102B41">
        <w:rPr>
          <w:rFonts w:cs="Times New Roman"/>
          <w:color w:val="000000" w:themeColor="text1"/>
          <w:szCs w:val="24"/>
        </w:rPr>
        <w:t>l</w:t>
      </w:r>
      <w:r w:rsidRPr="00C317BB" w:rsidR="00060BAF">
        <w:rPr>
          <w:rFonts w:cs="Times New Roman"/>
          <w:color w:val="000000" w:themeColor="text1"/>
          <w:szCs w:val="24"/>
        </w:rPr>
        <w:t>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60BAF">
        <w:rPr>
          <w:rFonts w:cs="Times New Roman"/>
          <w:color w:val="000000" w:themeColor="text1"/>
          <w:szCs w:val="24"/>
        </w:rPr>
        <w:t>friction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60BAF">
        <w:rPr>
          <w:rFonts w:cs="Times New Roman"/>
          <w:color w:val="000000" w:themeColor="text1"/>
          <w:szCs w:val="24"/>
        </w:rPr>
        <w:t>products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60BAF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60BAF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60BAF">
        <w:rPr>
          <w:rFonts w:cs="Times New Roman"/>
          <w:color w:val="000000" w:themeColor="text1"/>
          <w:szCs w:val="24"/>
        </w:rPr>
        <w:t>gas</w:t>
      </w:r>
      <w:r w:rsidRPr="00C317BB" w:rsidR="00102B41">
        <w:rPr>
          <w:rFonts w:cs="Times New Roman"/>
          <w:color w:val="000000" w:themeColor="text1"/>
          <w:szCs w:val="24"/>
        </w:rPr>
        <w:t>kets.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32CA0">
        <w:rPr>
          <w:rFonts w:cs="Times New Roman"/>
          <w:color w:val="000000" w:themeColor="text1"/>
          <w:szCs w:val="24"/>
        </w:rPr>
        <w:t>Each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32CA0">
        <w:rPr>
          <w:rFonts w:cs="Times New Roman"/>
          <w:color w:val="000000" w:themeColor="text1"/>
          <w:szCs w:val="24"/>
        </w:rPr>
        <w:t>year,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32CA0">
        <w:rPr>
          <w:rFonts w:cs="Times New Roman"/>
          <w:color w:val="000000" w:themeColor="text1"/>
          <w:szCs w:val="24"/>
        </w:rPr>
        <w:t>a</w:t>
      </w:r>
      <w:r w:rsidRPr="00C317BB" w:rsidR="00C56FFA">
        <w:rPr>
          <w:rFonts w:cs="Times New Roman"/>
          <w:color w:val="000000" w:themeColor="text1"/>
          <w:szCs w:val="24"/>
        </w:rPr>
        <w:t>pproximately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1717B">
        <w:rPr>
          <w:rFonts w:cs="Times New Roman"/>
          <w:color w:val="000000" w:themeColor="text1"/>
          <w:szCs w:val="24"/>
        </w:rPr>
        <w:t>400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4EAA">
        <w:rPr>
          <w:rFonts w:cs="Times New Roman"/>
          <w:color w:val="000000" w:themeColor="text1"/>
          <w:szCs w:val="24"/>
        </w:rPr>
        <w:t>consumers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14647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14647">
        <w:rPr>
          <w:rFonts w:cs="Times New Roman"/>
          <w:color w:val="000000" w:themeColor="text1"/>
          <w:szCs w:val="24"/>
        </w:rPr>
        <w:t>potentially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14647">
        <w:rPr>
          <w:rFonts w:cs="Times New Roman"/>
          <w:color w:val="000000" w:themeColor="text1"/>
          <w:szCs w:val="24"/>
        </w:rPr>
        <w:t>exposed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14647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14647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14647">
        <w:rPr>
          <w:rFonts w:cs="Times New Roman"/>
          <w:color w:val="000000" w:themeColor="text1"/>
          <w:szCs w:val="24"/>
        </w:rPr>
        <w:t>through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14647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4EAA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14647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4EAA">
        <w:rPr>
          <w:rFonts w:cs="Times New Roman"/>
          <w:color w:val="000000" w:themeColor="text1"/>
          <w:szCs w:val="24"/>
        </w:rPr>
        <w:t>products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4EAA">
        <w:rPr>
          <w:rFonts w:cs="Times New Roman"/>
          <w:color w:val="000000" w:themeColor="text1"/>
          <w:szCs w:val="24"/>
        </w:rPr>
        <w:t>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D350A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D350A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2B41">
        <w:rPr>
          <w:rFonts w:cs="Times New Roman"/>
          <w:color w:val="000000" w:themeColor="text1"/>
          <w:szCs w:val="24"/>
        </w:rPr>
        <w:t>subject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2B41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2B41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2B41">
        <w:rPr>
          <w:rFonts w:cs="Times New Roman"/>
          <w:color w:val="000000" w:themeColor="text1"/>
          <w:szCs w:val="24"/>
        </w:rPr>
        <w:t>rule</w:t>
      </w:r>
      <w:r w:rsidRPr="00C317BB" w:rsidR="00C56FFA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56FFA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56FFA">
        <w:rPr>
          <w:rFonts w:cs="Times New Roman"/>
          <w:color w:val="000000" w:themeColor="text1"/>
          <w:szCs w:val="24"/>
        </w:rPr>
        <w:t>number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56FFA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577BA">
        <w:rPr>
          <w:rFonts w:cs="Times New Roman"/>
          <w:color w:val="000000" w:themeColor="text1"/>
          <w:szCs w:val="24"/>
        </w:rPr>
        <w:t>exposed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577BA">
        <w:rPr>
          <w:rFonts w:cs="Times New Roman"/>
          <w:color w:val="000000" w:themeColor="text1"/>
          <w:szCs w:val="24"/>
        </w:rPr>
        <w:t>bystanders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4EAA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4EAA">
        <w:rPr>
          <w:rFonts w:cs="Times New Roman"/>
          <w:color w:val="000000" w:themeColor="text1"/>
          <w:szCs w:val="24"/>
        </w:rPr>
        <w:t>unknown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C4961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C4961">
        <w:rPr>
          <w:rFonts w:cs="Times New Roman"/>
          <w:color w:val="000000" w:themeColor="text1"/>
          <w:szCs w:val="24"/>
        </w:rPr>
        <w:t>EPA</w:t>
      </w:r>
      <w:r w:rsidRPr="00C317BB" w:rsidR="00CE4EAA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60526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60526">
        <w:rPr>
          <w:rFonts w:cs="Times New Roman"/>
          <w:color w:val="000000" w:themeColor="text1"/>
          <w:szCs w:val="24"/>
        </w:rPr>
        <w:t>breakdown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60526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70369">
        <w:rPr>
          <w:rFonts w:cs="Times New Roman"/>
          <w:color w:val="000000" w:themeColor="text1"/>
          <w:szCs w:val="24"/>
        </w:rPr>
        <w:t>category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70369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70369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60526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60526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60526">
        <w:rPr>
          <w:rFonts w:cs="Times New Roman"/>
          <w:color w:val="000000" w:themeColor="text1"/>
          <w:szCs w:val="24"/>
        </w:rPr>
        <w:t>follows:</w:t>
      </w:r>
    </w:p>
    <w:p w:rsidRPr="00C317BB" w:rsidR="003C5423" w:rsidP="00F27167" w:rsidRDefault="003F30ED" w14:paraId="41D06B4D" w14:textId="4C16D938">
      <w:pPr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ab/>
        <w:t>•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7921">
        <w:rPr>
          <w:rFonts w:cs="Times New Roman"/>
          <w:color w:val="000000" w:themeColor="text1"/>
          <w:szCs w:val="24"/>
        </w:rPr>
        <w:t>Diaphragm</w:t>
      </w:r>
      <w:r w:rsidRPr="00C317BB" w:rsidR="008B1CF3">
        <w:rPr>
          <w:rFonts w:cs="Times New Roman"/>
          <w:color w:val="000000" w:themeColor="text1"/>
          <w:szCs w:val="24"/>
        </w:rPr>
        <w:t>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7921">
        <w:rPr>
          <w:rFonts w:cs="Times New Roman"/>
          <w:color w:val="000000" w:themeColor="text1"/>
          <w:szCs w:val="24"/>
        </w:rPr>
        <w:t>–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7921">
        <w:rPr>
          <w:rFonts w:cs="Times New Roman"/>
          <w:color w:val="000000" w:themeColor="text1"/>
          <w:szCs w:val="24"/>
        </w:rPr>
        <w:t>100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7921">
        <w:rPr>
          <w:rFonts w:cs="Times New Roman"/>
          <w:color w:val="000000" w:themeColor="text1"/>
          <w:szCs w:val="24"/>
        </w:rPr>
        <w:t>workers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7921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7921">
        <w:rPr>
          <w:rFonts w:cs="Times New Roman"/>
          <w:color w:val="000000" w:themeColor="text1"/>
          <w:szCs w:val="24"/>
        </w:rPr>
        <w:t>100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60526">
        <w:rPr>
          <w:rFonts w:cs="Times New Roman"/>
          <w:color w:val="000000" w:themeColor="text1"/>
          <w:szCs w:val="24"/>
        </w:rPr>
        <w:t>ONUs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60526">
        <w:rPr>
          <w:rFonts w:cs="Times New Roman"/>
          <w:color w:val="000000" w:themeColor="text1"/>
          <w:szCs w:val="24"/>
        </w:rPr>
        <w:t>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56B97">
        <w:rPr>
          <w:rFonts w:cs="Times New Roman"/>
          <w:color w:val="000000" w:themeColor="text1"/>
          <w:szCs w:val="24"/>
        </w:rPr>
        <w:t>9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60526">
        <w:rPr>
          <w:rFonts w:cs="Times New Roman"/>
          <w:color w:val="000000" w:themeColor="text1"/>
          <w:szCs w:val="24"/>
        </w:rPr>
        <w:t>sites</w:t>
      </w:r>
      <w:r w:rsidRPr="00C317BB" w:rsidR="00344B6F">
        <w:rPr>
          <w:rFonts w:cs="Times New Roman"/>
          <w:color w:val="000000" w:themeColor="text1"/>
          <w:szCs w:val="24"/>
        </w:rPr>
        <w:t>;</w:t>
      </w:r>
    </w:p>
    <w:p w:rsidRPr="00C317BB" w:rsidR="00CC6CE3" w:rsidP="00F27167" w:rsidRDefault="003F30ED" w14:paraId="76EC3D5E" w14:textId="7351E960">
      <w:pPr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ab/>
        <w:t>•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022D5">
        <w:rPr>
          <w:rFonts w:cs="Times New Roman"/>
          <w:color w:val="000000" w:themeColor="text1"/>
          <w:szCs w:val="24"/>
        </w:rPr>
        <w:t>Sheet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022D5">
        <w:rPr>
          <w:rFonts w:cs="Times New Roman"/>
          <w:color w:val="000000" w:themeColor="text1"/>
          <w:szCs w:val="24"/>
        </w:rPr>
        <w:t>gasket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022D5">
        <w:rPr>
          <w:rFonts w:cs="Times New Roman"/>
          <w:color w:val="000000" w:themeColor="text1"/>
          <w:szCs w:val="24"/>
        </w:rPr>
        <w:t>stamping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5423">
        <w:rPr>
          <w:rFonts w:cs="Times New Roman"/>
          <w:color w:val="000000" w:themeColor="text1"/>
          <w:szCs w:val="24"/>
        </w:rPr>
        <w:t>–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F7C1D">
        <w:rPr>
          <w:rFonts w:cs="Times New Roman"/>
          <w:color w:val="000000" w:themeColor="text1"/>
          <w:szCs w:val="24"/>
        </w:rPr>
        <w:t>4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5423">
        <w:rPr>
          <w:rFonts w:cs="Times New Roman"/>
          <w:color w:val="000000" w:themeColor="text1"/>
          <w:szCs w:val="24"/>
        </w:rPr>
        <w:t>workers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5423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F7C1D">
        <w:rPr>
          <w:rFonts w:cs="Times New Roman"/>
          <w:color w:val="000000" w:themeColor="text1"/>
          <w:szCs w:val="24"/>
        </w:rPr>
        <w:t>8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339ED">
        <w:rPr>
          <w:rFonts w:cs="Times New Roman"/>
          <w:color w:val="000000" w:themeColor="text1"/>
          <w:szCs w:val="24"/>
        </w:rPr>
        <w:t>ONU</w:t>
      </w:r>
      <w:r w:rsidRPr="00C317BB" w:rsidR="003C5423">
        <w:rPr>
          <w:rFonts w:cs="Times New Roman"/>
          <w:color w:val="000000" w:themeColor="text1"/>
          <w:szCs w:val="24"/>
        </w:rPr>
        <w:t>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60526">
        <w:rPr>
          <w:rFonts w:cs="Times New Roman"/>
          <w:color w:val="000000" w:themeColor="text1"/>
          <w:szCs w:val="24"/>
        </w:rPr>
        <w:t>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0340F">
        <w:rPr>
          <w:rFonts w:cs="Times New Roman"/>
          <w:color w:val="000000" w:themeColor="text1"/>
          <w:szCs w:val="24"/>
        </w:rPr>
        <w:t>4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A7EFF">
        <w:rPr>
          <w:rFonts w:cs="Times New Roman"/>
          <w:color w:val="000000" w:themeColor="text1"/>
          <w:szCs w:val="24"/>
        </w:rPr>
        <w:t>sites</w:t>
      </w:r>
      <w:r w:rsidRPr="00C317BB" w:rsidR="00344B6F">
        <w:rPr>
          <w:rFonts w:cs="Times New Roman"/>
          <w:color w:val="000000" w:themeColor="text1"/>
          <w:szCs w:val="24"/>
        </w:rPr>
        <w:t>;</w:t>
      </w:r>
    </w:p>
    <w:p w:rsidRPr="00C317BB" w:rsidR="00B3708D" w:rsidP="00F27167" w:rsidRDefault="003F30ED" w14:paraId="48B57405" w14:textId="5FFB1106">
      <w:pPr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ab/>
        <w:t>•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3708D">
        <w:rPr>
          <w:rFonts w:cs="Times New Roman"/>
          <w:color w:val="000000" w:themeColor="text1"/>
          <w:szCs w:val="24"/>
        </w:rPr>
        <w:t>Sheet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3708D">
        <w:rPr>
          <w:rFonts w:cs="Times New Roman"/>
          <w:color w:val="000000" w:themeColor="text1"/>
          <w:szCs w:val="24"/>
        </w:rPr>
        <w:t>gasket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3708D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62C62">
        <w:rPr>
          <w:rFonts w:cs="Times New Roman"/>
          <w:color w:val="000000" w:themeColor="text1"/>
          <w:szCs w:val="24"/>
        </w:rPr>
        <w:t>–</w:t>
      </w:r>
      <w:r w:rsidRPr="00C317BB" w:rsidR="00E56B97">
        <w:rPr>
          <w:rFonts w:cs="Times New Roman"/>
          <w:color w:val="000000" w:themeColor="text1"/>
          <w:szCs w:val="24"/>
        </w:rPr>
        <w:t>22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62C62">
        <w:rPr>
          <w:rFonts w:cs="Times New Roman"/>
          <w:color w:val="000000" w:themeColor="text1"/>
          <w:szCs w:val="24"/>
        </w:rPr>
        <w:t>workers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62C62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56B97">
        <w:rPr>
          <w:rFonts w:cs="Times New Roman"/>
          <w:color w:val="000000" w:themeColor="text1"/>
          <w:szCs w:val="24"/>
        </w:rPr>
        <w:t>150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D12A5">
        <w:rPr>
          <w:rFonts w:cs="Times New Roman"/>
          <w:color w:val="000000" w:themeColor="text1"/>
          <w:szCs w:val="24"/>
        </w:rPr>
        <w:t>ON</w:t>
      </w:r>
      <w:r w:rsidRPr="00C317BB" w:rsidR="00475C46">
        <w:rPr>
          <w:rFonts w:cs="Times New Roman"/>
          <w:color w:val="000000" w:themeColor="text1"/>
          <w:szCs w:val="24"/>
        </w:rPr>
        <w:t>Us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75C46">
        <w:rPr>
          <w:rFonts w:cs="Times New Roman"/>
          <w:color w:val="000000" w:themeColor="text1"/>
          <w:szCs w:val="24"/>
        </w:rPr>
        <w:t>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56B97">
        <w:rPr>
          <w:rFonts w:cs="Times New Roman"/>
          <w:color w:val="000000" w:themeColor="text1"/>
          <w:szCs w:val="24"/>
        </w:rPr>
        <w:t>5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75C46">
        <w:rPr>
          <w:rFonts w:cs="Times New Roman"/>
          <w:color w:val="000000" w:themeColor="text1"/>
          <w:szCs w:val="24"/>
        </w:rPr>
        <w:t>sites</w:t>
      </w:r>
      <w:r w:rsidRPr="00C317BB" w:rsidR="00344B6F">
        <w:rPr>
          <w:rFonts w:cs="Times New Roman"/>
          <w:color w:val="000000" w:themeColor="text1"/>
          <w:szCs w:val="24"/>
        </w:rPr>
        <w:t>;</w:t>
      </w:r>
    </w:p>
    <w:p w:rsidRPr="00C317BB" w:rsidR="00344B6F" w:rsidP="00F27167" w:rsidRDefault="003F30ED" w14:paraId="4F924737" w14:textId="15288C00">
      <w:pPr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ab/>
        <w:t>•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115D4">
        <w:rPr>
          <w:rFonts w:cs="Times New Roman"/>
          <w:color w:val="000000" w:themeColor="text1"/>
          <w:szCs w:val="24"/>
        </w:rPr>
        <w:t>Oilfield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115D4">
        <w:rPr>
          <w:rFonts w:cs="Times New Roman"/>
          <w:color w:val="000000" w:themeColor="text1"/>
          <w:szCs w:val="24"/>
        </w:rPr>
        <w:t>brake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115D4">
        <w:rPr>
          <w:rFonts w:cs="Times New Roman"/>
          <w:color w:val="000000" w:themeColor="text1"/>
          <w:szCs w:val="24"/>
        </w:rPr>
        <w:t>blocks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00363">
        <w:rPr>
          <w:rFonts w:cs="Times New Roman"/>
          <w:color w:val="000000" w:themeColor="text1"/>
          <w:szCs w:val="24"/>
        </w:rPr>
        <w:t>–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224AB">
        <w:rPr>
          <w:rFonts w:cs="Times New Roman"/>
          <w:color w:val="000000" w:themeColor="text1"/>
          <w:szCs w:val="24"/>
        </w:rPr>
        <w:t>U</w:t>
      </w:r>
      <w:r w:rsidRPr="00C317BB" w:rsidR="004C6825">
        <w:rPr>
          <w:rFonts w:cs="Times New Roman"/>
          <w:color w:val="000000" w:themeColor="text1"/>
          <w:szCs w:val="24"/>
        </w:rPr>
        <w:t>nknown</w:t>
      </w:r>
      <w:r w:rsidRPr="00C317BB" w:rsidR="00344B6F">
        <w:rPr>
          <w:rFonts w:cs="Times New Roman"/>
          <w:color w:val="000000" w:themeColor="text1"/>
          <w:szCs w:val="24"/>
        </w:rPr>
        <w:t>;</w:t>
      </w:r>
    </w:p>
    <w:p w:rsidRPr="00C317BB" w:rsidR="007266E2" w:rsidP="00F27167" w:rsidRDefault="003F30ED" w14:paraId="18D6E6BF" w14:textId="7EB0E625">
      <w:pPr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ab/>
        <w:t>•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6433">
        <w:rPr>
          <w:rFonts w:cs="Times New Roman"/>
          <w:color w:val="000000" w:themeColor="text1"/>
          <w:szCs w:val="24"/>
        </w:rPr>
        <w:t>Aftermarket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6433">
        <w:rPr>
          <w:rFonts w:cs="Times New Roman"/>
          <w:color w:val="000000" w:themeColor="text1"/>
          <w:szCs w:val="24"/>
        </w:rPr>
        <w:t>automotive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6433">
        <w:rPr>
          <w:rFonts w:cs="Times New Roman"/>
          <w:color w:val="000000" w:themeColor="text1"/>
          <w:szCs w:val="24"/>
        </w:rPr>
        <w:t>brakes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72968">
        <w:rPr>
          <w:rFonts w:cs="Times New Roman"/>
          <w:color w:val="000000" w:themeColor="text1"/>
          <w:szCs w:val="24"/>
        </w:rPr>
        <w:t>–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C1497">
        <w:rPr>
          <w:rFonts w:cs="Times New Roman"/>
          <w:color w:val="000000" w:themeColor="text1"/>
          <w:szCs w:val="24"/>
        </w:rPr>
        <w:t>15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72968">
        <w:rPr>
          <w:rFonts w:cs="Times New Roman"/>
          <w:color w:val="000000" w:themeColor="text1"/>
          <w:szCs w:val="24"/>
        </w:rPr>
        <w:t>workers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72968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C1497">
        <w:rPr>
          <w:rFonts w:cs="Times New Roman"/>
          <w:color w:val="000000" w:themeColor="text1"/>
          <w:szCs w:val="24"/>
        </w:rPr>
        <w:t>15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72968">
        <w:rPr>
          <w:rFonts w:cs="Times New Roman"/>
          <w:color w:val="000000" w:themeColor="text1"/>
          <w:szCs w:val="24"/>
        </w:rPr>
        <w:t>ONUs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72968">
        <w:rPr>
          <w:rFonts w:cs="Times New Roman"/>
          <w:color w:val="000000" w:themeColor="text1"/>
          <w:szCs w:val="24"/>
        </w:rPr>
        <w:t>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C2A6B">
        <w:rPr>
          <w:rFonts w:cs="Times New Roman"/>
          <w:color w:val="000000" w:themeColor="text1"/>
          <w:szCs w:val="24"/>
        </w:rPr>
        <w:t>12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72968">
        <w:rPr>
          <w:rFonts w:cs="Times New Roman"/>
          <w:color w:val="000000" w:themeColor="text1"/>
          <w:szCs w:val="24"/>
        </w:rPr>
        <w:t>sites</w:t>
      </w:r>
      <w:r w:rsidRPr="00C317BB" w:rsidR="00344B6F">
        <w:rPr>
          <w:rFonts w:cs="Times New Roman"/>
          <w:color w:val="000000" w:themeColor="text1"/>
          <w:szCs w:val="24"/>
        </w:rPr>
        <w:t>;</w:t>
      </w:r>
    </w:p>
    <w:p w:rsidRPr="00C317BB" w:rsidR="007F0190" w:rsidP="00F27167" w:rsidRDefault="003F30ED" w14:paraId="02421B18" w14:textId="2B65A7D2">
      <w:pPr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ab/>
        <w:t>•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266E2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266E2">
        <w:rPr>
          <w:rFonts w:cs="Times New Roman"/>
          <w:color w:val="000000" w:themeColor="text1"/>
          <w:szCs w:val="24"/>
        </w:rPr>
        <w:t>vehicle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266E2">
        <w:rPr>
          <w:rFonts w:cs="Times New Roman"/>
          <w:color w:val="000000" w:themeColor="text1"/>
          <w:szCs w:val="24"/>
        </w:rPr>
        <w:t>friction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266E2">
        <w:rPr>
          <w:rFonts w:cs="Times New Roman"/>
          <w:color w:val="000000" w:themeColor="text1"/>
          <w:szCs w:val="24"/>
        </w:rPr>
        <w:t>products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3DD4">
        <w:rPr>
          <w:rFonts w:cs="Times New Roman"/>
          <w:color w:val="000000" w:themeColor="text1"/>
          <w:szCs w:val="24"/>
        </w:rPr>
        <w:t>–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266E2">
        <w:rPr>
          <w:rFonts w:cs="Times New Roman"/>
          <w:color w:val="000000" w:themeColor="text1"/>
          <w:szCs w:val="24"/>
        </w:rPr>
        <w:t>Unknown</w:t>
      </w:r>
      <w:r w:rsidRPr="00C317BB" w:rsidR="00344B6F">
        <w:rPr>
          <w:rFonts w:cs="Times New Roman"/>
          <w:color w:val="000000" w:themeColor="text1"/>
          <w:szCs w:val="24"/>
        </w:rPr>
        <w:t>;</w:t>
      </w:r>
    </w:p>
    <w:p w:rsidRPr="00C317BB" w:rsidR="00F21912" w:rsidP="00F27167" w:rsidRDefault="003F30ED" w14:paraId="642AE568" w14:textId="1A3A2D9E">
      <w:pPr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ab/>
        <w:t>•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3DD4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3DD4">
        <w:rPr>
          <w:rFonts w:cs="Times New Roman"/>
          <w:color w:val="000000" w:themeColor="text1"/>
          <w:szCs w:val="24"/>
        </w:rPr>
        <w:t>gaskets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C6CE3">
        <w:rPr>
          <w:rFonts w:cs="Times New Roman"/>
          <w:color w:val="000000" w:themeColor="text1"/>
          <w:szCs w:val="24"/>
        </w:rPr>
        <w:t>–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224AB">
        <w:rPr>
          <w:rFonts w:cs="Times New Roman"/>
          <w:color w:val="000000" w:themeColor="text1"/>
          <w:szCs w:val="24"/>
        </w:rPr>
        <w:t>Unknown</w:t>
      </w:r>
      <w:r w:rsidRPr="00C317BB" w:rsidR="00344B6F">
        <w:rPr>
          <w:rFonts w:cs="Times New Roman"/>
          <w:color w:val="000000" w:themeColor="text1"/>
          <w:szCs w:val="24"/>
        </w:rPr>
        <w:t>;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44B6F">
        <w:rPr>
          <w:rFonts w:cs="Times New Roman"/>
          <w:color w:val="000000" w:themeColor="text1"/>
          <w:szCs w:val="24"/>
        </w:rPr>
        <w:t>and</w:t>
      </w:r>
    </w:p>
    <w:p w:rsidRPr="00C317BB" w:rsidR="00B86AD1" w:rsidP="00F27167" w:rsidRDefault="003F30ED" w14:paraId="3141DD4B" w14:textId="266DE80E">
      <w:pPr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ab/>
        <w:t>•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6BCD">
        <w:rPr>
          <w:rFonts w:cs="Times New Roman"/>
          <w:color w:val="000000" w:themeColor="text1"/>
          <w:szCs w:val="24"/>
        </w:rPr>
        <w:t>DIY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6BCD">
        <w:rPr>
          <w:rFonts w:cs="Times New Roman"/>
          <w:color w:val="000000" w:themeColor="text1"/>
          <w:szCs w:val="24"/>
        </w:rPr>
        <w:t>mechanics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6BCD">
        <w:rPr>
          <w:rFonts w:cs="Times New Roman"/>
          <w:color w:val="000000" w:themeColor="text1"/>
          <w:szCs w:val="24"/>
        </w:rPr>
        <w:t>–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224AB">
        <w:rPr>
          <w:rFonts w:cs="Times New Roman"/>
          <w:color w:val="000000" w:themeColor="text1"/>
          <w:szCs w:val="24"/>
        </w:rPr>
        <w:t>400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6BCD">
        <w:rPr>
          <w:rFonts w:cs="Times New Roman"/>
          <w:color w:val="000000" w:themeColor="text1"/>
          <w:szCs w:val="24"/>
        </w:rPr>
        <w:t>consumers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6BCD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6BCD">
        <w:rPr>
          <w:rFonts w:cs="Times New Roman"/>
          <w:color w:val="000000" w:themeColor="text1"/>
          <w:szCs w:val="24"/>
        </w:rPr>
        <w:t>unknown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6BCD">
        <w:rPr>
          <w:rFonts w:cs="Times New Roman"/>
          <w:color w:val="000000" w:themeColor="text1"/>
          <w:szCs w:val="24"/>
        </w:rPr>
        <w:t>bystanders</w:t>
      </w:r>
      <w:r w:rsidRPr="00C317BB" w:rsidR="00344B6F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89435B" w:rsidP="00F27167" w:rsidRDefault="0089435B" w14:paraId="78BD0660" w14:textId="48FFEBD6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More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information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derivation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estimates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provided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Economic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Analysis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rulemaking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found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rulemaking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docket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(Ref.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2).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DF0094" w:rsidP="00F27167" w:rsidRDefault="003B410F" w14:paraId="49F74437" w14:textId="08F45B87">
      <w:pPr>
        <w:ind w:firstLine="720"/>
        <w:rPr>
          <w:rFonts w:cs="Times New Roman"/>
          <w:b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discussed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F2C19">
        <w:rPr>
          <w:rFonts w:cs="Times New Roman"/>
          <w:color w:val="000000" w:themeColor="text1"/>
          <w:szCs w:val="24"/>
        </w:rPr>
        <w:t>Unit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II</w:t>
      </w:r>
      <w:r w:rsidRPr="00C317BB" w:rsidR="00D028DE">
        <w:rPr>
          <w:rFonts w:cs="Times New Roman"/>
          <w:color w:val="000000" w:themeColor="text1"/>
          <w:szCs w:val="24"/>
        </w:rPr>
        <w:t>.</w:t>
      </w:r>
      <w:r w:rsidRPr="00C317BB" w:rsidR="00D10A2F">
        <w:rPr>
          <w:rFonts w:cs="Times New Roman"/>
          <w:color w:val="000000" w:themeColor="text1"/>
          <w:szCs w:val="24"/>
        </w:rPr>
        <w:t>D</w:t>
      </w:r>
      <w:r w:rsidRPr="00C317BB" w:rsidR="00515526">
        <w:rPr>
          <w:rFonts w:cs="Times New Roman"/>
          <w:color w:val="000000" w:themeColor="text1"/>
          <w:szCs w:val="24"/>
        </w:rPr>
        <w:t>.</w:t>
      </w:r>
      <w:r w:rsidRPr="00C317BB" w:rsidR="00BF642D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F0094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F0094">
        <w:rPr>
          <w:rFonts w:cs="Times New Roman"/>
          <w:color w:val="000000" w:themeColor="text1"/>
          <w:szCs w:val="24"/>
        </w:rPr>
        <w:t>did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F0094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F0094">
        <w:rPr>
          <w:rFonts w:cs="Times New Roman"/>
          <w:color w:val="000000" w:themeColor="text1"/>
          <w:szCs w:val="24"/>
        </w:rPr>
        <w:t>evaluate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F0094">
        <w:rPr>
          <w:rFonts w:cs="Times New Roman"/>
          <w:color w:val="000000" w:themeColor="text1"/>
          <w:szCs w:val="24"/>
        </w:rPr>
        <w:t>hazards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F0094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F0094">
        <w:rPr>
          <w:rFonts w:cs="Times New Roman"/>
          <w:color w:val="000000" w:themeColor="text1"/>
          <w:szCs w:val="24"/>
        </w:rPr>
        <w:t>exposures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F0094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F0094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F0094">
        <w:rPr>
          <w:rFonts w:cs="Times New Roman"/>
          <w:color w:val="000000" w:themeColor="text1"/>
          <w:szCs w:val="24"/>
        </w:rPr>
        <w:t>general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F0094">
        <w:rPr>
          <w:rFonts w:cs="Times New Roman"/>
          <w:color w:val="000000" w:themeColor="text1"/>
          <w:szCs w:val="24"/>
        </w:rPr>
        <w:t>population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F0094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F0094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F0094">
        <w:rPr>
          <w:rFonts w:cs="Times New Roman"/>
          <w:color w:val="000000" w:themeColor="text1"/>
          <w:szCs w:val="24"/>
        </w:rPr>
        <w:t>Part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F0094">
        <w:rPr>
          <w:rFonts w:cs="Times New Roman"/>
          <w:color w:val="000000" w:themeColor="text1"/>
          <w:szCs w:val="24"/>
        </w:rPr>
        <w:t>1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10A2F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F0094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F0094">
        <w:rPr>
          <w:rFonts w:cs="Times New Roman"/>
          <w:color w:val="000000" w:themeColor="text1"/>
          <w:szCs w:val="24"/>
        </w:rPr>
        <w:t>evaluation</w:t>
      </w:r>
      <w:r w:rsidRPr="00C317BB" w:rsidR="00BF642D">
        <w:rPr>
          <w:rFonts w:cs="Times New Roman"/>
          <w:b/>
          <w:color w:val="000000" w:themeColor="text1"/>
          <w:szCs w:val="24"/>
        </w:rPr>
        <w:t>.</w:t>
      </w:r>
      <w:r w:rsidR="005613B2">
        <w:rPr>
          <w:rFonts w:cs="Times New Roman"/>
          <w:b/>
          <w:color w:val="000000" w:themeColor="text1"/>
          <w:szCs w:val="24"/>
        </w:rPr>
        <w:t xml:space="preserve"> </w:t>
      </w:r>
    </w:p>
    <w:p w:rsidRPr="00C317BB" w:rsidR="00813F81" w:rsidP="00F27167" w:rsidRDefault="00813F81" w14:paraId="77870712" w14:textId="59C5AD1E">
      <w:pPr>
        <w:pStyle w:val="Heading2"/>
        <w:rPr>
          <w:rFonts w:cs="Times New Roman"/>
          <w:color w:val="000000" w:themeColor="text1"/>
          <w:szCs w:val="24"/>
        </w:rPr>
      </w:pPr>
      <w:bookmarkStart w:name="_Hlk25057496" w:id="41"/>
      <w:r w:rsidRPr="00C317BB">
        <w:rPr>
          <w:rFonts w:cs="Times New Roman"/>
          <w:color w:val="000000" w:themeColor="text1"/>
          <w:szCs w:val="24"/>
        </w:rPr>
        <w:t>B.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Environmental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effects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3E15">
        <w:rPr>
          <w:rFonts w:cs="Times New Roman"/>
          <w:color w:val="000000" w:themeColor="text1"/>
          <w:szCs w:val="24"/>
        </w:rPr>
        <w:t>c</w:t>
      </w:r>
      <w:r w:rsidRPr="00C317BB" w:rsidR="00DA37B2">
        <w:rPr>
          <w:rFonts w:cs="Times New Roman"/>
          <w:color w:val="000000" w:themeColor="text1"/>
          <w:szCs w:val="24"/>
        </w:rPr>
        <w:t>hrysot</w:t>
      </w:r>
      <w:r w:rsidRPr="00C317BB" w:rsidR="007F3E15">
        <w:rPr>
          <w:rFonts w:cs="Times New Roman"/>
          <w:color w:val="000000" w:themeColor="text1"/>
          <w:szCs w:val="24"/>
        </w:rPr>
        <w:t>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3E15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magnitude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environment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3E15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3E15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2124F7" w:rsidP="00F27167" w:rsidRDefault="00813F81" w14:paraId="784680B8" w14:textId="16A173C3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EPA’s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analysis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environmental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effects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magnitude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environment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3E15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3E15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3147B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3E15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3E15">
        <w:rPr>
          <w:rFonts w:cs="Times New Roman"/>
          <w:color w:val="000000" w:themeColor="text1"/>
          <w:szCs w:val="24"/>
        </w:rPr>
        <w:t>Evaluation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42F13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42F13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3E15">
        <w:rPr>
          <w:rFonts w:cs="Times New Roman"/>
          <w:color w:val="000000" w:themeColor="text1"/>
          <w:szCs w:val="24"/>
        </w:rPr>
        <w:t>Part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42F13">
        <w:rPr>
          <w:rFonts w:cs="Times New Roman"/>
          <w:color w:val="000000" w:themeColor="text1"/>
          <w:szCs w:val="24"/>
        </w:rPr>
        <w:t>1</w:t>
      </w:r>
      <w:r w:rsidRPr="00C317BB" w:rsidR="00CE6B80">
        <w:rPr>
          <w:rFonts w:cs="Times New Roman"/>
          <w:color w:val="000000" w:themeColor="text1"/>
          <w:szCs w:val="24"/>
        </w:rPr>
        <w:t>: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6B80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6B80">
        <w:rPr>
          <w:rFonts w:cs="Times New Roman"/>
          <w:color w:val="000000" w:themeColor="text1"/>
          <w:szCs w:val="24"/>
        </w:rPr>
        <w:t>A</w:t>
      </w:r>
      <w:r w:rsidRPr="00C317BB" w:rsidR="00242F13">
        <w:rPr>
          <w:rFonts w:cs="Times New Roman"/>
          <w:color w:val="000000" w:themeColor="text1"/>
          <w:szCs w:val="24"/>
        </w:rPr>
        <w:t>s</w:t>
      </w:r>
      <w:r w:rsidRPr="00C317BB" w:rsidR="00CE6B80">
        <w:rPr>
          <w:rFonts w:cs="Times New Roman"/>
          <w:color w:val="000000" w:themeColor="text1"/>
          <w:szCs w:val="24"/>
        </w:rPr>
        <w:t>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14A70">
        <w:rPr>
          <w:rFonts w:cs="Times New Roman"/>
          <w:color w:val="000000" w:themeColor="text1"/>
          <w:szCs w:val="24"/>
        </w:rPr>
        <w:t>(Ref.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8396D">
        <w:rPr>
          <w:rFonts w:cs="Times New Roman"/>
          <w:color w:val="000000" w:themeColor="text1"/>
          <w:szCs w:val="24"/>
        </w:rPr>
        <w:t>1</w:t>
      </w:r>
      <w:r w:rsidRPr="00C317BB" w:rsidR="00F14A70">
        <w:rPr>
          <w:rFonts w:cs="Times New Roman"/>
          <w:color w:val="000000" w:themeColor="text1"/>
          <w:szCs w:val="24"/>
        </w:rPr>
        <w:t>)</w:t>
      </w:r>
      <w:r w:rsidRPr="00C317BB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124F7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124F7">
        <w:rPr>
          <w:rFonts w:cs="Times New Roman"/>
          <w:color w:val="000000" w:themeColor="text1"/>
          <w:szCs w:val="24"/>
        </w:rPr>
        <w:t>summary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124F7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124F7">
        <w:rPr>
          <w:rFonts w:cs="Times New Roman"/>
          <w:color w:val="000000" w:themeColor="text1"/>
          <w:szCs w:val="24"/>
        </w:rPr>
        <w:t>presented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124F7">
        <w:rPr>
          <w:rFonts w:cs="Times New Roman"/>
          <w:color w:val="000000" w:themeColor="text1"/>
          <w:szCs w:val="24"/>
        </w:rPr>
        <w:t>here.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0D4C93" w:rsidP="00F27167" w:rsidRDefault="00C22A85" w14:paraId="21DF925A" w14:textId="3A71F128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released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environment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through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industrial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commercial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activities,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such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processing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raw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fabricating/processing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</w:t>
      </w:r>
      <w:r w:rsidRPr="00C317BB" w:rsidR="00E04C0F">
        <w:rPr>
          <w:rFonts w:cs="Times New Roman"/>
          <w:color w:val="000000" w:themeColor="text1"/>
          <w:szCs w:val="24"/>
        </w:rPr>
        <w:t>-</w:t>
      </w:r>
      <w:r w:rsidRPr="00C317BB">
        <w:rPr>
          <w:rFonts w:cs="Times New Roman"/>
          <w:color w:val="000000" w:themeColor="text1"/>
          <w:szCs w:val="24"/>
        </w:rPr>
        <w:t>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products,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108F5">
        <w:rPr>
          <w:rFonts w:cs="Times New Roman"/>
          <w:color w:val="000000" w:themeColor="text1"/>
          <w:szCs w:val="24"/>
        </w:rPr>
        <w:t>dispersing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friable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during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disturbance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disposal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</w:t>
      </w:r>
      <w:r w:rsidRPr="00C317BB" w:rsidR="00E04C0F">
        <w:rPr>
          <w:rFonts w:cs="Times New Roman"/>
          <w:color w:val="000000" w:themeColor="text1"/>
          <w:szCs w:val="24"/>
        </w:rPr>
        <w:t>-</w:t>
      </w:r>
      <w:r w:rsidRPr="00C317BB">
        <w:rPr>
          <w:rFonts w:cs="Times New Roman"/>
          <w:color w:val="000000" w:themeColor="text1"/>
          <w:szCs w:val="24"/>
        </w:rPr>
        <w:t>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products.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3D64C0" w:rsidP="00F27167" w:rsidRDefault="009231AD" w14:paraId="36AC7698" w14:textId="1C3F47FA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Although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focused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45C2">
        <w:rPr>
          <w:rFonts w:cs="Times New Roman"/>
          <w:color w:val="000000" w:themeColor="text1"/>
          <w:szCs w:val="24"/>
        </w:rPr>
        <w:t>fiber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45C2">
        <w:rPr>
          <w:rFonts w:cs="Times New Roman"/>
          <w:color w:val="000000" w:themeColor="text1"/>
          <w:szCs w:val="24"/>
        </w:rPr>
        <w:t>type,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45C2">
        <w:rPr>
          <w:rFonts w:cs="Times New Roman"/>
          <w:color w:val="000000" w:themeColor="text1"/>
          <w:szCs w:val="24"/>
        </w:rPr>
        <w:t>some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45C2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45C2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45C2">
        <w:rPr>
          <w:rFonts w:cs="Times New Roman"/>
          <w:color w:val="000000" w:themeColor="text1"/>
          <w:szCs w:val="24"/>
        </w:rPr>
        <w:t>information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45C2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45C2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45C2">
        <w:rPr>
          <w:rFonts w:cs="Times New Roman"/>
          <w:color w:val="000000" w:themeColor="text1"/>
          <w:szCs w:val="24"/>
        </w:rPr>
        <w:t>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45C2">
        <w:rPr>
          <w:rFonts w:cs="Times New Roman"/>
          <w:color w:val="000000" w:themeColor="text1"/>
          <w:szCs w:val="24"/>
        </w:rPr>
        <w:t>pertains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45C2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45C2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45C2">
        <w:rPr>
          <w:rFonts w:cs="Times New Roman"/>
          <w:color w:val="000000" w:themeColor="text1"/>
          <w:szCs w:val="24"/>
        </w:rPr>
        <w:t>fibers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45C2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45C2">
        <w:rPr>
          <w:rFonts w:cs="Times New Roman"/>
          <w:color w:val="000000" w:themeColor="text1"/>
          <w:szCs w:val="24"/>
        </w:rPr>
        <w:t>general.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45C2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45C2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45C2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45C2">
        <w:rPr>
          <w:rFonts w:cs="Times New Roman"/>
          <w:color w:val="000000" w:themeColor="text1"/>
          <w:szCs w:val="24"/>
        </w:rPr>
        <w:t>persistent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45C2">
        <w:rPr>
          <w:rFonts w:cs="Times New Roman"/>
          <w:color w:val="000000" w:themeColor="text1"/>
          <w:szCs w:val="24"/>
        </w:rPr>
        <w:t>mineral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45C2">
        <w:rPr>
          <w:rFonts w:cs="Times New Roman"/>
          <w:color w:val="000000" w:themeColor="text1"/>
          <w:szCs w:val="24"/>
        </w:rPr>
        <w:t>fiber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45C2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45C2">
        <w:rPr>
          <w:rFonts w:cs="Times New Roman"/>
          <w:color w:val="000000" w:themeColor="text1"/>
          <w:szCs w:val="24"/>
        </w:rPr>
        <w:t>can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45C2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45C2">
        <w:rPr>
          <w:rFonts w:cs="Times New Roman"/>
          <w:color w:val="000000" w:themeColor="text1"/>
          <w:szCs w:val="24"/>
        </w:rPr>
        <w:t>found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45C2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45C2">
        <w:rPr>
          <w:rFonts w:cs="Times New Roman"/>
          <w:color w:val="000000" w:themeColor="text1"/>
          <w:szCs w:val="24"/>
        </w:rPr>
        <w:t>soil,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45C2">
        <w:rPr>
          <w:rFonts w:cs="Times New Roman"/>
          <w:color w:val="000000" w:themeColor="text1"/>
          <w:szCs w:val="24"/>
        </w:rPr>
        <w:t>sediments,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45C2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45C2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45C2">
        <w:rPr>
          <w:rFonts w:cs="Times New Roman"/>
          <w:color w:val="000000" w:themeColor="text1"/>
          <w:szCs w:val="24"/>
        </w:rPr>
        <w:t>air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45C2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45C2">
        <w:rPr>
          <w:rFonts w:cs="Times New Roman"/>
          <w:color w:val="000000" w:themeColor="text1"/>
          <w:szCs w:val="24"/>
        </w:rPr>
        <w:t>windblown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45C2">
        <w:rPr>
          <w:rFonts w:cs="Times New Roman"/>
          <w:color w:val="000000" w:themeColor="text1"/>
          <w:szCs w:val="24"/>
        </w:rPr>
        <w:t>dust,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45C2">
        <w:rPr>
          <w:rFonts w:cs="Times New Roman"/>
          <w:color w:val="000000" w:themeColor="text1"/>
          <w:szCs w:val="24"/>
        </w:rPr>
        <w:t>surface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45C2">
        <w:rPr>
          <w:rFonts w:cs="Times New Roman"/>
          <w:color w:val="000000" w:themeColor="text1"/>
          <w:szCs w:val="24"/>
        </w:rPr>
        <w:t>water,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45C2">
        <w:rPr>
          <w:rFonts w:cs="Times New Roman"/>
          <w:color w:val="000000" w:themeColor="text1"/>
          <w:szCs w:val="24"/>
        </w:rPr>
        <w:t>ground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45C2">
        <w:rPr>
          <w:rFonts w:cs="Times New Roman"/>
          <w:color w:val="000000" w:themeColor="text1"/>
          <w:szCs w:val="24"/>
        </w:rPr>
        <w:t>water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45C2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45C2">
        <w:rPr>
          <w:rFonts w:cs="Times New Roman"/>
          <w:color w:val="000000" w:themeColor="text1"/>
          <w:szCs w:val="24"/>
        </w:rPr>
        <w:t>biota</w:t>
      </w:r>
      <w:r w:rsidRPr="00C317BB" w:rsidR="006F0753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F0753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F0753">
        <w:rPr>
          <w:rFonts w:cs="Times New Roman"/>
          <w:color w:val="000000" w:themeColor="text1"/>
          <w:szCs w:val="24"/>
        </w:rPr>
        <w:t>fibers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F0753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F0753">
        <w:rPr>
          <w:rFonts w:cs="Times New Roman"/>
          <w:color w:val="000000" w:themeColor="text1"/>
          <w:szCs w:val="24"/>
        </w:rPr>
        <w:t>largely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F0753">
        <w:rPr>
          <w:rFonts w:cs="Times New Roman"/>
          <w:color w:val="000000" w:themeColor="text1"/>
          <w:szCs w:val="24"/>
        </w:rPr>
        <w:t>chemically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F0753">
        <w:rPr>
          <w:rFonts w:cs="Times New Roman"/>
          <w:color w:val="000000" w:themeColor="text1"/>
          <w:szCs w:val="24"/>
        </w:rPr>
        <w:t>inert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F0753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F0753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F0753">
        <w:rPr>
          <w:rFonts w:cs="Times New Roman"/>
          <w:color w:val="000000" w:themeColor="text1"/>
          <w:szCs w:val="24"/>
        </w:rPr>
        <w:t>environment.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F0753">
        <w:rPr>
          <w:rFonts w:cs="Times New Roman"/>
          <w:color w:val="000000" w:themeColor="text1"/>
          <w:szCs w:val="24"/>
        </w:rPr>
        <w:t>They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F0753">
        <w:rPr>
          <w:rFonts w:cs="Times New Roman"/>
          <w:color w:val="000000" w:themeColor="text1"/>
          <w:szCs w:val="24"/>
        </w:rPr>
        <w:t>may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53D98">
        <w:rPr>
          <w:rFonts w:cs="Times New Roman"/>
          <w:color w:val="000000" w:themeColor="text1"/>
          <w:szCs w:val="24"/>
        </w:rPr>
        <w:t>under</w:t>
      </w:r>
      <w:r w:rsidRPr="00C317BB" w:rsidR="006F0753">
        <w:rPr>
          <w:rFonts w:cs="Times New Roman"/>
          <w:color w:val="000000" w:themeColor="text1"/>
          <w:szCs w:val="24"/>
        </w:rPr>
        <w:t>go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F0753">
        <w:rPr>
          <w:rFonts w:cs="Times New Roman"/>
          <w:color w:val="000000" w:themeColor="text1"/>
          <w:szCs w:val="24"/>
        </w:rPr>
        <w:t>minor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F0753">
        <w:rPr>
          <w:rFonts w:cs="Times New Roman"/>
          <w:color w:val="000000" w:themeColor="text1"/>
          <w:szCs w:val="24"/>
        </w:rPr>
        <w:t>physical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F0753">
        <w:rPr>
          <w:rFonts w:cs="Times New Roman"/>
          <w:color w:val="000000" w:themeColor="text1"/>
          <w:szCs w:val="24"/>
        </w:rPr>
        <w:t>changes,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F0753">
        <w:rPr>
          <w:rFonts w:cs="Times New Roman"/>
          <w:color w:val="000000" w:themeColor="text1"/>
          <w:szCs w:val="24"/>
        </w:rPr>
        <w:t>such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F0753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F0753">
        <w:rPr>
          <w:rFonts w:cs="Times New Roman"/>
          <w:color w:val="000000" w:themeColor="text1"/>
          <w:szCs w:val="24"/>
        </w:rPr>
        <w:t>changes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F0753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F0753">
        <w:rPr>
          <w:rFonts w:cs="Times New Roman"/>
          <w:color w:val="000000" w:themeColor="text1"/>
          <w:szCs w:val="24"/>
        </w:rPr>
        <w:t>fiber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F0753">
        <w:rPr>
          <w:rFonts w:cs="Times New Roman"/>
          <w:color w:val="000000" w:themeColor="text1"/>
          <w:szCs w:val="24"/>
        </w:rPr>
        <w:t>length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F0753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F0753">
        <w:rPr>
          <w:rFonts w:cs="Times New Roman"/>
          <w:color w:val="000000" w:themeColor="text1"/>
          <w:szCs w:val="24"/>
        </w:rPr>
        <w:t>leaching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F0753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F0753">
        <w:rPr>
          <w:rFonts w:cs="Times New Roman"/>
          <w:color w:val="000000" w:themeColor="text1"/>
          <w:szCs w:val="24"/>
        </w:rPr>
        <w:t>surface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F0753">
        <w:rPr>
          <w:rFonts w:cs="Times New Roman"/>
          <w:color w:val="000000" w:themeColor="text1"/>
          <w:szCs w:val="24"/>
        </w:rPr>
        <w:t>minerals,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F0753">
        <w:rPr>
          <w:rFonts w:cs="Times New Roman"/>
          <w:color w:val="000000" w:themeColor="text1"/>
          <w:szCs w:val="24"/>
        </w:rPr>
        <w:t>but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F0753">
        <w:rPr>
          <w:rFonts w:cs="Times New Roman"/>
          <w:color w:val="000000" w:themeColor="text1"/>
          <w:szCs w:val="24"/>
        </w:rPr>
        <w:t>do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F0753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F0753">
        <w:rPr>
          <w:rFonts w:cs="Times New Roman"/>
          <w:color w:val="000000" w:themeColor="text1"/>
          <w:szCs w:val="24"/>
        </w:rPr>
        <w:t>react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F0753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F0753">
        <w:rPr>
          <w:rFonts w:cs="Times New Roman"/>
          <w:color w:val="000000" w:themeColor="text1"/>
          <w:szCs w:val="24"/>
        </w:rPr>
        <w:t>dissolve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F0753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F0753">
        <w:rPr>
          <w:rFonts w:cs="Times New Roman"/>
          <w:color w:val="000000" w:themeColor="text1"/>
          <w:szCs w:val="24"/>
        </w:rPr>
        <w:t>most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F0753">
        <w:rPr>
          <w:rFonts w:cs="Times New Roman"/>
          <w:color w:val="000000" w:themeColor="text1"/>
          <w:szCs w:val="24"/>
        </w:rPr>
        <w:t>environmental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F0753">
        <w:rPr>
          <w:rFonts w:cs="Times New Roman"/>
          <w:color w:val="000000" w:themeColor="text1"/>
          <w:szCs w:val="24"/>
        </w:rPr>
        <w:t>conditions.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300ECB" w:rsidP="00F27167" w:rsidRDefault="00E5776D" w14:paraId="144674DD" w14:textId="7D6C4D99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water,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will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2B78">
        <w:rPr>
          <w:rFonts w:cs="Times New Roman"/>
          <w:color w:val="000000" w:themeColor="text1"/>
          <w:szCs w:val="24"/>
        </w:rPr>
        <w:t>eventually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2B78">
        <w:rPr>
          <w:rFonts w:cs="Times New Roman"/>
          <w:color w:val="000000" w:themeColor="text1"/>
          <w:szCs w:val="24"/>
        </w:rPr>
        <w:t>settle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2B78">
        <w:rPr>
          <w:rFonts w:cs="Times New Roman"/>
          <w:color w:val="000000" w:themeColor="text1"/>
          <w:szCs w:val="24"/>
        </w:rPr>
        <w:t>into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2B78">
        <w:rPr>
          <w:rFonts w:cs="Times New Roman"/>
          <w:color w:val="000000" w:themeColor="text1"/>
          <w:szCs w:val="24"/>
        </w:rPr>
        <w:t>sediments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2B78">
        <w:rPr>
          <w:rFonts w:cs="Times New Roman"/>
          <w:color w:val="000000" w:themeColor="text1"/>
          <w:szCs w:val="24"/>
        </w:rPr>
        <w:t>(or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2B78">
        <w:rPr>
          <w:rFonts w:cs="Times New Roman"/>
          <w:color w:val="000000" w:themeColor="text1"/>
          <w:szCs w:val="24"/>
        </w:rPr>
        <w:t>possible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2B78">
        <w:rPr>
          <w:rFonts w:cs="Times New Roman"/>
          <w:color w:val="000000" w:themeColor="text1"/>
          <w:szCs w:val="24"/>
        </w:rPr>
        <w:t>biosolids</w:t>
      </w:r>
      <w:r w:rsidRPr="00C317BB" w:rsidR="008B7EBF">
        <w:rPr>
          <w:rFonts w:cs="Times New Roman"/>
          <w:color w:val="000000" w:themeColor="text1"/>
          <w:szCs w:val="24"/>
        </w:rPr>
        <w:t>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2B78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B7EBF">
        <w:rPr>
          <w:rFonts w:cs="Times New Roman"/>
          <w:color w:val="000000" w:themeColor="text1"/>
          <w:szCs w:val="24"/>
        </w:rPr>
        <w:t>can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B7EBF">
        <w:rPr>
          <w:rFonts w:cs="Times New Roman"/>
          <w:color w:val="000000" w:themeColor="text1"/>
          <w:szCs w:val="24"/>
        </w:rPr>
        <w:t>enter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2B78">
        <w:rPr>
          <w:rFonts w:cs="Times New Roman"/>
          <w:color w:val="000000" w:themeColor="text1"/>
          <w:szCs w:val="24"/>
        </w:rPr>
        <w:t>wastewater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2B78">
        <w:rPr>
          <w:rFonts w:cs="Times New Roman"/>
          <w:color w:val="000000" w:themeColor="text1"/>
          <w:szCs w:val="24"/>
        </w:rPr>
        <w:t>treatment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2B78">
        <w:rPr>
          <w:rFonts w:cs="Times New Roman"/>
          <w:color w:val="000000" w:themeColor="text1"/>
          <w:szCs w:val="24"/>
        </w:rPr>
        <w:t>plants.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79F2">
        <w:rPr>
          <w:rFonts w:cs="Times New Roman"/>
          <w:color w:val="000000" w:themeColor="text1"/>
          <w:szCs w:val="24"/>
        </w:rPr>
        <w:t>EPA’s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22826">
        <w:rPr>
          <w:rFonts w:cs="Times New Roman"/>
          <w:color w:val="000000" w:themeColor="text1"/>
          <w:szCs w:val="24"/>
        </w:rPr>
        <w:t>review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22826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22826">
        <w:rPr>
          <w:rFonts w:cs="Times New Roman"/>
          <w:color w:val="000000" w:themeColor="text1"/>
          <w:szCs w:val="24"/>
        </w:rPr>
        <w:t>aquatic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22826">
        <w:rPr>
          <w:rFonts w:cs="Times New Roman"/>
          <w:color w:val="000000" w:themeColor="text1"/>
          <w:szCs w:val="24"/>
        </w:rPr>
        <w:t>vertebrate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22826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22826">
        <w:rPr>
          <w:rFonts w:cs="Times New Roman"/>
          <w:color w:val="000000" w:themeColor="text1"/>
          <w:szCs w:val="24"/>
        </w:rPr>
        <w:t>invertebrate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22826">
        <w:rPr>
          <w:rFonts w:cs="Times New Roman"/>
          <w:color w:val="000000" w:themeColor="text1"/>
          <w:szCs w:val="24"/>
        </w:rPr>
        <w:t>studies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22826">
        <w:rPr>
          <w:rFonts w:cs="Times New Roman"/>
          <w:color w:val="000000" w:themeColor="text1"/>
          <w:szCs w:val="24"/>
        </w:rPr>
        <w:t>indicated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22826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22826">
        <w:rPr>
          <w:rFonts w:cs="Times New Roman"/>
          <w:color w:val="000000" w:themeColor="text1"/>
          <w:szCs w:val="24"/>
        </w:rPr>
        <w:t>chronic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22826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22826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22826">
        <w:rPr>
          <w:rFonts w:cs="Times New Roman"/>
          <w:color w:val="000000" w:themeColor="text1"/>
          <w:szCs w:val="24"/>
        </w:rPr>
        <w:t>waterborne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22826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22826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22826">
        <w:rPr>
          <w:rFonts w:cs="Times New Roman"/>
          <w:color w:val="000000" w:themeColor="text1"/>
          <w:szCs w:val="24"/>
        </w:rPr>
        <w:t>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22826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22826">
        <w:rPr>
          <w:rFonts w:cs="Times New Roman"/>
          <w:color w:val="000000" w:themeColor="text1"/>
          <w:szCs w:val="24"/>
        </w:rPr>
        <w:t>concentration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22826">
        <w:rPr>
          <w:rFonts w:cs="Times New Roman"/>
          <w:color w:val="000000" w:themeColor="text1"/>
          <w:szCs w:val="24"/>
        </w:rPr>
        <w:t>range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22826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442E5">
        <w:rPr>
          <w:rFonts w:cs="Times New Roman"/>
          <w:color w:val="000000" w:themeColor="text1"/>
          <w:szCs w:val="24"/>
        </w:rPr>
        <w:t>10</w:t>
      </w:r>
      <w:r w:rsidRPr="00C317BB" w:rsidR="00B442E5">
        <w:rPr>
          <w:rFonts w:cs="Times New Roman"/>
          <w:color w:val="000000" w:themeColor="text1"/>
          <w:szCs w:val="24"/>
          <w:vertAlign w:val="superscript"/>
        </w:rPr>
        <w:t>4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442E5">
        <w:rPr>
          <w:rFonts w:cs="Times New Roman"/>
          <w:color w:val="000000" w:themeColor="text1"/>
          <w:szCs w:val="24"/>
        </w:rPr>
        <w:t>-10</w:t>
      </w:r>
      <w:r w:rsidRPr="00C317BB" w:rsidR="00B442E5">
        <w:rPr>
          <w:rFonts w:cs="Times New Roman"/>
          <w:color w:val="000000" w:themeColor="text1"/>
          <w:szCs w:val="24"/>
          <w:vertAlign w:val="superscript"/>
        </w:rPr>
        <w:t>8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442E5">
        <w:rPr>
          <w:rFonts w:cs="Times New Roman"/>
          <w:color w:val="000000" w:themeColor="text1"/>
          <w:szCs w:val="24"/>
        </w:rPr>
        <w:t>fibers/L,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442E5">
        <w:rPr>
          <w:rFonts w:cs="Times New Roman"/>
          <w:color w:val="000000" w:themeColor="text1"/>
          <w:szCs w:val="24"/>
        </w:rPr>
        <w:t>which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442E5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442E5">
        <w:rPr>
          <w:rFonts w:cs="Times New Roman"/>
          <w:color w:val="000000" w:themeColor="text1"/>
          <w:szCs w:val="24"/>
        </w:rPr>
        <w:t>equivalent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442E5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442E5">
        <w:rPr>
          <w:rFonts w:cs="Times New Roman"/>
          <w:color w:val="000000" w:themeColor="text1"/>
          <w:szCs w:val="24"/>
        </w:rPr>
        <w:t>0.01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442E5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442E5">
        <w:rPr>
          <w:rFonts w:cs="Times New Roman"/>
          <w:color w:val="000000" w:themeColor="text1"/>
          <w:szCs w:val="24"/>
        </w:rPr>
        <w:t>100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442E5">
        <w:rPr>
          <w:rFonts w:cs="Times New Roman"/>
          <w:color w:val="000000" w:themeColor="text1"/>
          <w:szCs w:val="24"/>
        </w:rPr>
        <w:t>million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35460">
        <w:rPr>
          <w:rFonts w:cs="Times New Roman"/>
          <w:color w:val="000000" w:themeColor="text1"/>
          <w:szCs w:val="24"/>
        </w:rPr>
        <w:t>fibers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35460">
        <w:rPr>
          <w:rFonts w:cs="Times New Roman"/>
          <w:color w:val="000000" w:themeColor="text1"/>
          <w:szCs w:val="24"/>
        </w:rPr>
        <w:t>per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35460">
        <w:rPr>
          <w:rFonts w:cs="Times New Roman"/>
          <w:color w:val="000000" w:themeColor="text1"/>
          <w:szCs w:val="24"/>
        </w:rPr>
        <w:t>liter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35460">
        <w:rPr>
          <w:rFonts w:cs="Times New Roman"/>
          <w:color w:val="000000" w:themeColor="text1"/>
          <w:szCs w:val="24"/>
        </w:rPr>
        <w:t>(</w:t>
      </w:r>
      <w:r w:rsidRPr="00C317BB" w:rsidR="00222826">
        <w:rPr>
          <w:rFonts w:cs="Times New Roman"/>
          <w:color w:val="000000" w:themeColor="text1"/>
          <w:szCs w:val="24"/>
        </w:rPr>
        <w:t>MFL</w:t>
      </w:r>
      <w:r w:rsidRPr="00C317BB" w:rsidR="00D35460">
        <w:rPr>
          <w:rFonts w:cs="Times New Roman"/>
          <w:color w:val="000000" w:themeColor="text1"/>
          <w:szCs w:val="24"/>
        </w:rPr>
        <w:t>)</w:t>
      </w:r>
      <w:r w:rsidRPr="00C317BB" w:rsidR="00222826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22826">
        <w:rPr>
          <w:rFonts w:cs="Times New Roman"/>
          <w:color w:val="000000" w:themeColor="text1"/>
          <w:szCs w:val="24"/>
        </w:rPr>
        <w:t>may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22826">
        <w:rPr>
          <w:rFonts w:cs="Times New Roman"/>
          <w:color w:val="000000" w:themeColor="text1"/>
          <w:szCs w:val="24"/>
        </w:rPr>
        <w:t>result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22826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22826">
        <w:rPr>
          <w:rFonts w:cs="Times New Roman"/>
          <w:color w:val="000000" w:themeColor="text1"/>
          <w:szCs w:val="24"/>
        </w:rPr>
        <w:t>reproductive,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22826">
        <w:rPr>
          <w:rFonts w:cs="Times New Roman"/>
          <w:color w:val="000000" w:themeColor="text1"/>
          <w:szCs w:val="24"/>
        </w:rPr>
        <w:t>growth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22826">
        <w:rPr>
          <w:rFonts w:cs="Times New Roman"/>
          <w:color w:val="000000" w:themeColor="text1"/>
          <w:szCs w:val="24"/>
        </w:rPr>
        <w:t>and/or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22826">
        <w:rPr>
          <w:rFonts w:cs="Times New Roman"/>
          <w:color w:val="000000" w:themeColor="text1"/>
          <w:szCs w:val="24"/>
        </w:rPr>
        <w:t>sublethal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22826">
        <w:rPr>
          <w:rFonts w:cs="Times New Roman"/>
          <w:color w:val="000000" w:themeColor="text1"/>
          <w:szCs w:val="24"/>
        </w:rPr>
        <w:t>effects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22826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22826">
        <w:rPr>
          <w:rFonts w:cs="Times New Roman"/>
          <w:color w:val="000000" w:themeColor="text1"/>
          <w:szCs w:val="24"/>
        </w:rPr>
        <w:t>fish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22826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22826">
        <w:rPr>
          <w:rFonts w:cs="Times New Roman"/>
          <w:color w:val="000000" w:themeColor="text1"/>
          <w:szCs w:val="24"/>
        </w:rPr>
        <w:t>clams.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22826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22826">
        <w:rPr>
          <w:rFonts w:cs="Times New Roman"/>
          <w:color w:val="000000" w:themeColor="text1"/>
          <w:szCs w:val="24"/>
        </w:rPr>
        <w:t>addition,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22826">
        <w:rPr>
          <w:rFonts w:cs="Times New Roman"/>
          <w:color w:val="000000" w:themeColor="text1"/>
          <w:szCs w:val="24"/>
        </w:rPr>
        <w:t>acute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22826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22826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B7EBF">
        <w:rPr>
          <w:rFonts w:cs="Times New Roman"/>
          <w:color w:val="000000" w:themeColor="text1"/>
          <w:szCs w:val="24"/>
        </w:rPr>
        <w:t>clams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B7EBF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22826">
        <w:rPr>
          <w:rFonts w:cs="Times New Roman"/>
          <w:color w:val="000000" w:themeColor="text1"/>
          <w:szCs w:val="24"/>
        </w:rPr>
        <w:t>waterborne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22826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22826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22826">
        <w:rPr>
          <w:rFonts w:cs="Times New Roman"/>
          <w:color w:val="000000" w:themeColor="text1"/>
          <w:szCs w:val="24"/>
        </w:rPr>
        <w:t>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22826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22826">
        <w:rPr>
          <w:rFonts w:cs="Times New Roman"/>
          <w:color w:val="000000" w:themeColor="text1"/>
          <w:szCs w:val="24"/>
        </w:rPr>
        <w:t>concentration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22826">
        <w:rPr>
          <w:rFonts w:cs="Times New Roman"/>
          <w:color w:val="000000" w:themeColor="text1"/>
          <w:szCs w:val="24"/>
        </w:rPr>
        <w:t>range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22826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22826">
        <w:rPr>
          <w:rFonts w:cs="Times New Roman"/>
          <w:color w:val="000000" w:themeColor="text1"/>
          <w:szCs w:val="24"/>
        </w:rPr>
        <w:t>10</w:t>
      </w:r>
      <w:r w:rsidRPr="00C317BB" w:rsidR="00222826">
        <w:rPr>
          <w:rFonts w:cs="Times New Roman"/>
          <w:color w:val="000000" w:themeColor="text1"/>
          <w:szCs w:val="24"/>
          <w:vertAlign w:val="superscript"/>
        </w:rPr>
        <w:t>2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22826">
        <w:rPr>
          <w:rFonts w:cs="Times New Roman"/>
          <w:color w:val="000000" w:themeColor="text1"/>
          <w:szCs w:val="24"/>
        </w:rPr>
        <w:t>-10</w:t>
      </w:r>
      <w:r w:rsidRPr="00C317BB" w:rsidR="00222826">
        <w:rPr>
          <w:rFonts w:cs="Times New Roman"/>
          <w:color w:val="000000" w:themeColor="text1"/>
          <w:szCs w:val="24"/>
          <w:vertAlign w:val="superscript"/>
        </w:rPr>
        <w:t>8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22826">
        <w:rPr>
          <w:rFonts w:cs="Times New Roman"/>
          <w:color w:val="000000" w:themeColor="text1"/>
          <w:szCs w:val="24"/>
        </w:rPr>
        <w:t>fibers/L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22826">
        <w:rPr>
          <w:rFonts w:cs="Times New Roman"/>
          <w:color w:val="000000" w:themeColor="text1"/>
          <w:szCs w:val="24"/>
        </w:rPr>
        <w:t>demonstrated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22826">
        <w:rPr>
          <w:rFonts w:cs="Times New Roman"/>
          <w:color w:val="000000" w:themeColor="text1"/>
          <w:szCs w:val="24"/>
        </w:rPr>
        <w:t>reduced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22826">
        <w:rPr>
          <w:rFonts w:cs="Times New Roman"/>
          <w:color w:val="000000" w:themeColor="text1"/>
          <w:szCs w:val="24"/>
        </w:rPr>
        <w:t>siphoning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22826">
        <w:rPr>
          <w:rFonts w:cs="Times New Roman"/>
          <w:color w:val="000000" w:themeColor="text1"/>
          <w:szCs w:val="24"/>
        </w:rPr>
        <w:t>activity.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CE4EAA" w:rsidP="00F27167" w:rsidRDefault="00300ECB" w14:paraId="4404A94E" w14:textId="0158A8A1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5244A">
        <w:rPr>
          <w:rFonts w:cs="Times New Roman"/>
          <w:color w:val="000000" w:themeColor="text1"/>
          <w:szCs w:val="24"/>
        </w:rPr>
        <w:t>has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54EB7">
        <w:rPr>
          <w:rFonts w:cs="Times New Roman"/>
          <w:color w:val="000000" w:themeColor="text1"/>
          <w:szCs w:val="24"/>
        </w:rPr>
        <w:t>determined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54EB7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5244A">
        <w:rPr>
          <w:rFonts w:cs="Times New Roman"/>
          <w:color w:val="000000" w:themeColor="text1"/>
          <w:szCs w:val="24"/>
        </w:rPr>
        <w:t>there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54EB7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5244A">
        <w:rPr>
          <w:rFonts w:cs="Times New Roman"/>
          <w:color w:val="000000" w:themeColor="text1"/>
          <w:szCs w:val="24"/>
        </w:rPr>
        <w:t>minimal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5244A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5244A">
        <w:rPr>
          <w:rFonts w:cs="Times New Roman"/>
          <w:color w:val="000000" w:themeColor="text1"/>
          <w:szCs w:val="24"/>
        </w:rPr>
        <w:t>no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5244A">
        <w:rPr>
          <w:rFonts w:cs="Times New Roman"/>
          <w:color w:val="000000" w:themeColor="text1"/>
          <w:szCs w:val="24"/>
        </w:rPr>
        <w:t>releases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5244A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5244A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5244A">
        <w:rPr>
          <w:rFonts w:cs="Times New Roman"/>
          <w:color w:val="000000" w:themeColor="text1"/>
          <w:szCs w:val="24"/>
        </w:rPr>
        <w:t>t</w:t>
      </w:r>
      <w:r w:rsidRPr="00C317BB" w:rsidR="00054EB7">
        <w:rPr>
          <w:rFonts w:cs="Times New Roman"/>
          <w:color w:val="000000" w:themeColor="text1"/>
          <w:szCs w:val="24"/>
        </w:rPr>
        <w:t>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5244A">
        <w:rPr>
          <w:rFonts w:cs="Times New Roman"/>
          <w:color w:val="000000" w:themeColor="text1"/>
          <w:szCs w:val="24"/>
        </w:rPr>
        <w:t>surface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5244A">
        <w:rPr>
          <w:rFonts w:cs="Times New Roman"/>
          <w:color w:val="000000" w:themeColor="text1"/>
          <w:szCs w:val="24"/>
        </w:rPr>
        <w:t>water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5244A">
        <w:rPr>
          <w:rFonts w:cs="Times New Roman"/>
          <w:color w:val="000000" w:themeColor="text1"/>
          <w:szCs w:val="24"/>
        </w:rPr>
        <w:t>associated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5244A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5244A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95F26">
        <w:rPr>
          <w:rFonts w:cs="Times New Roman"/>
          <w:color w:val="000000" w:themeColor="text1"/>
          <w:szCs w:val="24"/>
        </w:rPr>
        <w:t>conditions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95F26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95F26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5244A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5244A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702A0">
        <w:rPr>
          <w:rFonts w:cs="Times New Roman"/>
          <w:color w:val="000000" w:themeColor="text1"/>
          <w:szCs w:val="24"/>
        </w:rPr>
        <w:t>evaluated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702A0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702A0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702A0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702A0">
        <w:rPr>
          <w:rFonts w:cs="Times New Roman"/>
          <w:color w:val="000000" w:themeColor="text1"/>
          <w:szCs w:val="24"/>
        </w:rPr>
        <w:t>Evaluation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702A0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702A0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702A0">
        <w:rPr>
          <w:rFonts w:cs="Times New Roman"/>
          <w:color w:val="000000" w:themeColor="text1"/>
          <w:szCs w:val="24"/>
        </w:rPr>
        <w:t>Part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702A0">
        <w:rPr>
          <w:rFonts w:cs="Times New Roman"/>
          <w:color w:val="000000" w:themeColor="text1"/>
          <w:szCs w:val="24"/>
        </w:rPr>
        <w:t>1: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702A0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702A0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702A0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702A0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702A0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702A0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702A0">
        <w:rPr>
          <w:rFonts w:cs="Times New Roman"/>
          <w:color w:val="000000" w:themeColor="text1"/>
          <w:szCs w:val="24"/>
        </w:rPr>
        <w:t>subject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702A0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702A0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702A0">
        <w:rPr>
          <w:rFonts w:cs="Times New Roman"/>
          <w:color w:val="000000" w:themeColor="text1"/>
          <w:szCs w:val="24"/>
        </w:rPr>
        <w:t>action.</w:t>
      </w:r>
    </w:p>
    <w:bookmarkEnd w:id="41"/>
    <w:p w:rsidRPr="00C317BB" w:rsidR="00813F81" w:rsidP="00F27167" w:rsidRDefault="00813F81" w14:paraId="04EEA591" w14:textId="36D20EBC">
      <w:pPr>
        <w:pStyle w:val="Heading2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C.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Benefits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741FB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741FB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various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conditions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D44319" w:rsidP="00F27167" w:rsidRDefault="000C0084" w14:paraId="732B84CB" w14:textId="0846B4CF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only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manufactured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(including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imported),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processed,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distributed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United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States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today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United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States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Geological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Survey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(USGS)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estimated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10BDA">
        <w:rPr>
          <w:rFonts w:cs="Times New Roman"/>
          <w:color w:val="000000" w:themeColor="text1"/>
          <w:szCs w:val="24"/>
        </w:rPr>
        <w:t>3</w:t>
      </w:r>
      <w:r w:rsidRPr="00C317BB">
        <w:rPr>
          <w:rFonts w:cs="Times New Roman"/>
          <w:color w:val="000000" w:themeColor="text1"/>
          <w:szCs w:val="24"/>
        </w:rPr>
        <w:t>00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metric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raw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were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imported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</w:t>
      </w:r>
      <w:r w:rsidRPr="00C317BB" w:rsidR="00551D4E">
        <w:rPr>
          <w:rFonts w:cs="Times New Roman"/>
          <w:color w:val="000000" w:themeColor="text1"/>
          <w:szCs w:val="24"/>
        </w:rPr>
        <w:t>nited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1D4E">
        <w:rPr>
          <w:rFonts w:cs="Times New Roman"/>
          <w:color w:val="000000" w:themeColor="text1"/>
          <w:szCs w:val="24"/>
        </w:rPr>
        <w:t>States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20</w:t>
      </w:r>
      <w:r w:rsidRPr="00C317BB" w:rsidR="00D10BDA">
        <w:rPr>
          <w:rFonts w:cs="Times New Roman"/>
          <w:color w:val="000000" w:themeColor="text1"/>
          <w:szCs w:val="24"/>
        </w:rPr>
        <w:t>20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(</w:t>
      </w:r>
      <w:r w:rsidRPr="00C317BB" w:rsidR="00074743">
        <w:rPr>
          <w:rFonts w:cs="Times New Roman"/>
          <w:color w:val="000000" w:themeColor="text1"/>
          <w:szCs w:val="24"/>
        </w:rPr>
        <w:t>Ref.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D0F6D">
        <w:rPr>
          <w:rFonts w:cs="Times New Roman"/>
          <w:color w:val="000000" w:themeColor="text1"/>
          <w:szCs w:val="24"/>
        </w:rPr>
        <w:t>3</w:t>
      </w:r>
      <w:r w:rsidRPr="00C317BB">
        <w:rPr>
          <w:rFonts w:cs="Times New Roman"/>
          <w:color w:val="000000" w:themeColor="text1"/>
          <w:szCs w:val="24"/>
        </w:rPr>
        <w:t>).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raw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exclusively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chlor-alkali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industry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imported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amounts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01010">
        <w:rPr>
          <w:rFonts w:cs="Times New Roman"/>
          <w:color w:val="000000" w:themeColor="text1"/>
          <w:szCs w:val="24"/>
        </w:rPr>
        <w:t>between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01010">
        <w:rPr>
          <w:rFonts w:cs="Times New Roman"/>
          <w:color w:val="000000" w:themeColor="text1"/>
          <w:szCs w:val="24"/>
        </w:rPr>
        <w:t>2016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01010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01010">
        <w:rPr>
          <w:rFonts w:cs="Times New Roman"/>
          <w:color w:val="000000" w:themeColor="text1"/>
          <w:szCs w:val="24"/>
        </w:rPr>
        <w:t>2020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range</w:t>
      </w:r>
      <w:r w:rsidRPr="00C317BB" w:rsidR="00D01010">
        <w:rPr>
          <w:rFonts w:cs="Times New Roman"/>
          <w:color w:val="000000" w:themeColor="text1"/>
          <w:szCs w:val="24"/>
        </w:rPr>
        <w:t>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01010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1</w:t>
      </w:r>
      <w:r w:rsidRPr="00C317BB" w:rsidR="00D01010">
        <w:rPr>
          <w:rFonts w:cs="Times New Roman"/>
          <w:color w:val="000000" w:themeColor="text1"/>
          <w:szCs w:val="24"/>
        </w:rPr>
        <w:t>72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01010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178A4">
        <w:rPr>
          <w:rFonts w:cs="Times New Roman"/>
          <w:color w:val="000000" w:themeColor="text1"/>
          <w:szCs w:val="24"/>
        </w:rPr>
        <w:t>747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metric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during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given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year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91E09">
        <w:rPr>
          <w:rFonts w:cs="Times New Roman"/>
          <w:color w:val="000000" w:themeColor="text1"/>
          <w:szCs w:val="24"/>
        </w:rPr>
        <w:t>(Ref.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D0F6D">
        <w:rPr>
          <w:rFonts w:cs="Times New Roman"/>
          <w:color w:val="000000" w:themeColor="text1"/>
          <w:szCs w:val="24"/>
        </w:rPr>
        <w:t>3</w:t>
      </w:r>
      <w:r w:rsidRPr="00C317BB" w:rsidR="00491E09">
        <w:rPr>
          <w:rFonts w:cs="Times New Roman"/>
          <w:color w:val="000000" w:themeColor="text1"/>
          <w:szCs w:val="24"/>
        </w:rPr>
        <w:t>)</w:t>
      </w:r>
      <w:r w:rsidRPr="00C317BB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D44319" w:rsidP="00F27167" w:rsidRDefault="000C0084" w14:paraId="69798275" w14:textId="1FFEE2CB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addition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raw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imported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chlor-alkali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industry,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also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aware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imported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products;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however,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import</w:t>
      </w:r>
      <w:r w:rsidRPr="00C317BB" w:rsidR="000178A4">
        <w:rPr>
          <w:rFonts w:cs="Times New Roman"/>
          <w:color w:val="000000" w:themeColor="text1"/>
          <w:szCs w:val="24"/>
        </w:rPr>
        <w:t>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volumes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those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products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fully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known.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products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identified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71581">
        <w:rPr>
          <w:rFonts w:cs="Times New Roman"/>
          <w:color w:val="000000" w:themeColor="text1"/>
          <w:szCs w:val="24"/>
        </w:rPr>
        <w:t>potentially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imported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sheet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gaskets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13CAF">
        <w:rPr>
          <w:rFonts w:cs="Times New Roman"/>
          <w:color w:val="000000" w:themeColor="text1"/>
          <w:szCs w:val="24"/>
        </w:rPr>
        <w:t>(which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13CAF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96E75">
        <w:rPr>
          <w:rFonts w:cs="Times New Roman"/>
          <w:color w:val="000000" w:themeColor="text1"/>
          <w:szCs w:val="24"/>
        </w:rPr>
        <w:t>imported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96E75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96E75">
        <w:rPr>
          <w:rFonts w:cs="Times New Roman"/>
          <w:color w:val="000000" w:themeColor="text1"/>
          <w:szCs w:val="24"/>
        </w:rPr>
        <w:t>large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96E75">
        <w:rPr>
          <w:rFonts w:cs="Times New Roman"/>
          <w:color w:val="000000" w:themeColor="text1"/>
          <w:szCs w:val="24"/>
        </w:rPr>
        <w:t>sheets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96E75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96E75">
        <w:rPr>
          <w:rFonts w:cs="Times New Roman"/>
          <w:color w:val="000000" w:themeColor="text1"/>
          <w:szCs w:val="24"/>
        </w:rPr>
        <w:t>cut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96E75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F3B85">
        <w:rPr>
          <w:rFonts w:cs="Times New Roman"/>
          <w:color w:val="000000" w:themeColor="text1"/>
          <w:szCs w:val="24"/>
        </w:rPr>
        <w:t>size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F3B85">
        <w:rPr>
          <w:rFonts w:cs="Times New Roman"/>
          <w:color w:val="000000" w:themeColor="text1"/>
          <w:szCs w:val="24"/>
        </w:rPr>
        <w:t>domestically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F3B85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F3B85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F3B85">
        <w:rPr>
          <w:rFonts w:cs="Times New Roman"/>
          <w:color w:val="000000" w:themeColor="text1"/>
          <w:szCs w:val="24"/>
        </w:rPr>
        <w:t>fabricator)</w:t>
      </w:r>
      <w:r w:rsidRPr="00C317BB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06187">
        <w:rPr>
          <w:rFonts w:cs="Times New Roman"/>
          <w:color w:val="000000" w:themeColor="text1"/>
          <w:szCs w:val="24"/>
        </w:rPr>
        <w:t>oilfield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brake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blocks,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aftermarket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automotive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brakes/linings,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vehicle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friction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products,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gaskets.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4319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4319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4319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4319">
        <w:rPr>
          <w:rFonts w:cs="Times New Roman"/>
          <w:color w:val="000000" w:themeColor="text1"/>
          <w:szCs w:val="24"/>
        </w:rPr>
        <w:t>chemically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4319">
        <w:rPr>
          <w:rFonts w:cs="Times New Roman"/>
          <w:color w:val="000000" w:themeColor="text1"/>
          <w:szCs w:val="24"/>
        </w:rPr>
        <w:t>inert,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4319">
        <w:rPr>
          <w:rFonts w:cs="Times New Roman"/>
          <w:color w:val="000000" w:themeColor="text1"/>
          <w:szCs w:val="24"/>
        </w:rPr>
        <w:t>durable,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4319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4319">
        <w:rPr>
          <w:rFonts w:cs="Times New Roman"/>
          <w:color w:val="000000" w:themeColor="text1"/>
          <w:szCs w:val="24"/>
        </w:rPr>
        <w:t>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4319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4319">
        <w:rPr>
          <w:rFonts w:cs="Times New Roman"/>
          <w:color w:val="000000" w:themeColor="text1"/>
          <w:szCs w:val="24"/>
        </w:rPr>
        <w:t>effectively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4319">
        <w:rPr>
          <w:rFonts w:cs="Times New Roman"/>
          <w:color w:val="000000" w:themeColor="text1"/>
          <w:szCs w:val="24"/>
        </w:rPr>
        <w:t>separate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4319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4319">
        <w:rPr>
          <w:rFonts w:cs="Times New Roman"/>
          <w:color w:val="000000" w:themeColor="text1"/>
          <w:szCs w:val="24"/>
        </w:rPr>
        <w:t>anode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4319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4319">
        <w:rPr>
          <w:rFonts w:cs="Times New Roman"/>
          <w:color w:val="000000" w:themeColor="text1"/>
          <w:szCs w:val="24"/>
        </w:rPr>
        <w:t>cathode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4319">
        <w:rPr>
          <w:rFonts w:cs="Times New Roman"/>
          <w:color w:val="000000" w:themeColor="text1"/>
          <w:szCs w:val="24"/>
        </w:rPr>
        <w:t>chemicals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4319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4319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4319">
        <w:rPr>
          <w:rFonts w:cs="Times New Roman"/>
          <w:color w:val="000000" w:themeColor="text1"/>
          <w:szCs w:val="24"/>
        </w:rPr>
        <w:t>electrolytic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4319">
        <w:rPr>
          <w:rFonts w:cs="Times New Roman"/>
          <w:color w:val="000000" w:themeColor="text1"/>
          <w:szCs w:val="24"/>
        </w:rPr>
        <w:t>cells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4319">
        <w:rPr>
          <w:rFonts w:cs="Times New Roman"/>
          <w:color w:val="000000" w:themeColor="text1"/>
          <w:szCs w:val="24"/>
        </w:rPr>
        <w:t>used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4319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4319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4319">
        <w:rPr>
          <w:rFonts w:cs="Times New Roman"/>
          <w:color w:val="000000" w:themeColor="text1"/>
          <w:szCs w:val="24"/>
        </w:rPr>
        <w:t>chlor-alkali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4319">
        <w:rPr>
          <w:rFonts w:cs="Times New Roman"/>
          <w:color w:val="000000" w:themeColor="text1"/>
          <w:szCs w:val="24"/>
        </w:rPr>
        <w:t>process.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54BA1">
        <w:rPr>
          <w:rFonts w:cs="Times New Roman"/>
          <w:color w:val="000000" w:themeColor="text1"/>
          <w:szCs w:val="24"/>
        </w:rPr>
        <w:t>A</w:t>
      </w:r>
      <w:r w:rsidRPr="00C317BB" w:rsidR="000024D2">
        <w:rPr>
          <w:rFonts w:cs="Times New Roman"/>
          <w:color w:val="000000" w:themeColor="text1"/>
          <w:szCs w:val="24"/>
        </w:rPr>
        <w:t>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024D2">
        <w:rPr>
          <w:rFonts w:cs="Times New Roman"/>
          <w:color w:val="000000" w:themeColor="text1"/>
          <w:szCs w:val="24"/>
        </w:rPr>
        <w:t>gaskets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B4575">
        <w:rPr>
          <w:rFonts w:cs="Times New Roman"/>
          <w:color w:val="000000" w:themeColor="text1"/>
          <w:szCs w:val="24"/>
        </w:rPr>
        <w:t>have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B4575">
        <w:rPr>
          <w:rFonts w:cs="Times New Roman"/>
          <w:color w:val="000000" w:themeColor="text1"/>
          <w:szCs w:val="24"/>
        </w:rPr>
        <w:t>been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B4575">
        <w:rPr>
          <w:rFonts w:cs="Times New Roman"/>
          <w:color w:val="000000" w:themeColor="text1"/>
          <w:szCs w:val="24"/>
        </w:rPr>
        <w:t>used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54BA1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54BA1">
        <w:rPr>
          <w:rFonts w:cs="Times New Roman"/>
          <w:color w:val="000000" w:themeColor="text1"/>
          <w:szCs w:val="24"/>
        </w:rPr>
        <w:t>chemical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54BA1">
        <w:rPr>
          <w:rFonts w:cs="Times New Roman"/>
          <w:color w:val="000000" w:themeColor="text1"/>
          <w:szCs w:val="24"/>
        </w:rPr>
        <w:t>production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024D2">
        <w:rPr>
          <w:rFonts w:cs="Times New Roman"/>
          <w:color w:val="000000" w:themeColor="text1"/>
          <w:szCs w:val="24"/>
        </w:rPr>
        <w:t>because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024D2">
        <w:rPr>
          <w:rFonts w:cs="Times New Roman"/>
          <w:color w:val="000000" w:themeColor="text1"/>
          <w:szCs w:val="24"/>
        </w:rPr>
        <w:t>they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024D2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024D2">
        <w:rPr>
          <w:rFonts w:cs="Times New Roman"/>
          <w:color w:val="000000" w:themeColor="text1"/>
          <w:szCs w:val="24"/>
        </w:rPr>
        <w:t>resistant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024D2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024D2">
        <w:rPr>
          <w:rFonts w:cs="Times New Roman"/>
          <w:color w:val="000000" w:themeColor="text1"/>
          <w:szCs w:val="24"/>
        </w:rPr>
        <w:t>cyclical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024D2">
        <w:rPr>
          <w:rFonts w:cs="Times New Roman"/>
          <w:color w:val="000000" w:themeColor="text1"/>
          <w:szCs w:val="24"/>
        </w:rPr>
        <w:t>high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024D2">
        <w:rPr>
          <w:rFonts w:cs="Times New Roman"/>
          <w:color w:val="000000" w:themeColor="text1"/>
          <w:szCs w:val="24"/>
        </w:rPr>
        <w:t>temperatures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024D2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024D2">
        <w:rPr>
          <w:rFonts w:cs="Times New Roman"/>
          <w:color w:val="000000" w:themeColor="text1"/>
          <w:szCs w:val="24"/>
        </w:rPr>
        <w:t>immense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024D2">
        <w:rPr>
          <w:rFonts w:cs="Times New Roman"/>
          <w:color w:val="000000" w:themeColor="text1"/>
          <w:szCs w:val="24"/>
        </w:rPr>
        <w:t>pressure.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024D2">
        <w:rPr>
          <w:rFonts w:cs="Times New Roman"/>
          <w:color w:val="000000" w:themeColor="text1"/>
          <w:szCs w:val="24"/>
        </w:rPr>
        <w:t>During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024D2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024D2">
        <w:rPr>
          <w:rFonts w:cs="Times New Roman"/>
          <w:color w:val="000000" w:themeColor="text1"/>
          <w:szCs w:val="24"/>
        </w:rPr>
        <w:t>manufacture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024D2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024D2">
        <w:rPr>
          <w:rFonts w:cs="Times New Roman"/>
          <w:color w:val="000000" w:themeColor="text1"/>
          <w:szCs w:val="24"/>
        </w:rPr>
        <w:t>titanium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024D2">
        <w:rPr>
          <w:rFonts w:cs="Times New Roman"/>
          <w:color w:val="000000" w:themeColor="text1"/>
          <w:szCs w:val="24"/>
        </w:rPr>
        <w:t>dioxide,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024D2">
        <w:rPr>
          <w:rFonts w:cs="Times New Roman"/>
          <w:color w:val="000000" w:themeColor="text1"/>
          <w:szCs w:val="24"/>
        </w:rPr>
        <w:t>temperatures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024D2">
        <w:rPr>
          <w:rFonts w:cs="Times New Roman"/>
          <w:color w:val="000000" w:themeColor="text1"/>
          <w:szCs w:val="24"/>
        </w:rPr>
        <w:t>can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024D2">
        <w:rPr>
          <w:rFonts w:cs="Times New Roman"/>
          <w:color w:val="000000" w:themeColor="text1"/>
          <w:szCs w:val="24"/>
        </w:rPr>
        <w:t>exceed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024D2">
        <w:rPr>
          <w:rFonts w:cs="Times New Roman"/>
          <w:color w:val="000000" w:themeColor="text1"/>
          <w:szCs w:val="24"/>
        </w:rPr>
        <w:t>1850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024D2">
        <w:rPr>
          <w:rFonts w:cs="Times New Roman"/>
          <w:color w:val="000000" w:themeColor="text1"/>
          <w:szCs w:val="24"/>
        </w:rPr>
        <w:t>degrees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024D2">
        <w:rPr>
          <w:rFonts w:cs="Times New Roman"/>
          <w:color w:val="000000" w:themeColor="text1"/>
          <w:szCs w:val="24"/>
        </w:rPr>
        <w:t>Fahrenheit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024D2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024D2">
        <w:rPr>
          <w:rFonts w:cs="Times New Roman"/>
          <w:color w:val="000000" w:themeColor="text1"/>
          <w:szCs w:val="24"/>
        </w:rPr>
        <w:t>pressures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024D2">
        <w:rPr>
          <w:rFonts w:cs="Times New Roman"/>
          <w:color w:val="000000" w:themeColor="text1"/>
          <w:szCs w:val="24"/>
        </w:rPr>
        <w:t>can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024D2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024D2">
        <w:rPr>
          <w:rFonts w:cs="Times New Roman"/>
          <w:color w:val="000000" w:themeColor="text1"/>
          <w:szCs w:val="24"/>
        </w:rPr>
        <w:t>greater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024D2">
        <w:rPr>
          <w:rFonts w:cs="Times New Roman"/>
          <w:color w:val="000000" w:themeColor="text1"/>
          <w:szCs w:val="24"/>
        </w:rPr>
        <w:t>than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024D2">
        <w:rPr>
          <w:rFonts w:cs="Times New Roman"/>
          <w:color w:val="000000" w:themeColor="text1"/>
          <w:szCs w:val="24"/>
        </w:rPr>
        <w:t>50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024D2">
        <w:rPr>
          <w:rFonts w:cs="Times New Roman"/>
          <w:color w:val="000000" w:themeColor="text1"/>
          <w:szCs w:val="24"/>
        </w:rPr>
        <w:t>pounds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024D2">
        <w:rPr>
          <w:rFonts w:cs="Times New Roman"/>
          <w:color w:val="000000" w:themeColor="text1"/>
          <w:szCs w:val="24"/>
        </w:rPr>
        <w:t>per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024D2">
        <w:rPr>
          <w:rFonts w:cs="Times New Roman"/>
          <w:color w:val="000000" w:themeColor="text1"/>
          <w:szCs w:val="24"/>
        </w:rPr>
        <w:t>square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024D2">
        <w:rPr>
          <w:rFonts w:cs="Times New Roman"/>
          <w:color w:val="000000" w:themeColor="text1"/>
          <w:szCs w:val="24"/>
        </w:rPr>
        <w:t>inch.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564CD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31246">
        <w:rPr>
          <w:rFonts w:cs="Times New Roman"/>
          <w:color w:val="000000" w:themeColor="text1"/>
          <w:szCs w:val="24"/>
        </w:rPr>
        <w:t>physical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919">
        <w:rPr>
          <w:rFonts w:cs="Times New Roman"/>
          <w:color w:val="000000" w:themeColor="text1"/>
          <w:szCs w:val="24"/>
        </w:rPr>
        <w:t>properties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E5BF0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14383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14383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14383">
        <w:rPr>
          <w:rFonts w:cs="Times New Roman"/>
          <w:color w:val="000000" w:themeColor="text1"/>
          <w:szCs w:val="24"/>
        </w:rPr>
        <w:t>including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E5BF0">
        <w:rPr>
          <w:rFonts w:cs="Times New Roman"/>
          <w:color w:val="000000" w:themeColor="text1"/>
          <w:szCs w:val="24"/>
        </w:rPr>
        <w:t>heat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E5BF0">
        <w:rPr>
          <w:rFonts w:cs="Times New Roman"/>
          <w:color w:val="000000" w:themeColor="text1"/>
          <w:szCs w:val="24"/>
        </w:rPr>
        <w:t>resistance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E5BF0">
        <w:rPr>
          <w:rFonts w:cs="Times New Roman"/>
          <w:color w:val="000000" w:themeColor="text1"/>
          <w:szCs w:val="24"/>
        </w:rPr>
        <w:t>ma</w:t>
      </w:r>
      <w:r w:rsidRPr="00C317BB" w:rsidR="005A3285">
        <w:rPr>
          <w:rFonts w:cs="Times New Roman"/>
          <w:color w:val="000000" w:themeColor="text1"/>
          <w:szCs w:val="24"/>
        </w:rPr>
        <w:t>k</w:t>
      </w:r>
      <w:r w:rsidRPr="00C317BB" w:rsidR="002E5BF0">
        <w:rPr>
          <w:rFonts w:cs="Times New Roman"/>
          <w:color w:val="000000" w:themeColor="text1"/>
          <w:szCs w:val="24"/>
        </w:rPr>
        <w:t>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E5BF0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A3285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54BC9">
        <w:rPr>
          <w:rFonts w:cs="Times New Roman"/>
          <w:color w:val="000000" w:themeColor="text1"/>
          <w:szCs w:val="24"/>
        </w:rPr>
        <w:t>useful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A3285">
        <w:rPr>
          <w:rFonts w:cs="Times New Roman"/>
          <w:color w:val="000000" w:themeColor="text1"/>
          <w:szCs w:val="24"/>
        </w:rPr>
        <w:t>material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A3285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A3285">
        <w:rPr>
          <w:rFonts w:cs="Times New Roman"/>
          <w:color w:val="000000" w:themeColor="text1"/>
          <w:szCs w:val="24"/>
        </w:rPr>
        <w:t>uses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A3285">
        <w:rPr>
          <w:rFonts w:cs="Times New Roman"/>
          <w:color w:val="000000" w:themeColor="text1"/>
          <w:szCs w:val="24"/>
        </w:rPr>
        <w:t>where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A3285">
        <w:rPr>
          <w:rFonts w:cs="Times New Roman"/>
          <w:color w:val="000000" w:themeColor="text1"/>
          <w:szCs w:val="24"/>
        </w:rPr>
        <w:t>friction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A3285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A3285">
        <w:rPr>
          <w:rFonts w:cs="Times New Roman"/>
          <w:color w:val="000000" w:themeColor="text1"/>
          <w:szCs w:val="24"/>
        </w:rPr>
        <w:t>produced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A3285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A3285">
        <w:rPr>
          <w:rFonts w:cs="Times New Roman"/>
          <w:color w:val="000000" w:themeColor="text1"/>
          <w:szCs w:val="24"/>
        </w:rPr>
        <w:t>extreme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A3285">
        <w:rPr>
          <w:rFonts w:cs="Times New Roman"/>
          <w:color w:val="000000" w:themeColor="text1"/>
          <w:szCs w:val="24"/>
        </w:rPr>
        <w:t>heat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A3285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A3285">
        <w:rPr>
          <w:rFonts w:cs="Times New Roman"/>
          <w:color w:val="000000" w:themeColor="text1"/>
          <w:szCs w:val="24"/>
        </w:rPr>
        <w:t>generated,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A3285">
        <w:rPr>
          <w:rFonts w:cs="Times New Roman"/>
          <w:color w:val="000000" w:themeColor="text1"/>
          <w:szCs w:val="24"/>
        </w:rPr>
        <w:t>including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919">
        <w:rPr>
          <w:rFonts w:cs="Times New Roman"/>
          <w:color w:val="000000" w:themeColor="text1"/>
          <w:szCs w:val="24"/>
        </w:rPr>
        <w:t>its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919">
        <w:rPr>
          <w:rFonts w:cs="Times New Roman"/>
          <w:color w:val="000000" w:themeColor="text1"/>
          <w:szCs w:val="24"/>
        </w:rPr>
        <w:t>application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919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A3285">
        <w:rPr>
          <w:rFonts w:cs="Times New Roman"/>
          <w:color w:val="000000" w:themeColor="text1"/>
          <w:szCs w:val="24"/>
        </w:rPr>
        <w:t>brakes,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A3285">
        <w:rPr>
          <w:rFonts w:cs="Times New Roman"/>
          <w:color w:val="000000" w:themeColor="text1"/>
          <w:szCs w:val="24"/>
        </w:rPr>
        <w:t>gaskets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A3285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919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A3285">
        <w:rPr>
          <w:rFonts w:cs="Times New Roman"/>
          <w:color w:val="000000" w:themeColor="text1"/>
          <w:szCs w:val="24"/>
        </w:rPr>
        <w:t>vehicle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A3285">
        <w:rPr>
          <w:rFonts w:cs="Times New Roman"/>
          <w:color w:val="000000" w:themeColor="text1"/>
          <w:szCs w:val="24"/>
        </w:rPr>
        <w:t>friction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A3285">
        <w:rPr>
          <w:rFonts w:cs="Times New Roman"/>
          <w:color w:val="000000" w:themeColor="text1"/>
          <w:szCs w:val="24"/>
        </w:rPr>
        <w:t>product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919">
        <w:rPr>
          <w:rFonts w:cs="Times New Roman"/>
          <w:color w:val="000000" w:themeColor="text1"/>
          <w:szCs w:val="24"/>
        </w:rPr>
        <w:t>uses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919">
        <w:rPr>
          <w:rFonts w:cs="Times New Roman"/>
          <w:color w:val="000000" w:themeColor="text1"/>
          <w:szCs w:val="24"/>
        </w:rPr>
        <w:t>considered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919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919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919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0919">
        <w:rPr>
          <w:rFonts w:cs="Times New Roman"/>
          <w:color w:val="000000" w:themeColor="text1"/>
          <w:szCs w:val="24"/>
        </w:rPr>
        <w:t>rule.</w:t>
      </w:r>
    </w:p>
    <w:p w:rsidRPr="00C317BB" w:rsidR="00D52EC3" w:rsidP="00F27167" w:rsidRDefault="00D52EC3" w14:paraId="364563D2" w14:textId="6C2B0364">
      <w:pPr>
        <w:pStyle w:val="Heading2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D.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Replacement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Parts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24DF">
        <w:rPr>
          <w:rFonts w:cs="Times New Roman"/>
          <w:color w:val="000000" w:themeColor="text1"/>
          <w:szCs w:val="24"/>
        </w:rPr>
        <w:t>sec</w:t>
      </w:r>
      <w:r w:rsidRPr="00C317BB">
        <w:rPr>
          <w:rFonts w:cs="Times New Roman"/>
          <w:color w:val="000000" w:themeColor="text1"/>
          <w:szCs w:val="24"/>
        </w:rPr>
        <w:t>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6(c)(2)(D)</w:t>
      </w:r>
    </w:p>
    <w:p w:rsidRPr="00C317BB" w:rsidR="005A494F" w:rsidP="00F27167" w:rsidRDefault="00091D33" w14:paraId="51394759" w14:textId="0F9E3A8E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6(c)(2)(D)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states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D689F">
        <w:rPr>
          <w:rFonts w:cs="Times New Roman"/>
          <w:color w:val="000000" w:themeColor="text1"/>
          <w:szCs w:val="24"/>
        </w:rPr>
        <w:t>shall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exempt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3585F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3585F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3585F">
        <w:rPr>
          <w:rFonts w:cs="Times New Roman"/>
          <w:color w:val="000000" w:themeColor="text1"/>
          <w:szCs w:val="24"/>
        </w:rPr>
        <w:t>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3585F">
        <w:rPr>
          <w:rFonts w:cs="Times New Roman"/>
          <w:color w:val="000000" w:themeColor="text1"/>
          <w:szCs w:val="24"/>
        </w:rPr>
        <w:t>6(a)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3585F">
        <w:rPr>
          <w:rFonts w:cs="Times New Roman"/>
          <w:color w:val="000000" w:themeColor="text1"/>
          <w:szCs w:val="24"/>
        </w:rPr>
        <w:t>rules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replacement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parts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complex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durable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goods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complex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consumer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goods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designed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prior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publication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3E6EB736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3E6EB736">
        <w:rPr>
          <w:rFonts w:cs="Times New Roman"/>
          <w:color w:val="000000" w:themeColor="text1"/>
          <w:szCs w:val="24"/>
        </w:rPr>
        <w:t>final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3E6EB736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3E6EB736">
        <w:rPr>
          <w:rFonts w:cs="Times New Roman"/>
          <w:color w:val="000000" w:themeColor="text1"/>
          <w:szCs w:val="24"/>
        </w:rPr>
        <w:t>management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rule,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unless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such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replacement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parts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contribute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significantly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risk,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identified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evaluation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conducted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6(b)(4)(A)</w:t>
      </w:r>
      <w:r w:rsidRPr="00C317BB" w:rsidR="00D12D5D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12D5D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12D5D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12D5D">
        <w:rPr>
          <w:rFonts w:cs="Times New Roman"/>
          <w:color w:val="000000" w:themeColor="text1"/>
          <w:szCs w:val="24"/>
        </w:rPr>
        <w:t>general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12D5D">
        <w:rPr>
          <w:rFonts w:cs="Times New Roman"/>
          <w:color w:val="000000" w:themeColor="text1"/>
          <w:szCs w:val="24"/>
        </w:rPr>
        <w:t>population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12D5D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12D5D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12D5D">
        <w:rPr>
          <w:rFonts w:cs="Times New Roman"/>
          <w:color w:val="000000" w:themeColor="text1"/>
          <w:szCs w:val="24"/>
        </w:rPr>
        <w:t>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12D5D">
        <w:rPr>
          <w:rFonts w:cs="Times New Roman"/>
          <w:color w:val="000000" w:themeColor="text1"/>
          <w:szCs w:val="24"/>
        </w:rPr>
        <w:t>identified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12D5D">
        <w:rPr>
          <w:rFonts w:cs="Times New Roman"/>
          <w:color w:val="000000" w:themeColor="text1"/>
          <w:szCs w:val="24"/>
        </w:rPr>
        <w:t>potentially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12D5D">
        <w:rPr>
          <w:rFonts w:cs="Times New Roman"/>
          <w:color w:val="000000" w:themeColor="text1"/>
          <w:szCs w:val="24"/>
        </w:rPr>
        <w:t>exposed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12D5D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12D5D">
        <w:rPr>
          <w:rFonts w:cs="Times New Roman"/>
          <w:color w:val="000000" w:themeColor="text1"/>
          <w:szCs w:val="24"/>
        </w:rPr>
        <w:t>susceptible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12D5D">
        <w:rPr>
          <w:rFonts w:cs="Times New Roman"/>
          <w:color w:val="000000" w:themeColor="text1"/>
          <w:szCs w:val="24"/>
        </w:rPr>
        <w:t>subpopulation</w:t>
      </w:r>
      <w:r w:rsidRPr="00C317BB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B077C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B077C">
        <w:rPr>
          <w:rFonts w:cs="Times New Roman"/>
          <w:color w:val="000000" w:themeColor="text1"/>
          <w:szCs w:val="24"/>
        </w:rPr>
        <w:t>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B077C">
        <w:rPr>
          <w:rFonts w:cs="Times New Roman"/>
          <w:color w:val="000000" w:themeColor="text1"/>
          <w:szCs w:val="24"/>
        </w:rPr>
        <w:t>6(c)(2)(D)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60FCD">
        <w:rPr>
          <w:rFonts w:cs="Times New Roman"/>
          <w:color w:val="000000" w:themeColor="text1"/>
          <w:szCs w:val="24"/>
        </w:rPr>
        <w:t>defines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60FCD">
        <w:rPr>
          <w:rFonts w:cs="Times New Roman"/>
          <w:color w:val="000000" w:themeColor="text1"/>
          <w:szCs w:val="24"/>
        </w:rPr>
        <w:t>complex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60AEC">
        <w:rPr>
          <w:rFonts w:cs="Times New Roman"/>
          <w:color w:val="000000" w:themeColor="text1"/>
          <w:szCs w:val="24"/>
        </w:rPr>
        <w:t>consumer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60FCD">
        <w:rPr>
          <w:rFonts w:cs="Times New Roman"/>
          <w:color w:val="000000" w:themeColor="text1"/>
          <w:szCs w:val="24"/>
        </w:rPr>
        <w:t>good</w:t>
      </w:r>
      <w:r w:rsidRPr="00C317BB" w:rsidR="008542B1">
        <w:rPr>
          <w:rFonts w:cs="Times New Roman"/>
          <w:color w:val="000000" w:themeColor="text1"/>
          <w:szCs w:val="24"/>
        </w:rPr>
        <w:t>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60FCD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60FCD">
        <w:rPr>
          <w:rFonts w:cs="Times New Roman"/>
          <w:color w:val="000000" w:themeColor="text1"/>
          <w:szCs w:val="24"/>
        </w:rPr>
        <w:t>electronic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60FCD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60FCD">
        <w:rPr>
          <w:rFonts w:cs="Times New Roman"/>
          <w:color w:val="000000" w:themeColor="text1"/>
          <w:szCs w:val="24"/>
        </w:rPr>
        <w:t>mechanical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60FCD">
        <w:rPr>
          <w:rFonts w:cs="Times New Roman"/>
          <w:color w:val="000000" w:themeColor="text1"/>
          <w:szCs w:val="24"/>
        </w:rPr>
        <w:t>device</w:t>
      </w:r>
      <w:r w:rsidRPr="00C317BB" w:rsidR="439468A8">
        <w:rPr>
          <w:rFonts w:cs="Times New Roman"/>
          <w:color w:val="000000" w:themeColor="text1"/>
          <w:szCs w:val="24"/>
        </w:rPr>
        <w:t>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71670">
        <w:rPr>
          <w:rFonts w:cs="Times New Roman"/>
          <w:color w:val="000000" w:themeColor="text1"/>
          <w:szCs w:val="24"/>
        </w:rPr>
        <w:t>composed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71670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71670">
        <w:rPr>
          <w:rFonts w:cs="Times New Roman"/>
          <w:color w:val="000000" w:themeColor="text1"/>
          <w:szCs w:val="24"/>
        </w:rPr>
        <w:t>multiple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71670">
        <w:rPr>
          <w:rFonts w:cs="Times New Roman"/>
          <w:color w:val="000000" w:themeColor="text1"/>
          <w:szCs w:val="24"/>
        </w:rPr>
        <w:t>manufactured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71670">
        <w:rPr>
          <w:rFonts w:cs="Times New Roman"/>
          <w:color w:val="000000" w:themeColor="text1"/>
          <w:szCs w:val="24"/>
        </w:rPr>
        <w:t>components,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8023A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8023A">
        <w:rPr>
          <w:rFonts w:cs="Times New Roman"/>
          <w:color w:val="000000" w:themeColor="text1"/>
          <w:szCs w:val="24"/>
        </w:rPr>
        <w:t>a</w:t>
      </w:r>
      <w:r w:rsidRPr="00C317BB" w:rsidR="00E71670">
        <w:rPr>
          <w:rFonts w:cs="Times New Roman"/>
          <w:color w:val="000000" w:themeColor="text1"/>
          <w:szCs w:val="24"/>
        </w:rPr>
        <w:t>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71670">
        <w:rPr>
          <w:rFonts w:cs="Times New Roman"/>
          <w:color w:val="000000" w:themeColor="text1"/>
          <w:szCs w:val="24"/>
        </w:rPr>
        <w:t>intended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8023A">
        <w:rPr>
          <w:rFonts w:cs="Times New Roman"/>
          <w:color w:val="000000" w:themeColor="text1"/>
          <w:szCs w:val="24"/>
        </w:rPr>
        <w:t>useful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8023A">
        <w:rPr>
          <w:rFonts w:cs="Times New Roman"/>
          <w:color w:val="000000" w:themeColor="text1"/>
          <w:szCs w:val="24"/>
        </w:rPr>
        <w:t>life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8023A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8023A">
        <w:rPr>
          <w:rFonts w:cs="Times New Roman"/>
          <w:color w:val="000000" w:themeColor="text1"/>
          <w:szCs w:val="24"/>
        </w:rPr>
        <w:t>three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0F07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0F07">
        <w:rPr>
          <w:rFonts w:cs="Times New Roman"/>
          <w:color w:val="000000" w:themeColor="text1"/>
          <w:szCs w:val="24"/>
        </w:rPr>
        <w:t>more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8023A">
        <w:rPr>
          <w:rFonts w:cs="Times New Roman"/>
          <w:color w:val="000000" w:themeColor="text1"/>
          <w:szCs w:val="24"/>
        </w:rPr>
        <w:t>years</w:t>
      </w:r>
      <w:r w:rsidRPr="00C317BB" w:rsidR="00552824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2824">
        <w:rPr>
          <w:rFonts w:cs="Times New Roman"/>
          <w:color w:val="000000" w:themeColor="text1"/>
          <w:szCs w:val="24"/>
        </w:rPr>
        <w:t>where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8023A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57D3F">
        <w:rPr>
          <w:rFonts w:cs="Times New Roman"/>
          <w:color w:val="000000" w:themeColor="text1"/>
          <w:szCs w:val="24"/>
        </w:rPr>
        <w:t>product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57D3F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57D3F">
        <w:rPr>
          <w:rFonts w:cs="Times New Roman"/>
          <w:color w:val="000000" w:themeColor="text1"/>
          <w:szCs w:val="24"/>
        </w:rPr>
        <w:t>typically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57D3F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57D3F">
        <w:rPr>
          <w:rFonts w:cs="Times New Roman"/>
          <w:color w:val="000000" w:themeColor="text1"/>
          <w:szCs w:val="24"/>
        </w:rPr>
        <w:t>consumed</w:t>
      </w:r>
      <w:r w:rsidRPr="00C317BB" w:rsidR="00716F47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16F47">
        <w:rPr>
          <w:rFonts w:cs="Times New Roman"/>
          <w:color w:val="000000" w:themeColor="text1"/>
          <w:szCs w:val="24"/>
        </w:rPr>
        <w:t>destroyed</w:t>
      </w:r>
      <w:r w:rsidRPr="00C317BB" w:rsidR="3E4F0314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16F47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16F47">
        <w:rPr>
          <w:rFonts w:cs="Times New Roman"/>
          <w:color w:val="000000" w:themeColor="text1"/>
          <w:szCs w:val="24"/>
        </w:rPr>
        <w:t>discar</w:t>
      </w:r>
      <w:r w:rsidRPr="00C317BB" w:rsidR="00A2219D">
        <w:rPr>
          <w:rFonts w:cs="Times New Roman"/>
          <w:color w:val="000000" w:themeColor="text1"/>
          <w:szCs w:val="24"/>
        </w:rPr>
        <w:t>d</w:t>
      </w:r>
      <w:r w:rsidRPr="00C317BB" w:rsidR="00716F47">
        <w:rPr>
          <w:rFonts w:cs="Times New Roman"/>
          <w:color w:val="000000" w:themeColor="text1"/>
          <w:szCs w:val="24"/>
        </w:rPr>
        <w:t>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16F47">
        <w:rPr>
          <w:rFonts w:cs="Times New Roman"/>
          <w:color w:val="000000" w:themeColor="text1"/>
          <w:szCs w:val="24"/>
        </w:rPr>
        <w:t>after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16F47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16F47">
        <w:rPr>
          <w:rFonts w:cs="Times New Roman"/>
          <w:color w:val="000000" w:themeColor="text1"/>
          <w:szCs w:val="24"/>
        </w:rPr>
        <w:t>single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16F47">
        <w:rPr>
          <w:rFonts w:cs="Times New Roman"/>
          <w:color w:val="000000" w:themeColor="text1"/>
          <w:szCs w:val="24"/>
        </w:rPr>
        <w:t>use,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8023A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4F32F23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8023A">
        <w:rPr>
          <w:rFonts w:cs="Times New Roman"/>
          <w:color w:val="000000" w:themeColor="text1"/>
          <w:szCs w:val="24"/>
        </w:rPr>
        <w:t>components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16F47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16F47">
        <w:rPr>
          <w:rFonts w:cs="Times New Roman"/>
          <w:color w:val="000000" w:themeColor="text1"/>
          <w:szCs w:val="24"/>
        </w:rPr>
        <w:t>which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16F47">
        <w:rPr>
          <w:rFonts w:cs="Times New Roman"/>
          <w:color w:val="000000" w:themeColor="text1"/>
          <w:szCs w:val="24"/>
        </w:rPr>
        <w:t>would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8023A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16F47">
        <w:rPr>
          <w:rFonts w:cs="Times New Roman"/>
          <w:color w:val="000000" w:themeColor="text1"/>
          <w:szCs w:val="24"/>
        </w:rPr>
        <w:t>impracticable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16F47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16F47">
        <w:rPr>
          <w:rFonts w:cs="Times New Roman"/>
          <w:color w:val="000000" w:themeColor="text1"/>
          <w:szCs w:val="24"/>
        </w:rPr>
        <w:t>redesign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16F47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16F47">
        <w:rPr>
          <w:rFonts w:cs="Times New Roman"/>
          <w:color w:val="000000" w:themeColor="text1"/>
          <w:szCs w:val="24"/>
        </w:rPr>
        <w:t>replace</w:t>
      </w:r>
      <w:r w:rsidRPr="00C317BB" w:rsidR="00F8023A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14CD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14CD">
        <w:rPr>
          <w:rFonts w:cs="Times New Roman"/>
          <w:color w:val="000000" w:themeColor="text1"/>
          <w:szCs w:val="24"/>
        </w:rPr>
        <w:t>term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14CD">
        <w:rPr>
          <w:rFonts w:cs="Times New Roman"/>
          <w:color w:val="000000" w:themeColor="text1"/>
          <w:szCs w:val="24"/>
        </w:rPr>
        <w:t>“complex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14CD">
        <w:rPr>
          <w:rFonts w:cs="Times New Roman"/>
          <w:color w:val="000000" w:themeColor="text1"/>
          <w:szCs w:val="24"/>
        </w:rPr>
        <w:t>durable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14CD">
        <w:rPr>
          <w:rFonts w:cs="Times New Roman"/>
          <w:color w:val="000000" w:themeColor="text1"/>
          <w:szCs w:val="24"/>
        </w:rPr>
        <w:t>goods”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2247D">
        <w:rPr>
          <w:rFonts w:cs="Times New Roman"/>
          <w:color w:val="000000" w:themeColor="text1"/>
          <w:szCs w:val="24"/>
        </w:rPr>
        <w:t>means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2247D">
        <w:rPr>
          <w:rFonts w:cs="Times New Roman"/>
          <w:color w:val="000000" w:themeColor="text1"/>
          <w:szCs w:val="24"/>
        </w:rPr>
        <w:t>manufactured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2247D">
        <w:rPr>
          <w:rFonts w:cs="Times New Roman"/>
          <w:color w:val="000000" w:themeColor="text1"/>
          <w:szCs w:val="24"/>
        </w:rPr>
        <w:t>goods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2247D">
        <w:rPr>
          <w:rFonts w:cs="Times New Roman"/>
          <w:color w:val="000000" w:themeColor="text1"/>
          <w:szCs w:val="24"/>
        </w:rPr>
        <w:t>composed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2247D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2247D">
        <w:rPr>
          <w:rFonts w:cs="Times New Roman"/>
          <w:color w:val="000000" w:themeColor="text1"/>
          <w:szCs w:val="24"/>
        </w:rPr>
        <w:t>100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2247D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2247D">
        <w:rPr>
          <w:rFonts w:cs="Times New Roman"/>
          <w:color w:val="000000" w:themeColor="text1"/>
          <w:szCs w:val="24"/>
        </w:rPr>
        <w:t>more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2247D">
        <w:rPr>
          <w:rFonts w:cs="Times New Roman"/>
          <w:color w:val="000000" w:themeColor="text1"/>
          <w:szCs w:val="24"/>
        </w:rPr>
        <w:t>manufactured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2247D">
        <w:rPr>
          <w:rFonts w:cs="Times New Roman"/>
          <w:color w:val="000000" w:themeColor="text1"/>
          <w:szCs w:val="24"/>
        </w:rPr>
        <w:t>components,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2247D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2247D">
        <w:rPr>
          <w:rFonts w:cs="Times New Roman"/>
          <w:color w:val="000000" w:themeColor="text1"/>
          <w:szCs w:val="24"/>
        </w:rPr>
        <w:t>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2247D">
        <w:rPr>
          <w:rFonts w:cs="Times New Roman"/>
          <w:color w:val="000000" w:themeColor="text1"/>
          <w:szCs w:val="24"/>
        </w:rPr>
        <w:t>intended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2247D">
        <w:rPr>
          <w:rFonts w:cs="Times New Roman"/>
          <w:color w:val="000000" w:themeColor="text1"/>
          <w:szCs w:val="24"/>
        </w:rPr>
        <w:t>useful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2247D">
        <w:rPr>
          <w:rFonts w:cs="Times New Roman"/>
          <w:color w:val="000000" w:themeColor="text1"/>
          <w:szCs w:val="24"/>
        </w:rPr>
        <w:t>life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2247D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212DA">
        <w:rPr>
          <w:rFonts w:cs="Times New Roman"/>
          <w:color w:val="000000" w:themeColor="text1"/>
          <w:szCs w:val="24"/>
        </w:rPr>
        <w:t>five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2247D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2247D">
        <w:rPr>
          <w:rFonts w:cs="Times New Roman"/>
          <w:color w:val="000000" w:themeColor="text1"/>
          <w:szCs w:val="24"/>
        </w:rPr>
        <w:t>more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2247D">
        <w:rPr>
          <w:rFonts w:cs="Times New Roman"/>
          <w:color w:val="000000" w:themeColor="text1"/>
          <w:szCs w:val="24"/>
        </w:rPr>
        <w:t>years,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2247D">
        <w:rPr>
          <w:rFonts w:cs="Times New Roman"/>
          <w:color w:val="000000" w:themeColor="text1"/>
          <w:szCs w:val="24"/>
        </w:rPr>
        <w:t>where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2247D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A1079">
        <w:rPr>
          <w:rFonts w:cs="Times New Roman"/>
          <w:color w:val="000000" w:themeColor="text1"/>
          <w:szCs w:val="24"/>
        </w:rPr>
        <w:t>pro</w:t>
      </w:r>
      <w:r w:rsidRPr="00C317BB" w:rsidR="0042247D">
        <w:rPr>
          <w:rFonts w:cs="Times New Roman"/>
          <w:color w:val="000000" w:themeColor="text1"/>
          <w:szCs w:val="24"/>
        </w:rPr>
        <w:t>duct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2247D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2247D">
        <w:rPr>
          <w:rFonts w:cs="Times New Roman"/>
          <w:color w:val="000000" w:themeColor="text1"/>
          <w:szCs w:val="24"/>
        </w:rPr>
        <w:t>typically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2247D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2247D">
        <w:rPr>
          <w:rFonts w:cs="Times New Roman"/>
          <w:color w:val="000000" w:themeColor="text1"/>
          <w:szCs w:val="24"/>
        </w:rPr>
        <w:t>consumed,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2247D">
        <w:rPr>
          <w:rFonts w:cs="Times New Roman"/>
          <w:color w:val="000000" w:themeColor="text1"/>
          <w:szCs w:val="24"/>
        </w:rPr>
        <w:t>destroyed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2247D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2247D">
        <w:rPr>
          <w:rFonts w:cs="Times New Roman"/>
          <w:color w:val="000000" w:themeColor="text1"/>
          <w:szCs w:val="24"/>
        </w:rPr>
        <w:t>discarded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2247D">
        <w:rPr>
          <w:rFonts w:cs="Times New Roman"/>
          <w:color w:val="000000" w:themeColor="text1"/>
          <w:szCs w:val="24"/>
        </w:rPr>
        <w:t>after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2247D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2247D">
        <w:rPr>
          <w:rFonts w:cs="Times New Roman"/>
          <w:color w:val="000000" w:themeColor="text1"/>
          <w:szCs w:val="24"/>
        </w:rPr>
        <w:t>single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2247D">
        <w:rPr>
          <w:rFonts w:cs="Times New Roman"/>
          <w:color w:val="000000" w:themeColor="text1"/>
          <w:szCs w:val="24"/>
        </w:rPr>
        <w:t>use.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61221">
        <w:rPr>
          <w:rFonts w:cs="Times New Roman"/>
          <w:color w:val="000000" w:themeColor="text1"/>
          <w:szCs w:val="24"/>
        </w:rPr>
        <w:t>Several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61221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61221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66030">
        <w:rPr>
          <w:rFonts w:cs="Times New Roman"/>
          <w:color w:val="000000" w:themeColor="text1"/>
          <w:szCs w:val="24"/>
        </w:rPr>
        <w:t>conditions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66030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66030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66030">
        <w:rPr>
          <w:rFonts w:cs="Times New Roman"/>
          <w:color w:val="000000" w:themeColor="text1"/>
          <w:szCs w:val="24"/>
        </w:rPr>
        <w:t>addressed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66030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66030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66030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66030">
        <w:rPr>
          <w:rFonts w:cs="Times New Roman"/>
          <w:color w:val="000000" w:themeColor="text1"/>
          <w:szCs w:val="24"/>
        </w:rPr>
        <w:t>rule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66030">
        <w:rPr>
          <w:rFonts w:cs="Times New Roman"/>
          <w:color w:val="000000" w:themeColor="text1"/>
          <w:szCs w:val="24"/>
        </w:rPr>
        <w:t>impact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66030">
        <w:rPr>
          <w:rFonts w:cs="Times New Roman"/>
          <w:color w:val="000000" w:themeColor="text1"/>
          <w:szCs w:val="24"/>
        </w:rPr>
        <w:t>these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66030">
        <w:rPr>
          <w:rFonts w:cs="Times New Roman"/>
          <w:color w:val="000000" w:themeColor="text1"/>
          <w:szCs w:val="24"/>
        </w:rPr>
        <w:t>replacement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66030">
        <w:rPr>
          <w:rFonts w:cs="Times New Roman"/>
          <w:color w:val="000000" w:themeColor="text1"/>
          <w:szCs w:val="24"/>
        </w:rPr>
        <w:t>part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66030">
        <w:rPr>
          <w:rFonts w:cs="Times New Roman"/>
          <w:color w:val="000000" w:themeColor="text1"/>
          <w:szCs w:val="24"/>
        </w:rPr>
        <w:t>categories.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0666">
        <w:rPr>
          <w:rFonts w:cs="Times New Roman"/>
          <w:color w:val="000000" w:themeColor="text1"/>
          <w:szCs w:val="24"/>
        </w:rPr>
        <w:t>Aftermarket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0666">
        <w:rPr>
          <w:rFonts w:cs="Times New Roman"/>
          <w:color w:val="000000" w:themeColor="text1"/>
          <w:szCs w:val="24"/>
        </w:rPr>
        <w:t>automotive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0666">
        <w:rPr>
          <w:rFonts w:cs="Times New Roman"/>
          <w:color w:val="000000" w:themeColor="text1"/>
          <w:szCs w:val="24"/>
        </w:rPr>
        <w:t>brakes/linings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0666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0666">
        <w:rPr>
          <w:rFonts w:cs="Times New Roman"/>
          <w:color w:val="000000" w:themeColor="text1"/>
          <w:szCs w:val="24"/>
        </w:rPr>
        <w:t>replacement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0666">
        <w:rPr>
          <w:rFonts w:cs="Times New Roman"/>
          <w:color w:val="000000" w:themeColor="text1"/>
          <w:szCs w:val="24"/>
        </w:rPr>
        <w:t>parts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0666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0666">
        <w:rPr>
          <w:rFonts w:cs="Times New Roman"/>
          <w:color w:val="000000" w:themeColor="text1"/>
          <w:szCs w:val="24"/>
        </w:rPr>
        <w:t>automobiles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0666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0666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0666">
        <w:rPr>
          <w:rFonts w:cs="Times New Roman"/>
          <w:color w:val="000000" w:themeColor="text1"/>
          <w:szCs w:val="24"/>
        </w:rPr>
        <w:t>vehicles</w:t>
      </w:r>
      <w:r w:rsidRPr="00C317BB" w:rsidR="00225481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3EEF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3EEF">
        <w:rPr>
          <w:rFonts w:cs="Times New Roman"/>
          <w:color w:val="000000" w:themeColor="text1"/>
          <w:szCs w:val="24"/>
        </w:rPr>
        <w:t>asbestos-containing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3EEF">
        <w:rPr>
          <w:rFonts w:cs="Times New Roman"/>
          <w:color w:val="000000" w:themeColor="text1"/>
          <w:szCs w:val="24"/>
        </w:rPr>
        <w:t>gaskets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B41AC">
        <w:rPr>
          <w:rFonts w:cs="Times New Roman"/>
          <w:color w:val="000000" w:themeColor="text1"/>
          <w:szCs w:val="24"/>
        </w:rPr>
        <w:t>may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B41AC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3EEF">
        <w:rPr>
          <w:rFonts w:cs="Times New Roman"/>
          <w:color w:val="000000" w:themeColor="text1"/>
          <w:szCs w:val="24"/>
        </w:rPr>
        <w:t>available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3EEF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577BA">
        <w:rPr>
          <w:rFonts w:cs="Times New Roman"/>
          <w:color w:val="000000" w:themeColor="text1"/>
          <w:szCs w:val="24"/>
        </w:rPr>
        <w:t>both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577BA">
        <w:rPr>
          <w:rFonts w:cs="Times New Roman"/>
          <w:color w:val="000000" w:themeColor="text1"/>
          <w:szCs w:val="24"/>
        </w:rPr>
        <w:t>new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577BA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3EEF">
        <w:rPr>
          <w:rFonts w:cs="Times New Roman"/>
          <w:color w:val="000000" w:themeColor="text1"/>
          <w:szCs w:val="24"/>
        </w:rPr>
        <w:t>replacement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3EEF">
        <w:rPr>
          <w:rFonts w:cs="Times New Roman"/>
          <w:color w:val="000000" w:themeColor="text1"/>
          <w:szCs w:val="24"/>
        </w:rPr>
        <w:t>parts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577BA">
        <w:rPr>
          <w:rFonts w:cs="Times New Roman"/>
          <w:color w:val="000000" w:themeColor="text1"/>
          <w:szCs w:val="24"/>
        </w:rPr>
        <w:t>o</w:t>
      </w:r>
      <w:r w:rsidRPr="00C317BB" w:rsidR="00153EEF">
        <w:rPr>
          <w:rFonts w:cs="Times New Roman"/>
          <w:color w:val="000000" w:themeColor="text1"/>
          <w:szCs w:val="24"/>
        </w:rPr>
        <w:t>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14FA3">
        <w:rPr>
          <w:rFonts w:cs="Times New Roman"/>
          <w:color w:val="000000" w:themeColor="text1"/>
          <w:szCs w:val="24"/>
        </w:rPr>
        <w:t>utility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A7AC0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A7AC0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14FA3">
        <w:rPr>
          <w:rFonts w:cs="Times New Roman"/>
          <w:color w:val="000000" w:themeColor="text1"/>
          <w:szCs w:val="24"/>
        </w:rPr>
        <w:t>vehicle</w:t>
      </w:r>
      <w:r w:rsidRPr="00C317BB" w:rsidR="00153EEF">
        <w:rPr>
          <w:rFonts w:cs="Times New Roman"/>
          <w:color w:val="000000" w:themeColor="text1"/>
          <w:szCs w:val="24"/>
        </w:rPr>
        <w:t>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14FA3">
        <w:rPr>
          <w:rFonts w:cs="Times New Roman"/>
          <w:color w:val="000000" w:themeColor="text1"/>
          <w:szCs w:val="24"/>
        </w:rPr>
        <w:t>Oilfield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14FA3">
        <w:rPr>
          <w:rFonts w:cs="Times New Roman"/>
          <w:color w:val="000000" w:themeColor="text1"/>
          <w:szCs w:val="24"/>
        </w:rPr>
        <w:t>b</w:t>
      </w:r>
      <w:r w:rsidRPr="00C317BB" w:rsidR="00EF4894">
        <w:rPr>
          <w:rFonts w:cs="Times New Roman"/>
          <w:color w:val="000000" w:themeColor="text1"/>
          <w:szCs w:val="24"/>
        </w:rPr>
        <w:t>rake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F4894">
        <w:rPr>
          <w:rFonts w:cs="Times New Roman"/>
          <w:color w:val="000000" w:themeColor="text1"/>
          <w:szCs w:val="24"/>
        </w:rPr>
        <w:t>blocks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14FA3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14FA3">
        <w:rPr>
          <w:rFonts w:cs="Times New Roman"/>
          <w:color w:val="000000" w:themeColor="text1"/>
          <w:szCs w:val="24"/>
        </w:rPr>
        <w:t>replacement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14FA3">
        <w:rPr>
          <w:rFonts w:cs="Times New Roman"/>
          <w:color w:val="000000" w:themeColor="text1"/>
          <w:szCs w:val="24"/>
        </w:rPr>
        <w:t>parts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14FA3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14FA3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14FA3">
        <w:rPr>
          <w:rFonts w:cs="Times New Roman"/>
          <w:color w:val="000000" w:themeColor="text1"/>
          <w:szCs w:val="24"/>
        </w:rPr>
        <w:t>drilling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14FA3">
        <w:rPr>
          <w:rFonts w:cs="Times New Roman"/>
          <w:color w:val="000000" w:themeColor="text1"/>
          <w:szCs w:val="24"/>
        </w:rPr>
        <w:t>rigs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14FA3">
        <w:rPr>
          <w:rFonts w:cs="Times New Roman"/>
          <w:color w:val="000000" w:themeColor="text1"/>
          <w:szCs w:val="24"/>
        </w:rPr>
        <w:t>used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14FA3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14FA3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14FA3">
        <w:rPr>
          <w:rFonts w:cs="Times New Roman"/>
          <w:color w:val="000000" w:themeColor="text1"/>
          <w:szCs w:val="24"/>
        </w:rPr>
        <w:t>oil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14FA3">
        <w:rPr>
          <w:rFonts w:cs="Times New Roman"/>
          <w:color w:val="000000" w:themeColor="text1"/>
          <w:szCs w:val="24"/>
        </w:rPr>
        <w:t>industry.</w:t>
      </w:r>
      <w:r w:rsidR="005613B2">
        <w:rPr>
          <w:rFonts w:cs="Times New Roman"/>
          <w:szCs w:val="24"/>
        </w:rPr>
        <w:t xml:space="preserve"> </w:t>
      </w:r>
      <w:r w:rsidRPr="00C317BB" w:rsidR="00B8638C">
        <w:rPr>
          <w:rFonts w:cs="Times New Roman"/>
          <w:color w:val="000000" w:themeColor="text1"/>
          <w:szCs w:val="24"/>
        </w:rPr>
        <w:t>These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8638C">
        <w:rPr>
          <w:rFonts w:cs="Times New Roman"/>
          <w:color w:val="000000" w:themeColor="text1"/>
          <w:szCs w:val="24"/>
        </w:rPr>
        <w:t>vehicles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8638C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8638C">
        <w:rPr>
          <w:rFonts w:cs="Times New Roman"/>
          <w:color w:val="000000" w:themeColor="text1"/>
          <w:szCs w:val="24"/>
        </w:rPr>
        <w:t>drilling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8638C">
        <w:rPr>
          <w:rFonts w:cs="Times New Roman"/>
          <w:color w:val="000000" w:themeColor="text1"/>
          <w:szCs w:val="24"/>
        </w:rPr>
        <w:t>rigs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8638C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8638C">
        <w:rPr>
          <w:rFonts w:cs="Times New Roman"/>
          <w:color w:val="000000" w:themeColor="text1"/>
          <w:szCs w:val="24"/>
        </w:rPr>
        <w:t>composed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8638C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8638C">
        <w:rPr>
          <w:rFonts w:cs="Times New Roman"/>
          <w:color w:val="000000" w:themeColor="text1"/>
          <w:szCs w:val="24"/>
        </w:rPr>
        <w:t>numerous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8638C">
        <w:rPr>
          <w:rFonts w:cs="Times New Roman"/>
          <w:color w:val="000000" w:themeColor="text1"/>
          <w:szCs w:val="24"/>
        </w:rPr>
        <w:t>components,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8638C">
        <w:rPr>
          <w:rFonts w:cs="Times New Roman"/>
          <w:color w:val="000000" w:themeColor="text1"/>
          <w:szCs w:val="24"/>
        </w:rPr>
        <w:t>manufactured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8638C">
        <w:rPr>
          <w:rFonts w:cs="Times New Roman"/>
          <w:color w:val="000000" w:themeColor="text1"/>
          <w:szCs w:val="24"/>
        </w:rPr>
        <w:t>separately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8638C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8638C">
        <w:rPr>
          <w:rFonts w:cs="Times New Roman"/>
          <w:color w:val="000000" w:themeColor="text1"/>
          <w:szCs w:val="24"/>
        </w:rPr>
        <w:t>assembled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8638C">
        <w:rPr>
          <w:rFonts w:cs="Times New Roman"/>
          <w:color w:val="000000" w:themeColor="text1"/>
          <w:szCs w:val="24"/>
        </w:rPr>
        <w:t>together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8638C">
        <w:rPr>
          <w:rFonts w:cs="Times New Roman"/>
          <w:color w:val="000000" w:themeColor="text1"/>
          <w:szCs w:val="24"/>
        </w:rPr>
        <w:t>into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8638C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8638C">
        <w:rPr>
          <w:rFonts w:cs="Times New Roman"/>
          <w:color w:val="000000" w:themeColor="text1"/>
          <w:szCs w:val="24"/>
        </w:rPr>
        <w:t>machine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8638C">
        <w:rPr>
          <w:rFonts w:cs="Times New Roman"/>
          <w:color w:val="000000" w:themeColor="text1"/>
          <w:szCs w:val="24"/>
        </w:rPr>
        <w:t>designed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8638C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8638C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8638C">
        <w:rPr>
          <w:rFonts w:cs="Times New Roman"/>
          <w:color w:val="000000" w:themeColor="text1"/>
          <w:szCs w:val="24"/>
        </w:rPr>
        <w:t>useful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8638C">
        <w:rPr>
          <w:rFonts w:cs="Times New Roman"/>
          <w:color w:val="000000" w:themeColor="text1"/>
          <w:szCs w:val="24"/>
        </w:rPr>
        <w:t>life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8638C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8638C">
        <w:rPr>
          <w:rFonts w:cs="Times New Roman"/>
          <w:color w:val="000000" w:themeColor="text1"/>
          <w:szCs w:val="24"/>
        </w:rPr>
        <w:t>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8638C">
        <w:rPr>
          <w:rFonts w:cs="Times New Roman"/>
          <w:color w:val="000000" w:themeColor="text1"/>
          <w:szCs w:val="24"/>
        </w:rPr>
        <w:t>least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8638C">
        <w:rPr>
          <w:rFonts w:cs="Times New Roman"/>
          <w:color w:val="000000" w:themeColor="text1"/>
          <w:szCs w:val="24"/>
        </w:rPr>
        <w:t>three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8638C">
        <w:rPr>
          <w:rFonts w:cs="Times New Roman"/>
          <w:color w:val="000000" w:themeColor="text1"/>
          <w:szCs w:val="24"/>
        </w:rPr>
        <w:t>years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8638C">
        <w:rPr>
          <w:rFonts w:cs="Times New Roman"/>
          <w:color w:val="000000" w:themeColor="text1"/>
          <w:szCs w:val="24"/>
        </w:rPr>
        <w:t>if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8638C">
        <w:rPr>
          <w:rFonts w:cs="Times New Roman"/>
          <w:color w:val="000000" w:themeColor="text1"/>
          <w:szCs w:val="24"/>
        </w:rPr>
        <w:t>properly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8638C">
        <w:rPr>
          <w:rFonts w:cs="Times New Roman"/>
          <w:color w:val="000000" w:themeColor="text1"/>
          <w:szCs w:val="24"/>
        </w:rPr>
        <w:t>maintained.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8638C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8638C">
        <w:rPr>
          <w:rFonts w:cs="Times New Roman"/>
          <w:color w:val="000000" w:themeColor="text1"/>
          <w:szCs w:val="24"/>
        </w:rPr>
        <w:t>their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8638C">
        <w:rPr>
          <w:rFonts w:cs="Times New Roman"/>
          <w:color w:val="000000" w:themeColor="text1"/>
          <w:szCs w:val="24"/>
        </w:rPr>
        <w:t>nature,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8638C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8638C">
        <w:rPr>
          <w:rFonts w:cs="Times New Roman"/>
          <w:color w:val="000000" w:themeColor="text1"/>
          <w:szCs w:val="24"/>
        </w:rPr>
        <w:t>believes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8638C">
        <w:rPr>
          <w:rFonts w:cs="Times New Roman"/>
          <w:color w:val="000000" w:themeColor="text1"/>
          <w:szCs w:val="24"/>
        </w:rPr>
        <w:t>these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8638C">
        <w:rPr>
          <w:rFonts w:cs="Times New Roman"/>
          <w:color w:val="000000" w:themeColor="text1"/>
          <w:szCs w:val="24"/>
        </w:rPr>
        <w:t>meet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8638C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8638C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8638C">
        <w:rPr>
          <w:rFonts w:cs="Times New Roman"/>
          <w:color w:val="000000" w:themeColor="text1"/>
          <w:szCs w:val="24"/>
        </w:rPr>
        <w:t>definition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8638C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8638C">
        <w:rPr>
          <w:rFonts w:cs="Times New Roman"/>
          <w:color w:val="000000" w:themeColor="text1"/>
          <w:szCs w:val="24"/>
        </w:rPr>
        <w:t>complex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8638C">
        <w:rPr>
          <w:rFonts w:cs="Times New Roman"/>
          <w:color w:val="000000" w:themeColor="text1"/>
          <w:szCs w:val="24"/>
        </w:rPr>
        <w:t>durable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8638C">
        <w:rPr>
          <w:rFonts w:cs="Times New Roman"/>
          <w:color w:val="000000" w:themeColor="text1"/>
          <w:szCs w:val="24"/>
        </w:rPr>
        <w:t>goods.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0C6A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D429C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76C72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76C72">
        <w:rPr>
          <w:rFonts w:cs="Times New Roman"/>
          <w:color w:val="000000" w:themeColor="text1"/>
          <w:szCs w:val="24"/>
        </w:rPr>
        <w:t>Evaluation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76C72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76C72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76C72">
        <w:rPr>
          <w:rFonts w:cs="Times New Roman"/>
          <w:color w:val="000000" w:themeColor="text1"/>
          <w:szCs w:val="24"/>
        </w:rPr>
        <w:t>Part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76C72">
        <w:rPr>
          <w:rFonts w:cs="Times New Roman"/>
          <w:color w:val="000000" w:themeColor="text1"/>
          <w:szCs w:val="24"/>
        </w:rPr>
        <w:t>1: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76C72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76C72">
        <w:rPr>
          <w:rFonts w:cs="Times New Roman"/>
          <w:color w:val="000000" w:themeColor="text1"/>
          <w:szCs w:val="24"/>
        </w:rPr>
        <w:t>Asbestos,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D50CC">
        <w:rPr>
          <w:rFonts w:cs="Times New Roman"/>
          <w:color w:val="000000" w:themeColor="text1"/>
          <w:szCs w:val="24"/>
        </w:rPr>
        <w:t>however,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560F0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560F0">
        <w:rPr>
          <w:rFonts w:cs="Times New Roman"/>
          <w:color w:val="000000" w:themeColor="text1"/>
          <w:szCs w:val="24"/>
        </w:rPr>
        <w:t>found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203C6">
        <w:rPr>
          <w:rFonts w:cs="Times New Roman"/>
          <w:color w:val="000000" w:themeColor="text1"/>
          <w:szCs w:val="24"/>
        </w:rPr>
        <w:t>unreasonable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203C6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D429C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11B4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00E42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00E42">
        <w:rPr>
          <w:rFonts w:cs="Times New Roman"/>
          <w:color w:val="000000" w:themeColor="text1"/>
          <w:szCs w:val="24"/>
        </w:rPr>
        <w:t>disposal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11B4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3E78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3E78">
        <w:rPr>
          <w:rFonts w:cs="Times New Roman"/>
          <w:color w:val="000000" w:themeColor="text1"/>
          <w:szCs w:val="24"/>
        </w:rPr>
        <w:t>asbestos-containing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3E78">
        <w:rPr>
          <w:rFonts w:cs="Times New Roman"/>
          <w:color w:val="000000" w:themeColor="text1"/>
          <w:szCs w:val="24"/>
        </w:rPr>
        <w:t>brake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3E78">
        <w:rPr>
          <w:rFonts w:cs="Times New Roman"/>
          <w:color w:val="000000" w:themeColor="text1"/>
          <w:szCs w:val="24"/>
        </w:rPr>
        <w:t>blocks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3E78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3E78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3E78">
        <w:rPr>
          <w:rFonts w:cs="Times New Roman"/>
          <w:color w:val="000000" w:themeColor="text1"/>
          <w:szCs w:val="24"/>
        </w:rPr>
        <w:t>oil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3E78">
        <w:rPr>
          <w:rFonts w:cs="Times New Roman"/>
          <w:color w:val="000000" w:themeColor="text1"/>
          <w:szCs w:val="24"/>
        </w:rPr>
        <w:t>industry;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3E78">
        <w:rPr>
          <w:rFonts w:cs="Times New Roman"/>
          <w:color w:val="000000" w:themeColor="text1"/>
          <w:szCs w:val="24"/>
        </w:rPr>
        <w:t>aftermarket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3E78">
        <w:rPr>
          <w:rFonts w:cs="Times New Roman"/>
          <w:color w:val="000000" w:themeColor="text1"/>
          <w:szCs w:val="24"/>
        </w:rPr>
        <w:t>automotive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3E78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3E78">
        <w:rPr>
          <w:rFonts w:cs="Times New Roman"/>
          <w:color w:val="000000" w:themeColor="text1"/>
          <w:szCs w:val="24"/>
        </w:rPr>
        <w:t>asbestos-containing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3E78">
        <w:rPr>
          <w:rFonts w:cs="Times New Roman"/>
          <w:color w:val="000000" w:themeColor="text1"/>
          <w:szCs w:val="24"/>
        </w:rPr>
        <w:t>brakes/linings;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F1B02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3E78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3E78">
        <w:rPr>
          <w:rFonts w:cs="Times New Roman"/>
          <w:color w:val="000000" w:themeColor="text1"/>
          <w:szCs w:val="24"/>
        </w:rPr>
        <w:t>asbestos-containing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83E78">
        <w:rPr>
          <w:rFonts w:cs="Times New Roman"/>
          <w:color w:val="000000" w:themeColor="text1"/>
          <w:szCs w:val="24"/>
        </w:rPr>
        <w:t>gaskets</w:t>
      </w:r>
      <w:r w:rsidRPr="00C317BB" w:rsidR="000C405A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D50CC">
        <w:rPr>
          <w:rFonts w:cs="Times New Roman"/>
          <w:color w:val="000000" w:themeColor="text1"/>
          <w:szCs w:val="24"/>
        </w:rPr>
        <w:t>EPA’s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D50CC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D50CC">
        <w:rPr>
          <w:rFonts w:cs="Times New Roman"/>
          <w:color w:val="000000" w:themeColor="text1"/>
          <w:szCs w:val="24"/>
        </w:rPr>
        <w:t>evaluation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D50CC">
        <w:rPr>
          <w:rFonts w:cs="Times New Roman"/>
          <w:color w:val="000000" w:themeColor="text1"/>
          <w:szCs w:val="24"/>
        </w:rPr>
        <w:t>evaluated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D50CC">
        <w:rPr>
          <w:rFonts w:cs="Times New Roman"/>
          <w:color w:val="000000" w:themeColor="text1"/>
          <w:szCs w:val="24"/>
        </w:rPr>
        <w:t>scenarios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D50CC">
        <w:rPr>
          <w:rFonts w:cs="Times New Roman"/>
          <w:color w:val="000000" w:themeColor="text1"/>
          <w:szCs w:val="24"/>
        </w:rPr>
        <w:t>involving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D50CC">
        <w:rPr>
          <w:rFonts w:cs="Times New Roman"/>
          <w:color w:val="000000" w:themeColor="text1"/>
          <w:szCs w:val="24"/>
        </w:rPr>
        <w:t>these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A15BE">
        <w:rPr>
          <w:rFonts w:cs="Times New Roman"/>
          <w:color w:val="000000" w:themeColor="text1"/>
          <w:szCs w:val="24"/>
        </w:rPr>
        <w:t>replacement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A15BE">
        <w:rPr>
          <w:rFonts w:cs="Times New Roman"/>
          <w:color w:val="000000" w:themeColor="text1"/>
          <w:szCs w:val="24"/>
        </w:rPr>
        <w:t>parts,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A15BE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4ADE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D5ED6">
        <w:rPr>
          <w:rFonts w:cs="Times New Roman"/>
          <w:color w:val="000000" w:themeColor="text1"/>
          <w:szCs w:val="24"/>
        </w:rPr>
        <w:t>proposes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D5ED6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4ADE">
        <w:rPr>
          <w:rFonts w:cs="Times New Roman"/>
          <w:color w:val="000000" w:themeColor="text1"/>
          <w:szCs w:val="24"/>
        </w:rPr>
        <w:t>find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64ADE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D50CC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B6EB8">
        <w:rPr>
          <w:rFonts w:cs="Times New Roman"/>
          <w:color w:val="000000" w:themeColor="text1"/>
          <w:szCs w:val="24"/>
        </w:rPr>
        <w:t>replacement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B6EB8">
        <w:rPr>
          <w:rFonts w:cs="Times New Roman"/>
          <w:color w:val="000000" w:themeColor="text1"/>
          <w:szCs w:val="24"/>
        </w:rPr>
        <w:t>parts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B6EB8">
        <w:rPr>
          <w:rFonts w:cs="Times New Roman"/>
          <w:color w:val="000000" w:themeColor="text1"/>
          <w:szCs w:val="24"/>
        </w:rPr>
        <w:t>contribute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B6EB8">
        <w:rPr>
          <w:rFonts w:cs="Times New Roman"/>
          <w:color w:val="000000" w:themeColor="text1"/>
          <w:szCs w:val="24"/>
        </w:rPr>
        <w:t>significantly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B6EB8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B6EB8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17AA9">
        <w:rPr>
          <w:rFonts w:cs="Times New Roman"/>
          <w:color w:val="000000" w:themeColor="text1"/>
          <w:szCs w:val="24"/>
        </w:rPr>
        <w:t>identified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D689F">
        <w:rPr>
          <w:rFonts w:cs="Times New Roman"/>
          <w:color w:val="000000" w:themeColor="text1"/>
          <w:szCs w:val="24"/>
        </w:rPr>
        <w:t>unreasonable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17AA9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17AA9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17AA9">
        <w:rPr>
          <w:rFonts w:cs="Times New Roman"/>
          <w:color w:val="000000" w:themeColor="text1"/>
          <w:szCs w:val="24"/>
        </w:rPr>
        <w:t>these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B3A6B">
        <w:rPr>
          <w:rFonts w:cs="Times New Roman"/>
          <w:color w:val="000000" w:themeColor="text1"/>
          <w:szCs w:val="24"/>
        </w:rPr>
        <w:t>conditions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B3A6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B3A6B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902E5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902E5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902E5">
        <w:rPr>
          <w:rFonts w:cs="Times New Roman"/>
          <w:color w:val="000000" w:themeColor="text1"/>
          <w:szCs w:val="24"/>
        </w:rPr>
        <w:t>potentially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902E5">
        <w:rPr>
          <w:rFonts w:cs="Times New Roman"/>
          <w:color w:val="000000" w:themeColor="text1"/>
          <w:szCs w:val="24"/>
        </w:rPr>
        <w:t>exposed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902E5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902E5">
        <w:rPr>
          <w:rFonts w:cs="Times New Roman"/>
          <w:color w:val="000000" w:themeColor="text1"/>
          <w:szCs w:val="24"/>
        </w:rPr>
        <w:t>susceptible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902E5">
        <w:rPr>
          <w:rFonts w:cs="Times New Roman"/>
          <w:color w:val="000000" w:themeColor="text1"/>
          <w:szCs w:val="24"/>
        </w:rPr>
        <w:t>subpopulations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902E5">
        <w:rPr>
          <w:rFonts w:cs="Times New Roman"/>
          <w:color w:val="000000" w:themeColor="text1"/>
          <w:szCs w:val="24"/>
        </w:rPr>
        <w:t>identified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902E5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902E5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902E5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902E5">
        <w:rPr>
          <w:rFonts w:cs="Times New Roman"/>
          <w:color w:val="000000" w:themeColor="text1"/>
          <w:szCs w:val="24"/>
        </w:rPr>
        <w:t>evaluation</w:t>
      </w:r>
      <w:r w:rsidRPr="00C317BB" w:rsidR="00BB3A6B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516817" w:rsidP="00F27167" w:rsidRDefault="005D23EA" w14:paraId="5A5DBDDA" w14:textId="32C4361C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Accordingly,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exempting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replacement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parts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regulation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rule.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154661" w:rsidP="00F27167" w:rsidRDefault="00D52EC3" w14:paraId="6A6BF5E7" w14:textId="676C269B">
      <w:pPr>
        <w:pStyle w:val="Heading2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E.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Article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724F">
        <w:rPr>
          <w:rFonts w:cs="Times New Roman"/>
          <w:color w:val="000000" w:themeColor="text1"/>
          <w:szCs w:val="24"/>
        </w:rPr>
        <w:t>c</w:t>
      </w:r>
      <w:r w:rsidRPr="00C317BB" w:rsidR="00516817">
        <w:rPr>
          <w:rFonts w:cs="Times New Roman"/>
          <w:color w:val="000000" w:themeColor="text1"/>
          <w:szCs w:val="24"/>
        </w:rPr>
        <w:t>onsiderations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6817">
        <w:rPr>
          <w:rFonts w:cs="Times New Roman"/>
          <w:color w:val="000000" w:themeColor="text1"/>
          <w:szCs w:val="24"/>
        </w:rPr>
        <w:t>un</w:t>
      </w:r>
      <w:r w:rsidRPr="00C317BB" w:rsidR="00AD24DF">
        <w:rPr>
          <w:rFonts w:cs="Times New Roman"/>
          <w:color w:val="000000" w:themeColor="text1"/>
          <w:szCs w:val="24"/>
        </w:rPr>
        <w:t>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24DF">
        <w:rPr>
          <w:rFonts w:cs="Times New Roman"/>
          <w:color w:val="000000" w:themeColor="text1"/>
          <w:szCs w:val="24"/>
        </w:rPr>
        <w:t>TS</w:t>
      </w:r>
      <w:r w:rsidRPr="00C317BB" w:rsidR="00516817">
        <w:rPr>
          <w:rFonts w:cs="Times New Roman"/>
          <w:color w:val="000000" w:themeColor="text1"/>
          <w:szCs w:val="24"/>
        </w:rPr>
        <w:t>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F1AA8">
        <w:rPr>
          <w:rFonts w:cs="Times New Roman"/>
          <w:color w:val="000000" w:themeColor="text1"/>
          <w:szCs w:val="24"/>
        </w:rPr>
        <w:t>s</w:t>
      </w:r>
      <w:r w:rsidRPr="00C317BB" w:rsidR="00516817">
        <w:rPr>
          <w:rFonts w:cs="Times New Roman"/>
          <w:color w:val="000000" w:themeColor="text1"/>
          <w:szCs w:val="24"/>
        </w:rPr>
        <w:t>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6817">
        <w:rPr>
          <w:rFonts w:cs="Times New Roman"/>
          <w:color w:val="000000" w:themeColor="text1"/>
          <w:szCs w:val="24"/>
        </w:rPr>
        <w:t>6(c)(2)(E)</w:t>
      </w:r>
    </w:p>
    <w:p w:rsidRPr="00C317BB" w:rsidR="00CB5CB1" w:rsidP="00F27167" w:rsidRDefault="007B713B" w14:paraId="281C7EA3" w14:textId="68D27858">
      <w:pPr>
        <w:pStyle w:val="NormalWeb"/>
        <w:shd w:val="clear" w:color="auto" w:fill="FFFFFF"/>
        <w:spacing w:before="0" w:beforeAutospacing="0" w:after="0" w:afterAutospacing="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ab/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81972">
        <w:rPr>
          <w:rFonts w:cs="Times New Roman"/>
          <w:color w:val="000000" w:themeColor="text1"/>
          <w:szCs w:val="24"/>
        </w:rPr>
        <w:t>proposing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81972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5C4E">
        <w:rPr>
          <w:rFonts w:cs="Times New Roman"/>
          <w:color w:val="000000" w:themeColor="text1"/>
          <w:szCs w:val="24"/>
        </w:rPr>
        <w:t>regulate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5C4E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5C4E">
        <w:rPr>
          <w:rFonts w:cs="Times New Roman"/>
          <w:color w:val="000000" w:themeColor="text1"/>
          <w:szCs w:val="24"/>
        </w:rPr>
        <w:t>manufacture,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5C4E">
        <w:rPr>
          <w:rFonts w:cs="Times New Roman"/>
          <w:color w:val="000000" w:themeColor="text1"/>
          <w:szCs w:val="24"/>
        </w:rPr>
        <w:t>processing,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5C4E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5C4E">
        <w:rPr>
          <w:rFonts w:cs="Times New Roman"/>
          <w:color w:val="000000" w:themeColor="text1"/>
          <w:szCs w:val="24"/>
        </w:rPr>
        <w:t>distribution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5C4E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5C4E">
        <w:rPr>
          <w:rFonts w:cs="Times New Roman"/>
          <w:color w:val="000000" w:themeColor="text1"/>
          <w:szCs w:val="24"/>
        </w:rPr>
        <w:t>commerce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5C4E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5C4E">
        <w:rPr>
          <w:rFonts w:cs="Times New Roman"/>
          <w:color w:val="000000" w:themeColor="text1"/>
          <w:szCs w:val="24"/>
        </w:rPr>
        <w:t>articles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5C4E">
        <w:rPr>
          <w:rFonts w:cs="Times New Roman"/>
          <w:color w:val="000000" w:themeColor="text1"/>
          <w:szCs w:val="24"/>
        </w:rPr>
        <w:t>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5C4E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24DF">
        <w:rPr>
          <w:rFonts w:cs="Times New Roman"/>
          <w:color w:val="000000" w:themeColor="text1"/>
          <w:szCs w:val="24"/>
        </w:rPr>
        <w:t>asbest</w:t>
      </w:r>
      <w:r w:rsidRPr="00C317BB" w:rsidR="00DD5C4E">
        <w:rPr>
          <w:rFonts w:cs="Times New Roman"/>
          <w:color w:val="000000" w:themeColor="text1"/>
          <w:szCs w:val="24"/>
        </w:rPr>
        <w:t>os.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5C4E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5C4E">
        <w:rPr>
          <w:rFonts w:cs="Times New Roman"/>
          <w:color w:val="000000" w:themeColor="text1"/>
          <w:szCs w:val="24"/>
        </w:rPr>
        <w:t>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5C4E">
        <w:rPr>
          <w:rFonts w:cs="Times New Roman"/>
          <w:color w:val="000000" w:themeColor="text1"/>
          <w:szCs w:val="24"/>
        </w:rPr>
        <w:t>6(c)(2)(E)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81972">
        <w:rPr>
          <w:rFonts w:cs="Times New Roman"/>
          <w:color w:val="000000" w:themeColor="text1"/>
          <w:szCs w:val="24"/>
        </w:rPr>
        <w:t>states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81972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81972">
        <w:rPr>
          <w:rFonts w:cs="Times New Roman"/>
          <w:color w:val="000000" w:themeColor="text1"/>
          <w:szCs w:val="24"/>
        </w:rPr>
        <w:t>i</w:t>
      </w:r>
      <w:r w:rsidRPr="00C317BB" w:rsidR="00821089">
        <w:rPr>
          <w:rFonts w:cs="Times New Roman"/>
          <w:color w:val="000000" w:themeColor="text1"/>
          <w:szCs w:val="24"/>
        </w:rPr>
        <w:t>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1089">
        <w:rPr>
          <w:rFonts w:cs="Times New Roman"/>
          <w:color w:val="000000" w:themeColor="text1"/>
          <w:szCs w:val="24"/>
        </w:rPr>
        <w:t>selecting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1089">
        <w:rPr>
          <w:rFonts w:cs="Times New Roman"/>
          <w:color w:val="000000" w:themeColor="text1"/>
          <w:szCs w:val="24"/>
        </w:rPr>
        <w:t>among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1089">
        <w:rPr>
          <w:rFonts w:cs="Times New Roman"/>
          <w:color w:val="000000" w:themeColor="text1"/>
          <w:szCs w:val="24"/>
        </w:rPr>
        <w:t>prohibitions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1089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1089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1089">
        <w:rPr>
          <w:rFonts w:cs="Times New Roman"/>
          <w:color w:val="000000" w:themeColor="text1"/>
          <w:szCs w:val="24"/>
        </w:rPr>
        <w:t>restrictions,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1089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1089">
        <w:rPr>
          <w:rFonts w:cs="Times New Roman"/>
          <w:color w:val="000000" w:themeColor="text1"/>
          <w:szCs w:val="24"/>
        </w:rPr>
        <w:t>Administrator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1089">
        <w:rPr>
          <w:rFonts w:cs="Times New Roman"/>
          <w:color w:val="000000" w:themeColor="text1"/>
          <w:szCs w:val="24"/>
        </w:rPr>
        <w:t>shall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1089">
        <w:rPr>
          <w:rFonts w:cs="Times New Roman"/>
          <w:color w:val="000000" w:themeColor="text1"/>
          <w:szCs w:val="24"/>
        </w:rPr>
        <w:t>apply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1089">
        <w:rPr>
          <w:rFonts w:cs="Times New Roman"/>
          <w:color w:val="000000" w:themeColor="text1"/>
          <w:szCs w:val="24"/>
        </w:rPr>
        <w:t>such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1089">
        <w:rPr>
          <w:rFonts w:cs="Times New Roman"/>
          <w:color w:val="000000" w:themeColor="text1"/>
          <w:szCs w:val="24"/>
        </w:rPr>
        <w:t>prohibitions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1089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1089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1089">
        <w:rPr>
          <w:rFonts w:cs="Times New Roman"/>
          <w:color w:val="000000" w:themeColor="text1"/>
          <w:szCs w:val="24"/>
        </w:rPr>
        <w:t>restrictions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1089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1089">
        <w:rPr>
          <w:rFonts w:cs="Times New Roman"/>
          <w:color w:val="000000" w:themeColor="text1"/>
          <w:szCs w:val="24"/>
        </w:rPr>
        <w:t>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1089">
        <w:rPr>
          <w:rFonts w:cs="Times New Roman"/>
          <w:color w:val="000000" w:themeColor="text1"/>
          <w:szCs w:val="24"/>
        </w:rPr>
        <w:t>article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1089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1089">
        <w:rPr>
          <w:rFonts w:cs="Times New Roman"/>
          <w:color w:val="000000" w:themeColor="text1"/>
          <w:szCs w:val="24"/>
        </w:rPr>
        <w:t>category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1089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1089">
        <w:rPr>
          <w:rFonts w:cs="Times New Roman"/>
          <w:color w:val="000000" w:themeColor="text1"/>
          <w:szCs w:val="24"/>
        </w:rPr>
        <w:t>articles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1089">
        <w:rPr>
          <w:rFonts w:cs="Times New Roman"/>
          <w:color w:val="000000" w:themeColor="text1"/>
          <w:szCs w:val="24"/>
        </w:rPr>
        <w:t>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1089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1089">
        <w:rPr>
          <w:rFonts w:cs="Times New Roman"/>
          <w:color w:val="000000" w:themeColor="text1"/>
          <w:szCs w:val="24"/>
        </w:rPr>
        <w:t>chemical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1089">
        <w:rPr>
          <w:rFonts w:cs="Times New Roman"/>
          <w:color w:val="000000" w:themeColor="text1"/>
          <w:szCs w:val="24"/>
        </w:rPr>
        <w:t>substance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1089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1089">
        <w:rPr>
          <w:rFonts w:cs="Times New Roman"/>
          <w:color w:val="000000" w:themeColor="text1"/>
          <w:szCs w:val="24"/>
        </w:rPr>
        <w:t>mixture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1089">
        <w:rPr>
          <w:rFonts w:cs="Times New Roman"/>
          <w:color w:val="000000" w:themeColor="text1"/>
          <w:szCs w:val="24"/>
        </w:rPr>
        <w:t>only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1089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1089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1089">
        <w:rPr>
          <w:rFonts w:cs="Times New Roman"/>
          <w:color w:val="000000" w:themeColor="text1"/>
          <w:szCs w:val="24"/>
        </w:rPr>
        <w:t>extent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1089">
        <w:rPr>
          <w:rFonts w:cs="Times New Roman"/>
          <w:color w:val="000000" w:themeColor="text1"/>
          <w:szCs w:val="24"/>
        </w:rPr>
        <w:t>necessary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1089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1089">
        <w:rPr>
          <w:rFonts w:cs="Times New Roman"/>
          <w:color w:val="000000" w:themeColor="text1"/>
          <w:szCs w:val="24"/>
        </w:rPr>
        <w:t>address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1089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1089">
        <w:rPr>
          <w:rFonts w:cs="Times New Roman"/>
          <w:color w:val="000000" w:themeColor="text1"/>
          <w:szCs w:val="24"/>
        </w:rPr>
        <w:t>identified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1089">
        <w:rPr>
          <w:rFonts w:cs="Times New Roman"/>
          <w:color w:val="000000" w:themeColor="text1"/>
          <w:szCs w:val="24"/>
        </w:rPr>
        <w:t>risks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1089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1089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1089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1089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1089">
        <w:rPr>
          <w:rFonts w:cs="Times New Roman"/>
          <w:color w:val="000000" w:themeColor="text1"/>
          <w:szCs w:val="24"/>
        </w:rPr>
        <w:t>chemical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1089">
        <w:rPr>
          <w:rFonts w:cs="Times New Roman"/>
          <w:color w:val="000000" w:themeColor="text1"/>
          <w:szCs w:val="24"/>
        </w:rPr>
        <w:t>substance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1089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1089">
        <w:rPr>
          <w:rFonts w:cs="Times New Roman"/>
          <w:color w:val="000000" w:themeColor="text1"/>
          <w:szCs w:val="24"/>
        </w:rPr>
        <w:t>mixture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1089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1089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1089">
        <w:rPr>
          <w:rFonts w:cs="Times New Roman"/>
          <w:color w:val="000000" w:themeColor="text1"/>
          <w:szCs w:val="24"/>
        </w:rPr>
        <w:t>article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1089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1089">
        <w:rPr>
          <w:rFonts w:cs="Times New Roman"/>
          <w:color w:val="000000" w:themeColor="text1"/>
          <w:szCs w:val="24"/>
        </w:rPr>
        <w:t>category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1089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1089">
        <w:rPr>
          <w:rFonts w:cs="Times New Roman"/>
          <w:color w:val="000000" w:themeColor="text1"/>
          <w:szCs w:val="24"/>
        </w:rPr>
        <w:t>articles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1089">
        <w:rPr>
          <w:rFonts w:cs="Times New Roman"/>
          <w:color w:val="000000" w:themeColor="text1"/>
          <w:szCs w:val="24"/>
        </w:rPr>
        <w:t>so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1089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1089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1089">
        <w:rPr>
          <w:rFonts w:cs="Times New Roman"/>
          <w:color w:val="000000" w:themeColor="text1"/>
          <w:szCs w:val="24"/>
        </w:rPr>
        <w:t>substance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1089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1089">
        <w:rPr>
          <w:rFonts w:cs="Times New Roman"/>
          <w:color w:val="000000" w:themeColor="text1"/>
          <w:szCs w:val="24"/>
        </w:rPr>
        <w:t>mixture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1089">
        <w:rPr>
          <w:rFonts w:cs="Times New Roman"/>
          <w:color w:val="000000" w:themeColor="text1"/>
          <w:szCs w:val="24"/>
        </w:rPr>
        <w:t>does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1089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1089">
        <w:rPr>
          <w:rFonts w:cs="Times New Roman"/>
          <w:color w:val="000000" w:themeColor="text1"/>
          <w:szCs w:val="24"/>
        </w:rPr>
        <w:t>present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1089">
        <w:rPr>
          <w:rFonts w:cs="Times New Roman"/>
          <w:color w:val="000000" w:themeColor="text1"/>
          <w:szCs w:val="24"/>
        </w:rPr>
        <w:t>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1089">
        <w:rPr>
          <w:rFonts w:cs="Times New Roman"/>
          <w:color w:val="000000" w:themeColor="text1"/>
          <w:szCs w:val="24"/>
        </w:rPr>
        <w:t>unreasonable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1089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1089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1089">
        <w:rPr>
          <w:rFonts w:cs="Times New Roman"/>
          <w:color w:val="000000" w:themeColor="text1"/>
          <w:szCs w:val="24"/>
        </w:rPr>
        <w:t>injury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1089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1089">
        <w:rPr>
          <w:rFonts w:cs="Times New Roman"/>
          <w:color w:val="000000" w:themeColor="text1"/>
          <w:szCs w:val="24"/>
        </w:rPr>
        <w:t>health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1089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1089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1089">
        <w:rPr>
          <w:rFonts w:cs="Times New Roman"/>
          <w:color w:val="000000" w:themeColor="text1"/>
          <w:szCs w:val="24"/>
        </w:rPr>
        <w:t>environment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1089">
        <w:rPr>
          <w:rFonts w:cs="Times New Roman"/>
          <w:color w:val="000000" w:themeColor="text1"/>
          <w:szCs w:val="24"/>
        </w:rPr>
        <w:t>identified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1089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1089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1089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1089">
        <w:rPr>
          <w:rFonts w:cs="Times New Roman"/>
          <w:color w:val="000000" w:themeColor="text1"/>
          <w:szCs w:val="24"/>
        </w:rPr>
        <w:t>evaluation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1089">
        <w:rPr>
          <w:rFonts w:cs="Times New Roman"/>
          <w:color w:val="000000" w:themeColor="text1"/>
          <w:szCs w:val="24"/>
        </w:rPr>
        <w:t>conducted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1089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1089">
        <w:rPr>
          <w:rFonts w:cs="Times New Roman"/>
          <w:color w:val="000000" w:themeColor="text1"/>
          <w:szCs w:val="24"/>
        </w:rPr>
        <w:t>accordance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1089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1089">
        <w:rPr>
          <w:rFonts w:cs="Times New Roman"/>
          <w:color w:val="000000" w:themeColor="text1"/>
          <w:szCs w:val="24"/>
        </w:rPr>
        <w:t>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1CA3">
        <w:rPr>
          <w:rFonts w:cs="Times New Roman"/>
          <w:color w:val="000000" w:themeColor="text1"/>
          <w:szCs w:val="24"/>
        </w:rPr>
        <w:t>6</w:t>
      </w:r>
      <w:r w:rsidRPr="00C317BB" w:rsidR="00821089">
        <w:rPr>
          <w:rFonts w:cs="Times New Roman"/>
          <w:color w:val="000000" w:themeColor="text1"/>
          <w:szCs w:val="24"/>
        </w:rPr>
        <w:t>(b)(4)(A).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58A2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58A2">
        <w:rPr>
          <w:rFonts w:cs="Times New Roman"/>
          <w:color w:val="000000" w:themeColor="text1"/>
          <w:szCs w:val="24"/>
        </w:rPr>
        <w:t>does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58A2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58A2">
        <w:rPr>
          <w:rFonts w:cs="Times New Roman"/>
          <w:color w:val="000000" w:themeColor="text1"/>
          <w:szCs w:val="24"/>
        </w:rPr>
        <w:t>define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="00C317BB">
        <w:rPr>
          <w:rFonts w:cs="Times New Roman"/>
          <w:color w:val="000000" w:themeColor="text1"/>
          <w:szCs w:val="24"/>
        </w:rPr>
        <w:t>“</w:t>
      </w:r>
      <w:r w:rsidRPr="00C317BB" w:rsidR="00CE58A2">
        <w:rPr>
          <w:rFonts w:cs="Times New Roman"/>
          <w:color w:val="000000" w:themeColor="text1"/>
          <w:szCs w:val="24"/>
        </w:rPr>
        <w:t>article</w:t>
      </w:r>
      <w:r w:rsidRPr="00C317BB" w:rsidR="00CC5B01">
        <w:rPr>
          <w:rFonts w:cs="Times New Roman"/>
          <w:color w:val="000000" w:themeColor="text1"/>
          <w:szCs w:val="24"/>
        </w:rPr>
        <w:t>,</w:t>
      </w:r>
      <w:r w:rsidR="00C317BB">
        <w:rPr>
          <w:rFonts w:cs="Times New Roman"/>
          <w:color w:val="000000" w:themeColor="text1"/>
          <w:szCs w:val="24"/>
        </w:rPr>
        <w:t>”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C5B01">
        <w:rPr>
          <w:rFonts w:cs="Times New Roman"/>
          <w:color w:val="000000" w:themeColor="text1"/>
          <w:szCs w:val="24"/>
        </w:rPr>
        <w:t>but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2141A">
        <w:rPr>
          <w:rFonts w:cs="Times New Roman"/>
          <w:color w:val="000000" w:themeColor="text1"/>
          <w:szCs w:val="24"/>
        </w:rPr>
        <w:t>based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2141A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C5B01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F4977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C5B01">
        <w:rPr>
          <w:rFonts w:cs="Times New Roman"/>
          <w:color w:val="000000" w:themeColor="text1"/>
          <w:szCs w:val="24"/>
        </w:rPr>
        <w:t>definition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C5B01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="00C317BB">
        <w:rPr>
          <w:rFonts w:cs="Times New Roman"/>
          <w:color w:val="000000" w:themeColor="text1"/>
          <w:szCs w:val="24"/>
        </w:rPr>
        <w:t>“</w:t>
      </w:r>
      <w:r w:rsidRPr="00C317BB" w:rsidR="00CC5B01">
        <w:rPr>
          <w:rFonts w:cs="Times New Roman"/>
          <w:color w:val="000000" w:themeColor="text1"/>
          <w:szCs w:val="24"/>
        </w:rPr>
        <w:t>article</w:t>
      </w:r>
      <w:r w:rsidR="00C317BB">
        <w:rPr>
          <w:rFonts w:cs="Times New Roman"/>
          <w:color w:val="000000" w:themeColor="text1"/>
          <w:szCs w:val="24"/>
        </w:rPr>
        <w:t>”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83395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83395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83395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83395">
        <w:rPr>
          <w:rFonts w:cs="Times New Roman"/>
          <w:color w:val="000000" w:themeColor="text1"/>
          <w:szCs w:val="24"/>
        </w:rPr>
        <w:t>rule</w:t>
      </w:r>
      <w:r w:rsidRPr="00C317BB" w:rsidR="0002141A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2141A">
        <w:rPr>
          <w:rFonts w:cs="Times New Roman"/>
          <w:color w:val="000000" w:themeColor="text1"/>
          <w:szCs w:val="24"/>
        </w:rPr>
        <w:t>t</w:t>
      </w:r>
      <w:r w:rsidRPr="00C317BB" w:rsidR="00275A3C">
        <w:rPr>
          <w:rFonts w:cs="Times New Roman"/>
          <w:color w:val="000000" w:themeColor="text1"/>
          <w:szCs w:val="24"/>
        </w:rPr>
        <w:t>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75A3C">
        <w:rPr>
          <w:rFonts w:cs="Times New Roman"/>
          <w:color w:val="000000" w:themeColor="text1"/>
          <w:szCs w:val="24"/>
        </w:rPr>
        <w:t>conditions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75A3C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75A3C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67F32">
        <w:rPr>
          <w:rFonts w:cs="Times New Roman"/>
          <w:color w:val="000000" w:themeColor="text1"/>
          <w:szCs w:val="24"/>
        </w:rPr>
        <w:t>subject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67F32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67F32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67F32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67F32">
        <w:rPr>
          <w:rFonts w:cs="Times New Roman"/>
          <w:color w:val="000000" w:themeColor="text1"/>
          <w:szCs w:val="24"/>
        </w:rPr>
        <w:t>regulation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2141A">
        <w:rPr>
          <w:rFonts w:cs="Times New Roman"/>
          <w:color w:val="000000" w:themeColor="text1"/>
          <w:szCs w:val="24"/>
        </w:rPr>
        <w:t>include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2E35">
        <w:rPr>
          <w:rFonts w:cs="Times New Roman"/>
          <w:color w:val="000000" w:themeColor="text1"/>
          <w:szCs w:val="24"/>
        </w:rPr>
        <w:t>articles,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63703">
        <w:rPr>
          <w:rFonts w:cs="Times New Roman"/>
          <w:color w:val="000000" w:themeColor="text1"/>
          <w:szCs w:val="24"/>
        </w:rPr>
        <w:t>e.g.,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35459">
        <w:rPr>
          <w:rFonts w:cs="Times New Roman"/>
          <w:color w:val="000000" w:themeColor="text1"/>
          <w:szCs w:val="24"/>
        </w:rPr>
        <w:t>sheet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2E35">
        <w:rPr>
          <w:rFonts w:cs="Times New Roman"/>
          <w:color w:val="000000" w:themeColor="text1"/>
          <w:szCs w:val="24"/>
        </w:rPr>
        <w:t>gaskets,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2E35">
        <w:rPr>
          <w:rFonts w:cs="Times New Roman"/>
          <w:color w:val="000000" w:themeColor="text1"/>
          <w:szCs w:val="24"/>
        </w:rPr>
        <w:t>brake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2E35">
        <w:rPr>
          <w:rFonts w:cs="Times New Roman"/>
          <w:color w:val="000000" w:themeColor="text1"/>
          <w:szCs w:val="24"/>
        </w:rPr>
        <w:t>blocks,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2E35">
        <w:rPr>
          <w:rFonts w:cs="Times New Roman"/>
          <w:color w:val="000000" w:themeColor="text1"/>
          <w:szCs w:val="24"/>
        </w:rPr>
        <w:t>brake/linings</w:t>
      </w:r>
      <w:r w:rsidRPr="00C317BB" w:rsidR="00B35459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F505B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F505B">
        <w:rPr>
          <w:rFonts w:cs="Times New Roman"/>
          <w:color w:val="000000" w:themeColor="text1"/>
          <w:szCs w:val="24"/>
        </w:rPr>
        <w:t>gaskets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F505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2E35">
        <w:rPr>
          <w:rFonts w:cs="Times New Roman"/>
          <w:color w:val="000000" w:themeColor="text1"/>
          <w:szCs w:val="24"/>
        </w:rPr>
        <w:t>o</w:t>
      </w:r>
      <w:r w:rsidRPr="00C317BB" w:rsidR="00B35459">
        <w:rPr>
          <w:rFonts w:cs="Times New Roman"/>
          <w:color w:val="000000" w:themeColor="text1"/>
          <w:szCs w:val="24"/>
        </w:rPr>
        <w:t>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2E35">
        <w:rPr>
          <w:rFonts w:cs="Times New Roman"/>
          <w:color w:val="000000" w:themeColor="text1"/>
          <w:szCs w:val="24"/>
        </w:rPr>
        <w:t>vehicle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2E35">
        <w:rPr>
          <w:rFonts w:cs="Times New Roman"/>
          <w:color w:val="000000" w:themeColor="text1"/>
          <w:szCs w:val="24"/>
        </w:rPr>
        <w:t>friction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2E35">
        <w:rPr>
          <w:rFonts w:cs="Times New Roman"/>
          <w:color w:val="000000" w:themeColor="text1"/>
          <w:szCs w:val="24"/>
        </w:rPr>
        <w:t>products.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C76962" w:rsidP="00F27167" w:rsidRDefault="00A92CCF" w14:paraId="131DECA4" w14:textId="7F9984AE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Except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63703">
        <w:rPr>
          <w:rFonts w:cs="Times New Roman"/>
          <w:color w:val="000000" w:themeColor="text1"/>
          <w:szCs w:val="24"/>
        </w:rPr>
        <w:t>bulk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F5DA0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F5DA0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F5DA0">
        <w:rPr>
          <w:rFonts w:cs="Times New Roman"/>
          <w:color w:val="000000" w:themeColor="text1"/>
          <w:szCs w:val="24"/>
        </w:rPr>
        <w:t>imported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B444E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B444E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B444E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B444E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B444E">
        <w:rPr>
          <w:rFonts w:cs="Times New Roman"/>
          <w:color w:val="000000" w:themeColor="text1"/>
          <w:szCs w:val="24"/>
        </w:rPr>
        <w:t>diaphragms,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B444E">
        <w:rPr>
          <w:rFonts w:cs="Times New Roman"/>
          <w:color w:val="000000" w:themeColor="text1"/>
          <w:szCs w:val="24"/>
        </w:rPr>
        <w:t>all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1CA3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1CA3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1CA3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1CA3">
        <w:rPr>
          <w:rFonts w:cs="Times New Roman"/>
          <w:color w:val="000000" w:themeColor="text1"/>
          <w:szCs w:val="24"/>
        </w:rPr>
        <w:t>conditions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1CA3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1CA3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1CA3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1CA3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1CA3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1CA3">
        <w:rPr>
          <w:rFonts w:cs="Times New Roman"/>
          <w:color w:val="000000" w:themeColor="text1"/>
          <w:szCs w:val="24"/>
        </w:rPr>
        <w:t>subject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1CA3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1CA3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1CA3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1CA3">
        <w:rPr>
          <w:rFonts w:cs="Times New Roman"/>
          <w:color w:val="000000" w:themeColor="text1"/>
          <w:szCs w:val="24"/>
        </w:rPr>
        <w:t>regulation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B444E">
        <w:rPr>
          <w:rFonts w:cs="Times New Roman"/>
          <w:color w:val="000000" w:themeColor="text1"/>
          <w:szCs w:val="24"/>
        </w:rPr>
        <w:t>involve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B444E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B444E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B444E">
        <w:rPr>
          <w:rFonts w:cs="Times New Roman"/>
          <w:color w:val="000000" w:themeColor="text1"/>
          <w:szCs w:val="24"/>
        </w:rPr>
        <w:t>and/or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B444E">
        <w:rPr>
          <w:rFonts w:cs="Times New Roman"/>
          <w:color w:val="000000" w:themeColor="text1"/>
          <w:szCs w:val="24"/>
        </w:rPr>
        <w:t>disposal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B444E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58A2">
        <w:rPr>
          <w:rFonts w:cs="Times New Roman"/>
          <w:color w:val="000000" w:themeColor="text1"/>
          <w:szCs w:val="24"/>
        </w:rPr>
        <w:t>products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E58A2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B444E">
        <w:rPr>
          <w:rFonts w:cs="Times New Roman"/>
          <w:color w:val="000000" w:themeColor="text1"/>
          <w:szCs w:val="24"/>
        </w:rPr>
        <w:t>articles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52230">
        <w:rPr>
          <w:rFonts w:cs="Times New Roman"/>
          <w:color w:val="000000" w:themeColor="text1"/>
          <w:szCs w:val="24"/>
        </w:rPr>
        <w:t>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B444E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B444E">
        <w:rPr>
          <w:rFonts w:cs="Times New Roman"/>
          <w:color w:val="000000" w:themeColor="text1"/>
          <w:szCs w:val="24"/>
        </w:rPr>
        <w:t>asbestos.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1585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1585">
        <w:rPr>
          <w:rFonts w:cs="Times New Roman"/>
          <w:color w:val="000000" w:themeColor="text1"/>
          <w:szCs w:val="24"/>
        </w:rPr>
        <w:t>each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1585">
        <w:rPr>
          <w:rFonts w:cs="Times New Roman"/>
          <w:color w:val="000000" w:themeColor="text1"/>
          <w:szCs w:val="24"/>
        </w:rPr>
        <w:t>condition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1585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1585">
        <w:rPr>
          <w:rFonts w:cs="Times New Roman"/>
          <w:color w:val="000000" w:themeColor="text1"/>
          <w:szCs w:val="24"/>
        </w:rPr>
        <w:t>use,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1585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1585">
        <w:rPr>
          <w:rFonts w:cs="Times New Roman"/>
          <w:color w:val="000000" w:themeColor="text1"/>
          <w:szCs w:val="24"/>
        </w:rPr>
        <w:t>article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1585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1585">
        <w:rPr>
          <w:rFonts w:cs="Times New Roman"/>
          <w:color w:val="000000" w:themeColor="text1"/>
          <w:szCs w:val="24"/>
        </w:rPr>
        <w:t>subject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1585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447EC">
        <w:rPr>
          <w:rFonts w:cs="Times New Roman"/>
          <w:color w:val="000000" w:themeColor="text1"/>
          <w:szCs w:val="24"/>
        </w:rPr>
        <w:t>circumstances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1585">
        <w:rPr>
          <w:rFonts w:cs="Times New Roman"/>
          <w:color w:val="000000" w:themeColor="text1"/>
          <w:szCs w:val="24"/>
        </w:rPr>
        <w:t>during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1585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1585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06B43">
        <w:rPr>
          <w:rFonts w:cs="Times New Roman"/>
          <w:color w:val="000000" w:themeColor="text1"/>
          <w:szCs w:val="24"/>
        </w:rPr>
        <w:t>change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936A3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936A3">
        <w:rPr>
          <w:rFonts w:cs="Times New Roman"/>
          <w:color w:val="000000" w:themeColor="text1"/>
          <w:szCs w:val="24"/>
        </w:rPr>
        <w:t>alter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06B43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06B43">
        <w:rPr>
          <w:rFonts w:cs="Times New Roman"/>
          <w:color w:val="000000" w:themeColor="text1"/>
          <w:szCs w:val="24"/>
        </w:rPr>
        <w:t>article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936A3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936A3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936A3">
        <w:rPr>
          <w:rFonts w:cs="Times New Roman"/>
          <w:color w:val="000000" w:themeColor="text1"/>
          <w:szCs w:val="24"/>
        </w:rPr>
        <w:t>direct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936A3">
        <w:rPr>
          <w:rFonts w:cs="Times New Roman"/>
          <w:color w:val="000000" w:themeColor="text1"/>
          <w:szCs w:val="24"/>
        </w:rPr>
        <w:t>result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936A3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936A3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936A3">
        <w:rPr>
          <w:rFonts w:cs="Times New Roman"/>
          <w:color w:val="000000" w:themeColor="text1"/>
          <w:szCs w:val="24"/>
        </w:rPr>
        <w:t>use.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42129">
        <w:rPr>
          <w:rFonts w:cs="Times New Roman"/>
          <w:color w:val="000000" w:themeColor="text1"/>
          <w:szCs w:val="24"/>
        </w:rPr>
        <w:t>Releases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42129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42129">
        <w:rPr>
          <w:rFonts w:cs="Times New Roman"/>
          <w:color w:val="000000" w:themeColor="text1"/>
          <w:szCs w:val="24"/>
        </w:rPr>
        <w:t>chr</w:t>
      </w:r>
      <w:r w:rsidRPr="00C317BB" w:rsidR="007936A3">
        <w:rPr>
          <w:rFonts w:cs="Times New Roman"/>
          <w:color w:val="000000" w:themeColor="text1"/>
          <w:szCs w:val="24"/>
        </w:rPr>
        <w:t>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936A3">
        <w:rPr>
          <w:rFonts w:cs="Times New Roman"/>
          <w:color w:val="000000" w:themeColor="text1"/>
          <w:szCs w:val="24"/>
        </w:rPr>
        <w:t>asbestos,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936A3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936A3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936A3">
        <w:rPr>
          <w:rFonts w:cs="Times New Roman"/>
          <w:color w:val="000000" w:themeColor="text1"/>
          <w:szCs w:val="24"/>
        </w:rPr>
        <w:t>associated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06B43">
        <w:rPr>
          <w:rFonts w:cs="Times New Roman"/>
          <w:color w:val="000000" w:themeColor="text1"/>
          <w:szCs w:val="24"/>
        </w:rPr>
        <w:t>unreasonable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06B43">
        <w:rPr>
          <w:rFonts w:cs="Times New Roman"/>
          <w:color w:val="000000" w:themeColor="text1"/>
          <w:szCs w:val="24"/>
        </w:rPr>
        <w:t>risks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936A3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936A3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936A3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95530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936A3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06B43">
        <w:rPr>
          <w:rFonts w:cs="Times New Roman"/>
          <w:color w:val="000000" w:themeColor="text1"/>
          <w:szCs w:val="24"/>
        </w:rPr>
        <w:t>identified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06B43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06B43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06B43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06B43">
        <w:rPr>
          <w:rFonts w:cs="Times New Roman"/>
          <w:color w:val="000000" w:themeColor="text1"/>
          <w:szCs w:val="24"/>
        </w:rPr>
        <w:t>evaluatio</w:t>
      </w:r>
      <w:r w:rsidRPr="00C317BB" w:rsidR="000134C9">
        <w:rPr>
          <w:rFonts w:cs="Times New Roman"/>
          <w:color w:val="000000" w:themeColor="text1"/>
          <w:szCs w:val="24"/>
        </w:rPr>
        <w:t>n</w:t>
      </w:r>
      <w:r w:rsidRPr="00C317BB" w:rsidR="007F1EFA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06B43">
        <w:rPr>
          <w:rFonts w:cs="Times New Roman"/>
          <w:color w:val="000000" w:themeColor="text1"/>
          <w:szCs w:val="24"/>
        </w:rPr>
        <w:t>result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134C9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95530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95530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95530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95530">
        <w:rPr>
          <w:rFonts w:cs="Times New Roman"/>
          <w:color w:val="000000" w:themeColor="text1"/>
          <w:szCs w:val="24"/>
        </w:rPr>
        <w:t>articles</w:t>
      </w:r>
      <w:r w:rsidRPr="00C317BB" w:rsidR="00006B43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1CA3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1CA3">
        <w:rPr>
          <w:rFonts w:cs="Times New Roman"/>
          <w:color w:val="000000" w:themeColor="text1"/>
          <w:szCs w:val="24"/>
        </w:rPr>
        <w:t>articles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1CA3">
        <w:rPr>
          <w:rFonts w:cs="Times New Roman"/>
          <w:color w:val="000000" w:themeColor="text1"/>
          <w:szCs w:val="24"/>
        </w:rPr>
        <w:t>themselves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1CA3">
        <w:rPr>
          <w:rFonts w:cs="Times New Roman"/>
          <w:color w:val="000000" w:themeColor="text1"/>
          <w:szCs w:val="24"/>
        </w:rPr>
        <w:t>include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B3861">
        <w:rPr>
          <w:rFonts w:cs="Times New Roman"/>
          <w:color w:val="000000" w:themeColor="text1"/>
          <w:szCs w:val="24"/>
        </w:rPr>
        <w:t>sheet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1CA3">
        <w:rPr>
          <w:rFonts w:cs="Times New Roman"/>
          <w:color w:val="000000" w:themeColor="text1"/>
          <w:szCs w:val="24"/>
        </w:rPr>
        <w:t>gaskets,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B3861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B3861">
        <w:rPr>
          <w:rFonts w:cs="Times New Roman"/>
          <w:color w:val="000000" w:themeColor="text1"/>
          <w:szCs w:val="24"/>
        </w:rPr>
        <w:t>gaskets,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B3861">
        <w:rPr>
          <w:rFonts w:cs="Times New Roman"/>
          <w:color w:val="000000" w:themeColor="text1"/>
          <w:szCs w:val="24"/>
        </w:rPr>
        <w:t>brake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B3861">
        <w:rPr>
          <w:rFonts w:cs="Times New Roman"/>
          <w:color w:val="000000" w:themeColor="text1"/>
          <w:szCs w:val="24"/>
        </w:rPr>
        <w:t>blocks,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1CA3">
        <w:rPr>
          <w:rFonts w:cs="Times New Roman"/>
          <w:color w:val="000000" w:themeColor="text1"/>
          <w:szCs w:val="24"/>
        </w:rPr>
        <w:t>brakes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1CA3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1CA3">
        <w:rPr>
          <w:rFonts w:cs="Times New Roman"/>
          <w:color w:val="000000" w:themeColor="text1"/>
          <w:szCs w:val="24"/>
        </w:rPr>
        <w:t>linings,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1CA3">
        <w:rPr>
          <w:rFonts w:cs="Times New Roman"/>
          <w:color w:val="000000" w:themeColor="text1"/>
          <w:szCs w:val="24"/>
        </w:rPr>
        <w:t>which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1CA3">
        <w:rPr>
          <w:rFonts w:cs="Times New Roman"/>
          <w:color w:val="000000" w:themeColor="text1"/>
          <w:szCs w:val="24"/>
        </w:rPr>
        <w:t>wear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1CA3">
        <w:rPr>
          <w:rFonts w:cs="Times New Roman"/>
          <w:color w:val="000000" w:themeColor="text1"/>
          <w:szCs w:val="24"/>
        </w:rPr>
        <w:t>down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1CA3">
        <w:rPr>
          <w:rFonts w:cs="Times New Roman"/>
          <w:color w:val="000000" w:themeColor="text1"/>
          <w:szCs w:val="24"/>
        </w:rPr>
        <w:t>during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1CA3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1CA3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1CA3">
        <w:rPr>
          <w:rFonts w:cs="Times New Roman"/>
          <w:color w:val="000000" w:themeColor="text1"/>
          <w:szCs w:val="24"/>
        </w:rPr>
        <w:t>release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1CA3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1CA3">
        <w:rPr>
          <w:rFonts w:cs="Times New Roman"/>
          <w:color w:val="000000" w:themeColor="text1"/>
          <w:szCs w:val="24"/>
        </w:rPr>
        <w:t>fibers.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1CA3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1CA3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1CA3">
        <w:rPr>
          <w:rFonts w:cs="Times New Roman"/>
          <w:color w:val="000000" w:themeColor="text1"/>
          <w:szCs w:val="24"/>
        </w:rPr>
        <w:t>evaluation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1CA3">
        <w:rPr>
          <w:rFonts w:cs="Times New Roman"/>
          <w:color w:val="000000" w:themeColor="text1"/>
          <w:szCs w:val="24"/>
        </w:rPr>
        <w:t>determined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1CA3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1CA3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1CA3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1CA3">
        <w:rPr>
          <w:rFonts w:cs="Times New Roman"/>
          <w:color w:val="000000" w:themeColor="text1"/>
          <w:szCs w:val="24"/>
        </w:rPr>
        <w:t>workers,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1CA3">
        <w:rPr>
          <w:rFonts w:cs="Times New Roman"/>
          <w:color w:val="000000" w:themeColor="text1"/>
          <w:szCs w:val="24"/>
        </w:rPr>
        <w:t>ONUs,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1CA3">
        <w:rPr>
          <w:rFonts w:cs="Times New Roman"/>
          <w:color w:val="000000" w:themeColor="text1"/>
          <w:szCs w:val="24"/>
        </w:rPr>
        <w:t>consumers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1CA3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1CA3">
        <w:rPr>
          <w:rFonts w:cs="Times New Roman"/>
          <w:color w:val="000000" w:themeColor="text1"/>
          <w:szCs w:val="24"/>
        </w:rPr>
        <w:t>bystanders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1CA3">
        <w:rPr>
          <w:rFonts w:cs="Times New Roman"/>
          <w:color w:val="000000" w:themeColor="text1"/>
          <w:szCs w:val="24"/>
        </w:rPr>
        <w:t>can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1CA3">
        <w:rPr>
          <w:rFonts w:cs="Times New Roman"/>
          <w:color w:val="000000" w:themeColor="text1"/>
          <w:szCs w:val="24"/>
        </w:rPr>
        <w:t>occur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1CA3">
        <w:rPr>
          <w:rFonts w:cs="Times New Roman"/>
          <w:color w:val="000000" w:themeColor="text1"/>
          <w:szCs w:val="24"/>
        </w:rPr>
        <w:t>when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1CA3">
        <w:rPr>
          <w:rFonts w:cs="Times New Roman"/>
          <w:color w:val="000000" w:themeColor="text1"/>
          <w:szCs w:val="24"/>
        </w:rPr>
        <w:t>these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1CA3">
        <w:rPr>
          <w:rFonts w:cs="Times New Roman"/>
          <w:color w:val="000000" w:themeColor="text1"/>
          <w:szCs w:val="24"/>
        </w:rPr>
        <w:t>items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1CA3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1CA3">
        <w:rPr>
          <w:rFonts w:cs="Times New Roman"/>
          <w:color w:val="000000" w:themeColor="text1"/>
          <w:szCs w:val="24"/>
        </w:rPr>
        <w:t>replaced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1CA3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1CA3">
        <w:rPr>
          <w:rFonts w:cs="Times New Roman"/>
          <w:color w:val="000000" w:themeColor="text1"/>
          <w:szCs w:val="24"/>
        </w:rPr>
        <w:t>repaired,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1CA3">
        <w:rPr>
          <w:rFonts w:cs="Times New Roman"/>
          <w:color w:val="000000" w:themeColor="text1"/>
          <w:szCs w:val="24"/>
        </w:rPr>
        <w:t>resulting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1CA3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1CA3">
        <w:rPr>
          <w:rFonts w:cs="Times New Roman"/>
          <w:color w:val="000000" w:themeColor="text1"/>
          <w:szCs w:val="24"/>
        </w:rPr>
        <w:t>harmful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1CA3">
        <w:rPr>
          <w:rFonts w:cs="Times New Roman"/>
          <w:color w:val="000000" w:themeColor="text1"/>
          <w:szCs w:val="24"/>
        </w:rPr>
        <w:t>exposures.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244B">
        <w:rPr>
          <w:rFonts w:cs="Times New Roman"/>
          <w:color w:val="000000" w:themeColor="text1"/>
          <w:szCs w:val="24"/>
        </w:rPr>
        <w:t>These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244B">
        <w:rPr>
          <w:rFonts w:cs="Times New Roman"/>
          <w:color w:val="000000" w:themeColor="text1"/>
          <w:szCs w:val="24"/>
        </w:rPr>
        <w:t>identified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244B">
        <w:rPr>
          <w:rFonts w:cs="Times New Roman"/>
          <w:color w:val="000000" w:themeColor="text1"/>
          <w:szCs w:val="24"/>
        </w:rPr>
        <w:t>risks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244B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244B">
        <w:rPr>
          <w:rFonts w:cs="Times New Roman"/>
          <w:color w:val="000000" w:themeColor="text1"/>
          <w:szCs w:val="24"/>
        </w:rPr>
        <w:t>articles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244B">
        <w:rPr>
          <w:rFonts w:cs="Times New Roman"/>
          <w:color w:val="000000" w:themeColor="text1"/>
          <w:szCs w:val="24"/>
        </w:rPr>
        <w:t>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244B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244B">
        <w:rPr>
          <w:rFonts w:cs="Times New Roman"/>
          <w:color w:val="000000" w:themeColor="text1"/>
          <w:szCs w:val="24"/>
        </w:rPr>
        <w:t>could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244B">
        <w:rPr>
          <w:rFonts w:cs="Times New Roman"/>
          <w:color w:val="000000" w:themeColor="text1"/>
          <w:szCs w:val="24"/>
        </w:rPr>
        <w:t>result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244B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244B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244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244B">
        <w:rPr>
          <w:rFonts w:cs="Times New Roman"/>
          <w:color w:val="000000" w:themeColor="text1"/>
          <w:szCs w:val="24"/>
        </w:rPr>
        <w:t>any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244B">
        <w:rPr>
          <w:rFonts w:cs="Times New Roman"/>
          <w:color w:val="000000" w:themeColor="text1"/>
          <w:szCs w:val="24"/>
        </w:rPr>
        <w:t>kind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244B">
        <w:rPr>
          <w:rFonts w:cs="Times New Roman"/>
          <w:color w:val="000000" w:themeColor="text1"/>
          <w:szCs w:val="24"/>
        </w:rPr>
        <w:t>and,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244B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244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244B">
        <w:rPr>
          <w:rFonts w:cs="Times New Roman"/>
          <w:color w:val="000000" w:themeColor="text1"/>
          <w:szCs w:val="24"/>
        </w:rPr>
        <w:t>result,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244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244B">
        <w:rPr>
          <w:rFonts w:cs="Times New Roman"/>
          <w:color w:val="000000" w:themeColor="text1"/>
          <w:szCs w:val="24"/>
        </w:rPr>
        <w:t>had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244B">
        <w:rPr>
          <w:rFonts w:cs="Times New Roman"/>
          <w:color w:val="000000" w:themeColor="text1"/>
          <w:szCs w:val="24"/>
        </w:rPr>
        <w:t>no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244B">
        <w:rPr>
          <w:rFonts w:cs="Times New Roman"/>
          <w:color w:val="000000" w:themeColor="text1"/>
          <w:szCs w:val="24"/>
        </w:rPr>
        <w:t>feasible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244B">
        <w:rPr>
          <w:rFonts w:cs="Times New Roman"/>
          <w:color w:val="000000" w:themeColor="text1"/>
          <w:szCs w:val="24"/>
        </w:rPr>
        <w:t>option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244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244B">
        <w:rPr>
          <w:rFonts w:cs="Times New Roman"/>
          <w:color w:val="000000" w:themeColor="text1"/>
          <w:szCs w:val="24"/>
        </w:rPr>
        <w:t>prevent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244B">
        <w:rPr>
          <w:rFonts w:cs="Times New Roman"/>
          <w:color w:val="000000" w:themeColor="text1"/>
          <w:szCs w:val="24"/>
        </w:rPr>
        <w:t>these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244B">
        <w:rPr>
          <w:rFonts w:cs="Times New Roman"/>
          <w:color w:val="000000" w:themeColor="text1"/>
          <w:szCs w:val="24"/>
        </w:rPr>
        <w:t>risks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244B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244B">
        <w:rPr>
          <w:rFonts w:cs="Times New Roman"/>
          <w:color w:val="000000" w:themeColor="text1"/>
          <w:szCs w:val="24"/>
        </w:rPr>
        <w:t>than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244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244B">
        <w:rPr>
          <w:rFonts w:cs="Times New Roman"/>
          <w:color w:val="000000" w:themeColor="text1"/>
          <w:szCs w:val="24"/>
        </w:rPr>
        <w:t>complete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244B">
        <w:rPr>
          <w:rFonts w:cs="Times New Roman"/>
          <w:color w:val="000000" w:themeColor="text1"/>
          <w:szCs w:val="24"/>
        </w:rPr>
        <w:t>prohibition.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244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244B">
        <w:rPr>
          <w:rFonts w:cs="Times New Roman"/>
          <w:color w:val="000000" w:themeColor="text1"/>
          <w:szCs w:val="24"/>
        </w:rPr>
        <w:t>particular,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244B">
        <w:rPr>
          <w:rFonts w:cs="Times New Roman"/>
          <w:color w:val="000000" w:themeColor="text1"/>
          <w:szCs w:val="24"/>
        </w:rPr>
        <w:t>no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244B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244B">
        <w:rPr>
          <w:rFonts w:cs="Times New Roman"/>
          <w:color w:val="000000" w:themeColor="text1"/>
          <w:szCs w:val="24"/>
        </w:rPr>
        <w:t>restriction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244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244B">
        <w:rPr>
          <w:rFonts w:cs="Times New Roman"/>
          <w:color w:val="000000" w:themeColor="text1"/>
          <w:szCs w:val="24"/>
        </w:rPr>
        <w:t>researched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244B">
        <w:rPr>
          <w:rFonts w:cs="Times New Roman"/>
          <w:color w:val="000000" w:themeColor="text1"/>
          <w:szCs w:val="24"/>
        </w:rPr>
        <w:t>could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244B">
        <w:rPr>
          <w:rFonts w:cs="Times New Roman"/>
          <w:color w:val="000000" w:themeColor="text1"/>
          <w:szCs w:val="24"/>
        </w:rPr>
        <w:t>sufficiently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244B">
        <w:rPr>
          <w:rFonts w:cs="Times New Roman"/>
          <w:color w:val="000000" w:themeColor="text1"/>
          <w:szCs w:val="24"/>
        </w:rPr>
        <w:t>prevent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244B">
        <w:rPr>
          <w:rFonts w:cs="Times New Roman"/>
          <w:color w:val="000000" w:themeColor="text1"/>
          <w:szCs w:val="24"/>
        </w:rPr>
        <w:t>unreasonable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244B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244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244B">
        <w:rPr>
          <w:rFonts w:cs="Times New Roman"/>
          <w:color w:val="000000" w:themeColor="text1"/>
          <w:szCs w:val="24"/>
        </w:rPr>
        <w:t>ONUs,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244B">
        <w:rPr>
          <w:rFonts w:cs="Times New Roman"/>
          <w:color w:val="000000" w:themeColor="text1"/>
          <w:szCs w:val="24"/>
        </w:rPr>
        <w:t>consumers,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244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244B">
        <w:rPr>
          <w:rFonts w:cs="Times New Roman"/>
          <w:color w:val="000000" w:themeColor="text1"/>
          <w:szCs w:val="24"/>
        </w:rPr>
        <w:t>bystanders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244B">
        <w:rPr>
          <w:rFonts w:cs="Times New Roman"/>
          <w:color w:val="000000" w:themeColor="text1"/>
          <w:szCs w:val="24"/>
        </w:rPr>
        <w:t>who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244B">
        <w:rPr>
          <w:rFonts w:cs="Times New Roman"/>
          <w:color w:val="000000" w:themeColor="text1"/>
          <w:szCs w:val="24"/>
        </w:rPr>
        <w:t>were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244B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244B">
        <w:rPr>
          <w:rFonts w:cs="Times New Roman"/>
          <w:color w:val="000000" w:themeColor="text1"/>
          <w:szCs w:val="24"/>
        </w:rPr>
        <w:t>expected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244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244B">
        <w:rPr>
          <w:rFonts w:cs="Times New Roman"/>
          <w:color w:val="000000" w:themeColor="text1"/>
          <w:szCs w:val="24"/>
        </w:rPr>
        <w:t>wear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F36EE">
        <w:rPr>
          <w:rFonts w:cs="Times New Roman"/>
          <w:color w:val="000000" w:themeColor="text1"/>
          <w:szCs w:val="24"/>
        </w:rPr>
        <w:t>respiratory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F36EE">
        <w:rPr>
          <w:rFonts w:cs="Times New Roman"/>
          <w:color w:val="000000" w:themeColor="text1"/>
          <w:szCs w:val="24"/>
        </w:rPr>
        <w:t>protection</w:t>
      </w:r>
      <w:r w:rsidRPr="00C317BB" w:rsidR="0012244B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244B">
        <w:rPr>
          <w:rFonts w:cs="Times New Roman"/>
          <w:color w:val="000000" w:themeColor="text1"/>
          <w:szCs w:val="24"/>
        </w:rPr>
        <w:t>Accordingly,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4A55">
        <w:rPr>
          <w:rFonts w:cs="Times New Roman"/>
          <w:color w:val="000000" w:themeColor="text1"/>
          <w:szCs w:val="24"/>
        </w:rPr>
        <w:t>EPA’s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1CA3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1CA3">
        <w:rPr>
          <w:rFonts w:cs="Times New Roman"/>
          <w:color w:val="000000" w:themeColor="text1"/>
          <w:szCs w:val="24"/>
        </w:rPr>
        <w:t>regulatory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46DC7">
        <w:rPr>
          <w:rFonts w:cs="Times New Roman"/>
          <w:color w:val="000000" w:themeColor="text1"/>
          <w:szCs w:val="24"/>
        </w:rPr>
        <w:t>action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46DC7">
        <w:rPr>
          <w:rFonts w:cs="Times New Roman"/>
          <w:color w:val="000000" w:themeColor="text1"/>
          <w:szCs w:val="24"/>
        </w:rPr>
        <w:t>sets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46DC7">
        <w:rPr>
          <w:rFonts w:cs="Times New Roman"/>
          <w:color w:val="000000" w:themeColor="text1"/>
          <w:szCs w:val="24"/>
        </w:rPr>
        <w:t>requirements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46DC7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1CA3">
        <w:rPr>
          <w:rFonts w:cs="Times New Roman"/>
          <w:color w:val="000000" w:themeColor="text1"/>
          <w:szCs w:val="24"/>
        </w:rPr>
        <w:t>articles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1CA3">
        <w:rPr>
          <w:rFonts w:cs="Times New Roman"/>
          <w:color w:val="000000" w:themeColor="text1"/>
          <w:szCs w:val="24"/>
        </w:rPr>
        <w:t>only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1CA3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1CA3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1CA3">
        <w:rPr>
          <w:rFonts w:cs="Times New Roman"/>
          <w:color w:val="000000" w:themeColor="text1"/>
          <w:szCs w:val="24"/>
        </w:rPr>
        <w:t>extent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1CA3">
        <w:rPr>
          <w:rFonts w:cs="Times New Roman"/>
          <w:color w:val="000000" w:themeColor="text1"/>
          <w:szCs w:val="24"/>
        </w:rPr>
        <w:t>necessary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1CA3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1CA3">
        <w:rPr>
          <w:rFonts w:cs="Times New Roman"/>
          <w:color w:val="000000" w:themeColor="text1"/>
          <w:szCs w:val="24"/>
        </w:rPr>
        <w:t>address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1CA3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1CA3">
        <w:rPr>
          <w:rFonts w:cs="Times New Roman"/>
          <w:color w:val="000000" w:themeColor="text1"/>
          <w:szCs w:val="24"/>
        </w:rPr>
        <w:t>identified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1CA3">
        <w:rPr>
          <w:rFonts w:cs="Times New Roman"/>
          <w:color w:val="000000" w:themeColor="text1"/>
          <w:szCs w:val="24"/>
        </w:rPr>
        <w:t>risks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1CA3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1CA3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1CA3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4086D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1CA3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1CA3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1CA3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1CA3">
        <w:rPr>
          <w:rFonts w:cs="Times New Roman"/>
          <w:color w:val="000000" w:themeColor="text1"/>
          <w:szCs w:val="24"/>
        </w:rPr>
        <w:t>article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1CA3">
        <w:rPr>
          <w:rFonts w:cs="Times New Roman"/>
          <w:color w:val="000000" w:themeColor="text1"/>
          <w:szCs w:val="24"/>
        </w:rPr>
        <w:t>so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1CA3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D504C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1CA3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1CA3">
        <w:rPr>
          <w:rFonts w:cs="Times New Roman"/>
          <w:color w:val="000000" w:themeColor="text1"/>
          <w:szCs w:val="24"/>
        </w:rPr>
        <w:t>does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1CA3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1CA3">
        <w:rPr>
          <w:rFonts w:cs="Times New Roman"/>
          <w:color w:val="000000" w:themeColor="text1"/>
          <w:szCs w:val="24"/>
        </w:rPr>
        <w:t>present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1CA3">
        <w:rPr>
          <w:rFonts w:cs="Times New Roman"/>
          <w:color w:val="000000" w:themeColor="text1"/>
          <w:szCs w:val="24"/>
        </w:rPr>
        <w:t>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1CA3">
        <w:rPr>
          <w:rFonts w:cs="Times New Roman"/>
          <w:color w:val="000000" w:themeColor="text1"/>
          <w:szCs w:val="24"/>
        </w:rPr>
        <w:t>unreasonable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1CA3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1CA3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76945">
        <w:rPr>
          <w:rFonts w:cs="Times New Roman"/>
          <w:color w:val="000000" w:themeColor="text1"/>
          <w:szCs w:val="24"/>
        </w:rPr>
        <w:t>health.</w:t>
      </w:r>
    </w:p>
    <w:p w:rsidRPr="00C317BB" w:rsidR="00813F81" w:rsidP="00F27167" w:rsidRDefault="00A601DD" w14:paraId="31943BF4" w14:textId="3F840A43">
      <w:pPr>
        <w:pStyle w:val="Heading2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F</w:t>
      </w:r>
      <w:r w:rsidRPr="00C317BB" w:rsidR="00813F81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13F81">
        <w:rPr>
          <w:rFonts w:cs="Times New Roman"/>
          <w:color w:val="000000" w:themeColor="text1"/>
          <w:szCs w:val="24"/>
        </w:rPr>
        <w:t>Reasonably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13F81">
        <w:rPr>
          <w:rFonts w:cs="Times New Roman"/>
          <w:color w:val="000000" w:themeColor="text1"/>
          <w:szCs w:val="24"/>
        </w:rPr>
        <w:t>ascertainable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13F81">
        <w:rPr>
          <w:rFonts w:cs="Times New Roman"/>
          <w:color w:val="000000" w:themeColor="text1"/>
          <w:szCs w:val="24"/>
        </w:rPr>
        <w:t>economic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13F81">
        <w:rPr>
          <w:rFonts w:cs="Times New Roman"/>
          <w:color w:val="000000" w:themeColor="text1"/>
          <w:szCs w:val="24"/>
        </w:rPr>
        <w:t>consequences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13F81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13F81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13F81">
        <w:rPr>
          <w:rFonts w:cs="Times New Roman"/>
          <w:color w:val="000000" w:themeColor="text1"/>
          <w:szCs w:val="24"/>
        </w:rPr>
        <w:t>rule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F71046" w:rsidP="00F27167" w:rsidRDefault="008B674B" w14:paraId="32FCE6B5" w14:textId="478A7A57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reasonably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ascertainable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economic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consequences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rule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include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several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components,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which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described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economi</w:t>
      </w:r>
      <w:r w:rsidRPr="00C317BB" w:rsidR="009C36BA">
        <w:rPr>
          <w:rFonts w:cs="Times New Roman"/>
          <w:color w:val="000000" w:themeColor="text1"/>
          <w:szCs w:val="24"/>
        </w:rPr>
        <w:t>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C36BA">
        <w:rPr>
          <w:rFonts w:cs="Times New Roman"/>
          <w:color w:val="000000" w:themeColor="text1"/>
          <w:szCs w:val="24"/>
        </w:rPr>
        <w:t>analysis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C36BA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C36BA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F3524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C36BA">
        <w:rPr>
          <w:rFonts w:cs="Times New Roman"/>
          <w:color w:val="000000" w:themeColor="text1"/>
          <w:szCs w:val="24"/>
        </w:rPr>
        <w:t>rule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B1135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B1135">
        <w:rPr>
          <w:rFonts w:cs="Times New Roman"/>
          <w:color w:val="000000" w:themeColor="text1"/>
          <w:szCs w:val="24"/>
        </w:rPr>
        <w:t>summarized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B1135">
        <w:rPr>
          <w:rFonts w:cs="Times New Roman"/>
          <w:color w:val="000000" w:themeColor="text1"/>
          <w:szCs w:val="24"/>
        </w:rPr>
        <w:t>here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71046">
        <w:rPr>
          <w:rFonts w:cs="Times New Roman"/>
          <w:color w:val="000000" w:themeColor="text1"/>
          <w:szCs w:val="24"/>
        </w:rPr>
        <w:t>(Ref.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339A2">
        <w:rPr>
          <w:rFonts w:cs="Times New Roman"/>
          <w:color w:val="000000" w:themeColor="text1"/>
          <w:szCs w:val="24"/>
        </w:rPr>
        <w:t>2</w:t>
      </w:r>
      <w:r w:rsidRPr="00C317BB" w:rsidR="00F71046">
        <w:rPr>
          <w:rFonts w:cs="Times New Roman"/>
          <w:color w:val="000000" w:themeColor="text1"/>
          <w:szCs w:val="24"/>
        </w:rPr>
        <w:t>)</w:t>
      </w:r>
      <w:r w:rsidRPr="00C317BB" w:rsidR="002B1135">
        <w:rPr>
          <w:rFonts w:cs="Times New Roman"/>
          <w:color w:val="000000" w:themeColor="text1"/>
          <w:szCs w:val="24"/>
        </w:rPr>
        <w:t>.</w:t>
      </w:r>
    </w:p>
    <w:p w:rsidRPr="00C317BB" w:rsidR="00813F81" w:rsidP="00F27167" w:rsidRDefault="001A100C" w14:paraId="00B38676" w14:textId="29866962">
      <w:pPr>
        <w:pStyle w:val="Heading3"/>
        <w:ind w:firstLine="720"/>
        <w:rPr>
          <w:rFonts w:cs="Times New Roman"/>
          <w:szCs w:val="24"/>
          <w:lang w:val="en"/>
        </w:rPr>
      </w:pPr>
      <w:r w:rsidRPr="00C317BB">
        <w:rPr>
          <w:rFonts w:cs="Times New Roman"/>
          <w:szCs w:val="24"/>
          <w:lang w:val="en"/>
        </w:rPr>
        <w:t>1.</w:t>
      </w:r>
      <w:r w:rsidR="005613B2">
        <w:rPr>
          <w:rFonts w:cs="Times New Roman"/>
          <w:szCs w:val="24"/>
          <w:lang w:val="en"/>
        </w:rPr>
        <w:t xml:space="preserve"> </w:t>
      </w:r>
      <w:r w:rsidRPr="00C317BB" w:rsidR="00813F81">
        <w:rPr>
          <w:rFonts w:cs="Times New Roman"/>
          <w:szCs w:val="24"/>
          <w:lang w:val="en"/>
        </w:rPr>
        <w:t>Likely</w:t>
      </w:r>
      <w:r w:rsidR="005613B2">
        <w:rPr>
          <w:rFonts w:cs="Times New Roman"/>
          <w:szCs w:val="24"/>
          <w:lang w:val="en"/>
        </w:rPr>
        <w:t xml:space="preserve"> </w:t>
      </w:r>
      <w:r w:rsidRPr="00C317BB" w:rsidR="00813F81">
        <w:rPr>
          <w:rFonts w:cs="Times New Roman"/>
          <w:szCs w:val="24"/>
          <w:lang w:val="en"/>
        </w:rPr>
        <w:t>effect</w:t>
      </w:r>
      <w:r w:rsidR="005613B2">
        <w:rPr>
          <w:rFonts w:cs="Times New Roman"/>
          <w:szCs w:val="24"/>
          <w:lang w:val="en"/>
        </w:rPr>
        <w:t xml:space="preserve"> </w:t>
      </w:r>
      <w:r w:rsidRPr="00C317BB" w:rsidR="00813F81">
        <w:rPr>
          <w:rFonts w:cs="Times New Roman"/>
          <w:szCs w:val="24"/>
          <w:lang w:val="en"/>
        </w:rPr>
        <w:t>of</w:t>
      </w:r>
      <w:r w:rsidR="005613B2">
        <w:rPr>
          <w:rFonts w:cs="Times New Roman"/>
          <w:szCs w:val="24"/>
          <w:lang w:val="en"/>
        </w:rPr>
        <w:t xml:space="preserve"> </w:t>
      </w:r>
      <w:r w:rsidRPr="00C317BB" w:rsidR="00813F81">
        <w:rPr>
          <w:rFonts w:cs="Times New Roman"/>
          <w:szCs w:val="24"/>
          <w:lang w:val="en"/>
        </w:rPr>
        <w:t>the</w:t>
      </w:r>
      <w:r w:rsidR="005613B2">
        <w:rPr>
          <w:rFonts w:cs="Times New Roman"/>
          <w:szCs w:val="24"/>
          <w:lang w:val="en"/>
        </w:rPr>
        <w:t xml:space="preserve"> </w:t>
      </w:r>
      <w:r w:rsidRPr="00C317BB" w:rsidR="00813F81">
        <w:rPr>
          <w:rFonts w:cs="Times New Roman"/>
          <w:szCs w:val="24"/>
          <w:lang w:val="en"/>
        </w:rPr>
        <w:t>rule</w:t>
      </w:r>
      <w:r w:rsidR="005613B2">
        <w:rPr>
          <w:rFonts w:cs="Times New Roman"/>
          <w:szCs w:val="24"/>
          <w:lang w:val="en"/>
        </w:rPr>
        <w:t xml:space="preserve"> </w:t>
      </w:r>
      <w:r w:rsidRPr="00C317BB" w:rsidR="00813F81">
        <w:rPr>
          <w:rFonts w:cs="Times New Roman"/>
          <w:szCs w:val="24"/>
          <w:lang w:val="en"/>
        </w:rPr>
        <w:t>on</w:t>
      </w:r>
      <w:r w:rsidR="005613B2">
        <w:rPr>
          <w:rFonts w:cs="Times New Roman"/>
          <w:szCs w:val="24"/>
          <w:lang w:val="en"/>
        </w:rPr>
        <w:t xml:space="preserve"> </w:t>
      </w:r>
      <w:r w:rsidRPr="00C317BB" w:rsidR="00813F81">
        <w:rPr>
          <w:rFonts w:cs="Times New Roman"/>
          <w:szCs w:val="24"/>
          <w:lang w:val="en"/>
        </w:rPr>
        <w:t>the</w:t>
      </w:r>
      <w:r w:rsidR="005613B2">
        <w:rPr>
          <w:rFonts w:cs="Times New Roman"/>
          <w:szCs w:val="24"/>
          <w:lang w:val="en"/>
        </w:rPr>
        <w:t xml:space="preserve"> </w:t>
      </w:r>
      <w:r w:rsidRPr="00C317BB" w:rsidR="00813F81">
        <w:rPr>
          <w:rFonts w:cs="Times New Roman"/>
          <w:szCs w:val="24"/>
          <w:lang w:val="en"/>
        </w:rPr>
        <w:t>national</w:t>
      </w:r>
      <w:r w:rsidR="005613B2">
        <w:rPr>
          <w:rFonts w:cs="Times New Roman"/>
          <w:szCs w:val="24"/>
          <w:lang w:val="en"/>
        </w:rPr>
        <w:t xml:space="preserve"> </w:t>
      </w:r>
      <w:r w:rsidRPr="00C317BB" w:rsidR="00813F81">
        <w:rPr>
          <w:rFonts w:cs="Times New Roman"/>
          <w:szCs w:val="24"/>
          <w:lang w:val="en"/>
        </w:rPr>
        <w:t>economy,</w:t>
      </w:r>
      <w:r w:rsidR="005613B2">
        <w:rPr>
          <w:rFonts w:cs="Times New Roman"/>
          <w:szCs w:val="24"/>
          <w:lang w:val="en"/>
        </w:rPr>
        <w:t xml:space="preserve"> </w:t>
      </w:r>
      <w:r w:rsidRPr="00C317BB" w:rsidR="00813F81">
        <w:rPr>
          <w:rFonts w:cs="Times New Roman"/>
          <w:szCs w:val="24"/>
          <w:lang w:val="en"/>
        </w:rPr>
        <w:t>small</w:t>
      </w:r>
      <w:r w:rsidR="005613B2">
        <w:rPr>
          <w:rFonts w:cs="Times New Roman"/>
          <w:szCs w:val="24"/>
          <w:lang w:val="en"/>
        </w:rPr>
        <w:t xml:space="preserve"> </w:t>
      </w:r>
      <w:r w:rsidRPr="00C317BB" w:rsidR="00813F81">
        <w:rPr>
          <w:rFonts w:cs="Times New Roman"/>
          <w:szCs w:val="24"/>
          <w:lang w:val="en"/>
        </w:rPr>
        <w:t>business,</w:t>
      </w:r>
      <w:r w:rsidR="005613B2">
        <w:rPr>
          <w:rFonts w:cs="Times New Roman"/>
          <w:szCs w:val="24"/>
          <w:lang w:val="en"/>
        </w:rPr>
        <w:t xml:space="preserve"> </w:t>
      </w:r>
      <w:r w:rsidRPr="00C317BB" w:rsidR="00813F81">
        <w:rPr>
          <w:rFonts w:cs="Times New Roman"/>
          <w:szCs w:val="24"/>
          <w:lang w:val="en"/>
        </w:rPr>
        <w:t>technological</w:t>
      </w:r>
      <w:r w:rsidR="005613B2">
        <w:rPr>
          <w:rFonts w:cs="Times New Roman"/>
          <w:szCs w:val="24"/>
          <w:lang w:val="en"/>
        </w:rPr>
        <w:t xml:space="preserve"> </w:t>
      </w:r>
      <w:r w:rsidRPr="00C317BB" w:rsidR="00813F81">
        <w:rPr>
          <w:rFonts w:cs="Times New Roman"/>
          <w:szCs w:val="24"/>
          <w:lang w:val="en"/>
        </w:rPr>
        <w:t>innovation,</w:t>
      </w:r>
      <w:r w:rsidR="005613B2">
        <w:rPr>
          <w:rFonts w:cs="Times New Roman"/>
          <w:szCs w:val="24"/>
          <w:lang w:val="en"/>
        </w:rPr>
        <w:t xml:space="preserve"> </w:t>
      </w:r>
      <w:r w:rsidRPr="00C317BB" w:rsidR="00813F81">
        <w:rPr>
          <w:rFonts w:cs="Times New Roman"/>
          <w:szCs w:val="24"/>
          <w:lang w:val="en"/>
        </w:rPr>
        <w:t>the</w:t>
      </w:r>
      <w:r w:rsidR="005613B2">
        <w:rPr>
          <w:rFonts w:cs="Times New Roman"/>
          <w:szCs w:val="24"/>
          <w:lang w:val="en"/>
        </w:rPr>
        <w:t xml:space="preserve"> </w:t>
      </w:r>
      <w:r w:rsidRPr="00C317BB" w:rsidR="00813F81">
        <w:rPr>
          <w:rFonts w:cs="Times New Roman"/>
          <w:szCs w:val="24"/>
          <w:lang w:val="en"/>
        </w:rPr>
        <w:t>environment,</w:t>
      </w:r>
      <w:r w:rsidR="005613B2">
        <w:rPr>
          <w:rFonts w:cs="Times New Roman"/>
          <w:szCs w:val="24"/>
          <w:lang w:val="en"/>
        </w:rPr>
        <w:t xml:space="preserve"> </w:t>
      </w:r>
      <w:r w:rsidRPr="00C317BB" w:rsidR="00813F81">
        <w:rPr>
          <w:rFonts w:cs="Times New Roman"/>
          <w:szCs w:val="24"/>
          <w:lang w:val="en"/>
        </w:rPr>
        <w:t>and</w:t>
      </w:r>
      <w:r w:rsidR="005613B2">
        <w:rPr>
          <w:rFonts w:cs="Times New Roman"/>
          <w:szCs w:val="24"/>
          <w:lang w:val="en"/>
        </w:rPr>
        <w:t xml:space="preserve"> </w:t>
      </w:r>
      <w:r w:rsidRPr="00C317BB" w:rsidR="00813F81">
        <w:rPr>
          <w:rFonts w:cs="Times New Roman"/>
          <w:szCs w:val="24"/>
          <w:lang w:val="en"/>
        </w:rPr>
        <w:t>public</w:t>
      </w:r>
      <w:r w:rsidR="005613B2">
        <w:rPr>
          <w:rFonts w:cs="Times New Roman"/>
          <w:szCs w:val="24"/>
          <w:lang w:val="en"/>
        </w:rPr>
        <w:t xml:space="preserve"> </w:t>
      </w:r>
      <w:r w:rsidRPr="00C317BB" w:rsidR="00813F81">
        <w:rPr>
          <w:rFonts w:cs="Times New Roman"/>
          <w:szCs w:val="24"/>
          <w:lang w:val="en"/>
        </w:rPr>
        <w:t>health</w:t>
      </w:r>
      <w:r w:rsidRPr="00C317BB" w:rsidR="009C36BA">
        <w:rPr>
          <w:rFonts w:cs="Times New Roman"/>
          <w:szCs w:val="24"/>
          <w:lang w:val="en"/>
        </w:rPr>
        <w:t>.</w:t>
      </w:r>
    </w:p>
    <w:p w:rsidRPr="00C317BB" w:rsidR="00813F81" w:rsidP="00F27167" w:rsidRDefault="002B1135" w14:paraId="023A2075" w14:textId="1351C76F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respect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anticipated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effects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rule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national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economy,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00FE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00FE">
        <w:rPr>
          <w:rFonts w:cs="Times New Roman"/>
          <w:color w:val="000000" w:themeColor="text1"/>
          <w:szCs w:val="24"/>
        </w:rPr>
        <w:t>economic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00FE">
        <w:rPr>
          <w:rFonts w:cs="Times New Roman"/>
          <w:color w:val="000000" w:themeColor="text1"/>
          <w:szCs w:val="24"/>
        </w:rPr>
        <w:t>impact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00FE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00FE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00FE">
        <w:rPr>
          <w:rFonts w:cs="Times New Roman"/>
          <w:color w:val="000000" w:themeColor="text1"/>
          <w:szCs w:val="24"/>
        </w:rPr>
        <w:t>regulation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00FE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00FE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00FE">
        <w:rPr>
          <w:rFonts w:cs="Times New Roman"/>
          <w:color w:val="000000" w:themeColor="text1"/>
          <w:szCs w:val="24"/>
        </w:rPr>
        <w:t>national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00FE">
        <w:rPr>
          <w:rFonts w:cs="Times New Roman"/>
          <w:color w:val="000000" w:themeColor="text1"/>
          <w:szCs w:val="24"/>
        </w:rPr>
        <w:t>economy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00FE">
        <w:rPr>
          <w:rFonts w:cs="Times New Roman"/>
          <w:color w:val="000000" w:themeColor="text1"/>
          <w:szCs w:val="24"/>
        </w:rPr>
        <w:t>generally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00FE">
        <w:rPr>
          <w:rFonts w:cs="Times New Roman"/>
          <w:color w:val="000000" w:themeColor="text1"/>
          <w:szCs w:val="24"/>
        </w:rPr>
        <w:t>only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00FE">
        <w:rPr>
          <w:rFonts w:cs="Times New Roman"/>
          <w:color w:val="000000" w:themeColor="text1"/>
          <w:szCs w:val="24"/>
        </w:rPr>
        <w:t>becomes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00FE">
        <w:rPr>
          <w:rFonts w:cs="Times New Roman"/>
          <w:color w:val="000000" w:themeColor="text1"/>
          <w:szCs w:val="24"/>
        </w:rPr>
        <w:t>measurable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00FE">
        <w:rPr>
          <w:rFonts w:cs="Times New Roman"/>
          <w:color w:val="000000" w:themeColor="text1"/>
          <w:szCs w:val="24"/>
        </w:rPr>
        <w:t>if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00FE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00FE">
        <w:rPr>
          <w:rFonts w:cs="Times New Roman"/>
          <w:color w:val="000000" w:themeColor="text1"/>
          <w:szCs w:val="24"/>
        </w:rPr>
        <w:t>economic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00FE">
        <w:rPr>
          <w:rFonts w:cs="Times New Roman"/>
          <w:color w:val="000000" w:themeColor="text1"/>
          <w:szCs w:val="24"/>
        </w:rPr>
        <w:t>impact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00FE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00FE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00FE">
        <w:rPr>
          <w:rFonts w:cs="Times New Roman"/>
          <w:color w:val="000000" w:themeColor="text1"/>
          <w:szCs w:val="24"/>
        </w:rPr>
        <w:t>regulation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00FE">
        <w:rPr>
          <w:rFonts w:cs="Times New Roman"/>
          <w:color w:val="000000" w:themeColor="text1"/>
          <w:szCs w:val="24"/>
        </w:rPr>
        <w:t>reaches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00FE">
        <w:rPr>
          <w:rFonts w:cs="Times New Roman"/>
          <w:color w:val="000000" w:themeColor="text1"/>
          <w:szCs w:val="24"/>
        </w:rPr>
        <w:t>0.25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00FE">
        <w:rPr>
          <w:rFonts w:cs="Times New Roman"/>
          <w:color w:val="000000" w:themeColor="text1"/>
          <w:szCs w:val="24"/>
        </w:rPr>
        <w:t>percent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00FE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00FE">
        <w:rPr>
          <w:rFonts w:cs="Times New Roman"/>
          <w:color w:val="000000" w:themeColor="text1"/>
          <w:szCs w:val="24"/>
        </w:rPr>
        <w:t>0.5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00FE">
        <w:rPr>
          <w:rFonts w:cs="Times New Roman"/>
          <w:color w:val="000000" w:themeColor="text1"/>
          <w:szCs w:val="24"/>
        </w:rPr>
        <w:t>percent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00FE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00FE">
        <w:rPr>
          <w:rFonts w:cs="Times New Roman"/>
          <w:color w:val="000000" w:themeColor="text1"/>
          <w:szCs w:val="24"/>
        </w:rPr>
        <w:t>Gross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00FE">
        <w:rPr>
          <w:rFonts w:cs="Times New Roman"/>
          <w:color w:val="000000" w:themeColor="text1"/>
          <w:szCs w:val="24"/>
        </w:rPr>
        <w:t>Domestic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00FE">
        <w:rPr>
          <w:rFonts w:cs="Times New Roman"/>
          <w:color w:val="000000" w:themeColor="text1"/>
          <w:szCs w:val="24"/>
        </w:rPr>
        <w:t>Product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00FE">
        <w:rPr>
          <w:rFonts w:cs="Times New Roman"/>
          <w:color w:val="000000" w:themeColor="text1"/>
          <w:szCs w:val="24"/>
        </w:rPr>
        <w:t>(GDP).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00FE">
        <w:rPr>
          <w:rFonts w:cs="Times New Roman"/>
          <w:color w:val="000000" w:themeColor="text1"/>
          <w:szCs w:val="24"/>
        </w:rPr>
        <w:t>Given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00FE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00FE">
        <w:rPr>
          <w:rFonts w:cs="Times New Roman"/>
          <w:color w:val="000000" w:themeColor="text1"/>
          <w:szCs w:val="24"/>
        </w:rPr>
        <w:t>current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00FE">
        <w:rPr>
          <w:rFonts w:cs="Times New Roman"/>
          <w:color w:val="000000" w:themeColor="text1"/>
          <w:szCs w:val="24"/>
        </w:rPr>
        <w:t>GDP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00FE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00FE">
        <w:rPr>
          <w:rFonts w:cs="Times New Roman"/>
          <w:color w:val="000000" w:themeColor="text1"/>
          <w:szCs w:val="24"/>
        </w:rPr>
        <w:t>$23.17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00FE">
        <w:rPr>
          <w:rFonts w:cs="Times New Roman"/>
          <w:color w:val="000000" w:themeColor="text1"/>
          <w:szCs w:val="24"/>
        </w:rPr>
        <w:t>trillion,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00FE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00FE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00FE">
        <w:rPr>
          <w:rFonts w:cs="Times New Roman"/>
          <w:color w:val="000000" w:themeColor="text1"/>
          <w:szCs w:val="24"/>
        </w:rPr>
        <w:t>equivalent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00FE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00FE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00FE">
        <w:rPr>
          <w:rFonts w:cs="Times New Roman"/>
          <w:color w:val="000000" w:themeColor="text1"/>
          <w:szCs w:val="24"/>
        </w:rPr>
        <w:t>cost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00FE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00FE">
        <w:rPr>
          <w:rFonts w:cs="Times New Roman"/>
          <w:color w:val="000000" w:themeColor="text1"/>
          <w:szCs w:val="24"/>
        </w:rPr>
        <w:t>$58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00FE">
        <w:rPr>
          <w:rFonts w:cs="Times New Roman"/>
          <w:color w:val="000000" w:themeColor="text1"/>
          <w:szCs w:val="24"/>
        </w:rPr>
        <w:t>billion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00FE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00FE">
        <w:rPr>
          <w:rFonts w:cs="Times New Roman"/>
          <w:color w:val="000000" w:themeColor="text1"/>
          <w:szCs w:val="24"/>
        </w:rPr>
        <w:t>$116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00FE">
        <w:rPr>
          <w:rFonts w:cs="Times New Roman"/>
          <w:color w:val="000000" w:themeColor="text1"/>
          <w:szCs w:val="24"/>
        </w:rPr>
        <w:t>billion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00FE">
        <w:rPr>
          <w:rFonts w:cs="Times New Roman"/>
          <w:color w:val="000000" w:themeColor="text1"/>
          <w:szCs w:val="24"/>
        </w:rPr>
        <w:t>which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00FE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00FE">
        <w:rPr>
          <w:rFonts w:cs="Times New Roman"/>
          <w:color w:val="000000" w:themeColor="text1"/>
          <w:szCs w:val="24"/>
        </w:rPr>
        <w:t>considerably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00FE">
        <w:rPr>
          <w:rFonts w:cs="Times New Roman"/>
          <w:color w:val="000000" w:themeColor="text1"/>
          <w:szCs w:val="24"/>
        </w:rPr>
        <w:t>higher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00FE">
        <w:rPr>
          <w:rFonts w:cs="Times New Roman"/>
          <w:color w:val="000000" w:themeColor="text1"/>
          <w:szCs w:val="24"/>
        </w:rPr>
        <w:t>than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00FE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00FE">
        <w:rPr>
          <w:rFonts w:cs="Times New Roman"/>
          <w:color w:val="000000" w:themeColor="text1"/>
          <w:szCs w:val="24"/>
        </w:rPr>
        <w:t>estimated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00FE">
        <w:rPr>
          <w:rFonts w:cs="Times New Roman"/>
          <w:color w:val="000000" w:themeColor="text1"/>
          <w:szCs w:val="24"/>
        </w:rPr>
        <w:t>cost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00FE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00FE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00FE">
        <w:rPr>
          <w:rFonts w:cs="Times New Roman"/>
          <w:color w:val="000000" w:themeColor="text1"/>
          <w:szCs w:val="24"/>
        </w:rPr>
        <w:t>rule.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considered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number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businesses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workers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affected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costs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benefits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those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businesses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workers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00B45">
        <w:rPr>
          <w:rFonts w:cs="Times New Roman"/>
          <w:color w:val="000000" w:themeColor="text1"/>
          <w:szCs w:val="24"/>
        </w:rPr>
        <w:t>society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00B45">
        <w:rPr>
          <w:rFonts w:cs="Times New Roman"/>
          <w:color w:val="000000" w:themeColor="text1"/>
          <w:szCs w:val="24"/>
        </w:rPr>
        <w:t>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00B45">
        <w:rPr>
          <w:rFonts w:cs="Times New Roman"/>
          <w:color w:val="000000" w:themeColor="text1"/>
          <w:szCs w:val="24"/>
        </w:rPr>
        <w:t>large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find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010A7">
        <w:rPr>
          <w:rFonts w:cs="Times New Roman"/>
          <w:color w:val="000000" w:themeColor="text1"/>
          <w:szCs w:val="24"/>
        </w:rPr>
        <w:t>measurable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010A7">
        <w:rPr>
          <w:rFonts w:cs="Times New Roman"/>
          <w:color w:val="000000" w:themeColor="text1"/>
          <w:szCs w:val="24"/>
        </w:rPr>
        <w:t>effect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national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economy.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C36BA">
        <w:rPr>
          <w:rFonts w:cs="Times New Roman"/>
          <w:color w:val="000000" w:themeColor="text1"/>
          <w:szCs w:val="24"/>
        </w:rPr>
        <w:t>I</w:t>
      </w:r>
      <w:r w:rsidRPr="00C317BB" w:rsidR="00813F81">
        <w:rPr>
          <w:rFonts w:cs="Times New Roman"/>
          <w:color w:val="000000" w:themeColor="text1"/>
          <w:szCs w:val="24"/>
        </w:rPr>
        <w:t>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13F81">
        <w:rPr>
          <w:rFonts w:cs="Times New Roman"/>
          <w:color w:val="000000" w:themeColor="text1"/>
          <w:szCs w:val="24"/>
        </w:rPr>
        <w:t>addition,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13F81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13F81">
        <w:rPr>
          <w:rFonts w:cs="Times New Roman"/>
          <w:color w:val="000000" w:themeColor="text1"/>
          <w:szCs w:val="24"/>
        </w:rPr>
        <w:t>considered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13F81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13F81">
        <w:rPr>
          <w:rFonts w:cs="Times New Roman"/>
          <w:color w:val="000000" w:themeColor="text1"/>
          <w:szCs w:val="24"/>
        </w:rPr>
        <w:t>employment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13F81">
        <w:rPr>
          <w:rFonts w:cs="Times New Roman"/>
          <w:color w:val="000000" w:themeColor="text1"/>
          <w:szCs w:val="24"/>
        </w:rPr>
        <w:t>impacts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13F81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13F81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13F81">
        <w:rPr>
          <w:rFonts w:cs="Times New Roman"/>
          <w:color w:val="000000" w:themeColor="text1"/>
          <w:szCs w:val="24"/>
        </w:rPr>
        <w:t>proposal.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12D9">
        <w:rPr>
          <w:rFonts w:cs="Times New Roman"/>
          <w:color w:val="000000" w:themeColor="text1"/>
          <w:szCs w:val="24"/>
        </w:rPr>
        <w:t>While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12D9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12D9">
        <w:rPr>
          <w:rFonts w:cs="Times New Roman"/>
          <w:color w:val="000000" w:themeColor="text1"/>
          <w:szCs w:val="24"/>
        </w:rPr>
        <w:t>assumes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12D9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12D9">
        <w:rPr>
          <w:rFonts w:cs="Times New Roman"/>
          <w:color w:val="000000" w:themeColor="text1"/>
          <w:szCs w:val="24"/>
        </w:rPr>
        <w:t>chlor-alkali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12D9">
        <w:rPr>
          <w:rFonts w:cs="Times New Roman"/>
          <w:color w:val="000000" w:themeColor="text1"/>
          <w:szCs w:val="24"/>
        </w:rPr>
        <w:t>plants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12D9">
        <w:rPr>
          <w:rFonts w:cs="Times New Roman"/>
          <w:color w:val="000000" w:themeColor="text1"/>
          <w:szCs w:val="24"/>
        </w:rPr>
        <w:t>currently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12D9">
        <w:rPr>
          <w:rFonts w:cs="Times New Roman"/>
          <w:color w:val="000000" w:themeColor="text1"/>
          <w:szCs w:val="24"/>
        </w:rPr>
        <w:t>using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12D9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12D9">
        <w:rPr>
          <w:rFonts w:cs="Times New Roman"/>
          <w:color w:val="000000" w:themeColor="text1"/>
          <w:szCs w:val="24"/>
        </w:rPr>
        <w:t>diaphragms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12D9">
        <w:rPr>
          <w:rFonts w:cs="Times New Roman"/>
          <w:color w:val="000000" w:themeColor="text1"/>
          <w:szCs w:val="24"/>
        </w:rPr>
        <w:t>will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12D9">
        <w:rPr>
          <w:rFonts w:cs="Times New Roman"/>
          <w:color w:val="000000" w:themeColor="text1"/>
          <w:szCs w:val="24"/>
        </w:rPr>
        <w:t>convert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12D9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12D9">
        <w:rPr>
          <w:rFonts w:cs="Times New Roman"/>
          <w:color w:val="000000" w:themeColor="text1"/>
          <w:szCs w:val="24"/>
        </w:rPr>
        <w:t>non-asbestos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12D9">
        <w:rPr>
          <w:rFonts w:cs="Times New Roman"/>
          <w:color w:val="000000" w:themeColor="text1"/>
          <w:szCs w:val="24"/>
        </w:rPr>
        <w:t>technologies,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12D9">
        <w:rPr>
          <w:rFonts w:cs="Times New Roman"/>
          <w:color w:val="000000" w:themeColor="text1"/>
          <w:szCs w:val="24"/>
        </w:rPr>
        <w:t>some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12D9">
        <w:rPr>
          <w:rFonts w:cs="Times New Roman"/>
          <w:color w:val="000000" w:themeColor="text1"/>
          <w:szCs w:val="24"/>
        </w:rPr>
        <w:t>facilities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12D9">
        <w:rPr>
          <w:rFonts w:cs="Times New Roman"/>
          <w:color w:val="000000" w:themeColor="text1"/>
          <w:szCs w:val="24"/>
        </w:rPr>
        <w:t>may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12D9">
        <w:rPr>
          <w:rFonts w:cs="Times New Roman"/>
          <w:color w:val="000000" w:themeColor="text1"/>
          <w:szCs w:val="24"/>
        </w:rPr>
        <w:t>choose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12D9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12D9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12D9">
        <w:rPr>
          <w:rFonts w:cs="Times New Roman"/>
          <w:color w:val="000000" w:themeColor="text1"/>
          <w:szCs w:val="24"/>
        </w:rPr>
        <w:t>do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12D9">
        <w:rPr>
          <w:rFonts w:cs="Times New Roman"/>
          <w:color w:val="000000" w:themeColor="text1"/>
          <w:szCs w:val="24"/>
        </w:rPr>
        <w:t>so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12D9">
        <w:rPr>
          <w:rFonts w:cs="Times New Roman"/>
          <w:color w:val="000000" w:themeColor="text1"/>
          <w:szCs w:val="24"/>
        </w:rPr>
        <w:t>before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12D9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12D9">
        <w:rPr>
          <w:rFonts w:cs="Times New Roman"/>
          <w:color w:val="000000" w:themeColor="text1"/>
          <w:szCs w:val="24"/>
        </w:rPr>
        <w:t>effective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12D9">
        <w:rPr>
          <w:rFonts w:cs="Times New Roman"/>
          <w:color w:val="000000" w:themeColor="text1"/>
          <w:szCs w:val="24"/>
        </w:rPr>
        <w:t>prohibition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12D9">
        <w:rPr>
          <w:rFonts w:cs="Times New Roman"/>
          <w:color w:val="000000" w:themeColor="text1"/>
          <w:szCs w:val="24"/>
        </w:rPr>
        <w:t>date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12D9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12D9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12D9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12D9">
        <w:rPr>
          <w:rFonts w:cs="Times New Roman"/>
          <w:color w:val="000000" w:themeColor="text1"/>
          <w:szCs w:val="24"/>
        </w:rPr>
        <w:t>rule.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bookmarkStart w:name="_Hlk93933256" w:id="42"/>
      <w:r w:rsidRPr="00C317BB" w:rsidR="00C012D9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12D9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12D9">
        <w:rPr>
          <w:rFonts w:cs="Times New Roman"/>
          <w:color w:val="000000" w:themeColor="text1"/>
          <w:szCs w:val="24"/>
        </w:rPr>
        <w:t>result,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12D9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12D9">
        <w:rPr>
          <w:rFonts w:cs="Times New Roman"/>
          <w:color w:val="000000" w:themeColor="text1"/>
          <w:szCs w:val="24"/>
        </w:rPr>
        <w:t>rule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12D9">
        <w:rPr>
          <w:rFonts w:cs="Times New Roman"/>
          <w:color w:val="000000" w:themeColor="text1"/>
          <w:szCs w:val="24"/>
        </w:rPr>
        <w:t>may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12D9">
        <w:rPr>
          <w:rFonts w:cs="Times New Roman"/>
          <w:color w:val="000000" w:themeColor="text1"/>
          <w:szCs w:val="24"/>
        </w:rPr>
        <w:t>result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12D9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12D9">
        <w:rPr>
          <w:rFonts w:cs="Times New Roman"/>
          <w:color w:val="000000" w:themeColor="text1"/>
          <w:szCs w:val="24"/>
        </w:rPr>
        <w:t>plant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12D9">
        <w:rPr>
          <w:rFonts w:cs="Times New Roman"/>
          <w:color w:val="000000" w:themeColor="text1"/>
          <w:szCs w:val="24"/>
        </w:rPr>
        <w:t>closures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12D9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12D9">
        <w:rPr>
          <w:rFonts w:cs="Times New Roman"/>
          <w:color w:val="000000" w:themeColor="text1"/>
          <w:szCs w:val="24"/>
        </w:rPr>
        <w:t>job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12D9">
        <w:rPr>
          <w:rFonts w:cs="Times New Roman"/>
          <w:color w:val="000000" w:themeColor="text1"/>
          <w:szCs w:val="24"/>
        </w:rPr>
        <w:t>losses,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12D9">
        <w:rPr>
          <w:rFonts w:cs="Times New Roman"/>
          <w:color w:val="000000" w:themeColor="text1"/>
          <w:szCs w:val="24"/>
        </w:rPr>
        <w:t>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12D9">
        <w:rPr>
          <w:rFonts w:cs="Times New Roman"/>
          <w:color w:val="000000" w:themeColor="text1"/>
          <w:szCs w:val="24"/>
        </w:rPr>
        <w:t>least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12D9">
        <w:rPr>
          <w:rFonts w:cs="Times New Roman"/>
          <w:color w:val="000000" w:themeColor="text1"/>
          <w:szCs w:val="24"/>
        </w:rPr>
        <w:t>temporarily,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12D9">
        <w:rPr>
          <w:rFonts w:cs="Times New Roman"/>
          <w:color w:val="000000" w:themeColor="text1"/>
          <w:szCs w:val="24"/>
        </w:rPr>
        <w:t>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12D9">
        <w:rPr>
          <w:rFonts w:cs="Times New Roman"/>
          <w:color w:val="000000" w:themeColor="text1"/>
          <w:szCs w:val="24"/>
        </w:rPr>
        <w:t>some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12D9">
        <w:rPr>
          <w:rFonts w:cs="Times New Roman"/>
          <w:color w:val="000000" w:themeColor="text1"/>
          <w:szCs w:val="24"/>
        </w:rPr>
        <w:t>chlor-alkali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12D9">
        <w:rPr>
          <w:rFonts w:cs="Times New Roman"/>
          <w:color w:val="000000" w:themeColor="text1"/>
          <w:szCs w:val="24"/>
        </w:rPr>
        <w:t>plants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12D9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12D9">
        <w:rPr>
          <w:rFonts w:cs="Times New Roman"/>
          <w:color w:val="000000" w:themeColor="text1"/>
          <w:szCs w:val="24"/>
        </w:rPr>
        <w:t>well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12D9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12D9">
        <w:rPr>
          <w:rFonts w:cs="Times New Roman"/>
          <w:color w:val="000000" w:themeColor="text1"/>
          <w:szCs w:val="24"/>
        </w:rPr>
        <w:t>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12D9">
        <w:rPr>
          <w:rFonts w:cs="Times New Roman"/>
          <w:color w:val="000000" w:themeColor="text1"/>
          <w:szCs w:val="24"/>
        </w:rPr>
        <w:t>facilities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12D9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12D9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12D9">
        <w:rPr>
          <w:rFonts w:cs="Times New Roman"/>
          <w:color w:val="000000" w:themeColor="text1"/>
          <w:szCs w:val="24"/>
        </w:rPr>
        <w:t>chlorine,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12D9">
        <w:rPr>
          <w:rFonts w:cs="Times New Roman"/>
          <w:color w:val="000000" w:themeColor="text1"/>
          <w:szCs w:val="24"/>
        </w:rPr>
        <w:t>caustic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12D9">
        <w:rPr>
          <w:rFonts w:cs="Times New Roman"/>
          <w:color w:val="000000" w:themeColor="text1"/>
          <w:szCs w:val="24"/>
        </w:rPr>
        <w:t>soda,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12D9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12D9">
        <w:rPr>
          <w:rFonts w:cs="Times New Roman"/>
          <w:color w:val="000000" w:themeColor="text1"/>
          <w:szCs w:val="24"/>
        </w:rPr>
        <w:t>their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12D9">
        <w:rPr>
          <w:rFonts w:cs="Times New Roman"/>
          <w:color w:val="000000" w:themeColor="text1"/>
          <w:szCs w:val="24"/>
        </w:rPr>
        <w:t>derivatives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12D9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12D9">
        <w:rPr>
          <w:rFonts w:cs="Times New Roman"/>
          <w:color w:val="000000" w:themeColor="text1"/>
          <w:szCs w:val="24"/>
        </w:rPr>
        <w:t>intermediates.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bookmarkEnd w:id="42"/>
      <w:r w:rsidRPr="00C317BB" w:rsidR="00C012D9">
        <w:rPr>
          <w:rFonts w:cs="Times New Roman"/>
          <w:color w:val="000000" w:themeColor="text1"/>
          <w:szCs w:val="24"/>
        </w:rPr>
        <w:t>There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12D9">
        <w:rPr>
          <w:rFonts w:cs="Times New Roman"/>
          <w:color w:val="000000" w:themeColor="text1"/>
          <w:szCs w:val="24"/>
        </w:rPr>
        <w:t>may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12D9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12D9">
        <w:rPr>
          <w:rFonts w:cs="Times New Roman"/>
          <w:color w:val="000000" w:themeColor="text1"/>
          <w:szCs w:val="24"/>
        </w:rPr>
        <w:t>similar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12D9">
        <w:rPr>
          <w:rFonts w:cs="Times New Roman"/>
          <w:color w:val="000000" w:themeColor="text1"/>
          <w:szCs w:val="24"/>
        </w:rPr>
        <w:t>employment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12D9">
        <w:rPr>
          <w:rFonts w:cs="Times New Roman"/>
          <w:color w:val="000000" w:themeColor="text1"/>
          <w:szCs w:val="24"/>
        </w:rPr>
        <w:t>effects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12D9">
        <w:rPr>
          <w:rFonts w:cs="Times New Roman"/>
          <w:color w:val="000000" w:themeColor="text1"/>
          <w:szCs w:val="24"/>
        </w:rPr>
        <w:t>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12D9">
        <w:rPr>
          <w:rFonts w:cs="Times New Roman"/>
          <w:color w:val="000000" w:themeColor="text1"/>
          <w:szCs w:val="24"/>
        </w:rPr>
        <w:t>chemical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12D9">
        <w:rPr>
          <w:rFonts w:cs="Times New Roman"/>
          <w:color w:val="000000" w:themeColor="text1"/>
          <w:szCs w:val="24"/>
        </w:rPr>
        <w:t>plants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12D9">
        <w:rPr>
          <w:rFonts w:cs="Times New Roman"/>
          <w:color w:val="000000" w:themeColor="text1"/>
          <w:szCs w:val="24"/>
        </w:rPr>
        <w:t>using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12D9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12D9">
        <w:rPr>
          <w:rFonts w:cs="Times New Roman"/>
          <w:color w:val="000000" w:themeColor="text1"/>
          <w:szCs w:val="24"/>
        </w:rPr>
        <w:t>gaskets.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12D9">
        <w:rPr>
          <w:rFonts w:cs="Times New Roman"/>
          <w:color w:val="000000" w:themeColor="text1"/>
          <w:szCs w:val="24"/>
        </w:rPr>
        <w:t>However</w:t>
      </w:r>
      <w:r w:rsidRPr="00C317BB" w:rsidR="004D0F6D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12D9">
        <w:rPr>
          <w:rFonts w:cs="Times New Roman"/>
          <w:color w:val="000000" w:themeColor="text1"/>
          <w:szCs w:val="24"/>
        </w:rPr>
        <w:t>there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12D9">
        <w:rPr>
          <w:rFonts w:cs="Times New Roman"/>
          <w:color w:val="000000" w:themeColor="text1"/>
          <w:szCs w:val="24"/>
        </w:rPr>
        <w:t>may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12D9">
        <w:rPr>
          <w:rFonts w:cs="Times New Roman"/>
          <w:color w:val="000000" w:themeColor="text1"/>
          <w:szCs w:val="24"/>
        </w:rPr>
        <w:t>also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12D9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12D9">
        <w:rPr>
          <w:rFonts w:cs="Times New Roman"/>
          <w:color w:val="000000" w:themeColor="text1"/>
          <w:szCs w:val="24"/>
        </w:rPr>
        <w:t>increased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12D9">
        <w:rPr>
          <w:rFonts w:cs="Times New Roman"/>
          <w:color w:val="000000" w:themeColor="text1"/>
          <w:szCs w:val="24"/>
        </w:rPr>
        <w:t>temporary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12D9">
        <w:rPr>
          <w:rFonts w:cs="Times New Roman"/>
          <w:color w:val="000000" w:themeColor="text1"/>
          <w:szCs w:val="24"/>
        </w:rPr>
        <w:t>employment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12D9">
        <w:rPr>
          <w:rFonts w:cs="Times New Roman"/>
          <w:color w:val="000000" w:themeColor="text1"/>
          <w:szCs w:val="24"/>
        </w:rPr>
        <w:t>associated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12D9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12D9">
        <w:rPr>
          <w:rFonts w:cs="Times New Roman"/>
          <w:color w:val="000000" w:themeColor="text1"/>
          <w:szCs w:val="24"/>
        </w:rPr>
        <w:t>new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12D9">
        <w:rPr>
          <w:rFonts w:cs="Times New Roman"/>
          <w:color w:val="000000" w:themeColor="text1"/>
          <w:szCs w:val="24"/>
        </w:rPr>
        <w:t>construction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12D9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12D9">
        <w:rPr>
          <w:rFonts w:cs="Times New Roman"/>
          <w:color w:val="000000" w:themeColor="text1"/>
          <w:szCs w:val="24"/>
        </w:rPr>
        <w:t>firms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12D9">
        <w:rPr>
          <w:rFonts w:cs="Times New Roman"/>
          <w:color w:val="000000" w:themeColor="text1"/>
          <w:szCs w:val="24"/>
        </w:rPr>
        <w:t>convert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12D9">
        <w:rPr>
          <w:rFonts w:cs="Times New Roman"/>
          <w:color w:val="000000" w:themeColor="text1"/>
          <w:szCs w:val="24"/>
        </w:rPr>
        <w:t>their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12D9">
        <w:rPr>
          <w:rFonts w:cs="Times New Roman"/>
          <w:color w:val="000000" w:themeColor="text1"/>
          <w:szCs w:val="24"/>
        </w:rPr>
        <w:t>facilities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12D9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12D9">
        <w:rPr>
          <w:rFonts w:cs="Times New Roman"/>
          <w:color w:val="000000" w:themeColor="text1"/>
          <w:szCs w:val="24"/>
        </w:rPr>
        <w:t>replace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12D9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12D9">
        <w:rPr>
          <w:rFonts w:cs="Times New Roman"/>
          <w:color w:val="000000" w:themeColor="text1"/>
          <w:szCs w:val="24"/>
        </w:rPr>
        <w:t>diaphragms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12D9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12D9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12D9">
        <w:rPr>
          <w:rFonts w:cs="Times New Roman"/>
          <w:color w:val="000000" w:themeColor="text1"/>
          <w:szCs w:val="24"/>
        </w:rPr>
        <w:t>gaskets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12D9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12D9">
        <w:rPr>
          <w:rFonts w:cs="Times New Roman"/>
          <w:color w:val="000000" w:themeColor="text1"/>
          <w:szCs w:val="24"/>
        </w:rPr>
        <w:t>substitute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12D9">
        <w:rPr>
          <w:rFonts w:cs="Times New Roman"/>
          <w:color w:val="000000" w:themeColor="text1"/>
          <w:szCs w:val="24"/>
        </w:rPr>
        <w:t>technologies</w:t>
      </w:r>
      <w:r w:rsidRPr="00C317BB" w:rsidR="00374BF8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74BF8">
        <w:rPr>
          <w:rFonts w:cs="Times New Roman"/>
          <w:color w:val="000000" w:themeColor="text1"/>
          <w:szCs w:val="24"/>
        </w:rPr>
        <w:t>There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74BF8">
        <w:rPr>
          <w:rFonts w:cs="Times New Roman"/>
          <w:color w:val="000000" w:themeColor="text1"/>
          <w:szCs w:val="24"/>
        </w:rPr>
        <w:t>may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74BF8">
        <w:rPr>
          <w:rFonts w:cs="Times New Roman"/>
          <w:color w:val="000000" w:themeColor="text1"/>
          <w:szCs w:val="24"/>
        </w:rPr>
        <w:t>also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74BF8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74BF8">
        <w:rPr>
          <w:rFonts w:cs="Times New Roman"/>
          <w:color w:val="000000" w:themeColor="text1"/>
          <w:szCs w:val="24"/>
        </w:rPr>
        <w:t>increases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74BF8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74BF8">
        <w:rPr>
          <w:rFonts w:cs="Times New Roman"/>
          <w:color w:val="000000" w:themeColor="text1"/>
          <w:szCs w:val="24"/>
        </w:rPr>
        <w:t>employment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74BF8">
        <w:rPr>
          <w:rFonts w:cs="Times New Roman"/>
          <w:color w:val="000000" w:themeColor="text1"/>
          <w:szCs w:val="24"/>
        </w:rPr>
        <w:t>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74BF8">
        <w:rPr>
          <w:rFonts w:cs="Times New Roman"/>
          <w:color w:val="000000" w:themeColor="text1"/>
          <w:szCs w:val="24"/>
        </w:rPr>
        <w:t>facilities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74BF8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74BF8">
        <w:rPr>
          <w:rFonts w:cs="Times New Roman"/>
          <w:color w:val="000000" w:themeColor="text1"/>
          <w:szCs w:val="24"/>
        </w:rPr>
        <w:t>currently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74BF8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74BF8">
        <w:rPr>
          <w:rFonts w:cs="Times New Roman"/>
          <w:color w:val="000000" w:themeColor="text1"/>
          <w:szCs w:val="24"/>
        </w:rPr>
        <w:t>asbestos-free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74BF8">
        <w:rPr>
          <w:rFonts w:cs="Times New Roman"/>
          <w:color w:val="000000" w:themeColor="text1"/>
          <w:szCs w:val="24"/>
        </w:rPr>
        <w:t>technologies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C36BA">
        <w:rPr>
          <w:rFonts w:cs="Times New Roman"/>
          <w:color w:val="000000" w:themeColor="text1"/>
          <w:szCs w:val="24"/>
        </w:rPr>
        <w:t>(Ref.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339A2">
        <w:rPr>
          <w:rFonts w:cs="Times New Roman"/>
          <w:color w:val="000000" w:themeColor="text1"/>
          <w:szCs w:val="24"/>
        </w:rPr>
        <w:t>2</w:t>
      </w:r>
      <w:r w:rsidRPr="00C317BB" w:rsidR="009C36BA">
        <w:rPr>
          <w:rFonts w:cs="Times New Roman"/>
          <w:color w:val="000000" w:themeColor="text1"/>
          <w:szCs w:val="24"/>
        </w:rPr>
        <w:t>)</w:t>
      </w:r>
      <w:r w:rsidRPr="00C317BB" w:rsidR="00B148E7">
        <w:rPr>
          <w:rFonts w:cs="Times New Roman"/>
          <w:color w:val="000000" w:themeColor="text1"/>
          <w:szCs w:val="24"/>
        </w:rPr>
        <w:t>.</w:t>
      </w:r>
    </w:p>
    <w:p w:rsidRPr="00C317BB" w:rsidR="00650449" w:rsidP="00F27167" w:rsidRDefault="00650449" w14:paraId="0BE3D1C1" w14:textId="59E36FF3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52C91">
        <w:rPr>
          <w:rFonts w:cs="Times New Roman"/>
          <w:color w:val="000000" w:themeColor="text1"/>
          <w:szCs w:val="24"/>
        </w:rPr>
        <w:t>has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E2DF5">
        <w:rPr>
          <w:rFonts w:cs="Times New Roman"/>
          <w:color w:val="000000" w:themeColor="text1"/>
          <w:szCs w:val="24"/>
        </w:rPr>
        <w:t>determined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52C91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52C91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52C91">
        <w:rPr>
          <w:rFonts w:cs="Times New Roman"/>
          <w:color w:val="000000" w:themeColor="text1"/>
          <w:szCs w:val="24"/>
        </w:rPr>
        <w:t>rule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52C91">
        <w:rPr>
          <w:rFonts w:cs="Times New Roman"/>
          <w:color w:val="000000" w:themeColor="text1"/>
          <w:szCs w:val="24"/>
        </w:rPr>
        <w:t>will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E2DF5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E2DF5">
        <w:rPr>
          <w:rFonts w:cs="Times New Roman"/>
          <w:color w:val="000000" w:themeColor="text1"/>
          <w:szCs w:val="24"/>
        </w:rPr>
        <w:t>have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E2DF5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E2DF5">
        <w:rPr>
          <w:rFonts w:cs="Times New Roman"/>
          <w:color w:val="000000" w:themeColor="text1"/>
          <w:szCs w:val="24"/>
        </w:rPr>
        <w:t>significant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A7621">
        <w:rPr>
          <w:rFonts w:cs="Times New Roman"/>
          <w:color w:val="000000" w:themeColor="text1"/>
          <w:szCs w:val="24"/>
        </w:rPr>
        <w:t>impact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A7621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A7621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A7621">
        <w:rPr>
          <w:rFonts w:cs="Times New Roman"/>
          <w:color w:val="000000" w:themeColor="text1"/>
          <w:szCs w:val="24"/>
        </w:rPr>
        <w:t>substantial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A7621">
        <w:rPr>
          <w:rFonts w:cs="Times New Roman"/>
          <w:color w:val="000000" w:themeColor="text1"/>
          <w:szCs w:val="24"/>
        </w:rPr>
        <w:t>number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A7621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A7621">
        <w:rPr>
          <w:rFonts w:cs="Times New Roman"/>
          <w:color w:val="000000" w:themeColor="text1"/>
          <w:szCs w:val="24"/>
        </w:rPr>
        <w:t>small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A7621">
        <w:rPr>
          <w:rFonts w:cs="Times New Roman"/>
          <w:color w:val="000000" w:themeColor="text1"/>
          <w:szCs w:val="24"/>
        </w:rPr>
        <w:t>entities</w:t>
      </w:r>
      <w:r w:rsidRPr="00C317BB">
        <w:rPr>
          <w:rFonts w:cs="Times New Roman"/>
          <w:color w:val="000000" w:themeColor="text1"/>
          <w:szCs w:val="24"/>
        </w:rPr>
        <w:t>;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estimates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9621A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rule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affect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E4B48">
        <w:rPr>
          <w:rFonts w:cs="Times New Roman"/>
          <w:color w:val="000000" w:themeColor="text1"/>
          <w:szCs w:val="24"/>
        </w:rPr>
        <w:t>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E4B48">
        <w:rPr>
          <w:rFonts w:cs="Times New Roman"/>
          <w:color w:val="000000" w:themeColor="text1"/>
          <w:szCs w:val="24"/>
        </w:rPr>
        <w:t>least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E4B48">
        <w:rPr>
          <w:rFonts w:cs="Times New Roman"/>
          <w:color w:val="000000" w:themeColor="text1"/>
          <w:szCs w:val="24"/>
        </w:rPr>
        <w:t>15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small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entities,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7782D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7782D">
        <w:rPr>
          <w:rFonts w:cs="Times New Roman"/>
          <w:color w:val="000000" w:themeColor="text1"/>
          <w:szCs w:val="24"/>
        </w:rPr>
        <w:t>which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7782D">
        <w:rPr>
          <w:rFonts w:cs="Times New Roman"/>
          <w:color w:val="000000" w:themeColor="text1"/>
          <w:szCs w:val="24"/>
        </w:rPr>
        <w:t>12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7782D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7782D">
        <w:rPr>
          <w:rFonts w:cs="Times New Roman"/>
          <w:color w:val="000000" w:themeColor="text1"/>
          <w:szCs w:val="24"/>
        </w:rPr>
        <w:t>businesses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7782D">
        <w:rPr>
          <w:rFonts w:cs="Times New Roman"/>
          <w:color w:val="000000" w:themeColor="text1"/>
          <w:szCs w:val="24"/>
        </w:rPr>
        <w:t>supplying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7782D">
        <w:rPr>
          <w:rFonts w:cs="Times New Roman"/>
          <w:color w:val="000000" w:themeColor="text1"/>
          <w:szCs w:val="24"/>
        </w:rPr>
        <w:t>aftermarket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7782D">
        <w:rPr>
          <w:rFonts w:cs="Times New Roman"/>
          <w:color w:val="000000" w:themeColor="text1"/>
          <w:szCs w:val="24"/>
        </w:rPr>
        <w:t>brakes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7782D">
        <w:rPr>
          <w:rFonts w:cs="Times New Roman"/>
          <w:color w:val="000000" w:themeColor="text1"/>
          <w:szCs w:val="24"/>
        </w:rPr>
        <w:t>incurring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7782D">
        <w:rPr>
          <w:rFonts w:cs="Times New Roman"/>
          <w:color w:val="000000" w:themeColor="text1"/>
          <w:szCs w:val="24"/>
        </w:rPr>
        <w:t>costs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7782D">
        <w:rPr>
          <w:rFonts w:cs="Times New Roman"/>
          <w:color w:val="000000" w:themeColor="text1"/>
          <w:szCs w:val="24"/>
        </w:rPr>
        <w:t>between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7782D">
        <w:rPr>
          <w:rFonts w:cs="Times New Roman"/>
          <w:color w:val="000000" w:themeColor="text1"/>
          <w:szCs w:val="24"/>
        </w:rPr>
        <w:t>$778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7782D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7782D">
        <w:rPr>
          <w:rFonts w:cs="Times New Roman"/>
          <w:color w:val="000000" w:themeColor="text1"/>
          <w:szCs w:val="24"/>
        </w:rPr>
        <w:t>$11,523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7782D">
        <w:rPr>
          <w:rFonts w:cs="Times New Roman"/>
          <w:color w:val="000000" w:themeColor="text1"/>
          <w:szCs w:val="24"/>
        </w:rPr>
        <w:t>per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7782D">
        <w:rPr>
          <w:rFonts w:cs="Times New Roman"/>
          <w:color w:val="000000" w:themeColor="text1"/>
          <w:szCs w:val="24"/>
        </w:rPr>
        <w:t>firm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7782D">
        <w:rPr>
          <w:rFonts w:cs="Times New Roman"/>
          <w:color w:val="000000" w:themeColor="text1"/>
          <w:szCs w:val="24"/>
        </w:rPr>
        <w:t>(depending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7782D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7782D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7782D">
        <w:rPr>
          <w:rFonts w:cs="Times New Roman"/>
          <w:color w:val="000000" w:themeColor="text1"/>
          <w:szCs w:val="24"/>
        </w:rPr>
        <w:t>number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7782D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7782D">
        <w:rPr>
          <w:rFonts w:cs="Times New Roman"/>
          <w:color w:val="000000" w:themeColor="text1"/>
          <w:szCs w:val="24"/>
        </w:rPr>
        <w:t>brake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7782D">
        <w:rPr>
          <w:rFonts w:cs="Times New Roman"/>
          <w:color w:val="000000" w:themeColor="text1"/>
          <w:szCs w:val="24"/>
        </w:rPr>
        <w:t>replacements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7782D">
        <w:rPr>
          <w:rFonts w:cs="Times New Roman"/>
          <w:color w:val="000000" w:themeColor="text1"/>
          <w:szCs w:val="24"/>
        </w:rPr>
        <w:t>they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7782D">
        <w:rPr>
          <w:rFonts w:cs="Times New Roman"/>
          <w:color w:val="000000" w:themeColor="text1"/>
          <w:szCs w:val="24"/>
        </w:rPr>
        <w:t>perform).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7782D">
        <w:rPr>
          <w:rFonts w:cs="Times New Roman"/>
          <w:color w:val="000000" w:themeColor="text1"/>
          <w:szCs w:val="24"/>
        </w:rPr>
        <w:t>Nine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7782D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7782D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7782D">
        <w:rPr>
          <w:rFonts w:cs="Times New Roman"/>
          <w:color w:val="000000" w:themeColor="text1"/>
          <w:szCs w:val="24"/>
        </w:rPr>
        <w:t>brake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7782D">
        <w:rPr>
          <w:rFonts w:cs="Times New Roman"/>
          <w:color w:val="000000" w:themeColor="text1"/>
          <w:szCs w:val="24"/>
        </w:rPr>
        <w:t>replacement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7782D">
        <w:rPr>
          <w:rFonts w:cs="Times New Roman"/>
          <w:color w:val="000000" w:themeColor="text1"/>
          <w:szCs w:val="24"/>
        </w:rPr>
        <w:t>firms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7782D">
        <w:rPr>
          <w:rFonts w:cs="Times New Roman"/>
          <w:color w:val="000000" w:themeColor="text1"/>
          <w:szCs w:val="24"/>
        </w:rPr>
        <w:t>have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impact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less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1%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annual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revenue.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F5F1A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F5F1A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F5548">
        <w:rPr>
          <w:rFonts w:cs="Times New Roman"/>
          <w:color w:val="000000" w:themeColor="text1"/>
          <w:szCs w:val="24"/>
        </w:rPr>
        <w:t>three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F5F1A">
        <w:rPr>
          <w:rFonts w:cs="Times New Roman"/>
          <w:color w:val="000000" w:themeColor="text1"/>
          <w:szCs w:val="24"/>
        </w:rPr>
        <w:t>small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F5F1A">
        <w:rPr>
          <w:rFonts w:cs="Times New Roman"/>
          <w:color w:val="000000" w:themeColor="text1"/>
          <w:szCs w:val="24"/>
        </w:rPr>
        <w:t>entities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F5F1A">
        <w:rPr>
          <w:rFonts w:cs="Times New Roman"/>
          <w:color w:val="000000" w:themeColor="text1"/>
          <w:szCs w:val="24"/>
        </w:rPr>
        <w:t>estimated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F5F1A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F5F1A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F5F1A">
        <w:rPr>
          <w:rFonts w:cs="Times New Roman"/>
          <w:color w:val="000000" w:themeColor="text1"/>
          <w:szCs w:val="24"/>
        </w:rPr>
        <w:t>affected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F5F1A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F5F1A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F5F1A">
        <w:rPr>
          <w:rFonts w:cs="Times New Roman"/>
          <w:color w:val="000000" w:themeColor="text1"/>
          <w:szCs w:val="24"/>
        </w:rPr>
        <w:t>rule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F5F1A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F5F1A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F5F1A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F5F1A">
        <w:rPr>
          <w:rFonts w:cs="Times New Roman"/>
          <w:color w:val="000000" w:themeColor="text1"/>
          <w:szCs w:val="24"/>
        </w:rPr>
        <w:t>supplying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F5F1A">
        <w:rPr>
          <w:rFonts w:cs="Times New Roman"/>
          <w:color w:val="000000" w:themeColor="text1"/>
          <w:szCs w:val="24"/>
        </w:rPr>
        <w:t>aftermarket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F5F1A">
        <w:rPr>
          <w:rFonts w:cs="Times New Roman"/>
          <w:color w:val="000000" w:themeColor="text1"/>
          <w:szCs w:val="24"/>
        </w:rPr>
        <w:t>brakes,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F5548">
        <w:rPr>
          <w:rFonts w:cs="Times New Roman"/>
          <w:color w:val="000000" w:themeColor="text1"/>
          <w:szCs w:val="24"/>
        </w:rPr>
        <w:t>two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F5F1A">
        <w:rPr>
          <w:rFonts w:cs="Times New Roman"/>
          <w:color w:val="000000" w:themeColor="text1"/>
          <w:szCs w:val="24"/>
        </w:rPr>
        <w:t>manufacture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F5F1A">
        <w:rPr>
          <w:rFonts w:cs="Times New Roman"/>
          <w:color w:val="000000" w:themeColor="text1"/>
          <w:szCs w:val="24"/>
        </w:rPr>
        <w:t>sheet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F5F1A">
        <w:rPr>
          <w:rFonts w:cs="Times New Roman"/>
          <w:color w:val="000000" w:themeColor="text1"/>
          <w:szCs w:val="24"/>
        </w:rPr>
        <w:t>gaskets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F5F1A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F5F1A">
        <w:rPr>
          <w:rFonts w:cs="Times New Roman"/>
          <w:color w:val="000000" w:themeColor="text1"/>
          <w:szCs w:val="24"/>
        </w:rPr>
        <w:t>chemical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F5F1A">
        <w:rPr>
          <w:rFonts w:cs="Times New Roman"/>
          <w:color w:val="000000" w:themeColor="text1"/>
          <w:szCs w:val="24"/>
        </w:rPr>
        <w:t>production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F5F1A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F5F1A">
        <w:rPr>
          <w:rFonts w:cs="Times New Roman"/>
          <w:color w:val="000000" w:themeColor="text1"/>
          <w:szCs w:val="24"/>
        </w:rPr>
        <w:t>one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F5F1A">
        <w:rPr>
          <w:rFonts w:cs="Times New Roman"/>
          <w:color w:val="000000" w:themeColor="text1"/>
          <w:szCs w:val="24"/>
        </w:rPr>
        <w:t>imports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F5F1A">
        <w:rPr>
          <w:rFonts w:cs="Times New Roman"/>
          <w:color w:val="000000" w:themeColor="text1"/>
          <w:szCs w:val="24"/>
        </w:rPr>
        <w:t>oilfield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F5F1A">
        <w:rPr>
          <w:rFonts w:cs="Times New Roman"/>
          <w:color w:val="000000" w:themeColor="text1"/>
          <w:szCs w:val="24"/>
        </w:rPr>
        <w:t>brake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F5F1A">
        <w:rPr>
          <w:rFonts w:cs="Times New Roman"/>
          <w:color w:val="000000" w:themeColor="text1"/>
          <w:szCs w:val="24"/>
        </w:rPr>
        <w:t>blocks.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7782D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7782D">
        <w:rPr>
          <w:rFonts w:cs="Times New Roman"/>
          <w:color w:val="000000" w:themeColor="text1"/>
          <w:szCs w:val="24"/>
        </w:rPr>
        <w:t>did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7782D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7782D">
        <w:rPr>
          <w:rFonts w:cs="Times New Roman"/>
          <w:color w:val="000000" w:themeColor="text1"/>
          <w:szCs w:val="24"/>
        </w:rPr>
        <w:t>have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7782D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7782D">
        <w:rPr>
          <w:rFonts w:cs="Times New Roman"/>
          <w:color w:val="000000" w:themeColor="text1"/>
          <w:szCs w:val="24"/>
        </w:rPr>
        <w:t>information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7782D">
        <w:rPr>
          <w:rFonts w:cs="Times New Roman"/>
          <w:color w:val="000000" w:themeColor="text1"/>
          <w:szCs w:val="24"/>
        </w:rPr>
        <w:t>necessary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7782D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7782D">
        <w:rPr>
          <w:rFonts w:cs="Times New Roman"/>
          <w:color w:val="000000" w:themeColor="text1"/>
          <w:szCs w:val="24"/>
        </w:rPr>
        <w:t>estimate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7782D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7782D">
        <w:rPr>
          <w:rFonts w:cs="Times New Roman"/>
          <w:color w:val="000000" w:themeColor="text1"/>
          <w:szCs w:val="24"/>
        </w:rPr>
        <w:t>cost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7782D">
        <w:rPr>
          <w:rFonts w:cs="Times New Roman"/>
          <w:color w:val="000000" w:themeColor="text1"/>
          <w:szCs w:val="24"/>
        </w:rPr>
        <w:t>impacts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7782D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7782D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7782D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7782D">
        <w:rPr>
          <w:rFonts w:cs="Times New Roman"/>
          <w:color w:val="000000" w:themeColor="text1"/>
          <w:szCs w:val="24"/>
        </w:rPr>
        <w:t>three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7782D">
        <w:rPr>
          <w:rFonts w:cs="Times New Roman"/>
          <w:color w:val="000000" w:themeColor="text1"/>
          <w:szCs w:val="24"/>
        </w:rPr>
        <w:t>small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7782D">
        <w:rPr>
          <w:rFonts w:cs="Times New Roman"/>
          <w:color w:val="000000" w:themeColor="text1"/>
          <w:szCs w:val="24"/>
        </w:rPr>
        <w:t>entities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F3524">
        <w:rPr>
          <w:rFonts w:cs="Times New Roman"/>
          <w:color w:val="000000" w:themeColor="text1"/>
          <w:szCs w:val="24"/>
        </w:rPr>
        <w:t>(Ref.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F3524">
        <w:rPr>
          <w:rFonts w:cs="Times New Roman"/>
          <w:color w:val="000000" w:themeColor="text1"/>
          <w:szCs w:val="24"/>
        </w:rPr>
        <w:t>2).</w:t>
      </w:r>
    </w:p>
    <w:p w:rsidRPr="00C317BB" w:rsidR="005F6E6E" w:rsidP="00F27167" w:rsidRDefault="00D4013F" w14:paraId="2F89D075" w14:textId="6F928F58">
      <w:pPr>
        <w:ind w:firstLine="720"/>
        <w:contextualSpacing/>
        <w:rPr>
          <w:rFonts w:cs="Times New Roman"/>
          <w:color w:val="000000" w:themeColor="text1"/>
          <w:szCs w:val="24"/>
        </w:rPr>
      </w:pPr>
      <w:bookmarkStart w:name="_Hlk88205987" w:id="43"/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subject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rule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26B3A">
        <w:rPr>
          <w:rFonts w:cs="Times New Roman"/>
          <w:color w:val="000000" w:themeColor="text1"/>
          <w:szCs w:val="24"/>
        </w:rPr>
        <w:t>mature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26B3A">
        <w:rPr>
          <w:rFonts w:cs="Times New Roman"/>
          <w:color w:val="000000" w:themeColor="text1"/>
          <w:szCs w:val="24"/>
        </w:rPr>
        <w:t>industries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26B3A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26B3A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26B3A">
        <w:rPr>
          <w:rFonts w:cs="Times New Roman"/>
          <w:color w:val="000000" w:themeColor="text1"/>
          <w:szCs w:val="24"/>
        </w:rPr>
        <w:t>amount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26B3A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F1A88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F1A88">
        <w:rPr>
          <w:rFonts w:cs="Times New Roman"/>
          <w:color w:val="000000" w:themeColor="text1"/>
          <w:szCs w:val="24"/>
        </w:rPr>
        <w:t>consumed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F1A88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F1A88">
        <w:rPr>
          <w:rFonts w:cs="Times New Roman"/>
          <w:color w:val="000000" w:themeColor="text1"/>
          <w:szCs w:val="24"/>
        </w:rPr>
        <w:t>them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F1A88">
        <w:rPr>
          <w:rFonts w:cs="Times New Roman"/>
          <w:color w:val="000000" w:themeColor="text1"/>
          <w:szCs w:val="24"/>
        </w:rPr>
        <w:t>has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F1A88">
        <w:rPr>
          <w:rFonts w:cs="Times New Roman"/>
          <w:color w:val="000000" w:themeColor="text1"/>
          <w:szCs w:val="24"/>
        </w:rPr>
        <w:t>been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F1A88">
        <w:rPr>
          <w:rFonts w:cs="Times New Roman"/>
          <w:color w:val="000000" w:themeColor="text1"/>
          <w:szCs w:val="24"/>
        </w:rPr>
        <w:t>declining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F1A88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906A1">
        <w:rPr>
          <w:rFonts w:cs="Times New Roman"/>
          <w:color w:val="000000" w:themeColor="text1"/>
          <w:szCs w:val="24"/>
        </w:rPr>
        <w:t>some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906A1">
        <w:rPr>
          <w:rFonts w:cs="Times New Roman"/>
          <w:color w:val="000000" w:themeColor="text1"/>
          <w:szCs w:val="24"/>
        </w:rPr>
        <w:t>time</w:t>
      </w:r>
      <w:r w:rsidRPr="00C317BB" w:rsidR="00B61245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61245">
        <w:rPr>
          <w:rFonts w:cs="Times New Roman"/>
          <w:color w:val="000000" w:themeColor="text1"/>
          <w:szCs w:val="24"/>
        </w:rPr>
        <w:t>There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61245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61245">
        <w:rPr>
          <w:rFonts w:cs="Times New Roman"/>
          <w:color w:val="000000" w:themeColor="text1"/>
          <w:szCs w:val="24"/>
        </w:rPr>
        <w:t>no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61245">
        <w:rPr>
          <w:rFonts w:cs="Times New Roman"/>
          <w:color w:val="000000" w:themeColor="text1"/>
          <w:szCs w:val="24"/>
        </w:rPr>
        <w:t>evidence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61245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B1C4E">
        <w:rPr>
          <w:rFonts w:cs="Times New Roman"/>
          <w:color w:val="000000" w:themeColor="text1"/>
          <w:szCs w:val="24"/>
        </w:rPr>
        <w:t>innovative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B1C4E">
        <w:rPr>
          <w:rFonts w:cs="Times New Roman"/>
          <w:color w:val="000000" w:themeColor="text1"/>
          <w:szCs w:val="24"/>
        </w:rPr>
        <w:t>applications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B1C4E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B1C4E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B1C4E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B1C4E">
        <w:rPr>
          <w:rFonts w:cs="Times New Roman"/>
          <w:color w:val="000000" w:themeColor="text1"/>
          <w:szCs w:val="24"/>
        </w:rPr>
        <w:t>these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B1C4E">
        <w:rPr>
          <w:rFonts w:cs="Times New Roman"/>
          <w:color w:val="000000" w:themeColor="text1"/>
          <w:szCs w:val="24"/>
        </w:rPr>
        <w:t>uses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B1C4E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B1C4E">
        <w:rPr>
          <w:rFonts w:cs="Times New Roman"/>
          <w:color w:val="000000" w:themeColor="text1"/>
          <w:szCs w:val="24"/>
        </w:rPr>
        <w:t>recent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B1C4E">
        <w:rPr>
          <w:rFonts w:cs="Times New Roman"/>
          <w:color w:val="000000" w:themeColor="text1"/>
          <w:szCs w:val="24"/>
        </w:rPr>
        <w:t>years,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9621A">
        <w:rPr>
          <w:rFonts w:cs="Times New Roman"/>
          <w:color w:val="000000" w:themeColor="text1"/>
          <w:szCs w:val="24"/>
        </w:rPr>
        <w:t>nor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9621A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9621A">
        <w:rPr>
          <w:rFonts w:cs="Times New Roman"/>
          <w:color w:val="000000" w:themeColor="text1"/>
          <w:szCs w:val="24"/>
        </w:rPr>
        <w:t>there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9621A">
        <w:rPr>
          <w:rFonts w:cs="Times New Roman"/>
          <w:color w:val="000000" w:themeColor="text1"/>
          <w:szCs w:val="24"/>
        </w:rPr>
        <w:t>any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9621A">
        <w:rPr>
          <w:rFonts w:cs="Times New Roman"/>
          <w:color w:val="000000" w:themeColor="text1"/>
          <w:szCs w:val="24"/>
        </w:rPr>
        <w:t>expectation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9621A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9621A">
        <w:rPr>
          <w:rFonts w:cs="Times New Roman"/>
          <w:color w:val="000000" w:themeColor="text1"/>
          <w:szCs w:val="24"/>
        </w:rPr>
        <w:t>such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9621A">
        <w:rPr>
          <w:rFonts w:cs="Times New Roman"/>
          <w:color w:val="000000" w:themeColor="text1"/>
          <w:szCs w:val="24"/>
        </w:rPr>
        <w:t>innovations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9621A">
        <w:rPr>
          <w:rFonts w:cs="Times New Roman"/>
          <w:color w:val="000000" w:themeColor="text1"/>
          <w:szCs w:val="24"/>
        </w:rPr>
        <w:t>would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9621A">
        <w:rPr>
          <w:rFonts w:cs="Times New Roman"/>
          <w:color w:val="000000" w:themeColor="text1"/>
          <w:szCs w:val="24"/>
        </w:rPr>
        <w:t>occur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9621A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9621A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9621A">
        <w:rPr>
          <w:rFonts w:cs="Times New Roman"/>
          <w:color w:val="000000" w:themeColor="text1"/>
          <w:szCs w:val="24"/>
        </w:rPr>
        <w:t>future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9621A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9621A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9621A">
        <w:rPr>
          <w:rFonts w:cs="Times New Roman"/>
          <w:color w:val="000000" w:themeColor="text1"/>
          <w:szCs w:val="24"/>
        </w:rPr>
        <w:t>absence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9621A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9621A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9621A">
        <w:rPr>
          <w:rFonts w:cs="Times New Roman"/>
          <w:color w:val="000000" w:themeColor="text1"/>
          <w:szCs w:val="24"/>
        </w:rPr>
        <w:t>prohibition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9621A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9621A">
        <w:rPr>
          <w:rFonts w:cs="Times New Roman"/>
          <w:color w:val="000000" w:themeColor="text1"/>
          <w:szCs w:val="24"/>
        </w:rPr>
        <w:t>these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9621A">
        <w:rPr>
          <w:rFonts w:cs="Times New Roman"/>
          <w:color w:val="000000" w:themeColor="text1"/>
          <w:szCs w:val="24"/>
        </w:rPr>
        <w:t>uses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9621A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9621A">
        <w:rPr>
          <w:rFonts w:cs="Times New Roman"/>
          <w:color w:val="000000" w:themeColor="text1"/>
          <w:szCs w:val="24"/>
        </w:rPr>
        <w:t>asbestos.</w:t>
      </w:r>
    </w:p>
    <w:bookmarkEnd w:id="43"/>
    <w:p w:rsidRPr="00C317BB" w:rsidR="005D57F0" w:rsidP="00F27167" w:rsidRDefault="00926A62" w14:paraId="11B86B36" w14:textId="6D5FA866">
      <w:pPr>
        <w:contextualSpacing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ab/>
      </w:r>
      <w:bookmarkStart w:name="_Hlk94019265" w:id="44"/>
      <w:r w:rsidRPr="00C317BB" w:rsidR="005D57F0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D57F0">
        <w:rPr>
          <w:rFonts w:cs="Times New Roman"/>
          <w:color w:val="000000" w:themeColor="text1"/>
          <w:szCs w:val="24"/>
        </w:rPr>
        <w:t>effects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D57F0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D57F0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D57F0">
        <w:rPr>
          <w:rFonts w:cs="Times New Roman"/>
          <w:color w:val="000000" w:themeColor="text1"/>
          <w:szCs w:val="24"/>
        </w:rPr>
        <w:t>rule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D57F0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D57F0">
        <w:rPr>
          <w:rFonts w:cs="Times New Roman"/>
          <w:color w:val="000000" w:themeColor="text1"/>
          <w:szCs w:val="24"/>
        </w:rPr>
        <w:t>public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D57F0">
        <w:rPr>
          <w:rFonts w:cs="Times New Roman"/>
          <w:color w:val="000000" w:themeColor="text1"/>
          <w:szCs w:val="24"/>
        </w:rPr>
        <w:t>health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D57F0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D57F0">
        <w:rPr>
          <w:rFonts w:cs="Times New Roman"/>
          <w:color w:val="000000" w:themeColor="text1"/>
          <w:szCs w:val="24"/>
        </w:rPr>
        <w:t>estimated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D57F0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D57F0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D57F0">
        <w:rPr>
          <w:rFonts w:cs="Times New Roman"/>
          <w:color w:val="000000" w:themeColor="text1"/>
          <w:szCs w:val="24"/>
        </w:rPr>
        <w:t>positive,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D57F0">
        <w:rPr>
          <w:rFonts w:cs="Times New Roman"/>
          <w:color w:val="000000" w:themeColor="text1"/>
          <w:szCs w:val="24"/>
        </w:rPr>
        <w:t>due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D57F0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2052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525F">
        <w:rPr>
          <w:rFonts w:cs="Times New Roman"/>
          <w:color w:val="000000" w:themeColor="text1"/>
          <w:szCs w:val="24"/>
        </w:rPr>
        <w:t>avoided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27D77">
        <w:rPr>
          <w:rFonts w:cs="Times New Roman"/>
          <w:color w:val="000000" w:themeColor="text1"/>
          <w:szCs w:val="24"/>
        </w:rPr>
        <w:t>incidence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27D77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84158">
        <w:rPr>
          <w:rFonts w:cs="Times New Roman"/>
          <w:color w:val="000000" w:themeColor="text1"/>
          <w:szCs w:val="24"/>
        </w:rPr>
        <w:t>adverse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84158">
        <w:rPr>
          <w:rFonts w:cs="Times New Roman"/>
          <w:color w:val="000000" w:themeColor="text1"/>
          <w:szCs w:val="24"/>
        </w:rPr>
        <w:t>health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84158">
        <w:rPr>
          <w:rFonts w:cs="Times New Roman"/>
          <w:color w:val="000000" w:themeColor="text1"/>
          <w:szCs w:val="24"/>
        </w:rPr>
        <w:t>effec</w:t>
      </w:r>
      <w:r w:rsidRPr="00C317BB" w:rsidR="00A22052">
        <w:rPr>
          <w:rFonts w:cs="Times New Roman"/>
          <w:color w:val="000000" w:themeColor="text1"/>
          <w:szCs w:val="24"/>
        </w:rPr>
        <w:t>t</w:t>
      </w:r>
      <w:r w:rsidRPr="00C317BB" w:rsidR="00C84158">
        <w:rPr>
          <w:rFonts w:cs="Times New Roman"/>
          <w:color w:val="000000" w:themeColor="text1"/>
          <w:szCs w:val="24"/>
        </w:rPr>
        <w:t>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84158">
        <w:rPr>
          <w:rFonts w:cs="Times New Roman"/>
          <w:color w:val="000000" w:themeColor="text1"/>
          <w:szCs w:val="24"/>
        </w:rPr>
        <w:t>attributable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84158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84158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84158">
        <w:rPr>
          <w:rFonts w:cs="Times New Roman"/>
          <w:color w:val="000000" w:themeColor="text1"/>
          <w:szCs w:val="24"/>
        </w:rPr>
        <w:t>exposure,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6C39">
        <w:rPr>
          <w:rFonts w:cs="Times New Roman"/>
          <w:color w:val="000000" w:themeColor="text1"/>
          <w:szCs w:val="24"/>
        </w:rPr>
        <w:t>including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27D77">
        <w:rPr>
          <w:rFonts w:cs="Times New Roman"/>
          <w:color w:val="000000" w:themeColor="text1"/>
          <w:szCs w:val="24"/>
        </w:rPr>
        <w:t>lung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27D77">
        <w:rPr>
          <w:rFonts w:cs="Times New Roman"/>
          <w:color w:val="000000" w:themeColor="text1"/>
          <w:szCs w:val="24"/>
        </w:rPr>
        <w:t>cancer,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27D77">
        <w:rPr>
          <w:rFonts w:cs="Times New Roman"/>
          <w:color w:val="000000" w:themeColor="text1"/>
          <w:szCs w:val="24"/>
        </w:rPr>
        <w:t>mesothelioma,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2CB6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6C39">
        <w:rPr>
          <w:rFonts w:cs="Times New Roman"/>
          <w:color w:val="000000" w:themeColor="text1"/>
          <w:szCs w:val="24"/>
        </w:rPr>
        <w:t>canc</w:t>
      </w:r>
      <w:r w:rsidRPr="00C317BB" w:rsidR="00A22052">
        <w:rPr>
          <w:rFonts w:cs="Times New Roman"/>
          <w:color w:val="000000" w:themeColor="text1"/>
          <w:szCs w:val="24"/>
        </w:rPr>
        <w:t>e</w:t>
      </w:r>
      <w:r w:rsidRPr="00C317BB" w:rsidR="00186C39">
        <w:rPr>
          <w:rFonts w:cs="Times New Roman"/>
          <w:color w:val="000000" w:themeColor="text1"/>
          <w:szCs w:val="24"/>
        </w:rPr>
        <w:t>r</w:t>
      </w:r>
      <w:r w:rsidRPr="00C317BB" w:rsidR="00552E06">
        <w:rPr>
          <w:rFonts w:cs="Times New Roman"/>
          <w:color w:val="000000" w:themeColor="text1"/>
          <w:szCs w:val="24"/>
        </w:rPr>
        <w:t>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6C39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6C39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6C39">
        <w:rPr>
          <w:rFonts w:cs="Times New Roman"/>
          <w:color w:val="000000" w:themeColor="text1"/>
          <w:szCs w:val="24"/>
        </w:rPr>
        <w:t>larynx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2052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2052">
        <w:rPr>
          <w:rFonts w:cs="Times New Roman"/>
          <w:color w:val="000000" w:themeColor="text1"/>
          <w:szCs w:val="24"/>
        </w:rPr>
        <w:t>ovary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bookmarkEnd w:id="44"/>
      <w:r w:rsidRPr="00C317BB" w:rsidR="00B148E7">
        <w:rPr>
          <w:rFonts w:cs="Times New Roman"/>
          <w:color w:val="000000" w:themeColor="text1"/>
          <w:szCs w:val="24"/>
        </w:rPr>
        <w:t>(Ref.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8396D">
        <w:rPr>
          <w:rFonts w:cs="Times New Roman"/>
          <w:color w:val="000000" w:themeColor="text1"/>
          <w:szCs w:val="24"/>
        </w:rPr>
        <w:t>2</w:t>
      </w:r>
      <w:r w:rsidRPr="00C317BB" w:rsidR="00B148E7">
        <w:rPr>
          <w:rFonts w:cs="Times New Roman"/>
          <w:color w:val="000000" w:themeColor="text1"/>
          <w:szCs w:val="24"/>
        </w:rPr>
        <w:t>).</w:t>
      </w:r>
      <w:r w:rsidR="005613B2">
        <w:rPr>
          <w:rFonts w:cs="Times New Roman"/>
          <w:szCs w:val="24"/>
        </w:rPr>
        <w:t xml:space="preserve"> </w:t>
      </w:r>
      <w:r w:rsidRPr="00C317BB" w:rsidR="00787065">
        <w:rPr>
          <w:rFonts w:cs="Times New Roman"/>
          <w:color w:val="000000" w:themeColor="text1"/>
          <w:szCs w:val="24"/>
        </w:rPr>
        <w:t>Despite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7065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7065">
        <w:rPr>
          <w:rFonts w:cs="Times New Roman"/>
          <w:color w:val="000000" w:themeColor="text1"/>
          <w:szCs w:val="24"/>
        </w:rPr>
        <w:t>uncertainties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7065">
        <w:rPr>
          <w:rFonts w:cs="Times New Roman"/>
          <w:color w:val="000000" w:themeColor="text1"/>
          <w:szCs w:val="24"/>
        </w:rPr>
        <w:t>about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7065">
        <w:rPr>
          <w:rFonts w:cs="Times New Roman"/>
          <w:color w:val="000000" w:themeColor="text1"/>
          <w:szCs w:val="24"/>
        </w:rPr>
        <w:t>possible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7065">
        <w:rPr>
          <w:rFonts w:cs="Times New Roman"/>
          <w:color w:val="000000" w:themeColor="text1"/>
          <w:szCs w:val="24"/>
        </w:rPr>
        <w:t>greater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7065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7065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7065">
        <w:rPr>
          <w:rFonts w:cs="Times New Roman"/>
          <w:color w:val="000000" w:themeColor="text1"/>
          <w:szCs w:val="24"/>
        </w:rPr>
        <w:t>release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7065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7065">
        <w:rPr>
          <w:rFonts w:cs="Times New Roman"/>
          <w:color w:val="000000" w:themeColor="text1"/>
          <w:szCs w:val="24"/>
        </w:rPr>
        <w:t>PFAS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7065">
        <w:rPr>
          <w:rFonts w:cs="Times New Roman"/>
          <w:color w:val="000000" w:themeColor="text1"/>
          <w:szCs w:val="24"/>
        </w:rPr>
        <w:t>discussed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7065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7065">
        <w:rPr>
          <w:rFonts w:cs="Times New Roman"/>
          <w:color w:val="000000" w:themeColor="text1"/>
          <w:szCs w:val="24"/>
        </w:rPr>
        <w:t>Unit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7065">
        <w:rPr>
          <w:rFonts w:cs="Times New Roman"/>
          <w:color w:val="000000" w:themeColor="text1"/>
          <w:szCs w:val="24"/>
        </w:rPr>
        <w:t>III.B.4.a,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7065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7065">
        <w:rPr>
          <w:rFonts w:cs="Times New Roman"/>
          <w:color w:val="000000" w:themeColor="text1"/>
          <w:szCs w:val="24"/>
        </w:rPr>
        <w:t>believes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7065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7065">
        <w:rPr>
          <w:rFonts w:cs="Times New Roman"/>
          <w:color w:val="000000" w:themeColor="text1"/>
          <w:szCs w:val="24"/>
        </w:rPr>
        <w:t>benefits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7065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7065">
        <w:rPr>
          <w:rFonts w:cs="Times New Roman"/>
          <w:color w:val="000000" w:themeColor="text1"/>
          <w:szCs w:val="24"/>
        </w:rPr>
        <w:t>removing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7065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7065">
        <w:rPr>
          <w:rFonts w:cs="Times New Roman"/>
          <w:color w:val="000000" w:themeColor="text1"/>
          <w:szCs w:val="24"/>
        </w:rPr>
        <w:t>asbestos,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7065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3295D">
        <w:rPr>
          <w:rFonts w:cs="Times New Roman"/>
          <w:color w:val="000000" w:themeColor="text1"/>
          <w:szCs w:val="24"/>
        </w:rPr>
        <w:t>known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3295D">
        <w:rPr>
          <w:rFonts w:cs="Times New Roman"/>
          <w:color w:val="000000" w:themeColor="text1"/>
          <w:szCs w:val="24"/>
        </w:rPr>
        <w:t>human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3295D">
        <w:rPr>
          <w:rFonts w:cs="Times New Roman"/>
          <w:color w:val="000000" w:themeColor="text1"/>
          <w:szCs w:val="24"/>
        </w:rPr>
        <w:t>carcinogen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3295D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3295D">
        <w:rPr>
          <w:rFonts w:cs="Times New Roman"/>
          <w:color w:val="000000" w:themeColor="text1"/>
          <w:szCs w:val="24"/>
        </w:rPr>
        <w:t>causes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3295D">
        <w:rPr>
          <w:rFonts w:cs="Times New Roman"/>
          <w:color w:val="000000" w:themeColor="text1"/>
          <w:szCs w:val="24"/>
        </w:rPr>
        <w:t>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3295D">
        <w:rPr>
          <w:rFonts w:cs="Times New Roman"/>
          <w:color w:val="000000" w:themeColor="text1"/>
          <w:szCs w:val="24"/>
        </w:rPr>
        <w:t>aggressive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3295D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3295D">
        <w:rPr>
          <w:rFonts w:cs="Times New Roman"/>
          <w:color w:val="000000" w:themeColor="text1"/>
          <w:szCs w:val="24"/>
        </w:rPr>
        <w:t>deadly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3295D">
        <w:rPr>
          <w:rFonts w:cs="Times New Roman"/>
          <w:color w:val="000000" w:themeColor="text1"/>
          <w:szCs w:val="24"/>
        </w:rPr>
        <w:t>cancer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3295D">
        <w:rPr>
          <w:rFonts w:cs="Times New Roman"/>
          <w:color w:val="000000" w:themeColor="text1"/>
          <w:szCs w:val="24"/>
        </w:rPr>
        <w:t>(mesothelioma)</w:t>
      </w:r>
      <w:r w:rsidRPr="00C317BB" w:rsidR="00787065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7065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7065">
        <w:rPr>
          <w:rFonts w:cs="Times New Roman"/>
          <w:color w:val="000000" w:themeColor="text1"/>
          <w:szCs w:val="24"/>
        </w:rPr>
        <w:t>continued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7065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7065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7065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7065">
        <w:rPr>
          <w:rFonts w:cs="Times New Roman"/>
          <w:color w:val="000000" w:themeColor="text1"/>
          <w:szCs w:val="24"/>
        </w:rPr>
        <w:t>United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7065">
        <w:rPr>
          <w:rFonts w:cs="Times New Roman"/>
          <w:color w:val="000000" w:themeColor="text1"/>
          <w:szCs w:val="24"/>
        </w:rPr>
        <w:t>States,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7065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7065">
        <w:rPr>
          <w:rFonts w:cs="Times New Roman"/>
          <w:color w:val="000000" w:themeColor="text1"/>
          <w:szCs w:val="24"/>
        </w:rPr>
        <w:t>significant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7065">
        <w:rPr>
          <w:rFonts w:cs="Times New Roman"/>
          <w:color w:val="000000" w:themeColor="text1"/>
          <w:szCs w:val="24"/>
        </w:rPr>
        <w:t>enough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7065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7065">
        <w:rPr>
          <w:rFonts w:cs="Times New Roman"/>
          <w:color w:val="000000" w:themeColor="text1"/>
          <w:szCs w:val="24"/>
        </w:rPr>
        <w:t>outweigh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7065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7065">
        <w:rPr>
          <w:rFonts w:cs="Times New Roman"/>
          <w:color w:val="000000" w:themeColor="text1"/>
          <w:szCs w:val="24"/>
        </w:rPr>
        <w:t>potential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7065">
        <w:rPr>
          <w:rFonts w:cs="Times New Roman"/>
          <w:color w:val="000000" w:themeColor="text1"/>
          <w:szCs w:val="24"/>
        </w:rPr>
        <w:t>additional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7065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7065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7065">
        <w:rPr>
          <w:rFonts w:cs="Times New Roman"/>
          <w:color w:val="000000" w:themeColor="text1"/>
          <w:szCs w:val="24"/>
        </w:rPr>
        <w:t>PFAS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7065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7065">
        <w:rPr>
          <w:rFonts w:cs="Times New Roman"/>
          <w:color w:val="000000" w:themeColor="text1"/>
          <w:szCs w:val="24"/>
        </w:rPr>
        <w:t>might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7065">
        <w:rPr>
          <w:rFonts w:cs="Times New Roman"/>
          <w:color w:val="000000" w:themeColor="text1"/>
          <w:szCs w:val="24"/>
        </w:rPr>
        <w:t>result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7065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7065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7065">
        <w:rPr>
          <w:rFonts w:cs="Times New Roman"/>
          <w:color w:val="000000" w:themeColor="text1"/>
          <w:szCs w:val="24"/>
        </w:rPr>
        <w:t>action.</w:t>
      </w:r>
    </w:p>
    <w:p w:rsidRPr="00C317BB" w:rsidR="00360CD5" w:rsidP="00F27167" w:rsidRDefault="00360CD5" w14:paraId="17FEE31E" w14:textId="4FA96498">
      <w:pPr>
        <w:ind w:firstLine="720"/>
        <w:contextualSpacing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Converting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chlor-alkali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diaphragm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cells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membrane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cells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reduces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electricity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consumption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thus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level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air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pollution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associated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electric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power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generation.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reduction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air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pollution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provide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environmental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benefits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well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health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benefits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(Ref.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2).</w:t>
      </w:r>
    </w:p>
    <w:p w:rsidRPr="00C317BB" w:rsidR="00813F81" w:rsidP="00F27167" w:rsidRDefault="001A100C" w14:paraId="7A4753F5" w14:textId="67170368">
      <w:pPr>
        <w:pStyle w:val="Heading3"/>
        <w:ind w:firstLine="720"/>
        <w:rPr>
          <w:rFonts w:cs="Times New Roman"/>
          <w:szCs w:val="24"/>
          <w:lang w:val="en"/>
        </w:rPr>
      </w:pPr>
      <w:r w:rsidRPr="00C317BB">
        <w:rPr>
          <w:rFonts w:cs="Times New Roman"/>
          <w:szCs w:val="24"/>
          <w:lang w:val="en"/>
        </w:rPr>
        <w:t>2.</w:t>
      </w:r>
      <w:r w:rsidR="005613B2">
        <w:rPr>
          <w:rFonts w:cs="Times New Roman"/>
          <w:szCs w:val="24"/>
          <w:lang w:val="en"/>
        </w:rPr>
        <w:t xml:space="preserve"> </w:t>
      </w:r>
      <w:r w:rsidRPr="00C317BB" w:rsidR="00813F81">
        <w:rPr>
          <w:rFonts w:cs="Times New Roman"/>
          <w:szCs w:val="24"/>
          <w:lang w:val="en"/>
        </w:rPr>
        <w:t>Costs</w:t>
      </w:r>
      <w:r w:rsidR="005613B2">
        <w:rPr>
          <w:rFonts w:cs="Times New Roman"/>
          <w:szCs w:val="24"/>
          <w:lang w:val="en"/>
        </w:rPr>
        <w:t xml:space="preserve"> </w:t>
      </w:r>
      <w:r w:rsidRPr="00C317BB" w:rsidR="00813F81">
        <w:rPr>
          <w:rFonts w:cs="Times New Roman"/>
          <w:szCs w:val="24"/>
          <w:lang w:val="en"/>
        </w:rPr>
        <w:t>and</w:t>
      </w:r>
      <w:r w:rsidR="005613B2">
        <w:rPr>
          <w:rFonts w:cs="Times New Roman"/>
          <w:szCs w:val="24"/>
          <w:lang w:val="en"/>
        </w:rPr>
        <w:t xml:space="preserve"> </w:t>
      </w:r>
      <w:r w:rsidRPr="00C317BB" w:rsidR="00813F81">
        <w:rPr>
          <w:rFonts w:cs="Times New Roman"/>
          <w:szCs w:val="24"/>
          <w:lang w:val="en"/>
        </w:rPr>
        <w:t>benefits</w:t>
      </w:r>
      <w:r w:rsidR="005613B2">
        <w:rPr>
          <w:rFonts w:cs="Times New Roman"/>
          <w:szCs w:val="24"/>
          <w:lang w:val="en"/>
        </w:rPr>
        <w:t xml:space="preserve"> </w:t>
      </w:r>
      <w:r w:rsidRPr="00C317BB" w:rsidR="00813F81">
        <w:rPr>
          <w:rFonts w:cs="Times New Roman"/>
          <w:szCs w:val="24"/>
          <w:lang w:val="en"/>
        </w:rPr>
        <w:t>of</w:t>
      </w:r>
      <w:r w:rsidR="005613B2">
        <w:rPr>
          <w:rFonts w:cs="Times New Roman"/>
          <w:szCs w:val="24"/>
          <w:lang w:val="en"/>
        </w:rPr>
        <w:t xml:space="preserve"> </w:t>
      </w:r>
      <w:r w:rsidRPr="00C317BB" w:rsidR="00813F81">
        <w:rPr>
          <w:rFonts w:cs="Times New Roman"/>
          <w:szCs w:val="24"/>
          <w:lang w:val="en"/>
        </w:rPr>
        <w:t>the</w:t>
      </w:r>
      <w:r w:rsidR="005613B2">
        <w:rPr>
          <w:rFonts w:cs="Times New Roman"/>
          <w:szCs w:val="24"/>
          <w:lang w:val="en"/>
        </w:rPr>
        <w:t xml:space="preserve"> </w:t>
      </w:r>
      <w:r w:rsidRPr="00C317BB" w:rsidR="00813F81">
        <w:rPr>
          <w:rFonts w:cs="Times New Roman"/>
          <w:szCs w:val="24"/>
          <w:lang w:val="en"/>
        </w:rPr>
        <w:t>propose</w:t>
      </w:r>
      <w:r w:rsidRPr="00C317BB" w:rsidR="00F95254">
        <w:rPr>
          <w:rFonts w:cs="Times New Roman"/>
          <w:szCs w:val="24"/>
          <w:lang w:val="en"/>
        </w:rPr>
        <w:t>d</w:t>
      </w:r>
      <w:r w:rsidR="005613B2">
        <w:rPr>
          <w:rFonts w:cs="Times New Roman"/>
          <w:szCs w:val="24"/>
          <w:lang w:val="en"/>
        </w:rPr>
        <w:t xml:space="preserve"> </w:t>
      </w:r>
      <w:r w:rsidRPr="00C317BB" w:rsidR="00F95254">
        <w:rPr>
          <w:rFonts w:cs="Times New Roman"/>
          <w:szCs w:val="24"/>
          <w:lang w:val="en"/>
        </w:rPr>
        <w:t>regulatory</w:t>
      </w:r>
      <w:r w:rsidR="005613B2">
        <w:rPr>
          <w:rFonts w:cs="Times New Roman"/>
          <w:szCs w:val="24"/>
          <w:lang w:val="en"/>
        </w:rPr>
        <w:t xml:space="preserve"> </w:t>
      </w:r>
      <w:r w:rsidRPr="00C317BB" w:rsidR="00F95254">
        <w:rPr>
          <w:rFonts w:cs="Times New Roman"/>
          <w:szCs w:val="24"/>
          <w:lang w:val="en"/>
        </w:rPr>
        <w:t>action</w:t>
      </w:r>
      <w:r w:rsidR="005613B2">
        <w:rPr>
          <w:rFonts w:cs="Times New Roman"/>
          <w:szCs w:val="24"/>
          <w:lang w:val="en"/>
        </w:rPr>
        <w:t xml:space="preserve"> </w:t>
      </w:r>
      <w:r w:rsidRPr="00C317BB" w:rsidR="00F95254">
        <w:rPr>
          <w:rFonts w:cs="Times New Roman"/>
          <w:szCs w:val="24"/>
          <w:lang w:val="en"/>
        </w:rPr>
        <w:t>and</w:t>
      </w:r>
      <w:r w:rsidR="005613B2">
        <w:rPr>
          <w:rFonts w:cs="Times New Roman"/>
          <w:szCs w:val="24"/>
          <w:lang w:val="en"/>
        </w:rPr>
        <w:t xml:space="preserve"> </w:t>
      </w:r>
      <w:r w:rsidRPr="00C317BB" w:rsidR="00F95254">
        <w:rPr>
          <w:rFonts w:cs="Times New Roman"/>
          <w:szCs w:val="24"/>
          <w:lang w:val="en"/>
        </w:rPr>
        <w:t>of</w:t>
      </w:r>
      <w:r w:rsidR="005613B2">
        <w:rPr>
          <w:rFonts w:cs="Times New Roman"/>
          <w:szCs w:val="24"/>
          <w:lang w:val="en"/>
        </w:rPr>
        <w:t xml:space="preserve"> </w:t>
      </w:r>
      <w:r w:rsidRPr="00C317BB" w:rsidR="00F95254">
        <w:rPr>
          <w:rFonts w:cs="Times New Roman"/>
          <w:szCs w:val="24"/>
          <w:lang w:val="en"/>
        </w:rPr>
        <w:t>the</w:t>
      </w:r>
      <w:r w:rsidR="005613B2">
        <w:rPr>
          <w:rFonts w:cs="Times New Roman"/>
          <w:szCs w:val="24"/>
          <w:lang w:val="en"/>
        </w:rPr>
        <w:t xml:space="preserve"> </w:t>
      </w:r>
      <w:r w:rsidRPr="00C317BB" w:rsidR="007A56F0">
        <w:rPr>
          <w:rFonts w:cs="Times New Roman"/>
          <w:szCs w:val="24"/>
          <w:lang w:val="en"/>
        </w:rPr>
        <w:t>primary</w:t>
      </w:r>
      <w:r w:rsidR="005613B2">
        <w:rPr>
          <w:rFonts w:cs="Times New Roman"/>
          <w:szCs w:val="24"/>
          <w:lang w:val="en"/>
        </w:rPr>
        <w:t xml:space="preserve"> </w:t>
      </w:r>
      <w:r w:rsidRPr="00C317BB" w:rsidR="00813F81">
        <w:rPr>
          <w:rFonts w:cs="Times New Roman"/>
          <w:szCs w:val="24"/>
          <w:lang w:val="en"/>
        </w:rPr>
        <w:t>alternative</w:t>
      </w:r>
      <w:r w:rsidR="005613B2">
        <w:rPr>
          <w:rFonts w:cs="Times New Roman"/>
          <w:szCs w:val="24"/>
          <w:lang w:val="en"/>
        </w:rPr>
        <w:t xml:space="preserve"> </w:t>
      </w:r>
      <w:r w:rsidRPr="00C317BB" w:rsidR="00813F81">
        <w:rPr>
          <w:rFonts w:cs="Times New Roman"/>
          <w:szCs w:val="24"/>
          <w:lang w:val="en"/>
        </w:rPr>
        <w:t>regulatory</w:t>
      </w:r>
      <w:r w:rsidR="005613B2">
        <w:rPr>
          <w:rFonts w:cs="Times New Roman"/>
          <w:szCs w:val="24"/>
          <w:lang w:val="en"/>
        </w:rPr>
        <w:t xml:space="preserve"> </w:t>
      </w:r>
      <w:r w:rsidRPr="00C317BB" w:rsidR="00813F81">
        <w:rPr>
          <w:rFonts w:cs="Times New Roman"/>
          <w:szCs w:val="24"/>
          <w:lang w:val="en"/>
        </w:rPr>
        <w:t>actions</w:t>
      </w:r>
      <w:r w:rsidR="005613B2">
        <w:rPr>
          <w:rFonts w:cs="Times New Roman"/>
          <w:szCs w:val="24"/>
          <w:lang w:val="en"/>
        </w:rPr>
        <w:t xml:space="preserve"> </w:t>
      </w:r>
      <w:r w:rsidRPr="00C317BB" w:rsidR="00813F81">
        <w:rPr>
          <w:rFonts w:cs="Times New Roman"/>
          <w:szCs w:val="24"/>
          <w:lang w:val="en"/>
        </w:rPr>
        <w:t>considered</w:t>
      </w:r>
      <w:r w:rsidR="005613B2">
        <w:rPr>
          <w:rFonts w:cs="Times New Roman"/>
          <w:szCs w:val="24"/>
          <w:lang w:val="en"/>
        </w:rPr>
        <w:t xml:space="preserve"> </w:t>
      </w:r>
      <w:r w:rsidRPr="00C317BB" w:rsidR="00813F81">
        <w:rPr>
          <w:rFonts w:cs="Times New Roman"/>
          <w:szCs w:val="24"/>
          <w:lang w:val="en"/>
        </w:rPr>
        <w:t>by</w:t>
      </w:r>
      <w:r w:rsidR="005613B2">
        <w:rPr>
          <w:rFonts w:cs="Times New Roman"/>
          <w:szCs w:val="24"/>
          <w:lang w:val="en"/>
        </w:rPr>
        <w:t xml:space="preserve"> </w:t>
      </w:r>
      <w:r w:rsidRPr="00C317BB" w:rsidR="00813F81">
        <w:rPr>
          <w:rFonts w:cs="Times New Roman"/>
          <w:szCs w:val="24"/>
          <w:lang w:val="en"/>
        </w:rPr>
        <w:t>the</w:t>
      </w:r>
      <w:r w:rsidR="005613B2">
        <w:rPr>
          <w:rFonts w:cs="Times New Roman"/>
          <w:szCs w:val="24"/>
          <w:lang w:val="en"/>
        </w:rPr>
        <w:t xml:space="preserve"> </w:t>
      </w:r>
      <w:r w:rsidRPr="00C317BB" w:rsidR="00813F81">
        <w:rPr>
          <w:rFonts w:cs="Times New Roman"/>
          <w:szCs w:val="24"/>
          <w:lang w:val="en"/>
        </w:rPr>
        <w:t>Administrator</w:t>
      </w:r>
      <w:r w:rsidRPr="00C317BB" w:rsidR="00B148E7">
        <w:rPr>
          <w:rFonts w:cs="Times New Roman"/>
          <w:szCs w:val="24"/>
          <w:lang w:val="en"/>
        </w:rPr>
        <w:t>.</w:t>
      </w:r>
    </w:p>
    <w:p w:rsidRPr="00C317BB" w:rsidR="007303DB" w:rsidP="00F27167" w:rsidRDefault="001A100C" w14:paraId="1B292970" w14:textId="3AEA00A6">
      <w:pPr>
        <w:pStyle w:val="Heading4"/>
        <w:keepNext w:val="0"/>
        <w:keepLines w:val="0"/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a.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90FCD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90FCD">
        <w:rPr>
          <w:rFonts w:cs="Times New Roman"/>
          <w:color w:val="000000" w:themeColor="text1"/>
          <w:szCs w:val="24"/>
        </w:rPr>
        <w:t>regulatory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90FCD">
        <w:rPr>
          <w:rFonts w:cs="Times New Roman"/>
          <w:color w:val="000000" w:themeColor="text1"/>
          <w:szCs w:val="24"/>
        </w:rPr>
        <w:t>action</w:t>
      </w:r>
      <w:r w:rsidRPr="00C317BB" w:rsidR="007303DB">
        <w:rPr>
          <w:rFonts w:cs="Times New Roman"/>
          <w:color w:val="000000" w:themeColor="text1"/>
          <w:szCs w:val="24"/>
        </w:rPr>
        <w:t>:</w:t>
      </w:r>
    </w:p>
    <w:p w:rsidRPr="00C317BB" w:rsidR="00536E30" w:rsidP="00F27167" w:rsidRDefault="003638A4" w14:paraId="2F0331B1" w14:textId="56D6B2FC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0A44">
        <w:rPr>
          <w:rFonts w:cs="Times New Roman"/>
          <w:color w:val="000000" w:themeColor="text1"/>
          <w:szCs w:val="24"/>
        </w:rPr>
        <w:t>qu</w:t>
      </w:r>
      <w:r w:rsidRPr="00C317BB" w:rsidR="00987929">
        <w:rPr>
          <w:rFonts w:cs="Times New Roman"/>
          <w:color w:val="000000" w:themeColor="text1"/>
          <w:szCs w:val="24"/>
        </w:rPr>
        <w:t>antif</w:t>
      </w:r>
      <w:r w:rsidRPr="00C317BB">
        <w:rPr>
          <w:rFonts w:cs="Times New Roman"/>
          <w:color w:val="000000" w:themeColor="text1"/>
          <w:szCs w:val="24"/>
        </w:rPr>
        <w:t>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E52F7">
        <w:rPr>
          <w:rFonts w:cs="Times New Roman"/>
          <w:color w:val="000000" w:themeColor="text1"/>
          <w:szCs w:val="24"/>
        </w:rPr>
        <w:t>costs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E52F7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E52F7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E52F7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71046">
        <w:rPr>
          <w:rFonts w:cs="Times New Roman"/>
          <w:color w:val="000000" w:themeColor="text1"/>
          <w:szCs w:val="24"/>
        </w:rPr>
        <w:t>regulatory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71046">
        <w:rPr>
          <w:rFonts w:cs="Times New Roman"/>
          <w:color w:val="000000" w:themeColor="text1"/>
          <w:szCs w:val="24"/>
        </w:rPr>
        <w:t>action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1227C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1227C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1227C">
        <w:rPr>
          <w:rFonts w:cs="Times New Roman"/>
          <w:color w:val="000000" w:themeColor="text1"/>
          <w:szCs w:val="24"/>
        </w:rPr>
        <w:t>chlor-alkali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1227C">
        <w:rPr>
          <w:rFonts w:cs="Times New Roman"/>
          <w:color w:val="000000" w:themeColor="text1"/>
          <w:szCs w:val="24"/>
        </w:rPr>
        <w:t>industry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1227C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1227C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1227C">
        <w:rPr>
          <w:rFonts w:cs="Times New Roman"/>
          <w:color w:val="000000" w:themeColor="text1"/>
          <w:szCs w:val="24"/>
        </w:rPr>
        <w:t>aftermarket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1227C">
        <w:rPr>
          <w:rFonts w:cs="Times New Roman"/>
          <w:color w:val="000000" w:themeColor="text1"/>
          <w:szCs w:val="24"/>
        </w:rPr>
        <w:t>automotive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1227C">
        <w:rPr>
          <w:rFonts w:cs="Times New Roman"/>
          <w:color w:val="000000" w:themeColor="text1"/>
          <w:szCs w:val="24"/>
        </w:rPr>
        <w:t>brake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1227C">
        <w:rPr>
          <w:rFonts w:cs="Times New Roman"/>
          <w:color w:val="000000" w:themeColor="text1"/>
          <w:szCs w:val="24"/>
        </w:rPr>
        <w:t>industry</w:t>
      </w:r>
      <w:r w:rsidRPr="00C317BB" w:rsidR="00173518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chlor-alkali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industry,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rule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predicted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require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investment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approximately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$1.8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billion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convert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11AB8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11AB8">
        <w:rPr>
          <w:rFonts w:cs="Times New Roman"/>
          <w:color w:val="000000" w:themeColor="text1"/>
          <w:szCs w:val="24"/>
        </w:rPr>
        <w:t>remaining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plants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76AD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diaphragm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cells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membrane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cell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76AD">
        <w:rPr>
          <w:rFonts w:cs="Times New Roman"/>
          <w:color w:val="000000" w:themeColor="text1"/>
          <w:szCs w:val="24"/>
        </w:rPr>
        <w:t>technology</w:t>
      </w:r>
      <w:r w:rsidRPr="00C317BB" w:rsidR="00AD631A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conversion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would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result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significant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energy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savings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258A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would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accrue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over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long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run.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96B4D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96B4D">
        <w:rPr>
          <w:rFonts w:cs="Times New Roman"/>
          <w:color w:val="000000" w:themeColor="text1"/>
          <w:szCs w:val="24"/>
        </w:rPr>
        <w:t>anticipates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96B4D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96B4D">
        <w:rPr>
          <w:rFonts w:cs="Times New Roman"/>
          <w:color w:val="000000" w:themeColor="text1"/>
          <w:szCs w:val="24"/>
        </w:rPr>
        <w:t>most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96B4D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96B4D">
        <w:rPr>
          <w:rFonts w:cs="Times New Roman"/>
          <w:color w:val="000000" w:themeColor="text1"/>
          <w:szCs w:val="24"/>
        </w:rPr>
        <w:t>these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96B4D">
        <w:rPr>
          <w:rFonts w:cs="Times New Roman"/>
          <w:color w:val="000000" w:themeColor="text1"/>
          <w:szCs w:val="24"/>
        </w:rPr>
        <w:t>conversions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96B4D">
        <w:rPr>
          <w:rFonts w:cs="Times New Roman"/>
          <w:color w:val="000000" w:themeColor="text1"/>
          <w:szCs w:val="24"/>
        </w:rPr>
        <w:t>would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96B4D">
        <w:rPr>
          <w:rFonts w:cs="Times New Roman"/>
          <w:color w:val="000000" w:themeColor="text1"/>
          <w:szCs w:val="24"/>
        </w:rPr>
        <w:t>occur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96B4D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96B4D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96B4D">
        <w:rPr>
          <w:rFonts w:cs="Times New Roman"/>
          <w:color w:val="000000" w:themeColor="text1"/>
          <w:szCs w:val="24"/>
        </w:rPr>
        <w:t>baseline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96B4D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96B4D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96B4D">
        <w:rPr>
          <w:rFonts w:cs="Times New Roman"/>
          <w:color w:val="000000" w:themeColor="text1"/>
          <w:szCs w:val="24"/>
        </w:rPr>
        <w:t>coming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96B4D">
        <w:rPr>
          <w:rFonts w:cs="Times New Roman"/>
          <w:color w:val="000000" w:themeColor="text1"/>
          <w:szCs w:val="24"/>
        </w:rPr>
        <w:t>decades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96B4D">
        <w:rPr>
          <w:rFonts w:cs="Times New Roman"/>
          <w:color w:val="000000" w:themeColor="text1"/>
          <w:szCs w:val="24"/>
        </w:rPr>
        <w:t>even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96B4D">
        <w:rPr>
          <w:rFonts w:cs="Times New Roman"/>
          <w:color w:val="000000" w:themeColor="text1"/>
          <w:szCs w:val="24"/>
        </w:rPr>
        <w:t>without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96B4D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96B4D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96B4D">
        <w:rPr>
          <w:rFonts w:cs="Times New Roman"/>
          <w:color w:val="000000" w:themeColor="text1"/>
          <w:szCs w:val="24"/>
        </w:rPr>
        <w:t>rule,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96B4D">
        <w:rPr>
          <w:rFonts w:cs="Times New Roman"/>
          <w:color w:val="000000" w:themeColor="text1"/>
          <w:szCs w:val="24"/>
        </w:rPr>
        <w:t>following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96B4D">
        <w:rPr>
          <w:rFonts w:cs="Times New Roman"/>
          <w:color w:val="000000" w:themeColor="text1"/>
          <w:szCs w:val="24"/>
        </w:rPr>
        <w:t>existing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96B4D">
        <w:rPr>
          <w:rFonts w:cs="Times New Roman"/>
          <w:color w:val="000000" w:themeColor="text1"/>
          <w:szCs w:val="24"/>
        </w:rPr>
        <w:t>trends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96B4D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96B4D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96B4D">
        <w:rPr>
          <w:rFonts w:cs="Times New Roman"/>
          <w:color w:val="000000" w:themeColor="text1"/>
          <w:szCs w:val="24"/>
        </w:rPr>
        <w:t>ch</w:t>
      </w:r>
      <w:r w:rsidRPr="00C317BB" w:rsidR="001F3301">
        <w:rPr>
          <w:rFonts w:cs="Times New Roman"/>
          <w:color w:val="000000" w:themeColor="text1"/>
          <w:szCs w:val="24"/>
        </w:rPr>
        <w:t>l</w:t>
      </w:r>
      <w:r w:rsidRPr="00C317BB" w:rsidR="00296B4D">
        <w:rPr>
          <w:rFonts w:cs="Times New Roman"/>
          <w:color w:val="000000" w:themeColor="text1"/>
          <w:szCs w:val="24"/>
        </w:rPr>
        <w:t>or-alkali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96B4D">
        <w:rPr>
          <w:rFonts w:cs="Times New Roman"/>
          <w:color w:val="000000" w:themeColor="text1"/>
          <w:szCs w:val="24"/>
        </w:rPr>
        <w:t>industry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96B4D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96B4D">
        <w:rPr>
          <w:rFonts w:cs="Times New Roman"/>
          <w:color w:val="000000" w:themeColor="text1"/>
          <w:szCs w:val="24"/>
        </w:rPr>
        <w:t>transition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96B4D">
        <w:rPr>
          <w:rFonts w:cs="Times New Roman"/>
          <w:color w:val="000000" w:themeColor="text1"/>
          <w:szCs w:val="24"/>
        </w:rPr>
        <w:t>away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96B4D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96B4D">
        <w:rPr>
          <w:rFonts w:cs="Times New Roman"/>
          <w:color w:val="000000" w:themeColor="text1"/>
          <w:szCs w:val="24"/>
        </w:rPr>
        <w:t>asbestos.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When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taking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capital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costs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energy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savings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into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account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over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20</w:t>
      </w:r>
      <w:r w:rsidRPr="00C317BB" w:rsidR="00515526">
        <w:rPr>
          <w:rFonts w:cs="Times New Roman"/>
          <w:color w:val="000000" w:themeColor="text1"/>
          <w:szCs w:val="24"/>
        </w:rPr>
        <w:t>-</w:t>
      </w:r>
      <w:r w:rsidRPr="00C317BB" w:rsidR="00AD631A">
        <w:rPr>
          <w:rFonts w:cs="Times New Roman"/>
          <w:color w:val="000000" w:themeColor="text1"/>
          <w:szCs w:val="24"/>
        </w:rPr>
        <w:t>year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period,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rule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estimated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result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E1AB5">
        <w:rPr>
          <w:rFonts w:cs="Times New Roman"/>
          <w:color w:val="000000" w:themeColor="text1"/>
          <w:szCs w:val="24"/>
        </w:rPr>
        <w:t>incremental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annualized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net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costs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chlor-alkali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industry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$</w:t>
      </w:r>
      <w:r w:rsidRPr="00C317BB" w:rsidR="006C28FE">
        <w:rPr>
          <w:rFonts w:cs="Times New Roman"/>
          <w:color w:val="000000" w:themeColor="text1"/>
          <w:szCs w:val="24"/>
        </w:rPr>
        <w:t>49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million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per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year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using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3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percent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discount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rate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$</w:t>
      </w:r>
      <w:r w:rsidRPr="00C317BB" w:rsidR="006C28FE">
        <w:rPr>
          <w:rFonts w:cs="Times New Roman"/>
          <w:color w:val="000000" w:themeColor="text1"/>
          <w:szCs w:val="24"/>
        </w:rPr>
        <w:t>87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million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per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year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using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7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percent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discount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rate.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Membrane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cells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also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produce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higher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grade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caustic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soda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55B3E">
        <w:rPr>
          <w:rFonts w:cs="Times New Roman"/>
          <w:color w:val="000000" w:themeColor="text1"/>
          <w:szCs w:val="24"/>
        </w:rPr>
        <w:t>has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55B3E">
        <w:rPr>
          <w:rFonts w:cs="Times New Roman"/>
          <w:color w:val="000000" w:themeColor="text1"/>
          <w:szCs w:val="24"/>
        </w:rPr>
        <w:t>historically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command</w:t>
      </w:r>
      <w:r w:rsidRPr="00C317BB" w:rsidR="00055B3E">
        <w:rPr>
          <w:rFonts w:cs="Times New Roman"/>
          <w:color w:val="000000" w:themeColor="text1"/>
          <w:szCs w:val="24"/>
        </w:rPr>
        <w:t>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higher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price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than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product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diaphragm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cells.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If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price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differential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continues,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converting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membrane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cells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7C2A">
        <w:rPr>
          <w:rFonts w:cs="Times New Roman"/>
          <w:color w:val="000000" w:themeColor="text1"/>
          <w:szCs w:val="24"/>
        </w:rPr>
        <w:t>c</w:t>
      </w:r>
      <w:r w:rsidRPr="00C317BB" w:rsidR="00AD631A">
        <w:rPr>
          <w:rFonts w:cs="Times New Roman"/>
          <w:color w:val="000000" w:themeColor="text1"/>
          <w:szCs w:val="24"/>
        </w:rPr>
        <w:t>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7C2A">
        <w:rPr>
          <w:rFonts w:cs="Times New Roman"/>
          <w:color w:val="000000" w:themeColor="text1"/>
          <w:szCs w:val="24"/>
        </w:rPr>
        <w:t>generate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1374E">
        <w:rPr>
          <w:rFonts w:cs="Times New Roman"/>
          <w:color w:val="000000" w:themeColor="text1"/>
          <w:szCs w:val="24"/>
        </w:rPr>
        <w:t>in</w:t>
      </w:r>
      <w:r w:rsidRPr="00C317BB" w:rsidR="001A2E13">
        <w:rPr>
          <w:rFonts w:cs="Times New Roman"/>
          <w:color w:val="000000" w:themeColor="text1"/>
          <w:szCs w:val="24"/>
        </w:rPr>
        <w:t>cremental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7C2A">
        <w:rPr>
          <w:rFonts w:cs="Times New Roman"/>
          <w:color w:val="000000" w:themeColor="text1"/>
          <w:szCs w:val="24"/>
        </w:rPr>
        <w:t>net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annualized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savings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approximately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$</w:t>
      </w:r>
      <w:r w:rsidRPr="00C317BB" w:rsidR="006C28FE">
        <w:rPr>
          <w:rFonts w:cs="Times New Roman"/>
          <w:color w:val="000000" w:themeColor="text1"/>
          <w:szCs w:val="24"/>
        </w:rPr>
        <w:t>35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million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per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year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using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3%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discount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rate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about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$</w:t>
      </w:r>
      <w:r w:rsidRPr="00C317BB" w:rsidR="006C28FE">
        <w:rPr>
          <w:rFonts w:cs="Times New Roman"/>
          <w:color w:val="000000" w:themeColor="text1"/>
          <w:szCs w:val="24"/>
        </w:rPr>
        <w:t>40</w:t>
      </w:r>
      <w:r w:rsidRPr="00C317BB" w:rsidR="00AD631A">
        <w:rPr>
          <w:rFonts w:cs="Times New Roman"/>
          <w:color w:val="000000" w:themeColor="text1"/>
          <w:szCs w:val="24"/>
        </w:rPr>
        <w:t>,000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per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year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using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7%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discount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rate,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when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considered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over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20</w:t>
      </w:r>
      <w:r w:rsidRPr="00C317BB" w:rsidR="005A77BC">
        <w:rPr>
          <w:rFonts w:cs="Times New Roman"/>
          <w:color w:val="000000" w:themeColor="text1"/>
          <w:szCs w:val="24"/>
        </w:rPr>
        <w:t>-</w:t>
      </w:r>
      <w:r w:rsidRPr="00C317BB" w:rsidR="00AD631A">
        <w:rPr>
          <w:rFonts w:cs="Times New Roman"/>
          <w:color w:val="000000" w:themeColor="text1"/>
          <w:szCs w:val="24"/>
        </w:rPr>
        <w:t>year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period.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AD631A" w:rsidP="00F27167" w:rsidRDefault="00F7641A" w14:paraId="47D13F18" w14:textId="0C4DEBF3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extent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which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higher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grade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caustic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soda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will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continue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command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higher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relative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price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when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produced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larger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quantities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depends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elasticity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demand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higher</w:t>
      </w:r>
      <w:r w:rsidRPr="00C317BB" w:rsidR="001F3301">
        <w:rPr>
          <w:rFonts w:cs="Times New Roman"/>
          <w:color w:val="000000" w:themeColor="text1"/>
          <w:szCs w:val="24"/>
        </w:rPr>
        <w:t>-</w:t>
      </w:r>
      <w:r w:rsidRPr="00C317BB">
        <w:rPr>
          <w:rFonts w:cs="Times New Roman"/>
          <w:color w:val="000000" w:themeColor="text1"/>
          <w:szCs w:val="24"/>
        </w:rPr>
        <w:t>grade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product.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lacks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sufficient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information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characterize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demand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curve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chlor-alkali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products,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including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higher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grade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caustic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soda.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caustic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soda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price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differential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declines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but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still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greater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zero,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incremental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annualize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costs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chlor-alkali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industry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will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fall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between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estimates.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rule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975AC">
        <w:rPr>
          <w:rFonts w:cs="Times New Roman"/>
          <w:color w:val="000000" w:themeColor="text1"/>
          <w:szCs w:val="24"/>
        </w:rPr>
        <w:t>would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975AC">
        <w:rPr>
          <w:rFonts w:cs="Times New Roman"/>
          <w:color w:val="000000" w:themeColor="text1"/>
          <w:szCs w:val="24"/>
        </w:rPr>
        <w:t>result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975AC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66B25">
        <w:rPr>
          <w:rFonts w:cs="Times New Roman"/>
          <w:color w:val="000000" w:themeColor="text1"/>
          <w:szCs w:val="24"/>
        </w:rPr>
        <w:t>total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annualized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costs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aftermarket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automotive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brakes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estimated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approximately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$</w:t>
      </w:r>
      <w:r w:rsidRPr="00C317BB" w:rsidR="006C28FE">
        <w:rPr>
          <w:rFonts w:cs="Times New Roman"/>
          <w:color w:val="000000" w:themeColor="text1"/>
          <w:szCs w:val="24"/>
        </w:rPr>
        <w:t>25,</w:t>
      </w:r>
      <w:r w:rsidRPr="00C317BB" w:rsidR="00726119">
        <w:rPr>
          <w:rFonts w:cs="Times New Roman"/>
          <w:color w:val="000000" w:themeColor="text1"/>
          <w:szCs w:val="24"/>
        </w:rPr>
        <w:t>0</w:t>
      </w:r>
      <w:r w:rsidRPr="00C317BB" w:rsidR="006C28FE">
        <w:rPr>
          <w:rFonts w:cs="Times New Roman"/>
          <w:color w:val="000000" w:themeColor="text1"/>
          <w:szCs w:val="24"/>
        </w:rPr>
        <w:t>00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per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year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using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3%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discount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rate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$</w:t>
      </w:r>
      <w:r w:rsidRPr="00C317BB" w:rsidR="006C28FE">
        <w:rPr>
          <w:rFonts w:cs="Times New Roman"/>
          <w:color w:val="000000" w:themeColor="text1"/>
          <w:szCs w:val="24"/>
        </w:rPr>
        <w:t>18</w:t>
      </w:r>
      <w:r w:rsidRPr="00C317BB" w:rsidR="00726119">
        <w:rPr>
          <w:rFonts w:cs="Times New Roman"/>
          <w:color w:val="000000" w:themeColor="text1"/>
          <w:szCs w:val="24"/>
        </w:rPr>
        <w:t>,0</w:t>
      </w:r>
      <w:r w:rsidRPr="00C317BB" w:rsidR="006C28FE">
        <w:rPr>
          <w:rFonts w:cs="Times New Roman"/>
          <w:color w:val="000000" w:themeColor="text1"/>
          <w:szCs w:val="24"/>
        </w:rPr>
        <w:t>00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per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year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using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7%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discount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D631A">
        <w:rPr>
          <w:rFonts w:cs="Times New Roman"/>
          <w:color w:val="000000" w:themeColor="text1"/>
          <w:szCs w:val="24"/>
        </w:rPr>
        <w:t>rate.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B64BBE" w:rsidP="00F27167" w:rsidRDefault="00237CE4" w14:paraId="369CF2D7" w14:textId="04F4E1F8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estimate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costs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67E4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67E4">
        <w:rPr>
          <w:rFonts w:cs="Times New Roman"/>
          <w:color w:val="000000" w:themeColor="text1"/>
          <w:szCs w:val="24"/>
        </w:rPr>
        <w:t>prohibiting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67E4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14F07">
        <w:rPr>
          <w:rFonts w:cs="Times New Roman"/>
          <w:color w:val="000000" w:themeColor="text1"/>
          <w:szCs w:val="24"/>
        </w:rPr>
        <w:t>commercial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67E4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67E4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67E4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products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subject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rule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(sheet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gaskets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chemical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production,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oilfield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brake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blocks,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vehicle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friction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products,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gaskets).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E3813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E3813">
        <w:rPr>
          <w:rFonts w:cs="Times New Roman"/>
          <w:color w:val="000000" w:themeColor="text1"/>
          <w:szCs w:val="24"/>
        </w:rPr>
        <w:t>requests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E3813">
        <w:rPr>
          <w:rFonts w:cs="Times New Roman"/>
          <w:color w:val="000000" w:themeColor="text1"/>
          <w:szCs w:val="24"/>
        </w:rPr>
        <w:t>comment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E3813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E3813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E3813">
        <w:rPr>
          <w:rFonts w:cs="Times New Roman"/>
          <w:color w:val="000000" w:themeColor="text1"/>
          <w:szCs w:val="24"/>
        </w:rPr>
        <w:t>costs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E3813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E3813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E3813">
        <w:rPr>
          <w:rFonts w:cs="Times New Roman"/>
          <w:color w:val="000000" w:themeColor="text1"/>
          <w:szCs w:val="24"/>
        </w:rPr>
        <w:t>rule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5259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5259">
        <w:rPr>
          <w:rFonts w:cs="Times New Roman"/>
          <w:color w:val="000000" w:themeColor="text1"/>
          <w:szCs w:val="24"/>
        </w:rPr>
        <w:t>each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5259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5259">
        <w:rPr>
          <w:rFonts w:cs="Times New Roman"/>
          <w:color w:val="000000" w:themeColor="text1"/>
          <w:szCs w:val="24"/>
        </w:rPr>
        <w:t>these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5259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5259">
        <w:rPr>
          <w:rFonts w:cs="Times New Roman"/>
          <w:color w:val="000000" w:themeColor="text1"/>
          <w:szCs w:val="24"/>
        </w:rPr>
        <w:t>categories</w:t>
      </w:r>
      <w:r w:rsidRPr="00C317BB" w:rsidR="006E3813">
        <w:rPr>
          <w:rFonts w:cs="Times New Roman"/>
          <w:color w:val="000000" w:themeColor="text1"/>
          <w:szCs w:val="24"/>
        </w:rPr>
        <w:t>.</w:t>
      </w:r>
    </w:p>
    <w:p w:rsidRPr="00C317BB" w:rsidR="00F71046" w:rsidP="00F27167" w:rsidRDefault="000E6475" w14:paraId="63629A3B" w14:textId="3D334545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If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67E4">
        <w:rPr>
          <w:rFonts w:cs="Times New Roman"/>
          <w:color w:val="000000" w:themeColor="text1"/>
          <w:szCs w:val="24"/>
        </w:rPr>
        <w:t>there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67E4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67E4">
        <w:rPr>
          <w:rFonts w:cs="Times New Roman"/>
          <w:color w:val="000000" w:themeColor="text1"/>
          <w:szCs w:val="24"/>
        </w:rPr>
        <w:t>no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67E4">
        <w:rPr>
          <w:rFonts w:cs="Times New Roman"/>
          <w:color w:val="000000" w:themeColor="text1"/>
          <w:szCs w:val="24"/>
        </w:rPr>
        <w:t>revenue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67E4">
        <w:rPr>
          <w:rFonts w:cs="Times New Roman"/>
          <w:color w:val="000000" w:themeColor="text1"/>
          <w:szCs w:val="24"/>
        </w:rPr>
        <w:t>gain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67E4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67E4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67E4">
        <w:rPr>
          <w:rFonts w:cs="Times New Roman"/>
          <w:color w:val="000000" w:themeColor="text1"/>
          <w:szCs w:val="24"/>
        </w:rPr>
        <w:t>higher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67E4">
        <w:rPr>
          <w:rFonts w:cs="Times New Roman"/>
          <w:color w:val="000000" w:themeColor="text1"/>
          <w:szCs w:val="24"/>
        </w:rPr>
        <w:t>grade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67E4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67E4">
        <w:rPr>
          <w:rFonts w:cs="Times New Roman"/>
          <w:color w:val="000000" w:themeColor="text1"/>
          <w:szCs w:val="24"/>
        </w:rPr>
        <w:t>caustic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67E4">
        <w:rPr>
          <w:rFonts w:cs="Times New Roman"/>
          <w:color w:val="000000" w:themeColor="text1"/>
          <w:szCs w:val="24"/>
        </w:rPr>
        <w:t>soda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67E4">
        <w:rPr>
          <w:rFonts w:cs="Times New Roman"/>
          <w:color w:val="000000" w:themeColor="text1"/>
          <w:szCs w:val="24"/>
        </w:rPr>
        <w:t>produced,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67E4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191A">
        <w:rPr>
          <w:rFonts w:cs="Times New Roman"/>
          <w:color w:val="000000" w:themeColor="text1"/>
          <w:szCs w:val="24"/>
        </w:rPr>
        <w:t>combined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67E4">
        <w:rPr>
          <w:rFonts w:cs="Times New Roman"/>
          <w:color w:val="000000" w:themeColor="text1"/>
          <w:szCs w:val="24"/>
        </w:rPr>
        <w:t>quantified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67E4">
        <w:rPr>
          <w:rFonts w:cs="Times New Roman"/>
          <w:color w:val="000000" w:themeColor="text1"/>
          <w:szCs w:val="24"/>
        </w:rPr>
        <w:t>annualized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67E4">
        <w:rPr>
          <w:rFonts w:cs="Times New Roman"/>
          <w:color w:val="000000" w:themeColor="text1"/>
          <w:szCs w:val="24"/>
        </w:rPr>
        <w:t>costs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67E4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67E4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67E4">
        <w:rPr>
          <w:rFonts w:cs="Times New Roman"/>
          <w:color w:val="000000" w:themeColor="text1"/>
          <w:szCs w:val="24"/>
        </w:rPr>
        <w:t>rule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191A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5115F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5115F">
        <w:rPr>
          <w:rFonts w:cs="Times New Roman"/>
          <w:color w:val="000000" w:themeColor="text1"/>
          <w:szCs w:val="24"/>
        </w:rPr>
        <w:t>chlor-alkali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5115F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5115F">
        <w:rPr>
          <w:rFonts w:cs="Times New Roman"/>
          <w:color w:val="000000" w:themeColor="text1"/>
          <w:szCs w:val="24"/>
        </w:rPr>
        <w:t>afterma</w:t>
      </w:r>
      <w:r w:rsidRPr="00C317BB" w:rsidR="00EB71D5">
        <w:rPr>
          <w:rFonts w:cs="Times New Roman"/>
          <w:color w:val="000000" w:themeColor="text1"/>
          <w:szCs w:val="24"/>
        </w:rPr>
        <w:t>rket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B71D5">
        <w:rPr>
          <w:rFonts w:cs="Times New Roman"/>
          <w:color w:val="000000" w:themeColor="text1"/>
          <w:szCs w:val="24"/>
        </w:rPr>
        <w:t>automotive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B71D5">
        <w:rPr>
          <w:rFonts w:cs="Times New Roman"/>
          <w:color w:val="000000" w:themeColor="text1"/>
          <w:szCs w:val="24"/>
        </w:rPr>
        <w:t>brake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77D5C">
        <w:rPr>
          <w:rFonts w:cs="Times New Roman"/>
          <w:color w:val="000000" w:themeColor="text1"/>
          <w:szCs w:val="24"/>
        </w:rPr>
        <w:t>industries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B71D5">
        <w:rPr>
          <w:rFonts w:cs="Times New Roman"/>
          <w:color w:val="000000" w:themeColor="text1"/>
          <w:szCs w:val="24"/>
        </w:rPr>
        <w:t>would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B71D5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67E4">
        <w:rPr>
          <w:rFonts w:cs="Times New Roman"/>
          <w:color w:val="000000" w:themeColor="text1"/>
          <w:szCs w:val="24"/>
        </w:rPr>
        <w:t>approximately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67E4">
        <w:rPr>
          <w:rFonts w:cs="Times New Roman"/>
          <w:color w:val="000000" w:themeColor="text1"/>
          <w:szCs w:val="24"/>
        </w:rPr>
        <w:t>$</w:t>
      </w:r>
      <w:r w:rsidRPr="00C317BB" w:rsidR="006C28FE">
        <w:rPr>
          <w:rFonts w:cs="Times New Roman"/>
          <w:color w:val="000000" w:themeColor="text1"/>
          <w:szCs w:val="24"/>
        </w:rPr>
        <w:t>49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67E4">
        <w:rPr>
          <w:rFonts w:cs="Times New Roman"/>
          <w:color w:val="000000" w:themeColor="text1"/>
          <w:szCs w:val="24"/>
        </w:rPr>
        <w:t>million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67E4">
        <w:rPr>
          <w:rFonts w:cs="Times New Roman"/>
          <w:color w:val="000000" w:themeColor="text1"/>
          <w:szCs w:val="24"/>
        </w:rPr>
        <w:t>per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67E4">
        <w:rPr>
          <w:rFonts w:cs="Times New Roman"/>
          <w:color w:val="000000" w:themeColor="text1"/>
          <w:szCs w:val="24"/>
        </w:rPr>
        <w:t>year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67E4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67E4">
        <w:rPr>
          <w:rFonts w:cs="Times New Roman"/>
          <w:color w:val="000000" w:themeColor="text1"/>
          <w:szCs w:val="24"/>
        </w:rPr>
        <w:t>$</w:t>
      </w:r>
      <w:r w:rsidRPr="00C317BB" w:rsidR="006C28FE">
        <w:rPr>
          <w:rFonts w:cs="Times New Roman"/>
          <w:color w:val="000000" w:themeColor="text1"/>
          <w:szCs w:val="24"/>
        </w:rPr>
        <w:t>87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67E4">
        <w:rPr>
          <w:rFonts w:cs="Times New Roman"/>
          <w:color w:val="000000" w:themeColor="text1"/>
          <w:szCs w:val="24"/>
        </w:rPr>
        <w:t>million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67E4">
        <w:rPr>
          <w:rFonts w:cs="Times New Roman"/>
          <w:color w:val="000000" w:themeColor="text1"/>
          <w:szCs w:val="24"/>
        </w:rPr>
        <w:t>per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67E4">
        <w:rPr>
          <w:rFonts w:cs="Times New Roman"/>
          <w:color w:val="000000" w:themeColor="text1"/>
          <w:szCs w:val="24"/>
        </w:rPr>
        <w:t>year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67E4">
        <w:rPr>
          <w:rFonts w:cs="Times New Roman"/>
          <w:color w:val="000000" w:themeColor="text1"/>
          <w:szCs w:val="24"/>
        </w:rPr>
        <w:t>using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67E4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67E4">
        <w:rPr>
          <w:rFonts w:cs="Times New Roman"/>
          <w:color w:val="000000" w:themeColor="text1"/>
          <w:szCs w:val="24"/>
        </w:rPr>
        <w:t>3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67E4">
        <w:rPr>
          <w:rFonts w:cs="Times New Roman"/>
          <w:color w:val="000000" w:themeColor="text1"/>
          <w:szCs w:val="24"/>
        </w:rPr>
        <w:t>percent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67E4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67E4">
        <w:rPr>
          <w:rFonts w:cs="Times New Roman"/>
          <w:color w:val="000000" w:themeColor="text1"/>
          <w:szCs w:val="24"/>
        </w:rPr>
        <w:t>7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67E4">
        <w:rPr>
          <w:rFonts w:cs="Times New Roman"/>
          <w:color w:val="000000" w:themeColor="text1"/>
          <w:szCs w:val="24"/>
        </w:rPr>
        <w:t>percent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67E4">
        <w:rPr>
          <w:rFonts w:cs="Times New Roman"/>
          <w:color w:val="000000" w:themeColor="text1"/>
          <w:szCs w:val="24"/>
        </w:rPr>
        <w:t>discount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67E4">
        <w:rPr>
          <w:rFonts w:cs="Times New Roman"/>
          <w:color w:val="000000" w:themeColor="text1"/>
          <w:szCs w:val="24"/>
        </w:rPr>
        <w:t>rate,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67E4">
        <w:rPr>
          <w:rFonts w:cs="Times New Roman"/>
          <w:color w:val="000000" w:themeColor="text1"/>
          <w:szCs w:val="24"/>
        </w:rPr>
        <w:t>respectively.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67E4">
        <w:rPr>
          <w:rFonts w:cs="Times New Roman"/>
          <w:color w:val="000000" w:themeColor="text1"/>
          <w:szCs w:val="24"/>
        </w:rPr>
        <w:t>If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67E4">
        <w:rPr>
          <w:rFonts w:cs="Times New Roman"/>
          <w:color w:val="000000" w:themeColor="text1"/>
          <w:szCs w:val="24"/>
        </w:rPr>
        <w:t>there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67E4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67E4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67E4">
        <w:rPr>
          <w:rFonts w:cs="Times New Roman"/>
          <w:color w:val="000000" w:themeColor="text1"/>
          <w:szCs w:val="24"/>
        </w:rPr>
        <w:t>revenue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67E4">
        <w:rPr>
          <w:rFonts w:cs="Times New Roman"/>
          <w:color w:val="000000" w:themeColor="text1"/>
          <w:szCs w:val="24"/>
        </w:rPr>
        <w:t>gain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67E4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67E4">
        <w:rPr>
          <w:rFonts w:cs="Times New Roman"/>
          <w:color w:val="000000" w:themeColor="text1"/>
          <w:szCs w:val="24"/>
        </w:rPr>
        <w:t>caustic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67E4">
        <w:rPr>
          <w:rFonts w:cs="Times New Roman"/>
          <w:color w:val="000000" w:themeColor="text1"/>
          <w:szCs w:val="24"/>
        </w:rPr>
        <w:t>soda,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67E4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20BD5">
        <w:rPr>
          <w:rFonts w:cs="Times New Roman"/>
          <w:color w:val="000000" w:themeColor="text1"/>
          <w:szCs w:val="24"/>
        </w:rPr>
        <w:t>net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67E4">
        <w:rPr>
          <w:rFonts w:cs="Times New Roman"/>
          <w:color w:val="000000" w:themeColor="text1"/>
          <w:szCs w:val="24"/>
        </w:rPr>
        <w:t>quantified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67E4">
        <w:rPr>
          <w:rFonts w:cs="Times New Roman"/>
          <w:color w:val="000000" w:themeColor="text1"/>
          <w:szCs w:val="24"/>
        </w:rPr>
        <w:t>savings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20BD5">
        <w:rPr>
          <w:rFonts w:cs="Times New Roman"/>
          <w:color w:val="000000" w:themeColor="text1"/>
          <w:szCs w:val="24"/>
        </w:rPr>
        <w:t>c</w:t>
      </w:r>
      <w:r w:rsidRPr="00C317BB" w:rsidR="005167E4">
        <w:rPr>
          <w:rFonts w:cs="Times New Roman"/>
          <w:color w:val="000000" w:themeColor="text1"/>
          <w:szCs w:val="24"/>
        </w:rPr>
        <w:t>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67E4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67E4">
        <w:rPr>
          <w:rFonts w:cs="Times New Roman"/>
          <w:color w:val="000000" w:themeColor="text1"/>
          <w:szCs w:val="24"/>
        </w:rPr>
        <w:t>approximately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67E4">
        <w:rPr>
          <w:rFonts w:cs="Times New Roman"/>
          <w:color w:val="000000" w:themeColor="text1"/>
          <w:szCs w:val="24"/>
        </w:rPr>
        <w:t>$</w:t>
      </w:r>
      <w:r w:rsidRPr="00C317BB" w:rsidR="006C28FE">
        <w:rPr>
          <w:rFonts w:cs="Times New Roman"/>
          <w:color w:val="000000" w:themeColor="text1"/>
          <w:szCs w:val="24"/>
        </w:rPr>
        <w:t>35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67E4">
        <w:rPr>
          <w:rFonts w:cs="Times New Roman"/>
          <w:color w:val="000000" w:themeColor="text1"/>
          <w:szCs w:val="24"/>
        </w:rPr>
        <w:t>million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67E4">
        <w:rPr>
          <w:rFonts w:cs="Times New Roman"/>
          <w:color w:val="000000" w:themeColor="text1"/>
          <w:szCs w:val="24"/>
        </w:rPr>
        <w:t>per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67E4">
        <w:rPr>
          <w:rFonts w:cs="Times New Roman"/>
          <w:color w:val="000000" w:themeColor="text1"/>
          <w:szCs w:val="24"/>
        </w:rPr>
        <w:t>year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67E4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67E4">
        <w:rPr>
          <w:rFonts w:cs="Times New Roman"/>
          <w:color w:val="000000" w:themeColor="text1"/>
          <w:szCs w:val="24"/>
        </w:rPr>
        <w:t>$</w:t>
      </w:r>
      <w:r w:rsidRPr="00C317BB" w:rsidR="006C28FE">
        <w:rPr>
          <w:rFonts w:cs="Times New Roman"/>
          <w:color w:val="000000" w:themeColor="text1"/>
          <w:szCs w:val="24"/>
        </w:rPr>
        <w:t>27</w:t>
      </w:r>
      <w:r w:rsidRPr="00C317BB" w:rsidR="005167E4">
        <w:rPr>
          <w:rFonts w:cs="Times New Roman"/>
          <w:color w:val="000000" w:themeColor="text1"/>
          <w:szCs w:val="24"/>
        </w:rPr>
        <w:t>,000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67E4">
        <w:rPr>
          <w:rFonts w:cs="Times New Roman"/>
          <w:color w:val="000000" w:themeColor="text1"/>
          <w:szCs w:val="24"/>
        </w:rPr>
        <w:t>per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67E4">
        <w:rPr>
          <w:rFonts w:cs="Times New Roman"/>
          <w:color w:val="000000" w:themeColor="text1"/>
          <w:szCs w:val="24"/>
        </w:rPr>
        <w:t>year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67E4">
        <w:rPr>
          <w:rFonts w:cs="Times New Roman"/>
          <w:color w:val="000000" w:themeColor="text1"/>
          <w:szCs w:val="24"/>
        </w:rPr>
        <w:t>using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67E4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67E4">
        <w:rPr>
          <w:rFonts w:cs="Times New Roman"/>
          <w:color w:val="000000" w:themeColor="text1"/>
          <w:szCs w:val="24"/>
        </w:rPr>
        <w:t>3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67E4">
        <w:rPr>
          <w:rFonts w:cs="Times New Roman"/>
          <w:color w:val="000000" w:themeColor="text1"/>
          <w:szCs w:val="24"/>
        </w:rPr>
        <w:t>percent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67E4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67E4">
        <w:rPr>
          <w:rFonts w:cs="Times New Roman"/>
          <w:color w:val="000000" w:themeColor="text1"/>
          <w:szCs w:val="24"/>
        </w:rPr>
        <w:t>7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67E4">
        <w:rPr>
          <w:rFonts w:cs="Times New Roman"/>
          <w:color w:val="000000" w:themeColor="text1"/>
          <w:szCs w:val="24"/>
        </w:rPr>
        <w:t>percent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67E4">
        <w:rPr>
          <w:rFonts w:cs="Times New Roman"/>
          <w:color w:val="000000" w:themeColor="text1"/>
          <w:szCs w:val="24"/>
        </w:rPr>
        <w:t>discount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67E4">
        <w:rPr>
          <w:rFonts w:cs="Times New Roman"/>
          <w:color w:val="000000" w:themeColor="text1"/>
          <w:szCs w:val="24"/>
        </w:rPr>
        <w:t>rate,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67E4">
        <w:rPr>
          <w:rFonts w:cs="Times New Roman"/>
          <w:color w:val="000000" w:themeColor="text1"/>
          <w:szCs w:val="24"/>
        </w:rPr>
        <w:t>respectively.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67E4">
        <w:rPr>
          <w:rFonts w:cs="Times New Roman"/>
          <w:color w:val="000000" w:themeColor="text1"/>
          <w:szCs w:val="24"/>
        </w:rPr>
        <w:t>Because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67E4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67E4">
        <w:rPr>
          <w:rFonts w:cs="Times New Roman"/>
          <w:color w:val="000000" w:themeColor="text1"/>
          <w:szCs w:val="24"/>
        </w:rPr>
        <w:t>costs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67E4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67E4">
        <w:rPr>
          <w:rFonts w:cs="Times New Roman"/>
          <w:color w:val="000000" w:themeColor="text1"/>
          <w:szCs w:val="24"/>
        </w:rPr>
        <w:t>prohibiting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67E4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05341">
        <w:rPr>
          <w:rFonts w:cs="Times New Roman"/>
          <w:color w:val="000000" w:themeColor="text1"/>
          <w:szCs w:val="24"/>
        </w:rPr>
        <w:t>commercial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67E4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67E4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67E4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67E4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67E4">
        <w:rPr>
          <w:rFonts w:cs="Times New Roman"/>
          <w:color w:val="000000" w:themeColor="text1"/>
          <w:szCs w:val="24"/>
        </w:rPr>
        <w:t>sheet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67E4">
        <w:rPr>
          <w:rFonts w:cs="Times New Roman"/>
          <w:color w:val="000000" w:themeColor="text1"/>
          <w:szCs w:val="24"/>
        </w:rPr>
        <w:t>gaskets,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67E4">
        <w:rPr>
          <w:rFonts w:cs="Times New Roman"/>
          <w:color w:val="000000" w:themeColor="text1"/>
          <w:szCs w:val="24"/>
        </w:rPr>
        <w:t>oilfield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67E4">
        <w:rPr>
          <w:rFonts w:cs="Times New Roman"/>
          <w:color w:val="000000" w:themeColor="text1"/>
          <w:szCs w:val="24"/>
        </w:rPr>
        <w:t>brake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67E4">
        <w:rPr>
          <w:rFonts w:cs="Times New Roman"/>
          <w:color w:val="000000" w:themeColor="text1"/>
          <w:szCs w:val="24"/>
        </w:rPr>
        <w:t>blocks,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67E4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67E4">
        <w:rPr>
          <w:rFonts w:cs="Times New Roman"/>
          <w:color w:val="000000" w:themeColor="text1"/>
          <w:szCs w:val="24"/>
        </w:rPr>
        <w:t>friction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67E4">
        <w:rPr>
          <w:rFonts w:cs="Times New Roman"/>
          <w:color w:val="000000" w:themeColor="text1"/>
          <w:szCs w:val="24"/>
        </w:rPr>
        <w:t>products,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67E4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67E4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67E4">
        <w:rPr>
          <w:rFonts w:cs="Times New Roman"/>
          <w:color w:val="000000" w:themeColor="text1"/>
          <w:szCs w:val="24"/>
        </w:rPr>
        <w:t>gaskets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67E4">
        <w:rPr>
          <w:rFonts w:cs="Times New Roman"/>
          <w:color w:val="000000" w:themeColor="text1"/>
          <w:szCs w:val="24"/>
        </w:rPr>
        <w:t>could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67E4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67E4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67E4">
        <w:rPr>
          <w:rFonts w:cs="Times New Roman"/>
          <w:color w:val="000000" w:themeColor="text1"/>
          <w:szCs w:val="24"/>
        </w:rPr>
        <w:t>quantified,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67E4">
        <w:rPr>
          <w:rFonts w:cs="Times New Roman"/>
          <w:color w:val="000000" w:themeColor="text1"/>
          <w:szCs w:val="24"/>
        </w:rPr>
        <w:t>these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31FAC">
        <w:rPr>
          <w:rFonts w:cs="Times New Roman"/>
          <w:color w:val="000000" w:themeColor="text1"/>
          <w:szCs w:val="24"/>
        </w:rPr>
        <w:t>combined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31FAC">
        <w:rPr>
          <w:rFonts w:cs="Times New Roman"/>
          <w:color w:val="000000" w:themeColor="text1"/>
          <w:szCs w:val="24"/>
        </w:rPr>
        <w:t>values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67E4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67E4">
        <w:rPr>
          <w:rFonts w:cs="Times New Roman"/>
          <w:color w:val="000000" w:themeColor="text1"/>
          <w:szCs w:val="24"/>
        </w:rPr>
        <w:t>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67E4">
        <w:rPr>
          <w:rFonts w:cs="Times New Roman"/>
          <w:color w:val="000000" w:themeColor="text1"/>
          <w:szCs w:val="24"/>
        </w:rPr>
        <w:t>upper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67E4">
        <w:rPr>
          <w:rFonts w:cs="Times New Roman"/>
          <w:color w:val="000000" w:themeColor="text1"/>
          <w:szCs w:val="24"/>
        </w:rPr>
        <w:t>bound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67E4">
        <w:rPr>
          <w:rFonts w:cs="Times New Roman"/>
          <w:color w:val="000000" w:themeColor="text1"/>
          <w:szCs w:val="24"/>
        </w:rPr>
        <w:t>estimate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67E4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67E4">
        <w:rPr>
          <w:rFonts w:cs="Times New Roman"/>
          <w:color w:val="000000" w:themeColor="text1"/>
          <w:szCs w:val="24"/>
        </w:rPr>
        <w:t>total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67E4">
        <w:rPr>
          <w:rFonts w:cs="Times New Roman"/>
          <w:color w:val="000000" w:themeColor="text1"/>
          <w:szCs w:val="24"/>
        </w:rPr>
        <w:t>cost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67E4">
        <w:rPr>
          <w:rFonts w:cs="Times New Roman"/>
          <w:color w:val="000000" w:themeColor="text1"/>
          <w:szCs w:val="24"/>
        </w:rPr>
        <w:t>savings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67E4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67E4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67E4">
        <w:rPr>
          <w:rFonts w:cs="Times New Roman"/>
          <w:color w:val="000000" w:themeColor="text1"/>
          <w:szCs w:val="24"/>
        </w:rPr>
        <w:t>lower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67E4">
        <w:rPr>
          <w:rFonts w:cs="Times New Roman"/>
          <w:color w:val="000000" w:themeColor="text1"/>
          <w:szCs w:val="24"/>
        </w:rPr>
        <w:t>bound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67E4">
        <w:rPr>
          <w:rFonts w:cs="Times New Roman"/>
          <w:color w:val="000000" w:themeColor="text1"/>
          <w:szCs w:val="24"/>
        </w:rPr>
        <w:t>estimate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67E4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67E4">
        <w:rPr>
          <w:rFonts w:cs="Times New Roman"/>
          <w:color w:val="000000" w:themeColor="text1"/>
          <w:szCs w:val="24"/>
        </w:rPr>
        <w:t>total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67E4">
        <w:rPr>
          <w:rFonts w:cs="Times New Roman"/>
          <w:color w:val="000000" w:themeColor="text1"/>
          <w:szCs w:val="24"/>
        </w:rPr>
        <w:t>costs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46E45">
        <w:rPr>
          <w:rFonts w:cs="Times New Roman"/>
          <w:color w:val="000000" w:themeColor="text1"/>
          <w:szCs w:val="24"/>
        </w:rPr>
        <w:t>(</w:t>
      </w:r>
      <w:r w:rsidRPr="00C317BB" w:rsidR="00F71046">
        <w:rPr>
          <w:rFonts w:cs="Times New Roman"/>
          <w:color w:val="000000" w:themeColor="text1"/>
          <w:szCs w:val="24"/>
        </w:rPr>
        <w:t>Ref.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9178F">
        <w:rPr>
          <w:rFonts w:cs="Times New Roman"/>
          <w:color w:val="000000" w:themeColor="text1"/>
          <w:szCs w:val="24"/>
        </w:rPr>
        <w:t>2</w:t>
      </w:r>
      <w:r w:rsidRPr="00C317BB" w:rsidR="00F71046">
        <w:rPr>
          <w:rFonts w:cs="Times New Roman"/>
          <w:color w:val="000000" w:themeColor="text1"/>
          <w:szCs w:val="24"/>
        </w:rPr>
        <w:t>).</w:t>
      </w:r>
    </w:p>
    <w:p w:rsidRPr="00C317BB" w:rsidR="00526415" w:rsidP="00F27167" w:rsidRDefault="005613B2" w14:paraId="37652615" w14:textId="19A2943D">
      <w:pPr>
        <w:ind w:firstLine="720"/>
        <w:contextualSpacing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 </w:t>
      </w:r>
      <w:r w:rsidRPr="00C317BB" w:rsidR="007740BC">
        <w:rPr>
          <w:rFonts w:cs="Times New Roman"/>
          <w:color w:val="000000" w:themeColor="text1"/>
          <w:szCs w:val="24"/>
        </w:rPr>
        <w:t>The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0C3DF6">
        <w:rPr>
          <w:rFonts w:cs="Times New Roman"/>
          <w:color w:val="000000" w:themeColor="text1"/>
          <w:szCs w:val="24"/>
        </w:rPr>
        <w:t>combined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B350F1">
        <w:rPr>
          <w:rFonts w:cs="Times New Roman"/>
          <w:color w:val="000000" w:themeColor="text1"/>
          <w:szCs w:val="24"/>
        </w:rPr>
        <w:t>national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7740BC">
        <w:rPr>
          <w:rFonts w:cs="Times New Roman"/>
          <w:color w:val="000000" w:themeColor="text1"/>
          <w:szCs w:val="24"/>
        </w:rPr>
        <w:t>quantified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7740BC">
        <w:rPr>
          <w:rFonts w:cs="Times New Roman"/>
          <w:color w:val="000000" w:themeColor="text1"/>
          <w:szCs w:val="24"/>
        </w:rPr>
        <w:t>benefits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7740BC">
        <w:rPr>
          <w:rFonts w:cs="Times New Roman"/>
          <w:color w:val="000000" w:themeColor="text1"/>
          <w:szCs w:val="24"/>
        </w:rPr>
        <w:t>of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7740BC">
        <w:rPr>
          <w:rFonts w:cs="Times New Roman"/>
          <w:color w:val="000000" w:themeColor="text1"/>
          <w:szCs w:val="24"/>
        </w:rPr>
        <w:t>avoided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7740BC">
        <w:rPr>
          <w:rFonts w:cs="Times New Roman"/>
          <w:color w:val="000000" w:themeColor="text1"/>
          <w:szCs w:val="24"/>
        </w:rPr>
        <w:t>cancer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7740BC">
        <w:rPr>
          <w:rFonts w:cs="Times New Roman"/>
          <w:color w:val="000000" w:themeColor="text1"/>
          <w:szCs w:val="24"/>
        </w:rPr>
        <w:t>cases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7740BC">
        <w:rPr>
          <w:rFonts w:cs="Times New Roman"/>
          <w:color w:val="000000" w:themeColor="text1"/>
          <w:szCs w:val="24"/>
        </w:rPr>
        <w:t>are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7740BC">
        <w:rPr>
          <w:rFonts w:cs="Times New Roman"/>
          <w:color w:val="000000" w:themeColor="text1"/>
          <w:szCs w:val="24"/>
        </w:rPr>
        <w:t>approximately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7740BC">
        <w:rPr>
          <w:rFonts w:cs="Times New Roman"/>
          <w:color w:val="000000" w:themeColor="text1"/>
          <w:szCs w:val="24"/>
        </w:rPr>
        <w:t>$</w:t>
      </w:r>
      <w:r w:rsidRPr="00C317BB" w:rsidR="006C28FE">
        <w:rPr>
          <w:rFonts w:cs="Times New Roman"/>
          <w:color w:val="000000" w:themeColor="text1"/>
          <w:szCs w:val="24"/>
        </w:rPr>
        <w:t>3,000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7740BC">
        <w:rPr>
          <w:rFonts w:cs="Times New Roman"/>
          <w:color w:val="000000" w:themeColor="text1"/>
          <w:szCs w:val="24"/>
        </w:rPr>
        <w:t>per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7740BC">
        <w:rPr>
          <w:rFonts w:cs="Times New Roman"/>
          <w:color w:val="000000" w:themeColor="text1"/>
          <w:szCs w:val="24"/>
        </w:rPr>
        <w:t>year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7740BC">
        <w:rPr>
          <w:rFonts w:cs="Times New Roman"/>
          <w:color w:val="000000" w:themeColor="text1"/>
          <w:szCs w:val="24"/>
        </w:rPr>
        <w:t>using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7740BC">
        <w:rPr>
          <w:rFonts w:cs="Times New Roman"/>
          <w:color w:val="000000" w:themeColor="text1"/>
          <w:szCs w:val="24"/>
        </w:rPr>
        <w:t>a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7740BC">
        <w:rPr>
          <w:rFonts w:cs="Times New Roman"/>
          <w:color w:val="000000" w:themeColor="text1"/>
          <w:szCs w:val="24"/>
        </w:rPr>
        <w:t>3%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7740BC">
        <w:rPr>
          <w:rFonts w:cs="Times New Roman"/>
          <w:color w:val="000000" w:themeColor="text1"/>
          <w:szCs w:val="24"/>
        </w:rPr>
        <w:t>discount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7740BC">
        <w:rPr>
          <w:rFonts w:cs="Times New Roman"/>
          <w:color w:val="000000" w:themeColor="text1"/>
          <w:szCs w:val="24"/>
        </w:rPr>
        <w:t>rate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7740BC">
        <w:rPr>
          <w:rFonts w:cs="Times New Roman"/>
          <w:color w:val="000000" w:themeColor="text1"/>
          <w:szCs w:val="24"/>
        </w:rPr>
        <w:t>and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7740BC">
        <w:rPr>
          <w:rFonts w:cs="Times New Roman"/>
          <w:color w:val="000000" w:themeColor="text1"/>
          <w:szCs w:val="24"/>
        </w:rPr>
        <w:t>$</w:t>
      </w:r>
      <w:r w:rsidRPr="00C317BB" w:rsidR="006C28FE">
        <w:rPr>
          <w:rFonts w:cs="Times New Roman"/>
          <w:color w:val="000000" w:themeColor="text1"/>
          <w:szCs w:val="24"/>
        </w:rPr>
        <w:t>1,200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7740BC">
        <w:rPr>
          <w:rFonts w:cs="Times New Roman"/>
          <w:color w:val="000000" w:themeColor="text1"/>
          <w:szCs w:val="24"/>
        </w:rPr>
        <w:t>per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7740BC">
        <w:rPr>
          <w:rFonts w:cs="Times New Roman"/>
          <w:color w:val="000000" w:themeColor="text1"/>
          <w:szCs w:val="24"/>
        </w:rPr>
        <w:t>year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7740BC">
        <w:rPr>
          <w:rFonts w:cs="Times New Roman"/>
          <w:color w:val="000000" w:themeColor="text1"/>
          <w:szCs w:val="24"/>
        </w:rPr>
        <w:t>using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7740BC">
        <w:rPr>
          <w:rFonts w:cs="Times New Roman"/>
          <w:color w:val="000000" w:themeColor="text1"/>
          <w:szCs w:val="24"/>
        </w:rPr>
        <w:t>a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7740BC">
        <w:rPr>
          <w:rFonts w:cs="Times New Roman"/>
          <w:color w:val="000000" w:themeColor="text1"/>
          <w:szCs w:val="24"/>
        </w:rPr>
        <w:t>7%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7740BC">
        <w:rPr>
          <w:rFonts w:cs="Times New Roman"/>
          <w:color w:val="000000" w:themeColor="text1"/>
          <w:szCs w:val="24"/>
        </w:rPr>
        <w:t>discount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7740BC">
        <w:rPr>
          <w:rFonts w:cs="Times New Roman"/>
          <w:color w:val="000000" w:themeColor="text1"/>
          <w:szCs w:val="24"/>
        </w:rPr>
        <w:t>rate</w:t>
      </w:r>
      <w:r w:rsidRPr="00C317BB" w:rsidR="00E46C88">
        <w:rPr>
          <w:rFonts w:cs="Times New Roman"/>
          <w:color w:val="000000" w:themeColor="text1"/>
          <w:szCs w:val="24"/>
        </w:rPr>
        <w:t>.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26415">
        <w:rPr>
          <w:rFonts w:cs="Times New Roman"/>
          <w:color w:val="000000" w:themeColor="text1"/>
          <w:szCs w:val="24"/>
        </w:rPr>
        <w:t>These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26415">
        <w:rPr>
          <w:rFonts w:cs="Times New Roman"/>
          <w:color w:val="000000" w:themeColor="text1"/>
          <w:szCs w:val="24"/>
        </w:rPr>
        <w:t>reflect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26415">
        <w:rPr>
          <w:rFonts w:cs="Times New Roman"/>
          <w:color w:val="000000" w:themeColor="text1"/>
          <w:szCs w:val="24"/>
        </w:rPr>
        <w:t>the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26415">
        <w:rPr>
          <w:rFonts w:cs="Times New Roman"/>
          <w:color w:val="000000" w:themeColor="text1"/>
          <w:szCs w:val="24"/>
        </w:rPr>
        <w:t>benefits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4746D0">
        <w:rPr>
          <w:rFonts w:cs="Times New Roman"/>
          <w:color w:val="000000" w:themeColor="text1"/>
          <w:szCs w:val="24"/>
        </w:rPr>
        <w:t>related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4746D0">
        <w:rPr>
          <w:rFonts w:cs="Times New Roman"/>
          <w:color w:val="000000" w:themeColor="text1"/>
          <w:szCs w:val="24"/>
        </w:rPr>
        <w:t>to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4746D0">
        <w:rPr>
          <w:rFonts w:cs="Times New Roman"/>
          <w:color w:val="000000" w:themeColor="text1"/>
          <w:szCs w:val="24"/>
        </w:rPr>
        <w:t>the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4746D0">
        <w:rPr>
          <w:rFonts w:cs="Times New Roman"/>
          <w:color w:val="000000" w:themeColor="text1"/>
          <w:szCs w:val="24"/>
        </w:rPr>
        <w:t>rule’s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4746D0">
        <w:rPr>
          <w:rFonts w:cs="Times New Roman"/>
          <w:color w:val="000000" w:themeColor="text1"/>
          <w:szCs w:val="24"/>
        </w:rPr>
        <w:t>requirements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4746D0">
        <w:rPr>
          <w:rFonts w:cs="Times New Roman"/>
          <w:color w:val="000000" w:themeColor="text1"/>
          <w:szCs w:val="24"/>
        </w:rPr>
        <w:t>for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4746D0">
        <w:rPr>
          <w:rFonts w:cs="Times New Roman"/>
          <w:color w:val="000000" w:themeColor="text1"/>
          <w:szCs w:val="24"/>
        </w:rPr>
        <w:t>chlor-alkali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4746D0">
        <w:rPr>
          <w:rFonts w:cs="Times New Roman"/>
          <w:color w:val="000000" w:themeColor="text1"/>
          <w:szCs w:val="24"/>
        </w:rPr>
        <w:t>diaphragms,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4746D0">
        <w:rPr>
          <w:rFonts w:cs="Times New Roman"/>
          <w:color w:val="000000" w:themeColor="text1"/>
          <w:szCs w:val="24"/>
        </w:rPr>
        <w:t>sheet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4746D0">
        <w:rPr>
          <w:rFonts w:cs="Times New Roman"/>
          <w:color w:val="000000" w:themeColor="text1"/>
          <w:szCs w:val="24"/>
        </w:rPr>
        <w:t>gaskets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4746D0">
        <w:rPr>
          <w:rFonts w:cs="Times New Roman"/>
          <w:color w:val="000000" w:themeColor="text1"/>
          <w:szCs w:val="24"/>
        </w:rPr>
        <w:t>for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4746D0">
        <w:rPr>
          <w:rFonts w:cs="Times New Roman"/>
          <w:color w:val="000000" w:themeColor="text1"/>
          <w:szCs w:val="24"/>
        </w:rPr>
        <w:t>chemical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4746D0">
        <w:rPr>
          <w:rFonts w:cs="Times New Roman"/>
          <w:color w:val="000000" w:themeColor="text1"/>
          <w:szCs w:val="24"/>
        </w:rPr>
        <w:t>production,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4746D0">
        <w:rPr>
          <w:rFonts w:cs="Times New Roman"/>
          <w:color w:val="000000" w:themeColor="text1"/>
          <w:szCs w:val="24"/>
        </w:rPr>
        <w:t>and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4746D0">
        <w:rPr>
          <w:rFonts w:cs="Times New Roman"/>
          <w:color w:val="000000" w:themeColor="text1"/>
          <w:szCs w:val="24"/>
        </w:rPr>
        <w:t>aftermarket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4746D0">
        <w:rPr>
          <w:rFonts w:cs="Times New Roman"/>
          <w:color w:val="000000" w:themeColor="text1"/>
          <w:szCs w:val="24"/>
        </w:rPr>
        <w:t>brakes.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11554E">
        <w:rPr>
          <w:rFonts w:cs="Times New Roman"/>
          <w:color w:val="000000" w:themeColor="text1"/>
          <w:szCs w:val="24"/>
        </w:rPr>
        <w:t>EPA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11554E">
        <w:rPr>
          <w:rFonts w:cs="Times New Roman"/>
          <w:color w:val="000000" w:themeColor="text1"/>
          <w:szCs w:val="24"/>
        </w:rPr>
        <w:t>did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11554E">
        <w:rPr>
          <w:rFonts w:cs="Times New Roman"/>
          <w:color w:val="000000" w:themeColor="text1"/>
          <w:szCs w:val="24"/>
        </w:rPr>
        <w:t>not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6B7FD2">
        <w:rPr>
          <w:rFonts w:cs="Times New Roman"/>
          <w:color w:val="000000" w:themeColor="text1"/>
          <w:szCs w:val="24"/>
        </w:rPr>
        <w:t>estimate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6B7FD2">
        <w:rPr>
          <w:rFonts w:cs="Times New Roman"/>
          <w:color w:val="000000" w:themeColor="text1"/>
          <w:szCs w:val="24"/>
        </w:rPr>
        <w:t>total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6B7FD2">
        <w:rPr>
          <w:rFonts w:cs="Times New Roman"/>
          <w:color w:val="000000" w:themeColor="text1"/>
          <w:szCs w:val="24"/>
        </w:rPr>
        <w:t>benefits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9A5FB2">
        <w:rPr>
          <w:rFonts w:cs="Times New Roman"/>
          <w:color w:val="000000" w:themeColor="text1"/>
          <w:szCs w:val="24"/>
        </w:rPr>
        <w:t>of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9A5FB2">
        <w:rPr>
          <w:rFonts w:cs="Times New Roman"/>
          <w:color w:val="000000" w:themeColor="text1"/>
          <w:szCs w:val="24"/>
        </w:rPr>
        <w:t>the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9A5FB2">
        <w:rPr>
          <w:rFonts w:cs="Times New Roman"/>
          <w:color w:val="000000" w:themeColor="text1"/>
          <w:szCs w:val="24"/>
        </w:rPr>
        <w:t>requirements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9A5FB2">
        <w:rPr>
          <w:rFonts w:cs="Times New Roman"/>
          <w:color w:val="000000" w:themeColor="text1"/>
          <w:szCs w:val="24"/>
        </w:rPr>
        <w:t>for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9A5FB2">
        <w:rPr>
          <w:rFonts w:cs="Times New Roman"/>
          <w:color w:val="000000" w:themeColor="text1"/>
          <w:szCs w:val="24"/>
        </w:rPr>
        <w:t>oilfield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9A5FB2">
        <w:rPr>
          <w:rFonts w:cs="Times New Roman"/>
          <w:color w:val="000000" w:themeColor="text1"/>
          <w:szCs w:val="24"/>
        </w:rPr>
        <w:t>brake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9A5FB2">
        <w:rPr>
          <w:rFonts w:cs="Times New Roman"/>
          <w:color w:val="000000" w:themeColor="text1"/>
          <w:szCs w:val="24"/>
        </w:rPr>
        <w:t>blocks,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3F5E63">
        <w:rPr>
          <w:rFonts w:cs="Times New Roman"/>
          <w:color w:val="000000" w:themeColor="text1"/>
          <w:szCs w:val="24"/>
        </w:rPr>
        <w:t>other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3F5E63">
        <w:rPr>
          <w:rFonts w:cs="Times New Roman"/>
          <w:color w:val="000000" w:themeColor="text1"/>
          <w:szCs w:val="24"/>
        </w:rPr>
        <w:t>vehicle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3F5E63">
        <w:rPr>
          <w:rFonts w:cs="Times New Roman"/>
          <w:color w:val="000000" w:themeColor="text1"/>
          <w:szCs w:val="24"/>
        </w:rPr>
        <w:t>friction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3F5E63">
        <w:rPr>
          <w:rFonts w:cs="Times New Roman"/>
          <w:color w:val="000000" w:themeColor="text1"/>
          <w:szCs w:val="24"/>
        </w:rPr>
        <w:t>products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3F5E63">
        <w:rPr>
          <w:rFonts w:cs="Times New Roman"/>
          <w:color w:val="000000" w:themeColor="text1"/>
          <w:szCs w:val="24"/>
        </w:rPr>
        <w:t>or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3F5E63">
        <w:rPr>
          <w:rFonts w:cs="Times New Roman"/>
          <w:color w:val="000000" w:themeColor="text1"/>
          <w:szCs w:val="24"/>
        </w:rPr>
        <w:t>other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3F5E63">
        <w:rPr>
          <w:rFonts w:cs="Times New Roman"/>
          <w:color w:val="000000" w:themeColor="text1"/>
          <w:szCs w:val="24"/>
        </w:rPr>
        <w:t>gaskets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3F5E63">
        <w:rPr>
          <w:rFonts w:cs="Times New Roman"/>
          <w:color w:val="000000" w:themeColor="text1"/>
          <w:szCs w:val="24"/>
        </w:rPr>
        <w:t>because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3F5E63">
        <w:rPr>
          <w:rFonts w:cs="Times New Roman"/>
          <w:color w:val="000000" w:themeColor="text1"/>
          <w:szCs w:val="24"/>
        </w:rPr>
        <w:t>the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3F5E63">
        <w:rPr>
          <w:rFonts w:cs="Times New Roman"/>
          <w:color w:val="000000" w:themeColor="text1"/>
          <w:szCs w:val="24"/>
        </w:rPr>
        <w:t>Agency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3F5E63">
        <w:rPr>
          <w:rFonts w:cs="Times New Roman"/>
          <w:color w:val="000000" w:themeColor="text1"/>
          <w:szCs w:val="24"/>
        </w:rPr>
        <w:t>did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3F5E63">
        <w:rPr>
          <w:rFonts w:cs="Times New Roman"/>
          <w:color w:val="000000" w:themeColor="text1"/>
          <w:szCs w:val="24"/>
        </w:rPr>
        <w:t>not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11554E">
        <w:rPr>
          <w:rFonts w:cs="Times New Roman"/>
          <w:color w:val="000000" w:themeColor="text1"/>
          <w:szCs w:val="24"/>
        </w:rPr>
        <w:t>have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D2258A">
        <w:rPr>
          <w:rFonts w:cs="Times New Roman"/>
          <w:color w:val="000000" w:themeColor="text1"/>
          <w:szCs w:val="24"/>
        </w:rPr>
        <w:t>sufficient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11554E">
        <w:rPr>
          <w:rFonts w:cs="Times New Roman"/>
          <w:color w:val="000000" w:themeColor="text1"/>
          <w:szCs w:val="24"/>
        </w:rPr>
        <w:t>information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3F5E63">
        <w:rPr>
          <w:rFonts w:cs="Times New Roman"/>
          <w:color w:val="000000" w:themeColor="text1"/>
          <w:szCs w:val="24"/>
        </w:rPr>
        <w:t>on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3F5E63">
        <w:rPr>
          <w:rFonts w:cs="Times New Roman"/>
          <w:color w:val="000000" w:themeColor="text1"/>
          <w:szCs w:val="24"/>
        </w:rPr>
        <w:t>the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3F5E63">
        <w:rPr>
          <w:rFonts w:cs="Times New Roman"/>
          <w:color w:val="000000" w:themeColor="text1"/>
          <w:szCs w:val="24"/>
        </w:rPr>
        <w:t>number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3F5E63">
        <w:rPr>
          <w:rFonts w:cs="Times New Roman"/>
          <w:color w:val="000000" w:themeColor="text1"/>
          <w:szCs w:val="24"/>
        </w:rPr>
        <w:t>of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3F5E63">
        <w:rPr>
          <w:rFonts w:cs="Times New Roman"/>
          <w:color w:val="000000" w:themeColor="text1"/>
          <w:szCs w:val="24"/>
        </w:rPr>
        <w:t>individuals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A44A1E">
        <w:rPr>
          <w:rFonts w:cs="Times New Roman"/>
          <w:color w:val="000000" w:themeColor="text1"/>
          <w:szCs w:val="24"/>
        </w:rPr>
        <w:t>likely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A44A1E">
        <w:rPr>
          <w:rFonts w:cs="Times New Roman"/>
          <w:color w:val="000000" w:themeColor="text1"/>
          <w:szCs w:val="24"/>
        </w:rPr>
        <w:t>to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A44A1E">
        <w:rPr>
          <w:rFonts w:cs="Times New Roman"/>
          <w:color w:val="000000" w:themeColor="text1"/>
          <w:szCs w:val="24"/>
        </w:rPr>
        <w:t>be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3F5E63">
        <w:rPr>
          <w:rFonts w:cs="Times New Roman"/>
          <w:color w:val="000000" w:themeColor="text1"/>
          <w:szCs w:val="24"/>
        </w:rPr>
        <w:t>affected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C758ED">
        <w:rPr>
          <w:rFonts w:cs="Times New Roman"/>
          <w:color w:val="000000" w:themeColor="text1"/>
          <w:szCs w:val="24"/>
        </w:rPr>
        <w:t>by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C758ED">
        <w:rPr>
          <w:rFonts w:cs="Times New Roman"/>
          <w:color w:val="000000" w:themeColor="text1"/>
          <w:szCs w:val="24"/>
        </w:rPr>
        <w:t>the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C758ED">
        <w:rPr>
          <w:rFonts w:cs="Times New Roman"/>
          <w:color w:val="000000" w:themeColor="text1"/>
          <w:szCs w:val="24"/>
        </w:rPr>
        <w:t>rule.</w:t>
      </w:r>
    </w:p>
    <w:p w:rsidRPr="00C317BB" w:rsidR="00F71046" w:rsidP="00F27167" w:rsidRDefault="00E46C88" w14:paraId="5B5CC32B" w14:textId="211E2C18">
      <w:pPr>
        <w:ind w:firstLine="720"/>
        <w:contextualSpacing/>
        <w:rPr>
          <w:rFonts w:cs="Times New Roman"/>
          <w:szCs w:val="24"/>
        </w:rPr>
      </w:pPr>
      <w:bookmarkStart w:name="_Hlk96934292" w:id="45"/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addition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quantified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benefits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avoided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cancer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cases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135D1">
        <w:rPr>
          <w:rFonts w:cs="Times New Roman"/>
          <w:color w:val="000000" w:themeColor="text1"/>
          <w:szCs w:val="24"/>
        </w:rPr>
        <w:t>associated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135D1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135D1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135D1">
        <w:rPr>
          <w:rFonts w:cs="Times New Roman"/>
          <w:color w:val="000000" w:themeColor="text1"/>
          <w:szCs w:val="24"/>
        </w:rPr>
        <w:t>exposure</w:t>
      </w:r>
      <w:r w:rsidRPr="00C317BB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rule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generate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significant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benefits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reduced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air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pollution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135D1">
        <w:rPr>
          <w:rFonts w:cs="Times New Roman"/>
          <w:color w:val="000000" w:themeColor="text1"/>
          <w:szCs w:val="24"/>
        </w:rPr>
        <w:t>associated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135D1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135D1">
        <w:rPr>
          <w:rFonts w:cs="Times New Roman"/>
          <w:color w:val="000000" w:themeColor="text1"/>
          <w:szCs w:val="24"/>
        </w:rPr>
        <w:t>electricity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135D1">
        <w:rPr>
          <w:rFonts w:cs="Times New Roman"/>
          <w:color w:val="000000" w:themeColor="text1"/>
          <w:szCs w:val="24"/>
        </w:rPr>
        <w:t>generation</w:t>
      </w:r>
      <w:r w:rsidRPr="00C317BB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Chlor-alkali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production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most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energy-intensive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industrial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operations.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According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U.S.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Department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Energy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industry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consumed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approximately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317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trillion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Btu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year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2004,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amounting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approximately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2%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total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electric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power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United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States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(Ref.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D0F6D">
        <w:rPr>
          <w:rFonts w:cs="Times New Roman"/>
          <w:color w:val="000000" w:themeColor="text1"/>
          <w:szCs w:val="24"/>
        </w:rPr>
        <w:t>21</w:t>
      </w:r>
      <w:r w:rsidRPr="00C317BB">
        <w:rPr>
          <w:rFonts w:cs="Times New Roman"/>
          <w:color w:val="000000" w:themeColor="text1"/>
          <w:szCs w:val="24"/>
        </w:rPr>
        <w:t>).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Since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membrane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cells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more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energy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efficient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diaphragm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cells,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converting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membrane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cells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reduces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606D0">
        <w:rPr>
          <w:rFonts w:cs="Times New Roman"/>
          <w:color w:val="000000" w:themeColor="text1"/>
          <w:szCs w:val="24"/>
        </w:rPr>
        <w:t>electricity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606D0">
        <w:rPr>
          <w:rFonts w:cs="Times New Roman"/>
          <w:color w:val="000000" w:themeColor="text1"/>
          <w:szCs w:val="24"/>
        </w:rPr>
        <w:t>consumption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B1D13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B1D13">
        <w:rPr>
          <w:rFonts w:cs="Times New Roman"/>
          <w:color w:val="000000" w:themeColor="text1"/>
          <w:szCs w:val="24"/>
        </w:rPr>
        <w:t>thus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level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pollutants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associated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electric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power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generation,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including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carbon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dioxide,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particulate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matter,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sulfur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dioxide,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nitrogen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oxides.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44783">
        <w:rPr>
          <w:rFonts w:cs="Times New Roman"/>
          <w:color w:val="000000" w:themeColor="text1"/>
          <w:szCs w:val="24"/>
        </w:rPr>
        <w:t>There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44783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44783">
        <w:rPr>
          <w:rFonts w:cs="Times New Roman"/>
          <w:color w:val="000000" w:themeColor="text1"/>
          <w:szCs w:val="24"/>
        </w:rPr>
        <w:t>uncertainty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44783">
        <w:rPr>
          <w:rFonts w:cs="Times New Roman"/>
          <w:color w:val="000000" w:themeColor="text1"/>
          <w:szCs w:val="24"/>
        </w:rPr>
        <w:t>about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44783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44783">
        <w:rPr>
          <w:rFonts w:cs="Times New Roman"/>
          <w:color w:val="000000" w:themeColor="text1"/>
          <w:szCs w:val="24"/>
        </w:rPr>
        <w:t>magnitude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44783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44783">
        <w:rPr>
          <w:rFonts w:cs="Times New Roman"/>
          <w:color w:val="000000" w:themeColor="text1"/>
          <w:szCs w:val="24"/>
        </w:rPr>
        <w:t>location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44783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44783">
        <w:rPr>
          <w:rFonts w:cs="Times New Roman"/>
          <w:color w:val="000000" w:themeColor="text1"/>
          <w:szCs w:val="24"/>
        </w:rPr>
        <w:t>these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44783">
        <w:rPr>
          <w:rFonts w:cs="Times New Roman"/>
          <w:color w:val="000000" w:themeColor="text1"/>
          <w:szCs w:val="24"/>
        </w:rPr>
        <w:t>emission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44783">
        <w:rPr>
          <w:rFonts w:cs="Times New Roman"/>
          <w:color w:val="000000" w:themeColor="text1"/>
          <w:szCs w:val="24"/>
        </w:rPr>
        <w:t>reductions.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44783">
        <w:rPr>
          <w:rFonts w:cs="Times New Roman"/>
          <w:color w:val="000000" w:themeColor="text1"/>
          <w:szCs w:val="24"/>
        </w:rPr>
        <w:t>EPA’s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44783">
        <w:rPr>
          <w:rFonts w:cs="Times New Roman"/>
          <w:color w:val="000000" w:themeColor="text1"/>
          <w:szCs w:val="24"/>
        </w:rPr>
        <w:t>economic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44783">
        <w:rPr>
          <w:rFonts w:cs="Times New Roman"/>
          <w:color w:val="000000" w:themeColor="text1"/>
          <w:szCs w:val="24"/>
        </w:rPr>
        <w:t>analysis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44783">
        <w:rPr>
          <w:rFonts w:cs="Times New Roman"/>
          <w:color w:val="000000" w:themeColor="text1"/>
          <w:szCs w:val="24"/>
        </w:rPr>
        <w:t>used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44783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44783">
        <w:rPr>
          <w:rFonts w:cs="Times New Roman"/>
          <w:color w:val="000000" w:themeColor="text1"/>
          <w:szCs w:val="24"/>
        </w:rPr>
        <w:t>simplifying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44783">
        <w:rPr>
          <w:rFonts w:cs="Times New Roman"/>
          <w:color w:val="000000" w:themeColor="text1"/>
          <w:szCs w:val="24"/>
        </w:rPr>
        <w:t>assumption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44783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44783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44783">
        <w:rPr>
          <w:rFonts w:cs="Times New Roman"/>
          <w:color w:val="000000" w:themeColor="text1"/>
          <w:szCs w:val="24"/>
        </w:rPr>
        <w:t>electric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44783">
        <w:rPr>
          <w:rFonts w:cs="Times New Roman"/>
          <w:color w:val="000000" w:themeColor="text1"/>
          <w:szCs w:val="24"/>
        </w:rPr>
        <w:t>power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44783">
        <w:rPr>
          <w:rFonts w:cs="Times New Roman"/>
          <w:color w:val="000000" w:themeColor="text1"/>
          <w:szCs w:val="24"/>
        </w:rPr>
        <w:t>used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44783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44783">
        <w:rPr>
          <w:rFonts w:cs="Times New Roman"/>
          <w:color w:val="000000" w:themeColor="text1"/>
          <w:szCs w:val="24"/>
        </w:rPr>
        <w:t>chlor-alkali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44783">
        <w:rPr>
          <w:rFonts w:cs="Times New Roman"/>
          <w:color w:val="000000" w:themeColor="text1"/>
          <w:szCs w:val="24"/>
        </w:rPr>
        <w:t>plants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44783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44783">
        <w:rPr>
          <w:rFonts w:cs="Times New Roman"/>
          <w:color w:val="000000" w:themeColor="text1"/>
          <w:szCs w:val="24"/>
        </w:rPr>
        <w:t>all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44783">
        <w:rPr>
          <w:rFonts w:cs="Times New Roman"/>
          <w:color w:val="000000" w:themeColor="text1"/>
          <w:szCs w:val="24"/>
        </w:rPr>
        <w:t>purchased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44783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44783">
        <w:rPr>
          <w:rFonts w:cs="Times New Roman"/>
          <w:color w:val="000000" w:themeColor="text1"/>
          <w:szCs w:val="24"/>
        </w:rPr>
        <w:t>commercial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44783">
        <w:rPr>
          <w:rFonts w:cs="Times New Roman"/>
          <w:color w:val="000000" w:themeColor="text1"/>
          <w:szCs w:val="24"/>
        </w:rPr>
        <w:t>electric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44783">
        <w:rPr>
          <w:rFonts w:cs="Times New Roman"/>
          <w:color w:val="000000" w:themeColor="text1"/>
          <w:szCs w:val="24"/>
        </w:rPr>
        <w:t>generating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44783">
        <w:rPr>
          <w:rFonts w:cs="Times New Roman"/>
          <w:color w:val="000000" w:themeColor="text1"/>
          <w:szCs w:val="24"/>
        </w:rPr>
        <w:t>units.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44783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44783">
        <w:rPr>
          <w:rFonts w:cs="Times New Roman"/>
          <w:color w:val="000000" w:themeColor="text1"/>
          <w:szCs w:val="24"/>
        </w:rPr>
        <w:t>then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44783">
        <w:rPr>
          <w:rFonts w:cs="Times New Roman"/>
          <w:color w:val="000000" w:themeColor="text1"/>
          <w:szCs w:val="24"/>
        </w:rPr>
        <w:t>used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44783">
        <w:rPr>
          <w:rFonts w:cs="Times New Roman"/>
          <w:color w:val="000000" w:themeColor="text1"/>
          <w:szCs w:val="24"/>
        </w:rPr>
        <w:t>information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44783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44783">
        <w:rPr>
          <w:rFonts w:cs="Times New Roman"/>
          <w:color w:val="000000" w:themeColor="text1"/>
          <w:szCs w:val="24"/>
        </w:rPr>
        <w:t>regional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44783">
        <w:rPr>
          <w:rFonts w:cs="Times New Roman"/>
          <w:color w:val="000000" w:themeColor="text1"/>
          <w:szCs w:val="24"/>
        </w:rPr>
        <w:t>electricity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44783">
        <w:rPr>
          <w:rFonts w:cs="Times New Roman"/>
          <w:color w:val="000000" w:themeColor="text1"/>
          <w:szCs w:val="24"/>
        </w:rPr>
        <w:t>markets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44783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44783">
        <w:rPr>
          <w:rFonts w:cs="Times New Roman"/>
          <w:color w:val="000000" w:themeColor="text1"/>
          <w:szCs w:val="24"/>
        </w:rPr>
        <w:t>estimate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44783">
        <w:rPr>
          <w:rFonts w:cs="Times New Roman"/>
          <w:color w:val="000000" w:themeColor="text1"/>
          <w:szCs w:val="24"/>
        </w:rPr>
        <w:t>how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44783">
        <w:rPr>
          <w:rFonts w:cs="Times New Roman"/>
          <w:color w:val="000000" w:themeColor="text1"/>
          <w:szCs w:val="24"/>
        </w:rPr>
        <w:t>changes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44783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44783">
        <w:rPr>
          <w:rFonts w:cs="Times New Roman"/>
          <w:color w:val="000000" w:themeColor="text1"/>
          <w:szCs w:val="24"/>
        </w:rPr>
        <w:t>electricity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44783">
        <w:rPr>
          <w:rFonts w:cs="Times New Roman"/>
          <w:color w:val="000000" w:themeColor="text1"/>
          <w:szCs w:val="24"/>
        </w:rPr>
        <w:t>demand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44783">
        <w:rPr>
          <w:rFonts w:cs="Times New Roman"/>
          <w:color w:val="000000" w:themeColor="text1"/>
          <w:szCs w:val="24"/>
        </w:rPr>
        <w:t>would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44783">
        <w:rPr>
          <w:rFonts w:cs="Times New Roman"/>
          <w:color w:val="000000" w:themeColor="text1"/>
          <w:szCs w:val="24"/>
        </w:rPr>
        <w:t>affect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44783">
        <w:rPr>
          <w:rFonts w:cs="Times New Roman"/>
          <w:color w:val="000000" w:themeColor="text1"/>
          <w:szCs w:val="24"/>
        </w:rPr>
        <w:t>emissions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44783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44783">
        <w:rPr>
          <w:rFonts w:cs="Times New Roman"/>
          <w:color w:val="000000" w:themeColor="text1"/>
          <w:szCs w:val="24"/>
        </w:rPr>
        <w:t>greenhouses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44783">
        <w:rPr>
          <w:rFonts w:cs="Times New Roman"/>
          <w:color w:val="000000" w:themeColor="text1"/>
          <w:szCs w:val="24"/>
        </w:rPr>
        <w:t>gases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44783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44783">
        <w:rPr>
          <w:rFonts w:cs="Times New Roman"/>
          <w:color w:val="000000" w:themeColor="text1"/>
          <w:szCs w:val="24"/>
        </w:rPr>
        <w:t>criteria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44783">
        <w:rPr>
          <w:rFonts w:cs="Times New Roman"/>
          <w:color w:val="000000" w:themeColor="text1"/>
          <w:szCs w:val="24"/>
        </w:rPr>
        <w:t>air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44783">
        <w:rPr>
          <w:rFonts w:cs="Times New Roman"/>
          <w:color w:val="000000" w:themeColor="text1"/>
          <w:szCs w:val="24"/>
        </w:rPr>
        <w:t>pollutants.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performed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D6F71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D6F71">
        <w:rPr>
          <w:rFonts w:cs="Times New Roman"/>
          <w:color w:val="000000" w:themeColor="text1"/>
          <w:szCs w:val="24"/>
        </w:rPr>
        <w:t>sensitivity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screening-level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analysis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which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found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converting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diaphragm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plants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membrane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cells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yield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tens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millions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dollars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year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environmental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health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benefits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reduced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A52C5">
        <w:rPr>
          <w:rFonts w:cs="Times New Roman"/>
          <w:color w:val="000000" w:themeColor="text1"/>
          <w:szCs w:val="24"/>
        </w:rPr>
        <w:t>emissions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A52C5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44783">
        <w:rPr>
          <w:rFonts w:cs="Times New Roman"/>
          <w:color w:val="000000" w:themeColor="text1"/>
          <w:szCs w:val="24"/>
        </w:rPr>
        <w:t>particulate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44783">
        <w:rPr>
          <w:rFonts w:cs="Times New Roman"/>
          <w:color w:val="000000" w:themeColor="text1"/>
          <w:szCs w:val="24"/>
        </w:rPr>
        <w:t>matter,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44783">
        <w:rPr>
          <w:rFonts w:cs="Times New Roman"/>
          <w:color w:val="000000" w:themeColor="text1"/>
          <w:szCs w:val="24"/>
        </w:rPr>
        <w:t>sulfur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44783">
        <w:rPr>
          <w:rFonts w:cs="Times New Roman"/>
          <w:color w:val="000000" w:themeColor="text1"/>
          <w:szCs w:val="24"/>
        </w:rPr>
        <w:t>dioxide,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44783">
        <w:rPr>
          <w:rFonts w:cs="Times New Roman"/>
          <w:color w:val="000000" w:themeColor="text1"/>
          <w:szCs w:val="24"/>
        </w:rPr>
        <w:t>nitrogen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44783">
        <w:rPr>
          <w:rFonts w:cs="Times New Roman"/>
          <w:color w:val="000000" w:themeColor="text1"/>
          <w:szCs w:val="24"/>
        </w:rPr>
        <w:t>oxides</w:t>
      </w:r>
      <w:r w:rsidRPr="00C317BB" w:rsidR="00AA52C5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A52C5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A52C5">
        <w:rPr>
          <w:rFonts w:cs="Times New Roman"/>
          <w:color w:val="000000" w:themeColor="text1"/>
          <w:szCs w:val="24"/>
        </w:rPr>
        <w:t>carbon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A52C5">
        <w:rPr>
          <w:rFonts w:cs="Times New Roman"/>
          <w:color w:val="000000" w:themeColor="text1"/>
          <w:szCs w:val="24"/>
        </w:rPr>
        <w:t>dioxide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71046">
        <w:rPr>
          <w:rFonts w:cs="Times New Roman"/>
          <w:color w:val="000000" w:themeColor="text1"/>
          <w:szCs w:val="24"/>
        </w:rPr>
        <w:t>(Ref.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339A2">
        <w:rPr>
          <w:rFonts w:cs="Times New Roman"/>
          <w:color w:val="000000" w:themeColor="text1"/>
          <w:szCs w:val="24"/>
        </w:rPr>
        <w:t>2</w:t>
      </w:r>
      <w:r w:rsidRPr="00C317BB" w:rsidR="00F71046">
        <w:rPr>
          <w:rFonts w:cs="Times New Roman"/>
          <w:color w:val="000000" w:themeColor="text1"/>
          <w:szCs w:val="24"/>
        </w:rPr>
        <w:t>).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44783">
        <w:rPr>
          <w:rFonts w:cs="Times New Roman"/>
          <w:szCs w:val="24"/>
        </w:rPr>
        <w:t>Please</w:t>
      </w:r>
      <w:r w:rsidR="005613B2">
        <w:rPr>
          <w:rFonts w:cs="Times New Roman"/>
          <w:szCs w:val="24"/>
        </w:rPr>
        <w:t xml:space="preserve"> </w:t>
      </w:r>
      <w:r w:rsidRPr="00C317BB" w:rsidR="00E44783">
        <w:rPr>
          <w:rFonts w:cs="Times New Roman"/>
          <w:szCs w:val="24"/>
        </w:rPr>
        <w:t>see</w:t>
      </w:r>
      <w:r w:rsidR="005613B2">
        <w:rPr>
          <w:rFonts w:cs="Times New Roman"/>
          <w:szCs w:val="24"/>
        </w:rPr>
        <w:t xml:space="preserve"> </w:t>
      </w:r>
      <w:r w:rsidRPr="00C317BB" w:rsidR="00E44783">
        <w:rPr>
          <w:rFonts w:cs="Times New Roman"/>
          <w:szCs w:val="24"/>
        </w:rPr>
        <w:t>Chapter</w:t>
      </w:r>
      <w:r w:rsidR="005613B2">
        <w:rPr>
          <w:rFonts w:cs="Times New Roman"/>
          <w:szCs w:val="24"/>
        </w:rPr>
        <w:t xml:space="preserve"> </w:t>
      </w:r>
      <w:r w:rsidRPr="00C317BB" w:rsidR="00E44783">
        <w:rPr>
          <w:rFonts w:cs="Times New Roman"/>
          <w:szCs w:val="24"/>
        </w:rPr>
        <w:t>4,</w:t>
      </w:r>
      <w:r w:rsidR="005613B2">
        <w:rPr>
          <w:rFonts w:cs="Times New Roman"/>
          <w:szCs w:val="24"/>
        </w:rPr>
        <w:t xml:space="preserve"> </w:t>
      </w:r>
      <w:r w:rsidRPr="00C317BB" w:rsidR="00E44783">
        <w:rPr>
          <w:rFonts w:cs="Times New Roman"/>
          <w:szCs w:val="24"/>
        </w:rPr>
        <w:t>Section</w:t>
      </w:r>
      <w:r w:rsidR="005613B2">
        <w:rPr>
          <w:rFonts w:cs="Times New Roman"/>
          <w:szCs w:val="24"/>
        </w:rPr>
        <w:t xml:space="preserve"> </w:t>
      </w:r>
      <w:r w:rsidRPr="00C317BB" w:rsidR="00E44783">
        <w:rPr>
          <w:rFonts w:cs="Times New Roman"/>
          <w:szCs w:val="24"/>
        </w:rPr>
        <w:t>4.4</w:t>
      </w:r>
      <w:r w:rsidR="005613B2">
        <w:rPr>
          <w:rFonts w:cs="Times New Roman"/>
          <w:szCs w:val="24"/>
        </w:rPr>
        <w:t xml:space="preserve"> </w:t>
      </w:r>
      <w:r w:rsidRPr="00C317BB" w:rsidR="00E44783">
        <w:rPr>
          <w:rFonts w:cs="Times New Roman"/>
          <w:szCs w:val="24"/>
        </w:rPr>
        <w:t>of</w:t>
      </w:r>
      <w:r w:rsidR="005613B2">
        <w:rPr>
          <w:rFonts w:cs="Times New Roman"/>
          <w:szCs w:val="24"/>
        </w:rPr>
        <w:t xml:space="preserve"> </w:t>
      </w:r>
      <w:r w:rsidRPr="00C317BB" w:rsidR="00E44783">
        <w:rPr>
          <w:rFonts w:cs="Times New Roman"/>
          <w:szCs w:val="24"/>
        </w:rPr>
        <w:t>the</w:t>
      </w:r>
      <w:r w:rsidR="005613B2">
        <w:rPr>
          <w:rFonts w:cs="Times New Roman"/>
          <w:szCs w:val="24"/>
        </w:rPr>
        <w:t xml:space="preserve"> </w:t>
      </w:r>
      <w:r w:rsidRPr="00C317BB" w:rsidR="008D0082">
        <w:rPr>
          <w:rFonts w:cs="Times New Roman"/>
          <w:szCs w:val="24"/>
        </w:rPr>
        <w:t>economic</w:t>
      </w:r>
      <w:r w:rsidR="005613B2">
        <w:rPr>
          <w:rFonts w:cs="Times New Roman"/>
          <w:szCs w:val="24"/>
        </w:rPr>
        <w:t xml:space="preserve"> </w:t>
      </w:r>
      <w:r w:rsidRPr="00C317BB" w:rsidR="008D0082">
        <w:rPr>
          <w:rFonts w:cs="Times New Roman"/>
          <w:szCs w:val="24"/>
        </w:rPr>
        <w:t>analysis</w:t>
      </w:r>
      <w:r w:rsidR="005613B2">
        <w:rPr>
          <w:rFonts w:cs="Times New Roman"/>
          <w:szCs w:val="24"/>
        </w:rPr>
        <w:t xml:space="preserve"> </w:t>
      </w:r>
      <w:r w:rsidRPr="00C317BB" w:rsidR="00E44783">
        <w:rPr>
          <w:rFonts w:cs="Times New Roman"/>
          <w:szCs w:val="24"/>
        </w:rPr>
        <w:t>for</w:t>
      </w:r>
      <w:r w:rsidR="005613B2">
        <w:rPr>
          <w:rFonts w:cs="Times New Roman"/>
          <w:szCs w:val="24"/>
        </w:rPr>
        <w:t xml:space="preserve"> </w:t>
      </w:r>
      <w:r w:rsidRPr="00C317BB" w:rsidR="00E44783">
        <w:rPr>
          <w:rFonts w:cs="Times New Roman"/>
          <w:szCs w:val="24"/>
        </w:rPr>
        <w:t>more</w:t>
      </w:r>
      <w:r w:rsidR="005613B2">
        <w:rPr>
          <w:rFonts w:cs="Times New Roman"/>
          <w:szCs w:val="24"/>
        </w:rPr>
        <w:t xml:space="preserve"> </w:t>
      </w:r>
      <w:r w:rsidRPr="00C317BB" w:rsidR="00E44783">
        <w:rPr>
          <w:rFonts w:cs="Times New Roman"/>
          <w:szCs w:val="24"/>
        </w:rPr>
        <w:t>discussion.</w:t>
      </w:r>
      <w:r w:rsidR="005613B2">
        <w:rPr>
          <w:rFonts w:cs="Times New Roman"/>
          <w:szCs w:val="24"/>
        </w:rPr>
        <w:t xml:space="preserve"> </w:t>
      </w:r>
      <w:r w:rsidRPr="00C317BB" w:rsidR="00482CF4">
        <w:rPr>
          <w:rFonts w:cs="Times New Roman"/>
          <w:szCs w:val="24"/>
        </w:rPr>
        <w:t>EPA</w:t>
      </w:r>
      <w:r w:rsidR="005613B2">
        <w:rPr>
          <w:rFonts w:cs="Times New Roman"/>
          <w:szCs w:val="24"/>
        </w:rPr>
        <w:t xml:space="preserve"> </w:t>
      </w:r>
      <w:r w:rsidRPr="00C317BB" w:rsidR="00482CF4">
        <w:rPr>
          <w:rFonts w:cs="Times New Roman"/>
          <w:szCs w:val="24"/>
        </w:rPr>
        <w:t>estimated</w:t>
      </w:r>
      <w:r w:rsidR="005613B2">
        <w:rPr>
          <w:rFonts w:cs="Times New Roman"/>
          <w:szCs w:val="24"/>
        </w:rPr>
        <w:t xml:space="preserve"> </w:t>
      </w:r>
      <w:r w:rsidRPr="00C317BB" w:rsidR="00482CF4">
        <w:rPr>
          <w:rFonts w:cs="Times New Roman"/>
          <w:szCs w:val="24"/>
        </w:rPr>
        <w:t>the</w:t>
      </w:r>
      <w:r w:rsidR="005613B2">
        <w:rPr>
          <w:rFonts w:cs="Times New Roman"/>
          <w:szCs w:val="24"/>
        </w:rPr>
        <w:t xml:space="preserve"> </w:t>
      </w:r>
      <w:r w:rsidRPr="00C317BB" w:rsidR="00482CF4">
        <w:rPr>
          <w:rFonts w:cs="Times New Roman"/>
          <w:szCs w:val="24"/>
        </w:rPr>
        <w:t>potential</w:t>
      </w:r>
      <w:r w:rsidR="005613B2">
        <w:rPr>
          <w:rFonts w:cs="Times New Roman"/>
          <w:szCs w:val="24"/>
        </w:rPr>
        <w:t xml:space="preserve"> </w:t>
      </w:r>
      <w:r w:rsidRPr="00C317BB" w:rsidR="00482CF4">
        <w:rPr>
          <w:rFonts w:cs="Times New Roman"/>
          <w:szCs w:val="24"/>
        </w:rPr>
        <w:t>health</w:t>
      </w:r>
      <w:r w:rsidR="005613B2">
        <w:rPr>
          <w:rFonts w:cs="Times New Roman"/>
          <w:szCs w:val="24"/>
        </w:rPr>
        <w:t xml:space="preserve"> </w:t>
      </w:r>
      <w:r w:rsidRPr="00C317BB" w:rsidR="00482CF4">
        <w:rPr>
          <w:rFonts w:cs="Times New Roman"/>
          <w:szCs w:val="24"/>
        </w:rPr>
        <w:t>and</w:t>
      </w:r>
      <w:r w:rsidR="005613B2">
        <w:rPr>
          <w:rFonts w:cs="Times New Roman"/>
          <w:szCs w:val="24"/>
        </w:rPr>
        <w:t xml:space="preserve"> </w:t>
      </w:r>
      <w:r w:rsidRPr="00C317BB" w:rsidR="00482CF4">
        <w:rPr>
          <w:rFonts w:cs="Times New Roman"/>
          <w:szCs w:val="24"/>
        </w:rPr>
        <w:t>environmental</w:t>
      </w:r>
      <w:r w:rsidR="005613B2">
        <w:rPr>
          <w:rFonts w:cs="Times New Roman"/>
          <w:szCs w:val="24"/>
        </w:rPr>
        <w:t xml:space="preserve"> </w:t>
      </w:r>
      <w:r w:rsidRPr="00C317BB" w:rsidR="00482CF4">
        <w:rPr>
          <w:rFonts w:cs="Times New Roman"/>
          <w:szCs w:val="24"/>
        </w:rPr>
        <w:t>benefits</w:t>
      </w:r>
      <w:r w:rsidR="005613B2">
        <w:rPr>
          <w:rFonts w:cs="Times New Roman"/>
          <w:szCs w:val="24"/>
        </w:rPr>
        <w:t xml:space="preserve"> </w:t>
      </w:r>
      <w:r w:rsidRPr="00C317BB" w:rsidR="00482CF4">
        <w:rPr>
          <w:rFonts w:cs="Times New Roman"/>
          <w:szCs w:val="24"/>
        </w:rPr>
        <w:t>of</w:t>
      </w:r>
      <w:r w:rsidR="005613B2">
        <w:rPr>
          <w:rFonts w:cs="Times New Roman"/>
          <w:szCs w:val="24"/>
        </w:rPr>
        <w:t xml:space="preserve"> </w:t>
      </w:r>
      <w:r w:rsidRPr="00C317BB" w:rsidR="00482CF4">
        <w:rPr>
          <w:rFonts w:cs="Times New Roman"/>
          <w:szCs w:val="24"/>
        </w:rPr>
        <w:t>reduced</w:t>
      </w:r>
      <w:r w:rsidR="005613B2">
        <w:rPr>
          <w:rFonts w:cs="Times New Roman"/>
          <w:szCs w:val="24"/>
        </w:rPr>
        <w:t xml:space="preserve"> </w:t>
      </w:r>
      <w:r w:rsidRPr="00C317BB" w:rsidR="00482CF4">
        <w:rPr>
          <w:rFonts w:cs="Times New Roman"/>
          <w:szCs w:val="24"/>
        </w:rPr>
        <w:t>emissions</w:t>
      </w:r>
      <w:r w:rsidR="005613B2">
        <w:rPr>
          <w:rFonts w:cs="Times New Roman"/>
          <w:szCs w:val="24"/>
        </w:rPr>
        <w:t xml:space="preserve"> </w:t>
      </w:r>
      <w:r w:rsidRPr="00C317BB" w:rsidR="00482CF4">
        <w:rPr>
          <w:rFonts w:cs="Times New Roman"/>
          <w:szCs w:val="24"/>
        </w:rPr>
        <w:t>of</w:t>
      </w:r>
      <w:r w:rsidR="005613B2">
        <w:rPr>
          <w:rFonts w:cs="Times New Roman"/>
          <w:szCs w:val="24"/>
        </w:rPr>
        <w:t xml:space="preserve"> </w:t>
      </w:r>
      <w:r w:rsidRPr="00C317BB" w:rsidR="00482CF4">
        <w:rPr>
          <w:rFonts w:cs="Times New Roman"/>
          <w:szCs w:val="24"/>
        </w:rPr>
        <w:t>carbon</w:t>
      </w:r>
      <w:r w:rsidR="005613B2">
        <w:rPr>
          <w:rFonts w:cs="Times New Roman"/>
          <w:szCs w:val="24"/>
        </w:rPr>
        <w:t xml:space="preserve"> </w:t>
      </w:r>
      <w:r w:rsidRPr="00C317BB" w:rsidR="00482CF4">
        <w:rPr>
          <w:rFonts w:cs="Times New Roman"/>
          <w:szCs w:val="24"/>
        </w:rPr>
        <w:t>dioxide</w:t>
      </w:r>
      <w:r w:rsidR="005613B2">
        <w:rPr>
          <w:rFonts w:cs="Times New Roman"/>
          <w:szCs w:val="24"/>
        </w:rPr>
        <w:t xml:space="preserve"> </w:t>
      </w:r>
      <w:r w:rsidRPr="00C317BB" w:rsidR="00482CF4">
        <w:rPr>
          <w:rFonts w:cs="Times New Roman"/>
          <w:szCs w:val="24"/>
        </w:rPr>
        <w:t>using</w:t>
      </w:r>
      <w:r w:rsidR="005613B2">
        <w:rPr>
          <w:rFonts w:cs="Times New Roman"/>
          <w:szCs w:val="24"/>
        </w:rPr>
        <w:t xml:space="preserve"> </w:t>
      </w:r>
      <w:r w:rsidRPr="00C317BB" w:rsidR="00482CF4">
        <w:rPr>
          <w:rFonts w:cs="Times New Roman"/>
          <w:szCs w:val="24"/>
        </w:rPr>
        <w:t>the</w:t>
      </w:r>
      <w:r w:rsidR="005613B2">
        <w:rPr>
          <w:rFonts w:cs="Times New Roman"/>
          <w:szCs w:val="24"/>
        </w:rPr>
        <w:t xml:space="preserve"> </w:t>
      </w:r>
      <w:r w:rsidRPr="00C317BB" w:rsidR="00482CF4">
        <w:rPr>
          <w:rFonts w:cs="Times New Roman"/>
          <w:szCs w:val="24"/>
        </w:rPr>
        <w:t>federal</w:t>
      </w:r>
      <w:r w:rsidR="005613B2">
        <w:rPr>
          <w:rFonts w:cs="Times New Roman"/>
          <w:szCs w:val="24"/>
        </w:rPr>
        <w:t xml:space="preserve"> </w:t>
      </w:r>
      <w:r w:rsidRPr="00C317BB" w:rsidR="00482CF4">
        <w:rPr>
          <w:rFonts w:cs="Times New Roman"/>
          <w:szCs w:val="24"/>
        </w:rPr>
        <w:t>government’s</w:t>
      </w:r>
      <w:r w:rsidR="005613B2">
        <w:rPr>
          <w:rFonts w:cs="Times New Roman"/>
          <w:szCs w:val="24"/>
        </w:rPr>
        <w:t xml:space="preserve"> </w:t>
      </w:r>
      <w:r w:rsidRPr="00C317BB" w:rsidR="00482CF4">
        <w:rPr>
          <w:rFonts w:cs="Times New Roman"/>
          <w:szCs w:val="24"/>
        </w:rPr>
        <w:t>interim</w:t>
      </w:r>
      <w:r w:rsidR="005613B2">
        <w:rPr>
          <w:rFonts w:cs="Times New Roman"/>
          <w:szCs w:val="24"/>
        </w:rPr>
        <w:t xml:space="preserve"> </w:t>
      </w:r>
      <w:r w:rsidRPr="00C317BB" w:rsidR="00482CF4">
        <w:rPr>
          <w:rFonts w:cs="Times New Roman"/>
          <w:szCs w:val="24"/>
        </w:rPr>
        <w:t>estimates</w:t>
      </w:r>
      <w:r w:rsidR="005613B2">
        <w:rPr>
          <w:rFonts w:cs="Times New Roman"/>
          <w:szCs w:val="24"/>
        </w:rPr>
        <w:t xml:space="preserve"> </w:t>
      </w:r>
      <w:r w:rsidRPr="00C317BB" w:rsidR="00482CF4">
        <w:rPr>
          <w:rFonts w:cs="Times New Roman"/>
          <w:szCs w:val="24"/>
        </w:rPr>
        <w:t>of</w:t>
      </w:r>
      <w:r w:rsidR="005613B2">
        <w:rPr>
          <w:rFonts w:cs="Times New Roman"/>
          <w:szCs w:val="24"/>
        </w:rPr>
        <w:t xml:space="preserve"> </w:t>
      </w:r>
      <w:r w:rsidRPr="00C317BB" w:rsidR="00482CF4">
        <w:rPr>
          <w:rFonts w:cs="Times New Roman"/>
          <w:szCs w:val="24"/>
        </w:rPr>
        <w:t>the</w:t>
      </w:r>
      <w:r w:rsidR="005613B2">
        <w:rPr>
          <w:rFonts w:cs="Times New Roman"/>
          <w:szCs w:val="24"/>
        </w:rPr>
        <w:t xml:space="preserve"> </w:t>
      </w:r>
      <w:r w:rsidRPr="00C317BB" w:rsidR="00482CF4">
        <w:rPr>
          <w:rFonts w:cs="Times New Roman"/>
          <w:szCs w:val="24"/>
        </w:rPr>
        <w:t>social</w:t>
      </w:r>
      <w:r w:rsidR="005613B2">
        <w:rPr>
          <w:rFonts w:cs="Times New Roman"/>
          <w:szCs w:val="24"/>
        </w:rPr>
        <w:t xml:space="preserve"> </w:t>
      </w:r>
      <w:r w:rsidRPr="00C317BB" w:rsidR="00482CF4">
        <w:rPr>
          <w:rFonts w:cs="Times New Roman"/>
          <w:szCs w:val="24"/>
        </w:rPr>
        <w:t>cost</w:t>
      </w:r>
      <w:r w:rsidR="005613B2">
        <w:rPr>
          <w:rFonts w:cs="Times New Roman"/>
          <w:szCs w:val="24"/>
        </w:rPr>
        <w:t xml:space="preserve"> </w:t>
      </w:r>
      <w:r w:rsidRPr="00C317BB" w:rsidR="00482CF4">
        <w:rPr>
          <w:rFonts w:cs="Times New Roman"/>
          <w:szCs w:val="24"/>
        </w:rPr>
        <w:t>of</w:t>
      </w:r>
      <w:r w:rsidR="005613B2">
        <w:rPr>
          <w:rFonts w:cs="Times New Roman"/>
          <w:szCs w:val="24"/>
        </w:rPr>
        <w:t xml:space="preserve"> </w:t>
      </w:r>
      <w:r w:rsidRPr="00C317BB" w:rsidR="00482CF4">
        <w:rPr>
          <w:rFonts w:cs="Times New Roman"/>
          <w:szCs w:val="24"/>
        </w:rPr>
        <w:t>greenhouse</w:t>
      </w:r>
      <w:r w:rsidR="005613B2">
        <w:rPr>
          <w:rFonts w:cs="Times New Roman"/>
          <w:szCs w:val="24"/>
        </w:rPr>
        <w:t xml:space="preserve"> </w:t>
      </w:r>
      <w:r w:rsidRPr="00C317BB" w:rsidR="00482CF4">
        <w:rPr>
          <w:rFonts w:cs="Times New Roman"/>
          <w:szCs w:val="24"/>
        </w:rPr>
        <w:t>gases.</w:t>
      </w:r>
      <w:r w:rsidR="005613B2">
        <w:rPr>
          <w:rFonts w:cs="Times New Roman"/>
          <w:szCs w:val="24"/>
        </w:rPr>
        <w:t xml:space="preserve"> </w:t>
      </w:r>
      <w:r w:rsidRPr="00C317BB" w:rsidR="00482CF4">
        <w:rPr>
          <w:rFonts w:cs="Times New Roman"/>
          <w:szCs w:val="24"/>
        </w:rPr>
        <w:t>EPA</w:t>
      </w:r>
      <w:r w:rsidR="005613B2">
        <w:rPr>
          <w:rFonts w:cs="Times New Roman"/>
          <w:szCs w:val="24"/>
        </w:rPr>
        <w:t xml:space="preserve"> </w:t>
      </w:r>
      <w:r w:rsidRPr="00C317BB" w:rsidR="00482CF4">
        <w:rPr>
          <w:rFonts w:cs="Times New Roman"/>
          <w:szCs w:val="24"/>
        </w:rPr>
        <w:t>does</w:t>
      </w:r>
      <w:r w:rsidR="005613B2">
        <w:rPr>
          <w:rFonts w:cs="Times New Roman"/>
          <w:szCs w:val="24"/>
        </w:rPr>
        <w:t xml:space="preserve"> </w:t>
      </w:r>
      <w:r w:rsidRPr="00C317BB" w:rsidR="00482CF4">
        <w:rPr>
          <w:rFonts w:cs="Times New Roman"/>
          <w:szCs w:val="24"/>
        </w:rPr>
        <w:t>not</w:t>
      </w:r>
      <w:r w:rsidR="005613B2">
        <w:rPr>
          <w:rFonts w:cs="Times New Roman"/>
          <w:szCs w:val="24"/>
        </w:rPr>
        <w:t xml:space="preserve"> </w:t>
      </w:r>
      <w:r w:rsidRPr="00C317BB" w:rsidR="00482CF4">
        <w:rPr>
          <w:rFonts w:cs="Times New Roman"/>
          <w:szCs w:val="24"/>
        </w:rPr>
        <w:t>rely</w:t>
      </w:r>
      <w:r w:rsidR="005613B2">
        <w:rPr>
          <w:rFonts w:cs="Times New Roman"/>
          <w:szCs w:val="24"/>
        </w:rPr>
        <w:t xml:space="preserve"> </w:t>
      </w:r>
      <w:r w:rsidRPr="00C317BB" w:rsidR="00482CF4">
        <w:rPr>
          <w:rFonts w:cs="Times New Roman"/>
          <w:szCs w:val="24"/>
        </w:rPr>
        <w:t>on</w:t>
      </w:r>
      <w:r w:rsidR="005613B2">
        <w:rPr>
          <w:rFonts w:cs="Times New Roman"/>
          <w:szCs w:val="24"/>
        </w:rPr>
        <w:t xml:space="preserve"> </w:t>
      </w:r>
      <w:r w:rsidRPr="00C317BB" w:rsidR="00482CF4">
        <w:rPr>
          <w:rFonts w:cs="Times New Roman"/>
          <w:szCs w:val="24"/>
        </w:rPr>
        <w:t>the</w:t>
      </w:r>
      <w:r w:rsidR="005613B2">
        <w:rPr>
          <w:rFonts w:cs="Times New Roman"/>
          <w:szCs w:val="24"/>
        </w:rPr>
        <w:t xml:space="preserve"> </w:t>
      </w:r>
      <w:r w:rsidRPr="00C317BB" w:rsidR="00482CF4">
        <w:rPr>
          <w:rFonts w:cs="Times New Roman"/>
          <w:szCs w:val="24"/>
        </w:rPr>
        <w:t>interim</w:t>
      </w:r>
      <w:r w:rsidR="005613B2">
        <w:rPr>
          <w:rFonts w:cs="Times New Roman"/>
          <w:szCs w:val="24"/>
        </w:rPr>
        <w:t xml:space="preserve"> </w:t>
      </w:r>
      <w:r w:rsidRPr="00C317BB" w:rsidR="00482CF4">
        <w:rPr>
          <w:rFonts w:cs="Times New Roman"/>
          <w:szCs w:val="24"/>
        </w:rPr>
        <w:t>estimates</w:t>
      </w:r>
      <w:r w:rsidR="005613B2">
        <w:rPr>
          <w:rFonts w:cs="Times New Roman"/>
          <w:szCs w:val="24"/>
        </w:rPr>
        <w:t xml:space="preserve"> </w:t>
      </w:r>
      <w:r w:rsidRPr="00C317BB" w:rsidR="00482CF4">
        <w:rPr>
          <w:rFonts w:cs="Times New Roman"/>
          <w:szCs w:val="24"/>
        </w:rPr>
        <w:t>of</w:t>
      </w:r>
      <w:r w:rsidR="005613B2">
        <w:rPr>
          <w:rFonts w:cs="Times New Roman"/>
          <w:szCs w:val="24"/>
        </w:rPr>
        <w:t xml:space="preserve"> </w:t>
      </w:r>
      <w:r w:rsidRPr="00C317BB" w:rsidR="00482CF4">
        <w:rPr>
          <w:rFonts w:cs="Times New Roman"/>
          <w:szCs w:val="24"/>
        </w:rPr>
        <w:t>the</w:t>
      </w:r>
      <w:r w:rsidR="005613B2">
        <w:rPr>
          <w:rFonts w:cs="Times New Roman"/>
          <w:szCs w:val="24"/>
        </w:rPr>
        <w:t xml:space="preserve"> </w:t>
      </w:r>
      <w:r w:rsidRPr="00C317BB" w:rsidR="00482CF4">
        <w:rPr>
          <w:rFonts w:cs="Times New Roman"/>
          <w:szCs w:val="24"/>
        </w:rPr>
        <w:t>social</w:t>
      </w:r>
      <w:r w:rsidR="005613B2">
        <w:rPr>
          <w:rFonts w:cs="Times New Roman"/>
          <w:szCs w:val="24"/>
        </w:rPr>
        <w:t xml:space="preserve"> </w:t>
      </w:r>
      <w:r w:rsidRPr="00C317BB" w:rsidR="00482CF4">
        <w:rPr>
          <w:rFonts w:cs="Times New Roman"/>
          <w:szCs w:val="24"/>
        </w:rPr>
        <w:t>cost</w:t>
      </w:r>
      <w:r w:rsidR="005613B2">
        <w:rPr>
          <w:rFonts w:cs="Times New Roman"/>
          <w:szCs w:val="24"/>
        </w:rPr>
        <w:t xml:space="preserve"> </w:t>
      </w:r>
      <w:r w:rsidRPr="00C317BB" w:rsidR="00482CF4">
        <w:rPr>
          <w:rFonts w:cs="Times New Roman"/>
          <w:szCs w:val="24"/>
        </w:rPr>
        <w:t>of</w:t>
      </w:r>
      <w:r w:rsidR="005613B2">
        <w:rPr>
          <w:rFonts w:cs="Times New Roman"/>
          <w:szCs w:val="24"/>
        </w:rPr>
        <w:t xml:space="preserve"> </w:t>
      </w:r>
      <w:r w:rsidRPr="00C317BB" w:rsidR="00482CF4">
        <w:rPr>
          <w:rFonts w:cs="Times New Roman"/>
          <w:szCs w:val="24"/>
        </w:rPr>
        <w:t>greenhouse</w:t>
      </w:r>
      <w:r w:rsidR="005613B2">
        <w:rPr>
          <w:rFonts w:cs="Times New Roman"/>
          <w:szCs w:val="24"/>
        </w:rPr>
        <w:t xml:space="preserve"> </w:t>
      </w:r>
      <w:r w:rsidRPr="00C317BB" w:rsidR="00482CF4">
        <w:rPr>
          <w:rFonts w:cs="Times New Roman"/>
          <w:szCs w:val="24"/>
        </w:rPr>
        <w:t>gases</w:t>
      </w:r>
      <w:r w:rsidR="005613B2">
        <w:rPr>
          <w:rFonts w:cs="Times New Roman"/>
          <w:szCs w:val="24"/>
        </w:rPr>
        <w:t xml:space="preserve"> </w:t>
      </w:r>
      <w:r w:rsidRPr="00C317BB" w:rsidR="00482CF4">
        <w:rPr>
          <w:rFonts w:cs="Times New Roman"/>
          <w:szCs w:val="24"/>
        </w:rPr>
        <w:t>as</w:t>
      </w:r>
      <w:r w:rsidR="005613B2">
        <w:rPr>
          <w:rFonts w:cs="Times New Roman"/>
          <w:szCs w:val="24"/>
        </w:rPr>
        <w:t xml:space="preserve"> </w:t>
      </w:r>
      <w:r w:rsidRPr="00C317BB" w:rsidR="00482CF4">
        <w:rPr>
          <w:rFonts w:cs="Times New Roman"/>
          <w:szCs w:val="24"/>
        </w:rPr>
        <w:t>a</w:t>
      </w:r>
      <w:r w:rsidR="005613B2">
        <w:rPr>
          <w:rFonts w:cs="Times New Roman"/>
          <w:szCs w:val="24"/>
        </w:rPr>
        <w:t xml:space="preserve"> </w:t>
      </w:r>
      <w:r w:rsidRPr="00C317BB" w:rsidR="00482CF4">
        <w:rPr>
          <w:rFonts w:cs="Times New Roman"/>
          <w:szCs w:val="24"/>
        </w:rPr>
        <w:t>record</w:t>
      </w:r>
      <w:r w:rsidR="005613B2">
        <w:rPr>
          <w:rFonts w:cs="Times New Roman"/>
          <w:szCs w:val="24"/>
        </w:rPr>
        <w:t xml:space="preserve"> </w:t>
      </w:r>
      <w:r w:rsidRPr="00C317BB" w:rsidR="00482CF4">
        <w:rPr>
          <w:rFonts w:cs="Times New Roman"/>
          <w:szCs w:val="24"/>
        </w:rPr>
        <w:t>basis</w:t>
      </w:r>
      <w:r w:rsidR="005613B2">
        <w:rPr>
          <w:rFonts w:cs="Times New Roman"/>
          <w:szCs w:val="24"/>
        </w:rPr>
        <w:t xml:space="preserve"> </w:t>
      </w:r>
      <w:r w:rsidRPr="00C317BB" w:rsidR="00482CF4">
        <w:rPr>
          <w:rFonts w:cs="Times New Roman"/>
          <w:szCs w:val="24"/>
        </w:rPr>
        <w:t>for</w:t>
      </w:r>
      <w:r w:rsidR="005613B2">
        <w:rPr>
          <w:rFonts w:cs="Times New Roman"/>
          <w:szCs w:val="24"/>
        </w:rPr>
        <w:t xml:space="preserve"> </w:t>
      </w:r>
      <w:r w:rsidRPr="00C317BB" w:rsidR="00482CF4">
        <w:rPr>
          <w:rFonts w:cs="Times New Roman"/>
          <w:szCs w:val="24"/>
        </w:rPr>
        <w:t>this</w:t>
      </w:r>
      <w:r w:rsidR="005613B2">
        <w:rPr>
          <w:rFonts w:cs="Times New Roman"/>
          <w:szCs w:val="24"/>
        </w:rPr>
        <w:t xml:space="preserve"> </w:t>
      </w:r>
      <w:r w:rsidRPr="00C317BB" w:rsidR="00482CF4">
        <w:rPr>
          <w:rFonts w:cs="Times New Roman"/>
          <w:szCs w:val="24"/>
        </w:rPr>
        <w:t>Agency</w:t>
      </w:r>
      <w:r w:rsidR="005613B2">
        <w:rPr>
          <w:rFonts w:cs="Times New Roman"/>
          <w:szCs w:val="24"/>
        </w:rPr>
        <w:t xml:space="preserve"> </w:t>
      </w:r>
      <w:r w:rsidRPr="00C317BB" w:rsidR="00482CF4">
        <w:rPr>
          <w:rFonts w:cs="Times New Roman"/>
          <w:szCs w:val="24"/>
        </w:rPr>
        <w:t>action,</w:t>
      </w:r>
      <w:r w:rsidR="005613B2">
        <w:rPr>
          <w:rFonts w:cs="Times New Roman"/>
          <w:szCs w:val="24"/>
        </w:rPr>
        <w:t xml:space="preserve"> </w:t>
      </w:r>
      <w:r w:rsidRPr="00C317BB" w:rsidR="00482CF4">
        <w:rPr>
          <w:rFonts w:cs="Times New Roman"/>
          <w:szCs w:val="24"/>
        </w:rPr>
        <w:t>and</w:t>
      </w:r>
      <w:r w:rsidR="005613B2">
        <w:rPr>
          <w:rFonts w:cs="Times New Roman"/>
          <w:szCs w:val="24"/>
        </w:rPr>
        <w:t xml:space="preserve"> </w:t>
      </w:r>
      <w:r w:rsidRPr="00C317BB" w:rsidR="00482CF4">
        <w:rPr>
          <w:rFonts w:cs="Times New Roman"/>
          <w:szCs w:val="24"/>
        </w:rPr>
        <w:t>the</w:t>
      </w:r>
      <w:r w:rsidR="005613B2">
        <w:rPr>
          <w:rFonts w:cs="Times New Roman"/>
          <w:szCs w:val="24"/>
        </w:rPr>
        <w:t xml:space="preserve"> </w:t>
      </w:r>
      <w:r w:rsidRPr="00C317BB" w:rsidR="00482CF4">
        <w:rPr>
          <w:rFonts w:cs="Times New Roman"/>
          <w:szCs w:val="24"/>
        </w:rPr>
        <w:t>Agency</w:t>
      </w:r>
      <w:r w:rsidR="005613B2">
        <w:rPr>
          <w:rFonts w:cs="Times New Roman"/>
          <w:szCs w:val="24"/>
        </w:rPr>
        <w:t xml:space="preserve"> </w:t>
      </w:r>
      <w:r w:rsidRPr="00C317BB" w:rsidR="00482CF4">
        <w:rPr>
          <w:rFonts w:cs="Times New Roman"/>
          <w:szCs w:val="24"/>
        </w:rPr>
        <w:t>would</w:t>
      </w:r>
      <w:r w:rsidR="005613B2">
        <w:rPr>
          <w:rFonts w:cs="Times New Roman"/>
          <w:szCs w:val="24"/>
        </w:rPr>
        <w:t xml:space="preserve"> </w:t>
      </w:r>
      <w:r w:rsidRPr="00C317BB" w:rsidR="0031138B">
        <w:rPr>
          <w:rFonts w:cs="Times New Roman"/>
          <w:szCs w:val="24"/>
        </w:rPr>
        <w:t>propose</w:t>
      </w:r>
      <w:r w:rsidR="005613B2">
        <w:rPr>
          <w:rFonts w:cs="Times New Roman"/>
          <w:szCs w:val="24"/>
        </w:rPr>
        <w:t xml:space="preserve"> </w:t>
      </w:r>
      <w:r w:rsidRPr="00C317BB" w:rsidR="00482CF4">
        <w:rPr>
          <w:rFonts w:cs="Times New Roman"/>
          <w:szCs w:val="24"/>
        </w:rPr>
        <w:t>the</w:t>
      </w:r>
      <w:r w:rsidR="005613B2">
        <w:rPr>
          <w:rFonts w:cs="Times New Roman"/>
          <w:szCs w:val="24"/>
        </w:rPr>
        <w:t xml:space="preserve"> </w:t>
      </w:r>
      <w:r w:rsidRPr="00C317BB" w:rsidR="00482CF4">
        <w:rPr>
          <w:rFonts w:cs="Times New Roman"/>
          <w:szCs w:val="24"/>
        </w:rPr>
        <w:t>same</w:t>
      </w:r>
      <w:r w:rsidR="005613B2">
        <w:rPr>
          <w:rFonts w:cs="Times New Roman"/>
          <w:szCs w:val="24"/>
        </w:rPr>
        <w:t xml:space="preserve"> </w:t>
      </w:r>
      <w:r w:rsidRPr="00C317BB" w:rsidR="00482CF4">
        <w:rPr>
          <w:rFonts w:cs="Times New Roman"/>
          <w:szCs w:val="24"/>
        </w:rPr>
        <w:t>conclusion</w:t>
      </w:r>
      <w:r w:rsidR="005613B2">
        <w:rPr>
          <w:rFonts w:cs="Times New Roman"/>
          <w:szCs w:val="24"/>
        </w:rPr>
        <w:t xml:space="preserve"> </w:t>
      </w:r>
      <w:r w:rsidRPr="00C317BB" w:rsidR="00482CF4">
        <w:rPr>
          <w:rFonts w:cs="Times New Roman"/>
          <w:szCs w:val="24"/>
        </w:rPr>
        <w:t>regarding</w:t>
      </w:r>
      <w:r w:rsidR="005613B2">
        <w:rPr>
          <w:rFonts w:cs="Times New Roman"/>
          <w:szCs w:val="24"/>
        </w:rPr>
        <w:t xml:space="preserve"> </w:t>
      </w:r>
      <w:r w:rsidRPr="00C317BB" w:rsidR="00482CF4">
        <w:rPr>
          <w:rFonts w:cs="Times New Roman"/>
          <w:szCs w:val="24"/>
        </w:rPr>
        <w:t>the</w:t>
      </w:r>
      <w:r w:rsidR="005613B2">
        <w:rPr>
          <w:rFonts w:cs="Times New Roman"/>
          <w:szCs w:val="24"/>
        </w:rPr>
        <w:t xml:space="preserve"> </w:t>
      </w:r>
      <w:r w:rsidRPr="00C317BB" w:rsidR="00482CF4">
        <w:rPr>
          <w:rFonts w:cs="Times New Roman"/>
          <w:szCs w:val="24"/>
        </w:rPr>
        <w:t>requirements</w:t>
      </w:r>
      <w:r w:rsidR="005613B2">
        <w:rPr>
          <w:rFonts w:cs="Times New Roman"/>
          <w:szCs w:val="24"/>
        </w:rPr>
        <w:t xml:space="preserve"> </w:t>
      </w:r>
      <w:r w:rsidRPr="00C317BB" w:rsidR="00482CF4">
        <w:rPr>
          <w:rFonts w:cs="Times New Roman"/>
          <w:szCs w:val="24"/>
        </w:rPr>
        <w:t>of</w:t>
      </w:r>
      <w:r w:rsidR="005613B2">
        <w:rPr>
          <w:rFonts w:cs="Times New Roman"/>
          <w:szCs w:val="24"/>
        </w:rPr>
        <w:t xml:space="preserve"> </w:t>
      </w:r>
      <w:r w:rsidRPr="00C317BB" w:rsidR="00482CF4">
        <w:rPr>
          <w:rFonts w:cs="Times New Roman"/>
          <w:szCs w:val="24"/>
        </w:rPr>
        <w:t>this</w:t>
      </w:r>
      <w:r w:rsidR="005613B2">
        <w:rPr>
          <w:rFonts w:cs="Times New Roman"/>
          <w:szCs w:val="24"/>
        </w:rPr>
        <w:t xml:space="preserve"> </w:t>
      </w:r>
      <w:r w:rsidRPr="00C317BB" w:rsidR="00482CF4">
        <w:rPr>
          <w:rFonts w:cs="Times New Roman"/>
          <w:szCs w:val="24"/>
        </w:rPr>
        <w:t>proposed</w:t>
      </w:r>
      <w:r w:rsidR="005613B2">
        <w:rPr>
          <w:rFonts w:cs="Times New Roman"/>
          <w:szCs w:val="24"/>
        </w:rPr>
        <w:t xml:space="preserve"> </w:t>
      </w:r>
      <w:r w:rsidRPr="00C317BB" w:rsidR="00482CF4">
        <w:rPr>
          <w:rFonts w:cs="Times New Roman"/>
          <w:szCs w:val="24"/>
        </w:rPr>
        <w:t>rule</w:t>
      </w:r>
      <w:r w:rsidR="005613B2">
        <w:rPr>
          <w:rFonts w:cs="Times New Roman"/>
          <w:szCs w:val="24"/>
        </w:rPr>
        <w:t xml:space="preserve"> </w:t>
      </w:r>
      <w:r w:rsidRPr="00C317BB" w:rsidR="00482CF4">
        <w:rPr>
          <w:rFonts w:cs="Times New Roman"/>
          <w:szCs w:val="24"/>
        </w:rPr>
        <w:t>even</w:t>
      </w:r>
      <w:r w:rsidR="005613B2">
        <w:rPr>
          <w:rFonts w:cs="Times New Roman"/>
          <w:szCs w:val="24"/>
        </w:rPr>
        <w:t xml:space="preserve"> </w:t>
      </w:r>
      <w:r w:rsidRPr="00C317BB" w:rsidR="00482CF4">
        <w:rPr>
          <w:rFonts w:cs="Times New Roman"/>
          <w:szCs w:val="24"/>
        </w:rPr>
        <w:t>in</w:t>
      </w:r>
      <w:r w:rsidR="005613B2">
        <w:rPr>
          <w:rFonts w:cs="Times New Roman"/>
          <w:szCs w:val="24"/>
        </w:rPr>
        <w:t xml:space="preserve"> </w:t>
      </w:r>
      <w:r w:rsidRPr="00C317BB" w:rsidR="00482CF4">
        <w:rPr>
          <w:rFonts w:cs="Times New Roman"/>
          <w:szCs w:val="24"/>
        </w:rPr>
        <w:t>the</w:t>
      </w:r>
      <w:r w:rsidR="005613B2">
        <w:rPr>
          <w:rFonts w:cs="Times New Roman"/>
          <w:szCs w:val="24"/>
        </w:rPr>
        <w:t xml:space="preserve"> </w:t>
      </w:r>
      <w:r w:rsidRPr="00C317BB" w:rsidR="00482CF4">
        <w:rPr>
          <w:rFonts w:cs="Times New Roman"/>
          <w:szCs w:val="24"/>
        </w:rPr>
        <w:t>absence</w:t>
      </w:r>
      <w:r w:rsidR="005613B2">
        <w:rPr>
          <w:rFonts w:cs="Times New Roman"/>
          <w:szCs w:val="24"/>
        </w:rPr>
        <w:t xml:space="preserve"> </w:t>
      </w:r>
      <w:r w:rsidRPr="00C317BB" w:rsidR="00482CF4">
        <w:rPr>
          <w:rFonts w:cs="Times New Roman"/>
          <w:szCs w:val="24"/>
        </w:rPr>
        <w:t>of</w:t>
      </w:r>
      <w:r w:rsidR="005613B2">
        <w:rPr>
          <w:rFonts w:cs="Times New Roman"/>
          <w:szCs w:val="24"/>
        </w:rPr>
        <w:t xml:space="preserve"> </w:t>
      </w:r>
      <w:r w:rsidRPr="00C317BB" w:rsidR="00482CF4">
        <w:rPr>
          <w:rFonts w:cs="Times New Roman"/>
          <w:szCs w:val="24"/>
        </w:rPr>
        <w:t>the</w:t>
      </w:r>
      <w:r w:rsidR="005613B2">
        <w:rPr>
          <w:rFonts w:cs="Times New Roman"/>
          <w:szCs w:val="24"/>
        </w:rPr>
        <w:t xml:space="preserve"> </w:t>
      </w:r>
      <w:r w:rsidRPr="00C317BB" w:rsidR="00482CF4">
        <w:rPr>
          <w:rFonts w:cs="Times New Roman"/>
          <w:szCs w:val="24"/>
        </w:rPr>
        <w:t>social</w:t>
      </w:r>
      <w:r w:rsidR="005613B2">
        <w:rPr>
          <w:rFonts w:cs="Times New Roman"/>
          <w:szCs w:val="24"/>
        </w:rPr>
        <w:t xml:space="preserve"> </w:t>
      </w:r>
      <w:r w:rsidRPr="00C317BB" w:rsidR="00482CF4">
        <w:rPr>
          <w:rFonts w:cs="Times New Roman"/>
          <w:szCs w:val="24"/>
        </w:rPr>
        <w:t>cost</w:t>
      </w:r>
      <w:r w:rsidR="005613B2">
        <w:rPr>
          <w:rFonts w:cs="Times New Roman"/>
          <w:szCs w:val="24"/>
        </w:rPr>
        <w:t xml:space="preserve"> </w:t>
      </w:r>
      <w:r w:rsidRPr="00C317BB" w:rsidR="00482CF4">
        <w:rPr>
          <w:rFonts w:cs="Times New Roman"/>
          <w:szCs w:val="24"/>
        </w:rPr>
        <w:t>of</w:t>
      </w:r>
      <w:r w:rsidR="005613B2">
        <w:rPr>
          <w:rFonts w:cs="Times New Roman"/>
          <w:szCs w:val="24"/>
        </w:rPr>
        <w:t xml:space="preserve"> </w:t>
      </w:r>
      <w:r w:rsidRPr="00C317BB" w:rsidR="00482CF4">
        <w:rPr>
          <w:rFonts w:cs="Times New Roman"/>
          <w:szCs w:val="24"/>
        </w:rPr>
        <w:t>greenhouse</w:t>
      </w:r>
      <w:r w:rsidR="005613B2">
        <w:rPr>
          <w:rFonts w:cs="Times New Roman"/>
          <w:szCs w:val="24"/>
        </w:rPr>
        <w:t xml:space="preserve"> </w:t>
      </w:r>
      <w:r w:rsidRPr="00C317BB" w:rsidR="00482CF4">
        <w:rPr>
          <w:rFonts w:cs="Times New Roman"/>
          <w:szCs w:val="24"/>
        </w:rPr>
        <w:t>gases.</w:t>
      </w:r>
    </w:p>
    <w:bookmarkEnd w:id="45"/>
    <w:p w:rsidRPr="00C317BB" w:rsidR="001A100C" w:rsidP="00F27167" w:rsidRDefault="001A100C" w14:paraId="5AA90344" w14:textId="77777777">
      <w:pPr>
        <w:pStyle w:val="Heading4"/>
        <w:keepNext w:val="0"/>
        <w:keepLines w:val="0"/>
        <w:ind w:firstLine="720"/>
        <w:rPr>
          <w:rFonts w:cs="Times New Roman"/>
          <w:szCs w:val="24"/>
        </w:rPr>
      </w:pPr>
      <w:r w:rsidRPr="00C317BB">
        <w:rPr>
          <w:rFonts w:cs="Times New Roman"/>
          <w:szCs w:val="24"/>
        </w:rPr>
        <w:t>b.</w:t>
      </w:r>
      <w:r w:rsidR="005613B2">
        <w:rPr>
          <w:rFonts w:cs="Times New Roman"/>
          <w:szCs w:val="24"/>
        </w:rPr>
        <w:t xml:space="preserve"> </w:t>
      </w:r>
      <w:r w:rsidRPr="00C317BB">
        <w:rPr>
          <w:rFonts w:cs="Times New Roman"/>
          <w:szCs w:val="24"/>
        </w:rPr>
        <w:t>Primary</w:t>
      </w:r>
      <w:r w:rsidR="005613B2">
        <w:rPr>
          <w:rFonts w:cs="Times New Roman"/>
          <w:szCs w:val="24"/>
        </w:rPr>
        <w:t xml:space="preserve"> </w:t>
      </w:r>
      <w:r w:rsidRPr="00C317BB">
        <w:rPr>
          <w:rFonts w:cs="Times New Roman"/>
          <w:szCs w:val="24"/>
        </w:rPr>
        <w:t>alternative</w:t>
      </w:r>
      <w:r w:rsidR="005613B2">
        <w:rPr>
          <w:rFonts w:cs="Times New Roman"/>
          <w:szCs w:val="24"/>
        </w:rPr>
        <w:t xml:space="preserve"> </w:t>
      </w:r>
      <w:r w:rsidRPr="00C317BB">
        <w:rPr>
          <w:rFonts w:cs="Times New Roman"/>
          <w:szCs w:val="24"/>
        </w:rPr>
        <w:t>regulatory</w:t>
      </w:r>
      <w:r w:rsidR="005613B2">
        <w:rPr>
          <w:rFonts w:cs="Times New Roman"/>
          <w:szCs w:val="24"/>
        </w:rPr>
        <w:t xml:space="preserve"> </w:t>
      </w:r>
      <w:r w:rsidRPr="00C317BB">
        <w:rPr>
          <w:rFonts w:cs="Times New Roman"/>
          <w:szCs w:val="24"/>
        </w:rPr>
        <w:t>action:</w:t>
      </w:r>
      <w:r w:rsidR="005613B2">
        <w:rPr>
          <w:rFonts w:cs="Times New Roman"/>
          <w:szCs w:val="24"/>
        </w:rPr>
        <w:t xml:space="preserve"> </w:t>
      </w:r>
    </w:p>
    <w:p w:rsidRPr="00C317BB" w:rsidR="00E006F6" w:rsidP="00F27167" w:rsidRDefault="00E006F6" w14:paraId="1C016408" w14:textId="31E0FC1E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77A6E">
        <w:rPr>
          <w:rFonts w:cs="Times New Roman"/>
          <w:color w:val="000000" w:themeColor="text1"/>
          <w:szCs w:val="24"/>
        </w:rPr>
        <w:t>primary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alternative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87A9B">
        <w:rPr>
          <w:rFonts w:cs="Times New Roman"/>
          <w:color w:val="000000" w:themeColor="text1"/>
          <w:szCs w:val="24"/>
        </w:rPr>
        <w:t>action</w:t>
      </w:r>
      <w:r w:rsidRPr="00C317BB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capital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investment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needed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convert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chlor-alkali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plants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membrane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cells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spread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out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over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years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instead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two</w:t>
      </w:r>
      <w:r w:rsidRPr="00C317BB" w:rsidR="00AD46DC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but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energy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savings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revenue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gains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producing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higher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grade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caustic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soda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accrue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more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slowly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well.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total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annualized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costs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chlor-alkali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industry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additional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requirements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compliance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ECEL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well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disposal,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downstream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notification,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recordkeeping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requirements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estimated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approximately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$</w:t>
      </w:r>
      <w:r w:rsidRPr="00C317BB" w:rsidR="006C28FE">
        <w:rPr>
          <w:rFonts w:cs="Times New Roman"/>
          <w:color w:val="000000" w:themeColor="text1"/>
          <w:szCs w:val="24"/>
        </w:rPr>
        <w:t>103</w:t>
      </w:r>
      <w:r w:rsidRPr="00C317BB">
        <w:rPr>
          <w:rFonts w:cs="Times New Roman"/>
          <w:color w:val="000000" w:themeColor="text1"/>
          <w:szCs w:val="24"/>
        </w:rPr>
        <w:t>,000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year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3</w:t>
      </w:r>
      <w:r w:rsidRPr="00C317BB" w:rsidR="00C9588E">
        <w:rPr>
          <w:rFonts w:cs="Times New Roman"/>
          <w:color w:val="000000" w:themeColor="text1"/>
          <w:szCs w:val="24"/>
        </w:rPr>
        <w:t>%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discount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$</w:t>
      </w:r>
      <w:r w:rsidRPr="00C317BB" w:rsidR="006C28FE">
        <w:rPr>
          <w:rFonts w:cs="Times New Roman"/>
          <w:color w:val="000000" w:themeColor="text1"/>
          <w:szCs w:val="24"/>
        </w:rPr>
        <w:t>127</w:t>
      </w:r>
      <w:r w:rsidRPr="00C317BB">
        <w:rPr>
          <w:rFonts w:cs="Times New Roman"/>
          <w:color w:val="000000" w:themeColor="text1"/>
          <w:szCs w:val="24"/>
        </w:rPr>
        <w:t>,000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year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7</w:t>
      </w:r>
      <w:r w:rsidRPr="00C317BB" w:rsidR="00C9588E">
        <w:rPr>
          <w:rFonts w:cs="Times New Roman"/>
          <w:color w:val="000000" w:themeColor="text1"/>
          <w:szCs w:val="24"/>
        </w:rPr>
        <w:t>%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discount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rate</w:t>
      </w:r>
      <w:r w:rsidRPr="00C317BB" w:rsidR="000C3F58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C3F58">
        <w:rPr>
          <w:rFonts w:cs="Times New Roman"/>
          <w:color w:val="000000" w:themeColor="text1"/>
          <w:szCs w:val="24"/>
        </w:rPr>
        <w:t>assuming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C3F58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C3F58">
        <w:rPr>
          <w:rFonts w:cs="Times New Roman"/>
          <w:color w:val="000000" w:themeColor="text1"/>
          <w:szCs w:val="24"/>
        </w:rPr>
        <w:t>industry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C3F58">
        <w:rPr>
          <w:rFonts w:cs="Times New Roman"/>
          <w:color w:val="000000" w:themeColor="text1"/>
          <w:szCs w:val="24"/>
        </w:rPr>
        <w:t>relies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C3F58">
        <w:rPr>
          <w:rFonts w:cs="Times New Roman"/>
          <w:color w:val="000000" w:themeColor="text1"/>
          <w:szCs w:val="24"/>
        </w:rPr>
        <w:t>solely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C3F58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C3F58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C3F58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C3F58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C3F58">
        <w:rPr>
          <w:rFonts w:cs="Times New Roman"/>
          <w:color w:val="000000" w:themeColor="text1"/>
          <w:szCs w:val="24"/>
        </w:rPr>
        <w:t>upgraded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C3F58">
        <w:rPr>
          <w:rFonts w:cs="Times New Roman"/>
          <w:color w:val="000000" w:themeColor="text1"/>
          <w:szCs w:val="24"/>
        </w:rPr>
        <w:t>PPE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C3F58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C3F58">
        <w:rPr>
          <w:rFonts w:cs="Times New Roman"/>
          <w:color w:val="000000" w:themeColor="text1"/>
          <w:szCs w:val="24"/>
        </w:rPr>
        <w:t>comply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C3F58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C3F58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C3F58">
        <w:rPr>
          <w:rFonts w:cs="Times New Roman"/>
          <w:color w:val="000000" w:themeColor="text1"/>
          <w:szCs w:val="24"/>
        </w:rPr>
        <w:t>ECEL.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revenue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gains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caustic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soda,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total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20-year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annualized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incremental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costs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requirements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chlor-alkali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industry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$</w:t>
      </w:r>
      <w:r w:rsidRPr="00C317BB" w:rsidR="009A1D27">
        <w:rPr>
          <w:rFonts w:cs="Times New Roman"/>
          <w:color w:val="000000" w:themeColor="text1"/>
          <w:szCs w:val="24"/>
        </w:rPr>
        <w:t>48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million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year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$</w:t>
      </w:r>
      <w:r w:rsidRPr="00C317BB" w:rsidR="009A1D27">
        <w:rPr>
          <w:rFonts w:cs="Times New Roman"/>
          <w:color w:val="000000" w:themeColor="text1"/>
          <w:szCs w:val="24"/>
        </w:rPr>
        <w:t>77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million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year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3</w:t>
      </w:r>
      <w:r w:rsidRPr="00C317BB" w:rsidR="00C9588E">
        <w:rPr>
          <w:rFonts w:cs="Times New Roman"/>
          <w:color w:val="000000" w:themeColor="text1"/>
          <w:szCs w:val="24"/>
        </w:rPr>
        <w:t>%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7</w:t>
      </w:r>
      <w:r w:rsidRPr="00C317BB" w:rsidR="00C9588E">
        <w:rPr>
          <w:rFonts w:cs="Times New Roman"/>
          <w:color w:val="000000" w:themeColor="text1"/>
          <w:szCs w:val="24"/>
        </w:rPr>
        <w:t>%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discount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rate,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respectively.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higher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grade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caustic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soda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generates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increased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revenues,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chlor-alkali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industry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have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overall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annualized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incremental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savings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over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20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years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$</w:t>
      </w:r>
      <w:r w:rsidRPr="00C317BB" w:rsidR="009A1D27">
        <w:rPr>
          <w:rFonts w:cs="Times New Roman"/>
          <w:color w:val="000000" w:themeColor="text1"/>
          <w:szCs w:val="24"/>
        </w:rPr>
        <w:t>27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million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year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3</w:t>
      </w:r>
      <w:r w:rsidRPr="00C317BB" w:rsidR="00C9588E">
        <w:rPr>
          <w:rFonts w:cs="Times New Roman"/>
          <w:color w:val="000000" w:themeColor="text1"/>
          <w:szCs w:val="24"/>
        </w:rPr>
        <w:t>%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discount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rate;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7</w:t>
      </w:r>
      <w:r w:rsidRPr="00C317BB" w:rsidR="00C9588E">
        <w:rPr>
          <w:rFonts w:cs="Times New Roman"/>
          <w:color w:val="000000" w:themeColor="text1"/>
          <w:szCs w:val="24"/>
        </w:rPr>
        <w:t>%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discount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rate,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industry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predicted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incur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annualized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$4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million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year.</w:t>
      </w:r>
    </w:p>
    <w:p w:rsidRPr="00C317BB" w:rsidR="00E006F6" w:rsidP="00F27167" w:rsidRDefault="00E006F6" w14:paraId="2017C930" w14:textId="1BB1D34C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total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annualized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costs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alternative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option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aftermarket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automotive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brakes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6482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estimated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approximately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$</w:t>
      </w:r>
      <w:r w:rsidRPr="00C317BB" w:rsidR="009A1D27">
        <w:rPr>
          <w:rFonts w:cs="Times New Roman"/>
          <w:color w:val="000000" w:themeColor="text1"/>
          <w:szCs w:val="24"/>
        </w:rPr>
        <w:t>24,000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year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3%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discount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$</w:t>
      </w:r>
      <w:r w:rsidRPr="00C317BB" w:rsidR="009A1D27">
        <w:rPr>
          <w:rFonts w:cs="Times New Roman"/>
          <w:color w:val="000000" w:themeColor="text1"/>
          <w:szCs w:val="24"/>
        </w:rPr>
        <w:t>16</w:t>
      </w:r>
      <w:r w:rsidRPr="00C317BB">
        <w:rPr>
          <w:rFonts w:cs="Times New Roman"/>
          <w:color w:val="000000" w:themeColor="text1"/>
          <w:szCs w:val="24"/>
        </w:rPr>
        <w:t>,</w:t>
      </w:r>
      <w:r w:rsidRPr="00C317BB" w:rsidR="00726119">
        <w:rPr>
          <w:rFonts w:cs="Times New Roman"/>
          <w:color w:val="000000" w:themeColor="text1"/>
          <w:szCs w:val="24"/>
        </w:rPr>
        <w:t>0</w:t>
      </w:r>
      <w:r w:rsidRPr="00C317BB">
        <w:rPr>
          <w:rFonts w:cs="Times New Roman"/>
          <w:color w:val="000000" w:themeColor="text1"/>
          <w:szCs w:val="24"/>
        </w:rPr>
        <w:t>00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year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7%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discount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rate,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which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44A1E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similar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cost</w:t>
      </w:r>
      <w:r w:rsidRPr="00C317BB" w:rsidR="00A44A1E">
        <w:rPr>
          <w:rFonts w:cs="Times New Roman"/>
          <w:color w:val="000000" w:themeColor="text1"/>
          <w:szCs w:val="24"/>
        </w:rPr>
        <w:t>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option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06FE1">
        <w:rPr>
          <w:rFonts w:cs="Times New Roman"/>
          <w:color w:val="000000" w:themeColor="text1"/>
          <w:szCs w:val="24"/>
        </w:rPr>
        <w:t>($25,000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06FE1">
        <w:rPr>
          <w:rFonts w:cs="Times New Roman"/>
          <w:color w:val="000000" w:themeColor="text1"/>
          <w:szCs w:val="24"/>
        </w:rPr>
        <w:t>per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06FE1">
        <w:rPr>
          <w:rFonts w:cs="Times New Roman"/>
          <w:color w:val="000000" w:themeColor="text1"/>
          <w:szCs w:val="24"/>
        </w:rPr>
        <w:t>year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06FE1">
        <w:rPr>
          <w:rFonts w:cs="Times New Roman"/>
          <w:color w:val="000000" w:themeColor="text1"/>
          <w:szCs w:val="24"/>
        </w:rPr>
        <w:t>using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06FE1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06FE1">
        <w:rPr>
          <w:rFonts w:cs="Times New Roman"/>
          <w:color w:val="000000" w:themeColor="text1"/>
          <w:szCs w:val="24"/>
        </w:rPr>
        <w:t>3%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06FE1">
        <w:rPr>
          <w:rFonts w:cs="Times New Roman"/>
          <w:color w:val="000000" w:themeColor="text1"/>
          <w:szCs w:val="24"/>
        </w:rPr>
        <w:t>discount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06FE1">
        <w:rPr>
          <w:rFonts w:cs="Times New Roman"/>
          <w:color w:val="000000" w:themeColor="text1"/>
          <w:szCs w:val="24"/>
        </w:rPr>
        <w:t>rate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06FE1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06FE1">
        <w:rPr>
          <w:rFonts w:cs="Times New Roman"/>
          <w:color w:val="000000" w:themeColor="text1"/>
          <w:szCs w:val="24"/>
        </w:rPr>
        <w:t>$18,000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06FE1">
        <w:rPr>
          <w:rFonts w:cs="Times New Roman"/>
          <w:color w:val="000000" w:themeColor="text1"/>
          <w:szCs w:val="24"/>
        </w:rPr>
        <w:t>using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06FE1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06FE1">
        <w:rPr>
          <w:rFonts w:cs="Times New Roman"/>
          <w:color w:val="000000" w:themeColor="text1"/>
          <w:szCs w:val="24"/>
        </w:rPr>
        <w:t>7%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06FE1">
        <w:rPr>
          <w:rFonts w:cs="Times New Roman"/>
          <w:color w:val="000000" w:themeColor="text1"/>
          <w:szCs w:val="24"/>
        </w:rPr>
        <w:t>discount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06FE1">
        <w:rPr>
          <w:rFonts w:cs="Times New Roman"/>
          <w:color w:val="000000" w:themeColor="text1"/>
          <w:szCs w:val="24"/>
        </w:rPr>
        <w:t>rate)</w:t>
      </w:r>
      <w:r w:rsidRPr="00C317BB">
        <w:rPr>
          <w:rFonts w:cs="Times New Roman"/>
          <w:color w:val="000000" w:themeColor="text1"/>
          <w:szCs w:val="24"/>
        </w:rPr>
        <w:t>.</w:t>
      </w:r>
    </w:p>
    <w:p w:rsidRPr="00C317BB" w:rsidR="00E006F6" w:rsidP="00F27167" w:rsidRDefault="00E006F6" w14:paraId="21D45F55" w14:textId="0633124D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estimate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costs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prohibiting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sheet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gaskets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chemical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production.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total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annualized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requirements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industry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(ECEL,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disposal,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downstream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notification,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recordkeeping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requirements)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estimated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approximately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$</w:t>
      </w:r>
      <w:r w:rsidRPr="00C317BB" w:rsidR="009A1D27">
        <w:rPr>
          <w:rFonts w:cs="Times New Roman"/>
          <w:color w:val="000000" w:themeColor="text1"/>
          <w:szCs w:val="24"/>
        </w:rPr>
        <w:t>23</w:t>
      </w:r>
      <w:r w:rsidRPr="00C317BB" w:rsidR="00726119">
        <w:rPr>
          <w:rFonts w:cs="Times New Roman"/>
          <w:color w:val="000000" w:themeColor="text1"/>
          <w:szCs w:val="24"/>
        </w:rPr>
        <w:t>0</w:t>
      </w:r>
      <w:r w:rsidRPr="00C317BB">
        <w:rPr>
          <w:rFonts w:cs="Times New Roman"/>
          <w:color w:val="000000" w:themeColor="text1"/>
          <w:szCs w:val="24"/>
        </w:rPr>
        <w:t>,000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year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3</w:t>
      </w:r>
      <w:r w:rsidRPr="00C317BB" w:rsidR="00C9588E">
        <w:rPr>
          <w:rFonts w:cs="Times New Roman"/>
          <w:color w:val="000000" w:themeColor="text1"/>
          <w:szCs w:val="24"/>
        </w:rPr>
        <w:t>%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discount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$</w:t>
      </w:r>
      <w:r w:rsidRPr="00C317BB" w:rsidR="009A1D27">
        <w:rPr>
          <w:rFonts w:cs="Times New Roman"/>
          <w:color w:val="000000" w:themeColor="text1"/>
          <w:szCs w:val="24"/>
        </w:rPr>
        <w:t>28</w:t>
      </w:r>
      <w:r w:rsidRPr="00C317BB" w:rsidR="00726119">
        <w:rPr>
          <w:rFonts w:cs="Times New Roman"/>
          <w:color w:val="000000" w:themeColor="text1"/>
          <w:szCs w:val="24"/>
        </w:rPr>
        <w:t>5</w:t>
      </w:r>
      <w:r w:rsidRPr="00C317BB">
        <w:rPr>
          <w:rFonts w:cs="Times New Roman"/>
          <w:color w:val="000000" w:themeColor="text1"/>
          <w:szCs w:val="24"/>
        </w:rPr>
        <w:t>,000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year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7</w:t>
      </w:r>
      <w:r w:rsidRPr="00C317BB" w:rsidR="00C9588E">
        <w:rPr>
          <w:rFonts w:cs="Times New Roman"/>
          <w:color w:val="000000" w:themeColor="text1"/>
          <w:szCs w:val="24"/>
        </w:rPr>
        <w:t>%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discount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54685">
        <w:rPr>
          <w:rFonts w:cs="Times New Roman"/>
          <w:color w:val="000000" w:themeColor="text1"/>
          <w:szCs w:val="24"/>
        </w:rPr>
        <w:t>(assuming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54685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54685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54685">
        <w:rPr>
          <w:rFonts w:cs="Times New Roman"/>
          <w:color w:val="000000" w:themeColor="text1"/>
          <w:szCs w:val="24"/>
        </w:rPr>
        <w:t>industry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54685">
        <w:rPr>
          <w:rFonts w:cs="Times New Roman"/>
          <w:color w:val="000000" w:themeColor="text1"/>
          <w:szCs w:val="24"/>
        </w:rPr>
        <w:t>relies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54685">
        <w:rPr>
          <w:rFonts w:cs="Times New Roman"/>
          <w:color w:val="000000" w:themeColor="text1"/>
          <w:szCs w:val="24"/>
        </w:rPr>
        <w:t>solely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54685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54685">
        <w:rPr>
          <w:rFonts w:cs="Times New Roman"/>
          <w:color w:val="000000" w:themeColor="text1"/>
          <w:szCs w:val="24"/>
        </w:rPr>
        <w:t>PPE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54685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54685">
        <w:rPr>
          <w:rFonts w:cs="Times New Roman"/>
          <w:color w:val="000000" w:themeColor="text1"/>
          <w:szCs w:val="24"/>
        </w:rPr>
        <w:t>comply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54685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54685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54685">
        <w:rPr>
          <w:rFonts w:cs="Times New Roman"/>
          <w:color w:val="000000" w:themeColor="text1"/>
          <w:szCs w:val="24"/>
        </w:rPr>
        <w:t>ECEL)</w:t>
      </w:r>
      <w:r w:rsidRPr="00C317BB">
        <w:rPr>
          <w:rFonts w:cs="Times New Roman"/>
          <w:color w:val="000000" w:themeColor="text1"/>
          <w:szCs w:val="24"/>
        </w:rPr>
        <w:t>.</w:t>
      </w:r>
    </w:p>
    <w:p w:rsidRPr="00C317BB" w:rsidR="00E006F6" w:rsidP="00F27167" w:rsidRDefault="00E006F6" w14:paraId="77915C6E" w14:textId="51EF8972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remaining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26119">
        <w:rPr>
          <w:rFonts w:cs="Times New Roman"/>
          <w:color w:val="000000" w:themeColor="text1"/>
          <w:szCs w:val="24"/>
        </w:rPr>
        <w:t>categories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(oilfield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brake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blocks,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vehicle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friction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products,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gaskets),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estimate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costs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prohibiting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07929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07929">
        <w:rPr>
          <w:rFonts w:cs="Times New Roman"/>
          <w:color w:val="000000" w:themeColor="text1"/>
          <w:szCs w:val="24"/>
        </w:rPr>
        <w:t>manufacturing,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07929">
        <w:rPr>
          <w:rFonts w:cs="Times New Roman"/>
          <w:color w:val="000000" w:themeColor="text1"/>
          <w:szCs w:val="24"/>
        </w:rPr>
        <w:t>processing</w:t>
      </w:r>
      <w:r w:rsidRPr="00C317BB" w:rsidR="00B91F8C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91F8C">
        <w:rPr>
          <w:rFonts w:cs="Times New Roman"/>
          <w:color w:val="000000" w:themeColor="text1"/>
          <w:szCs w:val="24"/>
        </w:rPr>
        <w:t>distribution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91F8C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91F8C">
        <w:rPr>
          <w:rFonts w:cs="Times New Roman"/>
          <w:color w:val="000000" w:themeColor="text1"/>
          <w:szCs w:val="24"/>
        </w:rPr>
        <w:t>commercial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91F8C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91F8C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disposal,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downstream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notification,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recordkeeping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requirements</w:t>
      </w:r>
      <w:r w:rsidRPr="00C317BB" w:rsidR="00954685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54685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54685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54685">
        <w:rPr>
          <w:rFonts w:cs="Times New Roman"/>
          <w:color w:val="000000" w:themeColor="text1"/>
          <w:szCs w:val="24"/>
        </w:rPr>
        <w:t>Agency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54685">
        <w:rPr>
          <w:rFonts w:cs="Times New Roman"/>
          <w:color w:val="000000" w:themeColor="text1"/>
          <w:szCs w:val="24"/>
        </w:rPr>
        <w:t>was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54685">
        <w:rPr>
          <w:rFonts w:cs="Times New Roman"/>
          <w:color w:val="000000" w:themeColor="text1"/>
          <w:szCs w:val="24"/>
        </w:rPr>
        <w:t>unable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54685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54685">
        <w:rPr>
          <w:rFonts w:cs="Times New Roman"/>
          <w:color w:val="000000" w:themeColor="text1"/>
          <w:szCs w:val="24"/>
        </w:rPr>
        <w:t>estimate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54685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54685">
        <w:rPr>
          <w:rFonts w:cs="Times New Roman"/>
          <w:color w:val="000000" w:themeColor="text1"/>
          <w:szCs w:val="24"/>
        </w:rPr>
        <w:t>number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54685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54685">
        <w:rPr>
          <w:rFonts w:cs="Times New Roman"/>
          <w:color w:val="000000" w:themeColor="text1"/>
          <w:szCs w:val="24"/>
        </w:rPr>
        <w:t>affected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54685">
        <w:rPr>
          <w:rFonts w:cs="Times New Roman"/>
          <w:color w:val="000000" w:themeColor="text1"/>
          <w:szCs w:val="24"/>
        </w:rPr>
        <w:t>sites</w:t>
      </w:r>
      <w:r w:rsidRPr="00C317BB">
        <w:rPr>
          <w:rFonts w:cs="Times New Roman"/>
          <w:color w:val="000000" w:themeColor="text1"/>
          <w:szCs w:val="24"/>
        </w:rPr>
        <w:t>.</w:t>
      </w:r>
    </w:p>
    <w:p w:rsidRPr="00C317BB" w:rsidR="00E006F6" w:rsidP="00F27167" w:rsidRDefault="00E006F6" w14:paraId="2B32E586" w14:textId="37451464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combined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quantified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E163F">
        <w:rPr>
          <w:rFonts w:cs="Times New Roman"/>
          <w:color w:val="000000" w:themeColor="text1"/>
          <w:szCs w:val="24"/>
        </w:rPr>
        <w:t>incremental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annualized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costs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alternative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option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chlor-alkali,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aftermarket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automotive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brake,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sheet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gasket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industries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approximately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$</w:t>
      </w:r>
      <w:r w:rsidRPr="00C317BB" w:rsidR="009A1D27">
        <w:rPr>
          <w:rFonts w:cs="Times New Roman"/>
          <w:color w:val="000000" w:themeColor="text1"/>
          <w:szCs w:val="24"/>
        </w:rPr>
        <w:t>48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million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year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$</w:t>
      </w:r>
      <w:r w:rsidRPr="00C317BB" w:rsidR="009A1D27">
        <w:rPr>
          <w:rFonts w:cs="Times New Roman"/>
          <w:color w:val="000000" w:themeColor="text1"/>
          <w:szCs w:val="24"/>
        </w:rPr>
        <w:t>78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million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year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3</w:t>
      </w:r>
      <w:r w:rsidRPr="00C317BB" w:rsidR="00C9588E">
        <w:rPr>
          <w:rFonts w:cs="Times New Roman"/>
          <w:color w:val="000000" w:themeColor="text1"/>
          <w:szCs w:val="24"/>
        </w:rPr>
        <w:t>%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7</w:t>
      </w:r>
      <w:r w:rsidRPr="00C317BB" w:rsidR="00C9588E">
        <w:rPr>
          <w:rFonts w:cs="Times New Roman"/>
          <w:color w:val="000000" w:themeColor="text1"/>
          <w:szCs w:val="24"/>
        </w:rPr>
        <w:t>%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discount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rate,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respectively,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revenue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gain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higher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grade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caustic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soda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produced.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revenue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gain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producing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higher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grade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caustic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soda,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alternative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option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result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combined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quantified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savings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approximately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$</w:t>
      </w:r>
      <w:r w:rsidRPr="00C317BB" w:rsidR="009A1D27">
        <w:rPr>
          <w:rFonts w:cs="Times New Roman"/>
          <w:color w:val="000000" w:themeColor="text1"/>
          <w:szCs w:val="24"/>
        </w:rPr>
        <w:t>26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million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year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3</w:t>
      </w:r>
      <w:r w:rsidRPr="00C317BB" w:rsidR="00FA75F8">
        <w:rPr>
          <w:rFonts w:cs="Times New Roman"/>
          <w:color w:val="000000" w:themeColor="text1"/>
          <w:szCs w:val="24"/>
        </w:rPr>
        <w:t>%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discount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but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combined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quantified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costs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approximately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$4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million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year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7</w:t>
      </w:r>
      <w:r w:rsidRPr="00C317BB" w:rsidR="00FA75F8">
        <w:rPr>
          <w:rFonts w:cs="Times New Roman"/>
          <w:color w:val="000000" w:themeColor="text1"/>
          <w:szCs w:val="24"/>
        </w:rPr>
        <w:t>%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discount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rate.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Because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costs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prohibiting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sheet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gaskets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calculated,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costs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oilfield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brake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blocks,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friction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products,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gaskets,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combined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values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upper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bound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estimate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total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savings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lower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bound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estimate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total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costs.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000935" w:rsidP="00F27167" w:rsidRDefault="00E006F6" w14:paraId="6F4F0CA4" w14:textId="3125F96A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combined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national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quantified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benefits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avoided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cancer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cases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alternative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option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approximately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$2,</w:t>
      </w:r>
      <w:r w:rsidRPr="00C317BB" w:rsidR="009A1D27">
        <w:rPr>
          <w:rFonts w:cs="Times New Roman"/>
          <w:color w:val="000000" w:themeColor="text1"/>
          <w:szCs w:val="24"/>
        </w:rPr>
        <w:t>9</w:t>
      </w:r>
      <w:r w:rsidRPr="00C317BB">
        <w:rPr>
          <w:rFonts w:cs="Times New Roman"/>
          <w:color w:val="000000" w:themeColor="text1"/>
          <w:szCs w:val="24"/>
        </w:rPr>
        <w:t>00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year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3%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discount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$</w:t>
      </w:r>
      <w:r w:rsidRPr="00C317BB" w:rsidR="009A1D27">
        <w:rPr>
          <w:rFonts w:cs="Times New Roman"/>
          <w:color w:val="000000" w:themeColor="text1"/>
          <w:szCs w:val="24"/>
        </w:rPr>
        <w:t>1,1</w:t>
      </w:r>
      <w:r w:rsidRPr="00C317BB">
        <w:rPr>
          <w:rFonts w:cs="Times New Roman"/>
          <w:color w:val="000000" w:themeColor="text1"/>
          <w:szCs w:val="24"/>
        </w:rPr>
        <w:t>00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year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7%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discount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rate.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reflect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benefits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related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rule’s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requirements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chlor-alkali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diaphragms,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sheet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gaskets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chemical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production,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aftermarket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brakes.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estimate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total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benefits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requirements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oilfield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brake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blocks,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vehicle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friction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products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gaskets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because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Agency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have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0A1E">
        <w:rPr>
          <w:rFonts w:cs="Times New Roman"/>
          <w:color w:val="000000" w:themeColor="text1"/>
          <w:szCs w:val="24"/>
        </w:rPr>
        <w:t>sufficient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information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number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individuals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0A1E">
        <w:rPr>
          <w:rFonts w:cs="Times New Roman"/>
          <w:color w:val="000000" w:themeColor="text1"/>
          <w:szCs w:val="24"/>
        </w:rPr>
        <w:t>likely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0A1E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0A1E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affected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rule.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bookmarkStart w:name="_Hlk96934632" w:id="46"/>
      <w:r w:rsidRPr="00C317BB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case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option,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converting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diaphragm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plants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membrane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cells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yield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tens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millions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dollars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year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environmental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health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benefits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reduced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34898">
        <w:rPr>
          <w:rFonts w:cs="Times New Roman"/>
          <w:color w:val="000000" w:themeColor="text1"/>
          <w:szCs w:val="24"/>
        </w:rPr>
        <w:t>criteria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air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pollution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A52C5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A52C5">
        <w:rPr>
          <w:rFonts w:cs="Times New Roman"/>
          <w:color w:val="000000" w:themeColor="text1"/>
          <w:szCs w:val="24"/>
        </w:rPr>
        <w:t>CO2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A52C5">
        <w:rPr>
          <w:rFonts w:cs="Times New Roman"/>
          <w:color w:val="000000" w:themeColor="text1"/>
          <w:szCs w:val="24"/>
        </w:rPr>
        <w:t>emissions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due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decreased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electricity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consumption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production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00935">
        <w:rPr>
          <w:rFonts w:cs="Times New Roman"/>
          <w:color w:val="000000" w:themeColor="text1"/>
          <w:szCs w:val="24"/>
        </w:rPr>
        <w:t>(Ref.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9178F">
        <w:rPr>
          <w:rFonts w:cs="Times New Roman"/>
          <w:color w:val="000000" w:themeColor="text1"/>
          <w:szCs w:val="24"/>
        </w:rPr>
        <w:t>2</w:t>
      </w:r>
      <w:r w:rsidRPr="00C317BB" w:rsidR="00000935">
        <w:rPr>
          <w:rFonts w:cs="Times New Roman"/>
          <w:color w:val="000000" w:themeColor="text1"/>
          <w:szCs w:val="24"/>
        </w:rPr>
        <w:t>)</w:t>
      </w:r>
      <w:r w:rsidRPr="00C317BB" w:rsidR="000C775D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bookmarkEnd w:id="46"/>
    <w:p w:rsidRPr="00C317BB" w:rsidR="001A100C" w:rsidP="00F27167" w:rsidRDefault="001A100C" w14:paraId="42148CCD" w14:textId="512AD554">
      <w:pPr>
        <w:pStyle w:val="Heading3"/>
        <w:ind w:firstLine="720"/>
        <w:rPr>
          <w:rFonts w:cs="Times New Roman"/>
          <w:szCs w:val="24"/>
          <w:lang w:val="en"/>
        </w:rPr>
      </w:pPr>
      <w:r w:rsidRPr="00C317BB">
        <w:rPr>
          <w:rFonts w:cs="Times New Roman"/>
          <w:szCs w:val="24"/>
          <w:lang w:val="en"/>
        </w:rPr>
        <w:t>3.</w:t>
      </w:r>
      <w:r w:rsidR="005613B2">
        <w:rPr>
          <w:rFonts w:cs="Times New Roman"/>
          <w:szCs w:val="24"/>
          <w:lang w:val="en"/>
        </w:rPr>
        <w:t xml:space="preserve"> </w:t>
      </w:r>
      <w:r w:rsidRPr="00C317BB">
        <w:rPr>
          <w:rFonts w:cs="Times New Roman"/>
          <w:szCs w:val="24"/>
          <w:lang w:val="en"/>
        </w:rPr>
        <w:t>Cost</w:t>
      </w:r>
      <w:r w:rsidR="005613B2">
        <w:rPr>
          <w:rFonts w:cs="Times New Roman"/>
          <w:szCs w:val="24"/>
          <w:lang w:val="en"/>
        </w:rPr>
        <w:t xml:space="preserve"> </w:t>
      </w:r>
      <w:r w:rsidRPr="00C317BB">
        <w:rPr>
          <w:rFonts w:cs="Times New Roman"/>
          <w:szCs w:val="24"/>
          <w:lang w:val="en"/>
        </w:rPr>
        <w:t>effectiveness</w:t>
      </w:r>
      <w:r w:rsidR="005613B2">
        <w:rPr>
          <w:rFonts w:cs="Times New Roman"/>
          <w:szCs w:val="24"/>
          <w:lang w:val="en"/>
        </w:rPr>
        <w:t xml:space="preserve"> </w:t>
      </w:r>
      <w:r w:rsidRPr="00C317BB">
        <w:rPr>
          <w:rFonts w:cs="Times New Roman"/>
          <w:szCs w:val="24"/>
          <w:lang w:val="en"/>
        </w:rPr>
        <w:t>of</w:t>
      </w:r>
      <w:r w:rsidR="005613B2">
        <w:rPr>
          <w:rFonts w:cs="Times New Roman"/>
          <w:szCs w:val="24"/>
          <w:lang w:val="en"/>
        </w:rPr>
        <w:t xml:space="preserve"> </w:t>
      </w:r>
      <w:r w:rsidRPr="00C317BB">
        <w:rPr>
          <w:rFonts w:cs="Times New Roman"/>
          <w:szCs w:val="24"/>
          <w:lang w:val="en"/>
        </w:rPr>
        <w:t>the</w:t>
      </w:r>
      <w:r w:rsidR="005613B2">
        <w:rPr>
          <w:rFonts w:cs="Times New Roman"/>
          <w:szCs w:val="24"/>
          <w:lang w:val="en"/>
        </w:rPr>
        <w:t xml:space="preserve"> </w:t>
      </w:r>
      <w:r w:rsidRPr="00C317BB">
        <w:rPr>
          <w:rFonts w:cs="Times New Roman"/>
          <w:szCs w:val="24"/>
          <w:lang w:val="en"/>
        </w:rPr>
        <w:t>proposed</w:t>
      </w:r>
      <w:r w:rsidR="005613B2">
        <w:rPr>
          <w:rFonts w:cs="Times New Roman"/>
          <w:szCs w:val="24"/>
          <w:lang w:val="en"/>
        </w:rPr>
        <w:t xml:space="preserve"> </w:t>
      </w:r>
      <w:r w:rsidRPr="00C317BB">
        <w:rPr>
          <w:rFonts w:cs="Times New Roman"/>
          <w:szCs w:val="24"/>
          <w:lang w:val="en"/>
        </w:rPr>
        <w:t>regulatory</w:t>
      </w:r>
      <w:r w:rsidR="005613B2">
        <w:rPr>
          <w:rFonts w:cs="Times New Roman"/>
          <w:szCs w:val="24"/>
          <w:lang w:val="en"/>
        </w:rPr>
        <w:t xml:space="preserve"> </w:t>
      </w:r>
      <w:r w:rsidRPr="00C317BB">
        <w:rPr>
          <w:rFonts w:cs="Times New Roman"/>
          <w:szCs w:val="24"/>
          <w:lang w:val="en"/>
        </w:rPr>
        <w:t>action</w:t>
      </w:r>
      <w:r w:rsidR="005613B2">
        <w:rPr>
          <w:rFonts w:cs="Times New Roman"/>
          <w:szCs w:val="24"/>
          <w:lang w:val="en"/>
        </w:rPr>
        <w:t xml:space="preserve"> </w:t>
      </w:r>
      <w:r w:rsidRPr="00C317BB">
        <w:rPr>
          <w:rFonts w:cs="Times New Roman"/>
          <w:szCs w:val="24"/>
          <w:lang w:val="en"/>
        </w:rPr>
        <w:t>and</w:t>
      </w:r>
      <w:r w:rsidR="005613B2">
        <w:rPr>
          <w:rFonts w:cs="Times New Roman"/>
          <w:szCs w:val="24"/>
          <w:lang w:val="en"/>
        </w:rPr>
        <w:t xml:space="preserve"> </w:t>
      </w:r>
      <w:r w:rsidRPr="00C317BB">
        <w:rPr>
          <w:rFonts w:cs="Times New Roman"/>
          <w:szCs w:val="24"/>
          <w:lang w:val="en"/>
        </w:rPr>
        <w:t>primary</w:t>
      </w:r>
      <w:r w:rsidR="005613B2">
        <w:rPr>
          <w:rFonts w:cs="Times New Roman"/>
          <w:szCs w:val="24"/>
          <w:lang w:val="en"/>
        </w:rPr>
        <w:t xml:space="preserve"> </w:t>
      </w:r>
      <w:r w:rsidRPr="00C317BB">
        <w:rPr>
          <w:rFonts w:cs="Times New Roman"/>
          <w:szCs w:val="24"/>
          <w:lang w:val="en"/>
        </w:rPr>
        <w:t>alternative</w:t>
      </w:r>
      <w:r w:rsidR="005613B2">
        <w:rPr>
          <w:rFonts w:cs="Times New Roman"/>
          <w:szCs w:val="24"/>
          <w:lang w:val="en"/>
        </w:rPr>
        <w:t xml:space="preserve"> </w:t>
      </w:r>
      <w:r w:rsidRPr="00C317BB">
        <w:rPr>
          <w:rFonts w:cs="Times New Roman"/>
          <w:szCs w:val="24"/>
          <w:lang w:val="en"/>
        </w:rPr>
        <w:t>regulatory</w:t>
      </w:r>
      <w:r w:rsidR="005613B2">
        <w:rPr>
          <w:rFonts w:cs="Times New Roman"/>
          <w:szCs w:val="24"/>
          <w:lang w:val="en"/>
        </w:rPr>
        <w:t xml:space="preserve"> </w:t>
      </w:r>
      <w:r w:rsidRPr="00C317BB">
        <w:rPr>
          <w:rFonts w:cs="Times New Roman"/>
          <w:szCs w:val="24"/>
          <w:lang w:val="en"/>
        </w:rPr>
        <w:t>actions</w:t>
      </w:r>
      <w:r w:rsidR="005613B2">
        <w:rPr>
          <w:rFonts w:cs="Times New Roman"/>
          <w:szCs w:val="24"/>
          <w:lang w:val="en"/>
        </w:rPr>
        <w:t xml:space="preserve"> </w:t>
      </w:r>
      <w:r w:rsidRPr="00C317BB">
        <w:rPr>
          <w:rFonts w:cs="Times New Roman"/>
          <w:szCs w:val="24"/>
          <w:lang w:val="en"/>
        </w:rPr>
        <w:t>considered</w:t>
      </w:r>
      <w:r w:rsidR="005613B2">
        <w:rPr>
          <w:rFonts w:cs="Times New Roman"/>
          <w:szCs w:val="24"/>
          <w:lang w:val="en"/>
        </w:rPr>
        <w:t xml:space="preserve"> </w:t>
      </w:r>
      <w:r w:rsidRPr="00C317BB">
        <w:rPr>
          <w:rFonts w:cs="Times New Roman"/>
          <w:szCs w:val="24"/>
          <w:lang w:val="en"/>
        </w:rPr>
        <w:t>by</w:t>
      </w:r>
      <w:r w:rsidR="005613B2">
        <w:rPr>
          <w:rFonts w:cs="Times New Roman"/>
          <w:szCs w:val="24"/>
          <w:lang w:val="en"/>
        </w:rPr>
        <w:t xml:space="preserve"> </w:t>
      </w:r>
      <w:r w:rsidRPr="00C317BB">
        <w:rPr>
          <w:rFonts w:cs="Times New Roman"/>
          <w:szCs w:val="24"/>
          <w:lang w:val="en"/>
        </w:rPr>
        <w:t>the</w:t>
      </w:r>
      <w:r w:rsidR="005613B2">
        <w:rPr>
          <w:rFonts w:cs="Times New Roman"/>
          <w:szCs w:val="24"/>
          <w:lang w:val="en"/>
        </w:rPr>
        <w:t xml:space="preserve"> </w:t>
      </w:r>
      <w:r w:rsidRPr="00C317BB">
        <w:rPr>
          <w:rFonts w:cs="Times New Roman"/>
          <w:szCs w:val="24"/>
          <w:lang w:val="en"/>
        </w:rPr>
        <w:t>Administrator</w:t>
      </w:r>
      <w:r w:rsidRPr="00C317BB" w:rsidR="00A35D8D">
        <w:rPr>
          <w:rFonts w:cs="Times New Roman"/>
          <w:szCs w:val="24"/>
          <w:lang w:val="en"/>
        </w:rPr>
        <w:t>.</w:t>
      </w:r>
    </w:p>
    <w:p w:rsidRPr="00C317BB" w:rsidR="00D57FC2" w:rsidP="00F27167" w:rsidRDefault="004668E1" w14:paraId="3ED0BBD0" w14:textId="6E763BB9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COUs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where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determined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presents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unreasonable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injury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health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environment</w:t>
      </w:r>
      <w:r w:rsidRPr="00C317BB" w:rsidR="007F1180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1180">
        <w:rPr>
          <w:rFonts w:cs="Times New Roman"/>
          <w:color w:val="000000" w:themeColor="text1"/>
          <w:szCs w:val="24"/>
        </w:rPr>
        <w:t>both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1180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1180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1180">
        <w:rPr>
          <w:rFonts w:cs="Times New Roman"/>
          <w:color w:val="000000" w:themeColor="text1"/>
          <w:szCs w:val="24"/>
        </w:rPr>
        <w:t>option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1180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1180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1180">
        <w:rPr>
          <w:rFonts w:cs="Times New Roman"/>
          <w:color w:val="000000" w:themeColor="text1"/>
          <w:szCs w:val="24"/>
        </w:rPr>
        <w:t>alternative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1180">
        <w:rPr>
          <w:rFonts w:cs="Times New Roman"/>
          <w:color w:val="000000" w:themeColor="text1"/>
          <w:szCs w:val="24"/>
        </w:rPr>
        <w:t>option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1180">
        <w:rPr>
          <w:rFonts w:cs="Times New Roman"/>
          <w:color w:val="000000" w:themeColor="text1"/>
          <w:szCs w:val="24"/>
        </w:rPr>
        <w:t>reduce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unreasonable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1180">
        <w:rPr>
          <w:rFonts w:cs="Times New Roman"/>
          <w:color w:val="000000" w:themeColor="text1"/>
          <w:szCs w:val="24"/>
        </w:rPr>
        <w:t>risks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1180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1180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1180">
        <w:rPr>
          <w:rFonts w:cs="Times New Roman"/>
          <w:color w:val="000000" w:themeColor="text1"/>
          <w:szCs w:val="24"/>
        </w:rPr>
        <w:t>extent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1180">
        <w:rPr>
          <w:rFonts w:cs="Times New Roman"/>
          <w:color w:val="000000" w:themeColor="text1"/>
          <w:szCs w:val="24"/>
        </w:rPr>
        <w:t>necessary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1180">
        <w:rPr>
          <w:rFonts w:cs="Times New Roman"/>
          <w:color w:val="000000" w:themeColor="text1"/>
          <w:szCs w:val="24"/>
        </w:rPr>
        <w:t>such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1180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1180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1180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1180">
        <w:rPr>
          <w:rFonts w:cs="Times New Roman"/>
          <w:color w:val="000000" w:themeColor="text1"/>
          <w:szCs w:val="24"/>
        </w:rPr>
        <w:t>no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1180">
        <w:rPr>
          <w:rFonts w:cs="Times New Roman"/>
          <w:color w:val="000000" w:themeColor="text1"/>
          <w:szCs w:val="24"/>
        </w:rPr>
        <w:t>longer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1180">
        <w:rPr>
          <w:rFonts w:cs="Times New Roman"/>
          <w:color w:val="000000" w:themeColor="text1"/>
          <w:szCs w:val="24"/>
        </w:rPr>
        <w:t>presented.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1180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1180">
        <w:rPr>
          <w:rFonts w:cs="Times New Roman"/>
          <w:color w:val="000000" w:themeColor="text1"/>
          <w:szCs w:val="24"/>
        </w:rPr>
        <w:t>achieving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1180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1180">
        <w:rPr>
          <w:rFonts w:cs="Times New Roman"/>
          <w:color w:val="000000" w:themeColor="text1"/>
          <w:szCs w:val="24"/>
        </w:rPr>
        <w:t>result,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1180">
        <w:rPr>
          <w:rFonts w:cs="Times New Roman"/>
          <w:color w:val="000000" w:themeColor="text1"/>
          <w:szCs w:val="24"/>
        </w:rPr>
        <w:t>however,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1180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1180">
        <w:rPr>
          <w:rFonts w:cs="Times New Roman"/>
          <w:color w:val="000000" w:themeColor="text1"/>
          <w:szCs w:val="24"/>
        </w:rPr>
        <w:t>estimated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1180">
        <w:rPr>
          <w:rFonts w:cs="Times New Roman"/>
          <w:color w:val="000000" w:themeColor="text1"/>
          <w:szCs w:val="24"/>
        </w:rPr>
        <w:t>costs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1180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1180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1180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1180">
        <w:rPr>
          <w:rFonts w:cs="Times New Roman"/>
          <w:color w:val="000000" w:themeColor="text1"/>
          <w:szCs w:val="24"/>
        </w:rPr>
        <w:t>option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1180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1180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1180">
        <w:rPr>
          <w:rFonts w:cs="Times New Roman"/>
          <w:color w:val="000000" w:themeColor="text1"/>
          <w:szCs w:val="24"/>
        </w:rPr>
        <w:t>alternative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1180">
        <w:rPr>
          <w:rFonts w:cs="Times New Roman"/>
          <w:color w:val="000000" w:themeColor="text1"/>
          <w:szCs w:val="24"/>
        </w:rPr>
        <w:t>option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1180">
        <w:rPr>
          <w:rFonts w:cs="Times New Roman"/>
          <w:color w:val="000000" w:themeColor="text1"/>
          <w:szCs w:val="24"/>
        </w:rPr>
        <w:t>differ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1180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1180">
        <w:rPr>
          <w:rFonts w:cs="Times New Roman"/>
          <w:color w:val="000000" w:themeColor="text1"/>
          <w:szCs w:val="24"/>
        </w:rPr>
        <w:t>described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1180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1180">
        <w:rPr>
          <w:rFonts w:cs="Times New Roman"/>
          <w:color w:val="000000" w:themeColor="text1"/>
          <w:szCs w:val="24"/>
        </w:rPr>
        <w:t>Unit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1180">
        <w:rPr>
          <w:rFonts w:cs="Times New Roman"/>
          <w:color w:val="000000" w:themeColor="text1"/>
          <w:szCs w:val="24"/>
        </w:rPr>
        <w:t>V.F.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1180">
        <w:rPr>
          <w:rFonts w:cs="Times New Roman"/>
          <w:color w:val="000000" w:themeColor="text1"/>
          <w:szCs w:val="24"/>
        </w:rPr>
        <w:t>costs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1180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1180">
        <w:rPr>
          <w:rFonts w:cs="Times New Roman"/>
          <w:color w:val="000000" w:themeColor="text1"/>
          <w:szCs w:val="24"/>
        </w:rPr>
        <w:t>achieving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1180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1180">
        <w:rPr>
          <w:rFonts w:cs="Times New Roman"/>
          <w:color w:val="000000" w:themeColor="text1"/>
          <w:szCs w:val="24"/>
        </w:rPr>
        <w:t>desired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1180">
        <w:rPr>
          <w:rFonts w:cs="Times New Roman"/>
          <w:color w:val="000000" w:themeColor="text1"/>
          <w:szCs w:val="24"/>
        </w:rPr>
        <w:t>outcome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1180">
        <w:rPr>
          <w:rFonts w:cs="Times New Roman"/>
          <w:color w:val="000000" w:themeColor="text1"/>
          <w:szCs w:val="24"/>
        </w:rPr>
        <w:t>via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1180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1180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1180">
        <w:rPr>
          <w:rFonts w:cs="Times New Roman"/>
          <w:color w:val="000000" w:themeColor="text1"/>
          <w:szCs w:val="24"/>
        </w:rPr>
        <w:t>option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1180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1180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1180">
        <w:rPr>
          <w:rFonts w:cs="Times New Roman"/>
          <w:color w:val="000000" w:themeColor="text1"/>
          <w:szCs w:val="24"/>
        </w:rPr>
        <w:t>alternative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1180">
        <w:rPr>
          <w:rFonts w:cs="Times New Roman"/>
          <w:color w:val="000000" w:themeColor="text1"/>
          <w:szCs w:val="24"/>
        </w:rPr>
        <w:t>option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1180">
        <w:rPr>
          <w:rFonts w:cs="Times New Roman"/>
          <w:color w:val="000000" w:themeColor="text1"/>
          <w:szCs w:val="24"/>
        </w:rPr>
        <w:t>can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1180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1180">
        <w:rPr>
          <w:rFonts w:cs="Times New Roman"/>
          <w:color w:val="000000" w:themeColor="text1"/>
          <w:szCs w:val="24"/>
        </w:rPr>
        <w:t>compared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1180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1180">
        <w:rPr>
          <w:rFonts w:cs="Times New Roman"/>
          <w:color w:val="000000" w:themeColor="text1"/>
          <w:szCs w:val="24"/>
        </w:rPr>
        <w:t>evaluate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1180">
        <w:rPr>
          <w:rFonts w:cs="Times New Roman"/>
          <w:color w:val="000000" w:themeColor="text1"/>
          <w:szCs w:val="24"/>
        </w:rPr>
        <w:t>cost-effectiveness.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1180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cost-effectiveness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options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depends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whether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1180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1180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1180">
        <w:rPr>
          <w:rFonts w:cs="Times New Roman"/>
          <w:color w:val="000000" w:themeColor="text1"/>
          <w:szCs w:val="24"/>
        </w:rPr>
        <w:t>what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1180">
        <w:rPr>
          <w:rFonts w:cs="Times New Roman"/>
          <w:color w:val="000000" w:themeColor="text1"/>
          <w:szCs w:val="24"/>
        </w:rPr>
        <w:t>extent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higher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grade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caustic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soda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produced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membrane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cells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generates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increased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revenues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chlor-alkali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manufacturers.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If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revenues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caustic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soda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1180">
        <w:rPr>
          <w:rFonts w:cs="Times New Roman"/>
          <w:color w:val="000000" w:themeColor="text1"/>
          <w:szCs w:val="24"/>
        </w:rPr>
        <w:t>do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increase,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option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91DDE">
        <w:rPr>
          <w:rFonts w:cs="Times New Roman"/>
          <w:color w:val="000000" w:themeColor="text1"/>
          <w:szCs w:val="24"/>
        </w:rPr>
        <w:t>result</w:t>
      </w:r>
      <w:r w:rsidRPr="00C317BB" w:rsidR="009A0F1A">
        <w:rPr>
          <w:rFonts w:cs="Times New Roman"/>
          <w:color w:val="000000" w:themeColor="text1"/>
          <w:szCs w:val="24"/>
        </w:rPr>
        <w:t>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91DDE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91DDE">
        <w:rPr>
          <w:rFonts w:cs="Times New Roman"/>
          <w:color w:val="000000" w:themeColor="text1"/>
          <w:szCs w:val="24"/>
        </w:rPr>
        <w:t>estimated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91DDE">
        <w:rPr>
          <w:rFonts w:cs="Times New Roman"/>
          <w:color w:val="000000" w:themeColor="text1"/>
          <w:szCs w:val="24"/>
        </w:rPr>
        <w:t>annualized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91DDE">
        <w:rPr>
          <w:rFonts w:cs="Times New Roman"/>
          <w:color w:val="000000" w:themeColor="text1"/>
          <w:szCs w:val="24"/>
        </w:rPr>
        <w:t>cost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91DDE">
        <w:rPr>
          <w:rFonts w:cs="Times New Roman"/>
          <w:color w:val="000000" w:themeColor="text1"/>
          <w:szCs w:val="24"/>
        </w:rPr>
        <w:t>savings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91DDE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91DDE">
        <w:rPr>
          <w:rFonts w:cs="Times New Roman"/>
          <w:color w:val="000000" w:themeColor="text1"/>
          <w:szCs w:val="24"/>
        </w:rPr>
        <w:t>about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91DDE">
        <w:rPr>
          <w:rFonts w:cs="Times New Roman"/>
          <w:color w:val="000000" w:themeColor="text1"/>
          <w:szCs w:val="24"/>
        </w:rPr>
        <w:t>$35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91DDE">
        <w:rPr>
          <w:rFonts w:cs="Times New Roman"/>
          <w:color w:val="000000" w:themeColor="text1"/>
          <w:szCs w:val="24"/>
        </w:rPr>
        <w:t>million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91DDE">
        <w:rPr>
          <w:rFonts w:cs="Times New Roman"/>
          <w:color w:val="000000" w:themeColor="text1"/>
          <w:szCs w:val="24"/>
        </w:rPr>
        <w:t>per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91DDE">
        <w:rPr>
          <w:rFonts w:cs="Times New Roman"/>
          <w:color w:val="000000" w:themeColor="text1"/>
          <w:szCs w:val="24"/>
        </w:rPr>
        <w:t>year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91DDE">
        <w:rPr>
          <w:rFonts w:cs="Times New Roman"/>
          <w:color w:val="000000" w:themeColor="text1"/>
          <w:szCs w:val="24"/>
        </w:rPr>
        <w:t>using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91DDE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91DDE">
        <w:rPr>
          <w:rFonts w:cs="Times New Roman"/>
          <w:color w:val="000000" w:themeColor="text1"/>
          <w:szCs w:val="24"/>
        </w:rPr>
        <w:t>3%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91DDE">
        <w:rPr>
          <w:rFonts w:cs="Times New Roman"/>
          <w:color w:val="000000" w:themeColor="text1"/>
          <w:szCs w:val="24"/>
        </w:rPr>
        <w:t>discount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91DDE">
        <w:rPr>
          <w:rFonts w:cs="Times New Roman"/>
          <w:color w:val="000000" w:themeColor="text1"/>
          <w:szCs w:val="24"/>
        </w:rPr>
        <w:t>rate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91DDE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91DDE">
        <w:rPr>
          <w:rFonts w:cs="Times New Roman"/>
          <w:color w:val="000000" w:themeColor="text1"/>
          <w:szCs w:val="24"/>
        </w:rPr>
        <w:t>about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91DDE">
        <w:rPr>
          <w:rFonts w:cs="Times New Roman"/>
          <w:color w:val="000000" w:themeColor="text1"/>
          <w:szCs w:val="24"/>
        </w:rPr>
        <w:t>$27,000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91DDE">
        <w:rPr>
          <w:rFonts w:cs="Times New Roman"/>
          <w:color w:val="000000" w:themeColor="text1"/>
          <w:szCs w:val="24"/>
        </w:rPr>
        <w:t>using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91DDE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91DDE">
        <w:rPr>
          <w:rFonts w:cs="Times New Roman"/>
          <w:color w:val="000000" w:themeColor="text1"/>
          <w:szCs w:val="24"/>
        </w:rPr>
        <w:t>7%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91DDE">
        <w:rPr>
          <w:rFonts w:cs="Times New Roman"/>
          <w:color w:val="000000" w:themeColor="text1"/>
          <w:szCs w:val="24"/>
        </w:rPr>
        <w:t>rate.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91DDE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91DDE">
        <w:rPr>
          <w:rFonts w:cs="Times New Roman"/>
          <w:color w:val="000000" w:themeColor="text1"/>
          <w:szCs w:val="24"/>
        </w:rPr>
        <w:t>alternative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91DDE">
        <w:rPr>
          <w:rFonts w:cs="Times New Roman"/>
          <w:color w:val="000000" w:themeColor="text1"/>
          <w:szCs w:val="24"/>
        </w:rPr>
        <w:t>option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91DDE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91DDE">
        <w:rPr>
          <w:rFonts w:cs="Times New Roman"/>
          <w:color w:val="000000" w:themeColor="text1"/>
          <w:szCs w:val="24"/>
        </w:rPr>
        <w:t>estimated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91DDE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91DDE">
        <w:rPr>
          <w:rFonts w:cs="Times New Roman"/>
          <w:color w:val="000000" w:themeColor="text1"/>
          <w:szCs w:val="24"/>
        </w:rPr>
        <w:t>result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91DDE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91DDE">
        <w:rPr>
          <w:rFonts w:cs="Times New Roman"/>
          <w:color w:val="000000" w:themeColor="text1"/>
          <w:szCs w:val="24"/>
        </w:rPr>
        <w:t>annualized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91DDE">
        <w:rPr>
          <w:rFonts w:cs="Times New Roman"/>
          <w:color w:val="000000" w:themeColor="text1"/>
          <w:szCs w:val="24"/>
        </w:rPr>
        <w:t>savings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91DDE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91DDE">
        <w:rPr>
          <w:rFonts w:cs="Times New Roman"/>
          <w:color w:val="000000" w:themeColor="text1"/>
          <w:szCs w:val="24"/>
        </w:rPr>
        <w:t>about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91DDE">
        <w:rPr>
          <w:rFonts w:cs="Times New Roman"/>
          <w:color w:val="000000" w:themeColor="text1"/>
          <w:szCs w:val="24"/>
        </w:rPr>
        <w:t>$26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91DDE">
        <w:rPr>
          <w:rFonts w:cs="Times New Roman"/>
          <w:color w:val="000000" w:themeColor="text1"/>
          <w:szCs w:val="24"/>
        </w:rPr>
        <w:t>million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91DDE">
        <w:rPr>
          <w:rFonts w:cs="Times New Roman"/>
          <w:color w:val="000000" w:themeColor="text1"/>
          <w:szCs w:val="24"/>
        </w:rPr>
        <w:t>per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91DDE">
        <w:rPr>
          <w:rFonts w:cs="Times New Roman"/>
          <w:color w:val="000000" w:themeColor="text1"/>
          <w:szCs w:val="24"/>
        </w:rPr>
        <w:t>year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91DDE">
        <w:rPr>
          <w:rFonts w:cs="Times New Roman"/>
          <w:color w:val="000000" w:themeColor="text1"/>
          <w:szCs w:val="24"/>
        </w:rPr>
        <w:t>using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91DDE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91DDE">
        <w:rPr>
          <w:rFonts w:cs="Times New Roman"/>
          <w:color w:val="000000" w:themeColor="text1"/>
          <w:szCs w:val="24"/>
        </w:rPr>
        <w:t>3%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91DDE">
        <w:rPr>
          <w:rFonts w:cs="Times New Roman"/>
          <w:color w:val="000000" w:themeColor="text1"/>
          <w:szCs w:val="24"/>
        </w:rPr>
        <w:t>discount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91DDE">
        <w:rPr>
          <w:rFonts w:cs="Times New Roman"/>
          <w:color w:val="000000" w:themeColor="text1"/>
          <w:szCs w:val="24"/>
        </w:rPr>
        <w:t>rate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91DDE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A0F1A">
        <w:rPr>
          <w:rFonts w:cs="Times New Roman"/>
          <w:color w:val="000000" w:themeColor="text1"/>
          <w:szCs w:val="24"/>
        </w:rPr>
        <w:t>annualized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91DDE">
        <w:rPr>
          <w:rFonts w:cs="Times New Roman"/>
          <w:color w:val="000000" w:themeColor="text1"/>
          <w:szCs w:val="24"/>
        </w:rPr>
        <w:t>costs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91DDE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91DDE">
        <w:rPr>
          <w:rFonts w:cs="Times New Roman"/>
          <w:color w:val="000000" w:themeColor="text1"/>
          <w:szCs w:val="24"/>
        </w:rPr>
        <w:t>about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91DDE">
        <w:rPr>
          <w:rFonts w:cs="Times New Roman"/>
          <w:color w:val="000000" w:themeColor="text1"/>
          <w:szCs w:val="24"/>
        </w:rPr>
        <w:t>$4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91DDE">
        <w:rPr>
          <w:rFonts w:cs="Times New Roman"/>
          <w:color w:val="000000" w:themeColor="text1"/>
          <w:szCs w:val="24"/>
        </w:rPr>
        <w:t>million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91DDE">
        <w:rPr>
          <w:rFonts w:cs="Times New Roman"/>
          <w:color w:val="000000" w:themeColor="text1"/>
          <w:szCs w:val="24"/>
        </w:rPr>
        <w:t>per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91DDE">
        <w:rPr>
          <w:rFonts w:cs="Times New Roman"/>
          <w:color w:val="000000" w:themeColor="text1"/>
          <w:szCs w:val="24"/>
        </w:rPr>
        <w:t>year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91DDE">
        <w:rPr>
          <w:rFonts w:cs="Times New Roman"/>
          <w:color w:val="000000" w:themeColor="text1"/>
          <w:szCs w:val="24"/>
        </w:rPr>
        <w:t>using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91DDE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91DDE">
        <w:rPr>
          <w:rFonts w:cs="Times New Roman"/>
          <w:color w:val="000000" w:themeColor="text1"/>
          <w:szCs w:val="24"/>
        </w:rPr>
        <w:t>7%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91DDE">
        <w:rPr>
          <w:rFonts w:cs="Times New Roman"/>
          <w:color w:val="000000" w:themeColor="text1"/>
          <w:szCs w:val="24"/>
        </w:rPr>
        <w:t>rate.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91DDE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91DDE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A0F1A">
        <w:rPr>
          <w:rFonts w:cs="Times New Roman"/>
          <w:color w:val="000000" w:themeColor="text1"/>
          <w:szCs w:val="24"/>
        </w:rPr>
        <w:t>revenue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A0F1A">
        <w:rPr>
          <w:rFonts w:cs="Times New Roman"/>
          <w:color w:val="000000" w:themeColor="text1"/>
          <w:szCs w:val="24"/>
        </w:rPr>
        <w:t>increasing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91DDE">
        <w:rPr>
          <w:rFonts w:cs="Times New Roman"/>
          <w:color w:val="000000" w:themeColor="text1"/>
          <w:szCs w:val="24"/>
        </w:rPr>
        <w:t>scenario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1180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1180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1180">
        <w:rPr>
          <w:rFonts w:cs="Times New Roman"/>
          <w:color w:val="000000" w:themeColor="text1"/>
          <w:szCs w:val="24"/>
        </w:rPr>
        <w:t>option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1180">
        <w:rPr>
          <w:rFonts w:cs="Times New Roman"/>
          <w:color w:val="000000" w:themeColor="text1"/>
          <w:szCs w:val="24"/>
        </w:rPr>
        <w:t>will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1180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1180">
        <w:rPr>
          <w:rFonts w:cs="Times New Roman"/>
          <w:color w:val="000000" w:themeColor="text1"/>
          <w:szCs w:val="24"/>
        </w:rPr>
        <w:t>more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1180">
        <w:rPr>
          <w:rFonts w:cs="Times New Roman"/>
          <w:color w:val="000000" w:themeColor="text1"/>
          <w:szCs w:val="24"/>
        </w:rPr>
        <w:t>cost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1180">
        <w:rPr>
          <w:rFonts w:cs="Times New Roman"/>
          <w:color w:val="000000" w:themeColor="text1"/>
          <w:szCs w:val="24"/>
        </w:rPr>
        <w:t>effective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1180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1180">
        <w:rPr>
          <w:rFonts w:cs="Times New Roman"/>
          <w:color w:val="000000" w:themeColor="text1"/>
          <w:szCs w:val="24"/>
        </w:rPr>
        <w:t>addressing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1180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1180">
        <w:rPr>
          <w:rFonts w:cs="Times New Roman"/>
          <w:color w:val="000000" w:themeColor="text1"/>
          <w:szCs w:val="24"/>
        </w:rPr>
        <w:t>unreasonable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1180">
        <w:rPr>
          <w:rFonts w:cs="Times New Roman"/>
          <w:color w:val="000000" w:themeColor="text1"/>
          <w:szCs w:val="24"/>
        </w:rPr>
        <w:t>risk.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If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there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no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increase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revenues,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A0F1A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A0F1A">
        <w:rPr>
          <w:rFonts w:cs="Times New Roman"/>
          <w:color w:val="000000" w:themeColor="text1"/>
          <w:szCs w:val="24"/>
        </w:rPr>
        <w:t>estimated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A0F1A">
        <w:rPr>
          <w:rFonts w:cs="Times New Roman"/>
          <w:color w:val="000000" w:themeColor="text1"/>
          <w:szCs w:val="24"/>
        </w:rPr>
        <w:t>annualized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A0F1A">
        <w:rPr>
          <w:rFonts w:cs="Times New Roman"/>
          <w:color w:val="000000" w:themeColor="text1"/>
          <w:szCs w:val="24"/>
        </w:rPr>
        <w:t>costs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A0F1A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A0F1A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A0F1A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A0F1A">
        <w:rPr>
          <w:rFonts w:cs="Times New Roman"/>
          <w:color w:val="000000" w:themeColor="text1"/>
          <w:szCs w:val="24"/>
        </w:rPr>
        <w:t>rule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A0F1A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A0F1A">
        <w:rPr>
          <w:rFonts w:cs="Times New Roman"/>
          <w:color w:val="000000" w:themeColor="text1"/>
          <w:szCs w:val="24"/>
        </w:rPr>
        <w:t>about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A0F1A">
        <w:rPr>
          <w:rFonts w:cs="Times New Roman"/>
          <w:color w:val="000000" w:themeColor="text1"/>
          <w:szCs w:val="24"/>
        </w:rPr>
        <w:t>$49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A0F1A">
        <w:rPr>
          <w:rFonts w:cs="Times New Roman"/>
          <w:color w:val="000000" w:themeColor="text1"/>
          <w:szCs w:val="24"/>
        </w:rPr>
        <w:t>million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A0F1A">
        <w:rPr>
          <w:rFonts w:cs="Times New Roman"/>
          <w:color w:val="000000" w:themeColor="text1"/>
          <w:szCs w:val="24"/>
        </w:rPr>
        <w:t>per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A0F1A">
        <w:rPr>
          <w:rFonts w:cs="Times New Roman"/>
          <w:color w:val="000000" w:themeColor="text1"/>
          <w:szCs w:val="24"/>
        </w:rPr>
        <w:t>year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A0F1A">
        <w:rPr>
          <w:rFonts w:cs="Times New Roman"/>
          <w:color w:val="000000" w:themeColor="text1"/>
          <w:szCs w:val="24"/>
        </w:rPr>
        <w:t>using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A0F1A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A0F1A">
        <w:rPr>
          <w:rFonts w:cs="Times New Roman"/>
          <w:color w:val="000000" w:themeColor="text1"/>
          <w:szCs w:val="24"/>
        </w:rPr>
        <w:t>3%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A0F1A">
        <w:rPr>
          <w:rFonts w:cs="Times New Roman"/>
          <w:color w:val="000000" w:themeColor="text1"/>
          <w:szCs w:val="24"/>
        </w:rPr>
        <w:t>discount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A0F1A">
        <w:rPr>
          <w:rFonts w:cs="Times New Roman"/>
          <w:color w:val="000000" w:themeColor="text1"/>
          <w:szCs w:val="24"/>
        </w:rPr>
        <w:t>rate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A0F1A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A0F1A">
        <w:rPr>
          <w:rFonts w:cs="Times New Roman"/>
          <w:color w:val="000000" w:themeColor="text1"/>
          <w:szCs w:val="24"/>
        </w:rPr>
        <w:t>about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A0F1A">
        <w:rPr>
          <w:rFonts w:cs="Times New Roman"/>
          <w:color w:val="000000" w:themeColor="text1"/>
          <w:szCs w:val="24"/>
        </w:rPr>
        <w:t>$87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A0F1A">
        <w:rPr>
          <w:rFonts w:cs="Times New Roman"/>
          <w:color w:val="000000" w:themeColor="text1"/>
          <w:szCs w:val="24"/>
        </w:rPr>
        <w:t>million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A0F1A">
        <w:rPr>
          <w:rFonts w:cs="Times New Roman"/>
          <w:color w:val="000000" w:themeColor="text1"/>
          <w:szCs w:val="24"/>
        </w:rPr>
        <w:t>per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A0F1A">
        <w:rPr>
          <w:rFonts w:cs="Times New Roman"/>
          <w:color w:val="000000" w:themeColor="text1"/>
          <w:szCs w:val="24"/>
        </w:rPr>
        <w:t>year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A0F1A">
        <w:rPr>
          <w:rFonts w:cs="Times New Roman"/>
          <w:color w:val="000000" w:themeColor="text1"/>
          <w:szCs w:val="24"/>
        </w:rPr>
        <w:t>using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A0F1A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A0F1A">
        <w:rPr>
          <w:rFonts w:cs="Times New Roman"/>
          <w:color w:val="000000" w:themeColor="text1"/>
          <w:szCs w:val="24"/>
        </w:rPr>
        <w:t>7%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A0F1A">
        <w:rPr>
          <w:rFonts w:cs="Times New Roman"/>
          <w:color w:val="000000" w:themeColor="text1"/>
          <w:szCs w:val="24"/>
        </w:rPr>
        <w:t>rate.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A0F1A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A0F1A">
        <w:rPr>
          <w:rFonts w:cs="Times New Roman"/>
          <w:color w:val="000000" w:themeColor="text1"/>
          <w:szCs w:val="24"/>
        </w:rPr>
        <w:t>estimated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A0F1A">
        <w:rPr>
          <w:rFonts w:cs="Times New Roman"/>
          <w:color w:val="000000" w:themeColor="text1"/>
          <w:szCs w:val="24"/>
        </w:rPr>
        <w:t>annualized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A0F1A">
        <w:rPr>
          <w:rFonts w:cs="Times New Roman"/>
          <w:color w:val="000000" w:themeColor="text1"/>
          <w:szCs w:val="24"/>
        </w:rPr>
        <w:t>costs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A0F1A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A0F1A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A0F1A">
        <w:rPr>
          <w:rFonts w:cs="Times New Roman"/>
          <w:color w:val="000000" w:themeColor="text1"/>
          <w:szCs w:val="24"/>
        </w:rPr>
        <w:t>alternative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A0F1A">
        <w:rPr>
          <w:rFonts w:cs="Times New Roman"/>
          <w:color w:val="000000" w:themeColor="text1"/>
          <w:szCs w:val="24"/>
        </w:rPr>
        <w:t>option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A0F1A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A0F1A">
        <w:rPr>
          <w:rFonts w:cs="Times New Roman"/>
          <w:color w:val="000000" w:themeColor="text1"/>
          <w:szCs w:val="24"/>
        </w:rPr>
        <w:t>about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A0F1A">
        <w:rPr>
          <w:rFonts w:cs="Times New Roman"/>
          <w:color w:val="000000" w:themeColor="text1"/>
          <w:szCs w:val="24"/>
        </w:rPr>
        <w:t>$48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A0F1A">
        <w:rPr>
          <w:rFonts w:cs="Times New Roman"/>
          <w:color w:val="000000" w:themeColor="text1"/>
          <w:szCs w:val="24"/>
        </w:rPr>
        <w:t>million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A0F1A">
        <w:rPr>
          <w:rFonts w:cs="Times New Roman"/>
          <w:color w:val="000000" w:themeColor="text1"/>
          <w:szCs w:val="24"/>
        </w:rPr>
        <w:t>per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A0F1A">
        <w:rPr>
          <w:rFonts w:cs="Times New Roman"/>
          <w:color w:val="000000" w:themeColor="text1"/>
          <w:szCs w:val="24"/>
        </w:rPr>
        <w:t>year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A0F1A">
        <w:rPr>
          <w:rFonts w:cs="Times New Roman"/>
          <w:color w:val="000000" w:themeColor="text1"/>
          <w:szCs w:val="24"/>
        </w:rPr>
        <w:t>using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A0F1A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A0F1A">
        <w:rPr>
          <w:rFonts w:cs="Times New Roman"/>
          <w:color w:val="000000" w:themeColor="text1"/>
          <w:szCs w:val="24"/>
        </w:rPr>
        <w:t>3%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A0F1A">
        <w:rPr>
          <w:rFonts w:cs="Times New Roman"/>
          <w:color w:val="000000" w:themeColor="text1"/>
          <w:szCs w:val="24"/>
        </w:rPr>
        <w:t>discount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A0F1A">
        <w:rPr>
          <w:rFonts w:cs="Times New Roman"/>
          <w:color w:val="000000" w:themeColor="text1"/>
          <w:szCs w:val="24"/>
        </w:rPr>
        <w:t>rate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A0F1A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73B02">
        <w:rPr>
          <w:rFonts w:cs="Times New Roman"/>
          <w:color w:val="000000" w:themeColor="text1"/>
          <w:szCs w:val="24"/>
        </w:rPr>
        <w:t>about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A0F1A">
        <w:rPr>
          <w:rFonts w:cs="Times New Roman"/>
          <w:color w:val="000000" w:themeColor="text1"/>
          <w:szCs w:val="24"/>
        </w:rPr>
        <w:t>$78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A0F1A">
        <w:rPr>
          <w:rFonts w:cs="Times New Roman"/>
          <w:color w:val="000000" w:themeColor="text1"/>
          <w:szCs w:val="24"/>
        </w:rPr>
        <w:t>million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A0F1A">
        <w:rPr>
          <w:rFonts w:cs="Times New Roman"/>
          <w:color w:val="000000" w:themeColor="text1"/>
          <w:szCs w:val="24"/>
        </w:rPr>
        <w:t>per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A0F1A">
        <w:rPr>
          <w:rFonts w:cs="Times New Roman"/>
          <w:color w:val="000000" w:themeColor="text1"/>
          <w:szCs w:val="24"/>
        </w:rPr>
        <w:t>year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A0F1A">
        <w:rPr>
          <w:rFonts w:cs="Times New Roman"/>
          <w:color w:val="000000" w:themeColor="text1"/>
          <w:szCs w:val="24"/>
        </w:rPr>
        <w:t>using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A0F1A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A0F1A">
        <w:rPr>
          <w:rFonts w:cs="Times New Roman"/>
          <w:color w:val="000000" w:themeColor="text1"/>
          <w:szCs w:val="24"/>
        </w:rPr>
        <w:t>7%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A0F1A">
        <w:rPr>
          <w:rFonts w:cs="Times New Roman"/>
          <w:color w:val="000000" w:themeColor="text1"/>
          <w:szCs w:val="24"/>
        </w:rPr>
        <w:t>rate.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A0F1A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A0F1A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A0F1A">
        <w:rPr>
          <w:rFonts w:cs="Times New Roman"/>
          <w:color w:val="000000" w:themeColor="text1"/>
          <w:szCs w:val="24"/>
        </w:rPr>
        <w:t>revenue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A0F1A">
        <w:rPr>
          <w:rFonts w:cs="Times New Roman"/>
          <w:color w:val="000000" w:themeColor="text1"/>
          <w:szCs w:val="24"/>
        </w:rPr>
        <w:t>neutral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A0F1A">
        <w:rPr>
          <w:rFonts w:cs="Times New Roman"/>
          <w:color w:val="000000" w:themeColor="text1"/>
          <w:szCs w:val="24"/>
        </w:rPr>
        <w:t>scenario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1180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1180">
        <w:rPr>
          <w:rFonts w:cs="Times New Roman"/>
          <w:color w:val="000000" w:themeColor="text1"/>
          <w:szCs w:val="24"/>
        </w:rPr>
        <w:t>alternative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1180">
        <w:rPr>
          <w:rFonts w:cs="Times New Roman"/>
          <w:color w:val="000000" w:themeColor="text1"/>
          <w:szCs w:val="24"/>
        </w:rPr>
        <w:t>option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1180">
        <w:rPr>
          <w:rFonts w:cs="Times New Roman"/>
          <w:color w:val="000000" w:themeColor="text1"/>
          <w:szCs w:val="24"/>
        </w:rPr>
        <w:t>will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1180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1180">
        <w:rPr>
          <w:rFonts w:cs="Times New Roman"/>
          <w:color w:val="000000" w:themeColor="text1"/>
          <w:szCs w:val="24"/>
        </w:rPr>
        <w:t>more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1180">
        <w:rPr>
          <w:rFonts w:cs="Times New Roman"/>
          <w:color w:val="000000" w:themeColor="text1"/>
          <w:szCs w:val="24"/>
        </w:rPr>
        <w:t>cost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1180">
        <w:rPr>
          <w:rFonts w:cs="Times New Roman"/>
          <w:color w:val="000000" w:themeColor="text1"/>
          <w:szCs w:val="24"/>
        </w:rPr>
        <w:t>effective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1180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1180">
        <w:rPr>
          <w:rFonts w:cs="Times New Roman"/>
          <w:color w:val="000000" w:themeColor="text1"/>
          <w:szCs w:val="24"/>
        </w:rPr>
        <w:t>addressing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1180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1180">
        <w:rPr>
          <w:rFonts w:cs="Times New Roman"/>
          <w:color w:val="000000" w:themeColor="text1"/>
          <w:szCs w:val="24"/>
        </w:rPr>
        <w:t>unreasonable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1180">
        <w:rPr>
          <w:rFonts w:cs="Times New Roman"/>
          <w:color w:val="000000" w:themeColor="text1"/>
          <w:szCs w:val="24"/>
        </w:rPr>
        <w:t>risk.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latter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scenario,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difference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annualized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costs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between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options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1180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largely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due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differences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their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effective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dates.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because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costs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occur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farther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future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have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smaller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net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present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values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annualized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values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than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same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costs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occur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sooner.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dates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when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manufacture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(including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import),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processing,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distribution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commerce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commercial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prohibited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occur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1180">
        <w:rPr>
          <w:rFonts w:cs="Times New Roman"/>
          <w:color w:val="000000" w:themeColor="text1"/>
          <w:szCs w:val="24"/>
        </w:rPr>
        <w:t>later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alternative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option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than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option.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1180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differences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annualized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costs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mainly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1180">
        <w:rPr>
          <w:rFonts w:cs="Times New Roman"/>
          <w:color w:val="000000" w:themeColor="text1"/>
          <w:szCs w:val="24"/>
        </w:rPr>
        <w:t>due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1180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discounting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driven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differences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estimated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unit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costs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compliance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between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two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options.</w:t>
      </w:r>
    </w:p>
    <w:p w:rsidRPr="00C317BB" w:rsidR="00FA1929" w:rsidP="00FA1929" w:rsidRDefault="00137D77" w14:paraId="6DEE73B2" w14:textId="206D9F0D">
      <w:pPr>
        <w:pStyle w:val="Heading3"/>
        <w:ind w:firstLine="720"/>
        <w:rPr>
          <w:rFonts w:cs="Times New Roman"/>
          <w:szCs w:val="24"/>
          <w:lang w:val="en"/>
        </w:rPr>
      </w:pPr>
      <w:r w:rsidRPr="00C317BB">
        <w:rPr>
          <w:rFonts w:cs="Times New Roman"/>
          <w:szCs w:val="24"/>
          <w:lang w:val="en"/>
        </w:rPr>
        <w:t>4</w:t>
      </w:r>
      <w:r w:rsidRPr="00C317BB" w:rsidR="00FA1929">
        <w:rPr>
          <w:rFonts w:cs="Times New Roman"/>
          <w:szCs w:val="24"/>
          <w:lang w:val="en"/>
        </w:rPr>
        <w:t>.</w:t>
      </w:r>
      <w:r w:rsidR="005613B2">
        <w:rPr>
          <w:rFonts w:cs="Times New Roman"/>
          <w:szCs w:val="24"/>
          <w:lang w:val="en"/>
        </w:rPr>
        <w:t xml:space="preserve"> </w:t>
      </w:r>
      <w:r w:rsidRPr="00C317BB" w:rsidR="00FA1929">
        <w:rPr>
          <w:rFonts w:cs="Times New Roman"/>
          <w:szCs w:val="24"/>
          <w:lang w:val="en"/>
        </w:rPr>
        <w:t>Request</w:t>
      </w:r>
      <w:r w:rsidR="005613B2">
        <w:rPr>
          <w:rFonts w:cs="Times New Roman"/>
          <w:szCs w:val="24"/>
          <w:lang w:val="en"/>
        </w:rPr>
        <w:t xml:space="preserve"> </w:t>
      </w:r>
      <w:r w:rsidRPr="00C317BB" w:rsidR="00FA1929">
        <w:rPr>
          <w:rFonts w:cs="Times New Roman"/>
          <w:szCs w:val="24"/>
          <w:lang w:val="en"/>
        </w:rPr>
        <w:t>for</w:t>
      </w:r>
      <w:r w:rsidR="005613B2">
        <w:rPr>
          <w:rFonts w:cs="Times New Roman"/>
          <w:szCs w:val="24"/>
          <w:lang w:val="en"/>
        </w:rPr>
        <w:t xml:space="preserve"> </w:t>
      </w:r>
      <w:r w:rsidRPr="00C317BB" w:rsidR="00FA1929">
        <w:rPr>
          <w:rFonts w:cs="Times New Roman"/>
          <w:szCs w:val="24"/>
          <w:lang w:val="en"/>
        </w:rPr>
        <w:t>comment</w:t>
      </w:r>
      <w:r w:rsidR="005613B2">
        <w:rPr>
          <w:rFonts w:cs="Times New Roman"/>
          <w:szCs w:val="24"/>
          <w:lang w:val="en"/>
        </w:rPr>
        <w:t xml:space="preserve"> </w:t>
      </w:r>
      <w:r w:rsidRPr="00C317BB" w:rsidR="00FA1929">
        <w:rPr>
          <w:rFonts w:cs="Times New Roman"/>
          <w:szCs w:val="24"/>
          <w:lang w:val="en"/>
        </w:rPr>
        <w:t>on</w:t>
      </w:r>
      <w:r w:rsidR="005613B2">
        <w:rPr>
          <w:rFonts w:cs="Times New Roman"/>
          <w:szCs w:val="24"/>
          <w:lang w:val="en"/>
        </w:rPr>
        <w:t xml:space="preserve"> </w:t>
      </w:r>
      <w:r w:rsidRPr="00C317BB" w:rsidR="00FA1929">
        <w:rPr>
          <w:rFonts w:cs="Times New Roman"/>
          <w:szCs w:val="24"/>
          <w:lang w:val="en"/>
        </w:rPr>
        <w:t>economic</w:t>
      </w:r>
      <w:r w:rsidR="005613B2">
        <w:rPr>
          <w:rFonts w:cs="Times New Roman"/>
          <w:szCs w:val="24"/>
          <w:lang w:val="en"/>
        </w:rPr>
        <w:t xml:space="preserve"> </w:t>
      </w:r>
      <w:r w:rsidRPr="00C317BB" w:rsidR="00FA1929">
        <w:rPr>
          <w:rFonts w:cs="Times New Roman"/>
          <w:szCs w:val="24"/>
          <w:lang w:val="en"/>
        </w:rPr>
        <w:t>analysis.</w:t>
      </w:r>
    </w:p>
    <w:p w:rsidRPr="00C317BB" w:rsidR="00FA1929" w:rsidP="00FA1929" w:rsidRDefault="00FA1929" w14:paraId="723D3057" w14:textId="54FE939A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EPA’s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economic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analysis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simplifying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assumption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electric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power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chlor-alkali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plants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purchased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commercial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electric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generating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units.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information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regional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electricity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markets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estimate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how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changes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electricity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demand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affect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emissions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greenhouses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gases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criteria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air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pollutants.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requests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C37D2">
        <w:rPr>
          <w:rFonts w:cs="Times New Roman"/>
          <w:color w:val="000000" w:themeColor="text1"/>
          <w:szCs w:val="24"/>
        </w:rPr>
        <w:t>comment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C37D2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C37D2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C37D2">
        <w:rPr>
          <w:rFonts w:cs="Times New Roman"/>
          <w:color w:val="000000" w:themeColor="text1"/>
          <w:szCs w:val="24"/>
        </w:rPr>
        <w:t>assumption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C37D2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C37D2">
        <w:rPr>
          <w:rFonts w:cs="Times New Roman"/>
          <w:color w:val="000000" w:themeColor="text1"/>
          <w:szCs w:val="24"/>
        </w:rPr>
        <w:t>approach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C37D2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C37D2">
        <w:rPr>
          <w:rFonts w:cs="Times New Roman"/>
          <w:color w:val="000000" w:themeColor="text1"/>
          <w:szCs w:val="24"/>
        </w:rPr>
        <w:t>estimating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C37D2">
        <w:rPr>
          <w:rFonts w:cs="Times New Roman"/>
          <w:color w:val="000000" w:themeColor="text1"/>
          <w:szCs w:val="24"/>
        </w:rPr>
        <w:t>emissions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C37D2">
        <w:rPr>
          <w:rFonts w:cs="Times New Roman"/>
          <w:color w:val="000000" w:themeColor="text1"/>
          <w:szCs w:val="24"/>
        </w:rPr>
        <w:t>reductions.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C37D2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C37D2">
        <w:rPr>
          <w:rFonts w:cs="Times New Roman"/>
          <w:color w:val="000000" w:themeColor="text1"/>
          <w:szCs w:val="24"/>
        </w:rPr>
        <w:t>further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C37D2">
        <w:rPr>
          <w:rFonts w:cs="Times New Roman"/>
          <w:color w:val="000000" w:themeColor="text1"/>
          <w:szCs w:val="24"/>
        </w:rPr>
        <w:t>requests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information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how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much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electric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power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chlor-alkali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plants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affected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rule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purchased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commercial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electric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generating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units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where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units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located;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how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much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power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provided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on-site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co-generation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units;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fuels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both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types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power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sources;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how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mix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electricity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sources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fuel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types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affected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conversion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membrane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cells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non-asbestos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diaphragms.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also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requests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comment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extent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which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power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produced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co-generation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units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sold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exported,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well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extent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which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electricity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heat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produced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on-site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produce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goods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chlorine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caustic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soda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(e.g.,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ethylene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dichloride,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vinyl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chloride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monomer,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chlorinated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organics,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etc.).</w:t>
      </w:r>
    </w:p>
    <w:p w:rsidRPr="00C317BB" w:rsidR="00FA1929" w:rsidP="00FA1929" w:rsidRDefault="00FA1929" w14:paraId="3074638E" w14:textId="77777777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chlor-alkali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production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occurs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three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steps: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pre-electrolysis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brine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preparation,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electrolysis,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post-electrolysis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after-treatment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chlorine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caustic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soda.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estimated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converting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diaphragms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membranes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non-asbestos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diaphragms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based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capital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costs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conversion,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electricity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savings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electrolysis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step,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potential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increased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revenue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higher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grade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caustic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soda.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requests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comment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methodology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data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estimate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values.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FA1929" w:rsidP="00FA1929" w:rsidRDefault="00FA1929" w14:paraId="7C1C126D" w14:textId="77777777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estimated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convert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diaphragm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cell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chlor-alkali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capacity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membrane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technology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based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average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two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different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studies,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2001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paper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Stanley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2014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study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European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Commission.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requests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comment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reasons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why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information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study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might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predict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costs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rule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more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accurately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average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two.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requests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commenters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identify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whether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more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recent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published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studies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appropriate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estimating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conversion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costs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diaphragms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non-asbestos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diaphragms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membrane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cells.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also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requests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data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capital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costs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savings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associated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conversion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(e.g.,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avoidance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refurbishment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costs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existing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diaphragm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cells).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FA1929" w:rsidP="00FA1929" w:rsidRDefault="00FA1929" w14:paraId="5BFBE99D" w14:textId="77777777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Brine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preparation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treatment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chlorine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caustic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soda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require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electricity,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steam,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chemical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inputs.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different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production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technologies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require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different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amounts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inputs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various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steps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production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process.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requests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data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positive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negative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differences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operating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costs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output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energy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output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between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diaphragms,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membranes,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non-asbestos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diaphragms,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specific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each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various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input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processing,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electrolysis,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output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processing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steps.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FA1929" w:rsidP="00FA1929" w:rsidRDefault="00FA1929" w14:paraId="6A3E1C5A" w14:textId="77777777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estimated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energy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savings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potential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revenue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gains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rule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chlor-alkali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industry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based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capacity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utilization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88%,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which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reflects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typical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operating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industry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recent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years.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requests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comment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whether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alternative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value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better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represent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typical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operating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over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twenty-year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analytical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timeframe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EPA’s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analysis.</w:t>
      </w:r>
    </w:p>
    <w:p w:rsidRPr="00C317BB" w:rsidR="00FA1929" w:rsidP="00FA1929" w:rsidRDefault="00FA1929" w14:paraId="6BD28D3F" w14:textId="77777777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requests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information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relevant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determining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whether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increased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costs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chlorine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caustic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soda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result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rule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lead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disproportionate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adverse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effects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water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systems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serve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populations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higher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concentration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people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color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lower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incomes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total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U.S.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population.</w:t>
      </w:r>
    </w:p>
    <w:p w:rsidRPr="00C317BB" w:rsidR="00FA1929" w:rsidP="00FA1929" w:rsidRDefault="00FA1929" w14:paraId="1CC5E808" w14:textId="5DD686A6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requests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comment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analyses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number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affected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firms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sheet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gasket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chemical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production,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oilfield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brake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block,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aftermarket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automotive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brake,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gasket,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vehicle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friction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categories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costs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incur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result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rule,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well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information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Agency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improve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estimates.</w:t>
      </w:r>
    </w:p>
    <w:p w:rsidRPr="00C317BB" w:rsidR="004E1732" w:rsidP="00F27167" w:rsidRDefault="004E1732" w14:paraId="64AAF98E" w14:textId="315CA37F">
      <w:pPr>
        <w:pStyle w:val="Heading1"/>
        <w:rPr>
          <w:rStyle w:val="Strong"/>
          <w:rFonts w:cs="Times New Roman"/>
          <w:b/>
          <w:bCs/>
          <w:color w:val="000000" w:themeColor="text1"/>
          <w:kern w:val="0"/>
          <w:szCs w:val="24"/>
        </w:rPr>
      </w:pPr>
      <w:r w:rsidRPr="00C317BB">
        <w:rPr>
          <w:rStyle w:val="Strong"/>
          <w:rFonts w:cs="Times New Roman"/>
          <w:b/>
          <w:color w:val="000000" w:themeColor="text1"/>
          <w:szCs w:val="24"/>
        </w:rPr>
        <w:t>V</w:t>
      </w:r>
      <w:r w:rsidRPr="00C317BB" w:rsidR="00B14874">
        <w:rPr>
          <w:rStyle w:val="Strong"/>
          <w:rFonts w:cs="Times New Roman"/>
          <w:b/>
          <w:color w:val="000000" w:themeColor="text1"/>
          <w:szCs w:val="24"/>
        </w:rPr>
        <w:t>I</w:t>
      </w:r>
      <w:r w:rsidRPr="00C317BB">
        <w:rPr>
          <w:rStyle w:val="Strong"/>
          <w:rFonts w:cs="Times New Roman"/>
          <w:b/>
          <w:color w:val="000000" w:themeColor="text1"/>
          <w:szCs w:val="24"/>
        </w:rPr>
        <w:t>.</w:t>
      </w:r>
      <w:r w:rsidR="005613B2">
        <w:rPr>
          <w:rStyle w:val="Strong"/>
          <w:rFonts w:cs="Times New Roman"/>
          <w:b/>
          <w:color w:val="000000" w:themeColor="text1"/>
          <w:szCs w:val="24"/>
        </w:rPr>
        <w:t xml:space="preserve"> </w:t>
      </w:r>
      <w:r w:rsidRPr="00C317BB">
        <w:rPr>
          <w:rStyle w:val="Strong"/>
          <w:rFonts w:cs="Times New Roman"/>
          <w:b/>
          <w:color w:val="000000" w:themeColor="text1"/>
          <w:szCs w:val="24"/>
        </w:rPr>
        <w:t>TSCA</w:t>
      </w:r>
      <w:r w:rsidR="005613B2">
        <w:rPr>
          <w:rStyle w:val="Strong"/>
          <w:rFonts w:cs="Times New Roman"/>
          <w:b/>
          <w:color w:val="000000" w:themeColor="text1"/>
          <w:szCs w:val="24"/>
        </w:rPr>
        <w:t xml:space="preserve"> </w:t>
      </w:r>
      <w:r w:rsidRPr="00C317BB" w:rsidR="00CF0C6D">
        <w:rPr>
          <w:rStyle w:val="Strong"/>
          <w:rFonts w:cs="Times New Roman"/>
          <w:b/>
          <w:color w:val="000000" w:themeColor="text1"/>
          <w:szCs w:val="24"/>
        </w:rPr>
        <w:t>Section</w:t>
      </w:r>
      <w:r w:rsidR="005613B2">
        <w:rPr>
          <w:rStyle w:val="Strong"/>
          <w:rFonts w:cs="Times New Roman"/>
          <w:b/>
          <w:color w:val="000000" w:themeColor="text1"/>
          <w:szCs w:val="24"/>
        </w:rPr>
        <w:t xml:space="preserve"> </w:t>
      </w:r>
      <w:r w:rsidRPr="00C317BB" w:rsidR="008859BF">
        <w:rPr>
          <w:rStyle w:val="Strong"/>
          <w:rFonts w:cs="Times New Roman"/>
          <w:b/>
          <w:color w:val="000000" w:themeColor="text1"/>
          <w:szCs w:val="24"/>
        </w:rPr>
        <w:t>9</w:t>
      </w:r>
      <w:r w:rsidR="005613B2">
        <w:rPr>
          <w:rStyle w:val="Strong"/>
          <w:rFonts w:cs="Times New Roman"/>
          <w:b/>
          <w:color w:val="000000" w:themeColor="text1"/>
          <w:szCs w:val="24"/>
        </w:rPr>
        <w:t xml:space="preserve"> </w:t>
      </w:r>
      <w:r w:rsidRPr="00C317BB" w:rsidR="008859BF">
        <w:rPr>
          <w:rStyle w:val="Strong"/>
          <w:rFonts w:cs="Times New Roman"/>
          <w:b/>
          <w:color w:val="000000" w:themeColor="text1"/>
          <w:szCs w:val="24"/>
        </w:rPr>
        <w:t>Analysis</w:t>
      </w:r>
      <w:r w:rsidR="005613B2">
        <w:rPr>
          <w:rStyle w:val="Strong"/>
          <w:rFonts w:cs="Times New Roman"/>
          <w:b/>
          <w:color w:val="000000" w:themeColor="text1"/>
          <w:szCs w:val="24"/>
        </w:rPr>
        <w:t xml:space="preserve"> </w:t>
      </w:r>
      <w:r w:rsidRPr="00C317BB" w:rsidR="008859BF">
        <w:rPr>
          <w:rStyle w:val="Strong"/>
          <w:rFonts w:cs="Times New Roman"/>
          <w:b/>
          <w:color w:val="000000" w:themeColor="text1"/>
          <w:szCs w:val="24"/>
        </w:rPr>
        <w:t>and</w:t>
      </w:r>
      <w:r w:rsidR="005613B2">
        <w:rPr>
          <w:rStyle w:val="Strong"/>
          <w:rFonts w:cs="Times New Roman"/>
          <w:b/>
          <w:color w:val="000000" w:themeColor="text1"/>
          <w:szCs w:val="24"/>
        </w:rPr>
        <w:t xml:space="preserve"> </w:t>
      </w:r>
      <w:r w:rsidRPr="00C317BB" w:rsidR="00CF0C6D">
        <w:rPr>
          <w:rStyle w:val="Strong"/>
          <w:rFonts w:cs="Times New Roman"/>
          <w:b/>
          <w:color w:val="000000" w:themeColor="text1"/>
          <w:szCs w:val="24"/>
        </w:rPr>
        <w:t>S</w:t>
      </w:r>
      <w:r w:rsidRPr="00C317BB" w:rsidR="000B17DC">
        <w:rPr>
          <w:rStyle w:val="Strong"/>
          <w:rFonts w:cs="Times New Roman"/>
          <w:b/>
          <w:color w:val="000000" w:themeColor="text1"/>
          <w:szCs w:val="24"/>
        </w:rPr>
        <w:t>ect</w:t>
      </w:r>
      <w:r w:rsidRPr="00C317BB" w:rsidR="00CF0C6D">
        <w:rPr>
          <w:rStyle w:val="Strong"/>
          <w:rFonts w:cs="Times New Roman"/>
          <w:b/>
          <w:color w:val="000000" w:themeColor="text1"/>
          <w:szCs w:val="24"/>
        </w:rPr>
        <w:t>ion</w:t>
      </w:r>
      <w:r w:rsidR="005613B2">
        <w:rPr>
          <w:rStyle w:val="Strong"/>
          <w:rFonts w:cs="Times New Roman"/>
          <w:b/>
          <w:color w:val="000000" w:themeColor="text1"/>
          <w:szCs w:val="24"/>
        </w:rPr>
        <w:t xml:space="preserve"> </w:t>
      </w:r>
      <w:r w:rsidRPr="00C317BB">
        <w:rPr>
          <w:rStyle w:val="Strong"/>
          <w:rFonts w:cs="Times New Roman"/>
          <w:b/>
          <w:color w:val="000000" w:themeColor="text1"/>
          <w:szCs w:val="24"/>
        </w:rPr>
        <w:t>26(h)</w:t>
      </w:r>
      <w:r w:rsidR="005613B2">
        <w:rPr>
          <w:rStyle w:val="Strong"/>
          <w:rFonts w:cs="Times New Roman"/>
          <w:b/>
          <w:color w:val="000000" w:themeColor="text1"/>
          <w:szCs w:val="24"/>
        </w:rPr>
        <w:t xml:space="preserve"> </w:t>
      </w:r>
      <w:r w:rsidRPr="00C317BB">
        <w:rPr>
          <w:rStyle w:val="Strong"/>
          <w:rFonts w:cs="Times New Roman"/>
          <w:b/>
          <w:color w:val="000000" w:themeColor="text1"/>
          <w:szCs w:val="24"/>
        </w:rPr>
        <w:t>Considerations</w:t>
      </w:r>
    </w:p>
    <w:p w:rsidRPr="00C317BB" w:rsidR="008A396E" w:rsidP="00F27167" w:rsidRDefault="008A396E" w14:paraId="4CBCB06D" w14:textId="74BC6D6E">
      <w:pPr>
        <w:pStyle w:val="Heading2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A.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26C2A">
        <w:rPr>
          <w:rFonts w:cs="Times New Roman"/>
          <w:color w:val="000000" w:themeColor="text1"/>
          <w:szCs w:val="24"/>
        </w:rPr>
        <w:t>s</w:t>
      </w:r>
      <w:r w:rsidRPr="00C317BB">
        <w:rPr>
          <w:rFonts w:cs="Times New Roman"/>
          <w:color w:val="000000" w:themeColor="text1"/>
          <w:szCs w:val="24"/>
        </w:rPr>
        <w:t>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9(a)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26C2A">
        <w:rPr>
          <w:rFonts w:cs="Times New Roman"/>
          <w:color w:val="000000" w:themeColor="text1"/>
          <w:szCs w:val="24"/>
        </w:rPr>
        <w:t>a</w:t>
      </w:r>
      <w:r w:rsidRPr="00C317BB">
        <w:rPr>
          <w:rFonts w:cs="Times New Roman"/>
          <w:color w:val="000000" w:themeColor="text1"/>
          <w:szCs w:val="24"/>
        </w:rPr>
        <w:t>nalysis</w:t>
      </w:r>
    </w:p>
    <w:p w:rsidRPr="00C317BB" w:rsidR="008A396E" w:rsidP="00F27167" w:rsidRDefault="008A396E" w14:paraId="7DC92C05" w14:textId="7FE7BE69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9(a)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provides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Administrator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determines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Administrator’s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discretion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unreasonable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prevented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reduced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sufficient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extent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taken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Federal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law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administered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Administrator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must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submit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report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agency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administering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law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describes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activities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present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such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risk.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B609C">
        <w:rPr>
          <w:rFonts w:cs="Times New Roman"/>
          <w:color w:val="000000" w:themeColor="text1"/>
          <w:szCs w:val="24"/>
        </w:rPr>
        <w:t>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B609C">
        <w:rPr>
          <w:rFonts w:cs="Times New Roman"/>
          <w:color w:val="000000" w:themeColor="text1"/>
          <w:szCs w:val="24"/>
        </w:rPr>
        <w:t>9(a)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335A5">
        <w:rPr>
          <w:rFonts w:cs="Times New Roman"/>
          <w:color w:val="000000" w:themeColor="text1"/>
          <w:szCs w:val="24"/>
        </w:rPr>
        <w:t>describes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335A5">
        <w:rPr>
          <w:rFonts w:cs="Times New Roman"/>
          <w:color w:val="000000" w:themeColor="text1"/>
          <w:szCs w:val="24"/>
        </w:rPr>
        <w:t>additional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335A5">
        <w:rPr>
          <w:rFonts w:cs="Times New Roman"/>
          <w:color w:val="000000" w:themeColor="text1"/>
          <w:szCs w:val="24"/>
        </w:rPr>
        <w:t>procedures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955C0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955C0">
        <w:rPr>
          <w:rFonts w:cs="Times New Roman"/>
          <w:color w:val="000000" w:themeColor="text1"/>
          <w:szCs w:val="24"/>
        </w:rPr>
        <w:t>requirements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335A5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335A5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335A5">
        <w:rPr>
          <w:rFonts w:cs="Times New Roman"/>
          <w:color w:val="000000" w:themeColor="text1"/>
          <w:szCs w:val="24"/>
        </w:rPr>
        <w:t>followed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335A5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335A5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335A5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335A5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F07A0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F07A0">
        <w:rPr>
          <w:rFonts w:cs="Times New Roman"/>
          <w:color w:val="000000" w:themeColor="text1"/>
          <w:szCs w:val="24"/>
        </w:rPr>
        <w:t>federal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F07A0">
        <w:rPr>
          <w:rFonts w:cs="Times New Roman"/>
          <w:color w:val="000000" w:themeColor="text1"/>
          <w:szCs w:val="24"/>
        </w:rPr>
        <w:t>agency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D4568">
        <w:rPr>
          <w:rFonts w:cs="Times New Roman"/>
          <w:color w:val="000000" w:themeColor="text1"/>
          <w:szCs w:val="24"/>
        </w:rPr>
        <w:t>after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F07A0">
        <w:rPr>
          <w:rFonts w:cs="Times New Roman"/>
          <w:color w:val="000000" w:themeColor="text1"/>
          <w:szCs w:val="24"/>
        </w:rPr>
        <w:t>submission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F07A0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F07A0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F07A0">
        <w:rPr>
          <w:rFonts w:cs="Times New Roman"/>
          <w:color w:val="000000" w:themeColor="text1"/>
          <w:szCs w:val="24"/>
        </w:rPr>
        <w:t>report.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A77FB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A77FB">
        <w:rPr>
          <w:rFonts w:cs="Times New Roman"/>
          <w:color w:val="000000" w:themeColor="text1"/>
          <w:szCs w:val="24"/>
        </w:rPr>
        <w:t>discussed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A77F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A77FB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A77FB">
        <w:rPr>
          <w:rFonts w:cs="Times New Roman"/>
          <w:color w:val="000000" w:themeColor="text1"/>
          <w:szCs w:val="24"/>
        </w:rPr>
        <w:t>Unit,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A77F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A77FB">
        <w:rPr>
          <w:rFonts w:cs="Times New Roman"/>
          <w:color w:val="000000" w:themeColor="text1"/>
          <w:szCs w:val="24"/>
        </w:rPr>
        <w:t>Administrator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A77FB">
        <w:rPr>
          <w:rFonts w:cs="Times New Roman"/>
          <w:color w:val="000000" w:themeColor="text1"/>
          <w:szCs w:val="24"/>
        </w:rPr>
        <w:t>does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A77FB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A77FB">
        <w:rPr>
          <w:rFonts w:cs="Times New Roman"/>
          <w:color w:val="000000" w:themeColor="text1"/>
          <w:szCs w:val="24"/>
        </w:rPr>
        <w:t>determine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A77F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A77FB">
        <w:rPr>
          <w:rFonts w:cs="Times New Roman"/>
          <w:color w:val="000000" w:themeColor="text1"/>
          <w:szCs w:val="24"/>
        </w:rPr>
        <w:t>unreasonable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A77FB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A77FB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A77F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A77FB">
        <w:rPr>
          <w:rFonts w:cs="Times New Roman"/>
          <w:color w:val="000000" w:themeColor="text1"/>
          <w:szCs w:val="24"/>
        </w:rPr>
        <w:t>conditions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A77F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A77FB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A77F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A77FB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A77FB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A77FB">
        <w:rPr>
          <w:rFonts w:cs="Times New Roman"/>
          <w:color w:val="000000" w:themeColor="text1"/>
          <w:szCs w:val="24"/>
        </w:rPr>
        <w:t>may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A77FB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A77FB">
        <w:rPr>
          <w:rFonts w:cs="Times New Roman"/>
          <w:color w:val="000000" w:themeColor="text1"/>
          <w:szCs w:val="24"/>
        </w:rPr>
        <w:t>prevented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A77F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A77FB">
        <w:rPr>
          <w:rFonts w:cs="Times New Roman"/>
          <w:color w:val="000000" w:themeColor="text1"/>
          <w:szCs w:val="24"/>
        </w:rPr>
        <w:t>reduced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A77F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A77F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A77FB">
        <w:rPr>
          <w:rFonts w:cs="Times New Roman"/>
          <w:color w:val="000000" w:themeColor="text1"/>
          <w:szCs w:val="24"/>
        </w:rPr>
        <w:t>sufficient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A77FB">
        <w:rPr>
          <w:rFonts w:cs="Times New Roman"/>
          <w:color w:val="000000" w:themeColor="text1"/>
          <w:szCs w:val="24"/>
        </w:rPr>
        <w:t>extent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A77FB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A77FB">
        <w:rPr>
          <w:rFonts w:cs="Times New Roman"/>
          <w:color w:val="000000" w:themeColor="text1"/>
          <w:szCs w:val="24"/>
        </w:rPr>
        <w:t>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A77FB">
        <w:rPr>
          <w:rFonts w:cs="Times New Roman"/>
          <w:color w:val="000000" w:themeColor="text1"/>
          <w:szCs w:val="24"/>
        </w:rPr>
        <w:t>action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A77FB">
        <w:rPr>
          <w:rFonts w:cs="Times New Roman"/>
          <w:color w:val="000000" w:themeColor="text1"/>
          <w:szCs w:val="24"/>
        </w:rPr>
        <w:t>taken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A77FB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A77F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A77FB">
        <w:rPr>
          <w:rFonts w:cs="Times New Roman"/>
          <w:color w:val="000000" w:themeColor="text1"/>
          <w:szCs w:val="24"/>
        </w:rPr>
        <w:t>Federal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A77FB">
        <w:rPr>
          <w:rFonts w:cs="Times New Roman"/>
          <w:color w:val="000000" w:themeColor="text1"/>
          <w:szCs w:val="24"/>
        </w:rPr>
        <w:t>law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A77FB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A77FB">
        <w:rPr>
          <w:rFonts w:cs="Times New Roman"/>
          <w:color w:val="000000" w:themeColor="text1"/>
          <w:szCs w:val="24"/>
        </w:rPr>
        <w:t>administered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A77FB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A77FB">
        <w:rPr>
          <w:rFonts w:cs="Times New Roman"/>
          <w:color w:val="000000" w:themeColor="text1"/>
          <w:szCs w:val="24"/>
        </w:rPr>
        <w:t>EPA.</w:t>
      </w:r>
    </w:p>
    <w:p w:rsidRPr="00C317BB" w:rsidR="008A396E" w:rsidP="00F27167" w:rsidRDefault="008A396E" w14:paraId="29AAC7A2" w14:textId="3F58404C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9(d)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instructs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Administrator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consult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coordinate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activities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Federal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agencies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purpose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achieving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maximum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enforcement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while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imposing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least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burden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duplicative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requirements.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rule,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consulted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appropriate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Federal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executive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departments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agencies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including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OSHA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7255A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7255A">
        <w:rPr>
          <w:rFonts w:cs="Times New Roman"/>
          <w:color w:val="000000" w:themeColor="text1"/>
          <w:szCs w:val="24"/>
        </w:rPr>
        <w:t>NIOSH</w:t>
      </w:r>
      <w:r w:rsidRPr="00C317BB">
        <w:rPr>
          <w:rFonts w:cs="Times New Roman"/>
          <w:color w:val="000000" w:themeColor="text1"/>
          <w:szCs w:val="24"/>
        </w:rPr>
        <w:t>.</w:t>
      </w:r>
    </w:p>
    <w:p w:rsidRPr="00C317BB" w:rsidR="008A396E" w:rsidP="00F27167" w:rsidRDefault="00426145" w14:paraId="17B96998" w14:textId="21FE4D70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OSHA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requires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employers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provide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safe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healthful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working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conditions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setting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enforcing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standards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providing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training,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outreach,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education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assistance.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OSHA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three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separate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health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standards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covering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employers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General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Industry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(29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CFR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1910.1001);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Shipyards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(29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CFR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1915.1001);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6D6C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Construction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(29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CFR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1926.1101</w:t>
      </w:r>
      <w:r w:rsidRPr="00C317BB" w:rsidR="00186D6C">
        <w:rPr>
          <w:rFonts w:cs="Times New Roman"/>
          <w:color w:val="000000" w:themeColor="text1"/>
          <w:szCs w:val="24"/>
        </w:rPr>
        <w:t>)</w:t>
      </w:r>
      <w:r w:rsidRPr="00C317BB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standards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include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permissible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limit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(PEL)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0.1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fibers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cubic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centimeter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(cc)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air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eight-hour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time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weighted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average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(TWA),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excursion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limit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1.0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fibers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cubic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centimeter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over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30-minute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period.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standards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apply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occupational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exposures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require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monitoring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determine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employee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exposure.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monitoring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includes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both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initial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monitoring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employees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who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are,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reasonably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expected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</w:t>
      </w:r>
      <w:r w:rsidRPr="00C317BB" w:rsidR="0010143E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airborne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concentrations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above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TWA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PEL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excursion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limit,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well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additional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monitoring.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Monitoring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frequency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depends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work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classification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while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additional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monitoring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required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based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changes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workplace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environment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result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new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additional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exposures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above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TWA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PEL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excursion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limit.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8A396E" w:rsidP="00F27167" w:rsidRDefault="008A396E" w14:paraId="3F14BA98" w14:textId="703BE709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rule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addresses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both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workplace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consumer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settings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166E0">
        <w:rPr>
          <w:rFonts w:cs="Times New Roman"/>
          <w:color w:val="000000" w:themeColor="text1"/>
          <w:szCs w:val="24"/>
        </w:rPr>
        <w:t>(e.g.,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166E0">
        <w:rPr>
          <w:rFonts w:cs="Times New Roman"/>
          <w:color w:val="000000" w:themeColor="text1"/>
          <w:szCs w:val="24"/>
        </w:rPr>
        <w:t>do-it-yourself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73A1">
        <w:rPr>
          <w:rFonts w:cs="Times New Roman"/>
          <w:color w:val="000000" w:themeColor="text1"/>
          <w:szCs w:val="24"/>
        </w:rPr>
        <w:t>automobile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E73A1">
        <w:rPr>
          <w:rFonts w:cs="Times New Roman"/>
          <w:color w:val="000000" w:themeColor="text1"/>
          <w:szCs w:val="24"/>
        </w:rPr>
        <w:t>maintenance</w:t>
      </w:r>
      <w:r w:rsidRPr="00C317BB" w:rsidR="006166E0">
        <w:rPr>
          <w:rFonts w:cs="Times New Roman"/>
          <w:color w:val="000000" w:themeColor="text1"/>
          <w:szCs w:val="24"/>
        </w:rPr>
        <w:t>)</w:t>
      </w:r>
      <w:r w:rsidRPr="00C317BB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exception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TSCA,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Federal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law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provides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authority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prevent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sufficiently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reduce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cross-cutting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exposures.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Federal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regulatory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0DBC">
        <w:rPr>
          <w:rFonts w:cs="Times New Roman"/>
          <w:color w:val="000000" w:themeColor="text1"/>
          <w:szCs w:val="24"/>
        </w:rPr>
        <w:t>agency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evaluate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address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totality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addressing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proposal.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example,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OSHA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limits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workers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but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authority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limited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workplace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does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extend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consumer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hazardous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chemicals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67F6A">
        <w:rPr>
          <w:rFonts w:cs="Times New Roman"/>
          <w:color w:val="000000" w:themeColor="text1"/>
          <w:szCs w:val="24"/>
        </w:rPr>
        <w:t>(while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67F6A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67F6A">
        <w:rPr>
          <w:rFonts w:cs="Times New Roman"/>
          <w:color w:val="000000" w:themeColor="text1"/>
          <w:szCs w:val="24"/>
        </w:rPr>
        <w:t>does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67F6A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67F6A">
        <w:rPr>
          <w:rFonts w:cs="Times New Roman"/>
          <w:color w:val="000000" w:themeColor="text1"/>
          <w:szCs w:val="24"/>
        </w:rPr>
        <w:t>regulate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2179">
        <w:rPr>
          <w:rFonts w:cs="Times New Roman"/>
          <w:color w:val="000000" w:themeColor="text1"/>
          <w:szCs w:val="24"/>
        </w:rPr>
        <w:t>consumer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2179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2179">
        <w:rPr>
          <w:rFonts w:cs="Times New Roman"/>
          <w:color w:val="000000" w:themeColor="text1"/>
          <w:szCs w:val="24"/>
        </w:rPr>
        <w:t>directly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2179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2179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2179">
        <w:rPr>
          <w:rFonts w:cs="Times New Roman"/>
          <w:color w:val="000000" w:themeColor="text1"/>
          <w:szCs w:val="24"/>
        </w:rPr>
        <w:t>6(a)(5),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2179">
        <w:rPr>
          <w:rFonts w:cs="Times New Roman"/>
          <w:color w:val="000000" w:themeColor="text1"/>
          <w:szCs w:val="24"/>
        </w:rPr>
        <w:t>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D1B08">
        <w:rPr>
          <w:rFonts w:cs="Times New Roman"/>
          <w:color w:val="000000" w:themeColor="text1"/>
          <w:szCs w:val="24"/>
        </w:rPr>
        <w:t>has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D1B08">
        <w:rPr>
          <w:rFonts w:cs="Times New Roman"/>
          <w:color w:val="000000" w:themeColor="text1"/>
          <w:szCs w:val="24"/>
        </w:rPr>
        <w:t>authority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D1B08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D1B08">
        <w:rPr>
          <w:rFonts w:cs="Times New Roman"/>
          <w:color w:val="000000" w:themeColor="text1"/>
          <w:szCs w:val="24"/>
        </w:rPr>
        <w:t>regulate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D1B08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D1B08">
        <w:rPr>
          <w:rFonts w:cs="Times New Roman"/>
          <w:color w:val="000000" w:themeColor="text1"/>
          <w:szCs w:val="24"/>
        </w:rPr>
        <w:t>upstream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D1B08">
        <w:rPr>
          <w:rFonts w:cs="Times New Roman"/>
          <w:color w:val="000000" w:themeColor="text1"/>
          <w:szCs w:val="24"/>
        </w:rPr>
        <w:t>supply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D1B08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D1B08">
        <w:rPr>
          <w:rFonts w:cs="Times New Roman"/>
          <w:color w:val="000000" w:themeColor="text1"/>
          <w:szCs w:val="24"/>
        </w:rPr>
        <w:t>chemicals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D1B08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D1B08">
        <w:rPr>
          <w:rFonts w:cs="Times New Roman"/>
          <w:color w:val="000000" w:themeColor="text1"/>
          <w:szCs w:val="24"/>
        </w:rPr>
        <w:t>consumer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D1B08">
        <w:rPr>
          <w:rFonts w:cs="Times New Roman"/>
          <w:color w:val="000000" w:themeColor="text1"/>
          <w:szCs w:val="24"/>
        </w:rPr>
        <w:t>uses)</w:t>
      </w:r>
      <w:r w:rsidRPr="00C317BB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Further,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OSHA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does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have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direct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authority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over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state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local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employees,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authority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over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working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conditions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state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local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employees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states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have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OSHA-approved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State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Plan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29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U.S.C.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667.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81A6E">
        <w:rPr>
          <w:rFonts w:cs="Times New Roman"/>
          <w:color w:val="000000" w:themeColor="text1"/>
          <w:szCs w:val="24"/>
        </w:rPr>
        <w:t>CPSC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81A6E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81A6E">
        <w:rPr>
          <w:rFonts w:cs="Times New Roman"/>
          <w:color w:val="000000" w:themeColor="text1"/>
          <w:szCs w:val="24"/>
        </w:rPr>
        <w:t>charged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81A6E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81A6E">
        <w:rPr>
          <w:rFonts w:cs="Times New Roman"/>
          <w:color w:val="000000" w:themeColor="text1"/>
          <w:szCs w:val="24"/>
        </w:rPr>
        <w:t>protecting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81A6E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81A6E">
        <w:rPr>
          <w:rFonts w:cs="Times New Roman"/>
          <w:color w:val="000000" w:themeColor="text1"/>
          <w:szCs w:val="24"/>
        </w:rPr>
        <w:t>public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81A6E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81A6E">
        <w:rPr>
          <w:rFonts w:cs="Times New Roman"/>
          <w:color w:val="000000" w:themeColor="text1"/>
          <w:szCs w:val="24"/>
        </w:rPr>
        <w:t>unreasonable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81A6E">
        <w:rPr>
          <w:rFonts w:cs="Times New Roman"/>
          <w:color w:val="000000" w:themeColor="text1"/>
          <w:szCs w:val="24"/>
        </w:rPr>
        <w:t>risks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81A6E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81A6E">
        <w:rPr>
          <w:rFonts w:cs="Times New Roman"/>
          <w:color w:val="000000" w:themeColor="text1"/>
          <w:szCs w:val="24"/>
        </w:rPr>
        <w:t>injury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81A6E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81A6E">
        <w:rPr>
          <w:rFonts w:cs="Times New Roman"/>
          <w:color w:val="000000" w:themeColor="text1"/>
          <w:szCs w:val="24"/>
        </w:rPr>
        <w:t>death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81A6E">
        <w:rPr>
          <w:rFonts w:cs="Times New Roman"/>
          <w:color w:val="000000" w:themeColor="text1"/>
          <w:szCs w:val="24"/>
        </w:rPr>
        <w:t>associated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81A6E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81A6E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81A6E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81A6E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81A6E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81A6E">
        <w:rPr>
          <w:rFonts w:cs="Times New Roman"/>
          <w:color w:val="000000" w:themeColor="text1"/>
          <w:szCs w:val="24"/>
        </w:rPr>
        <w:t>thousands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81A6E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81A6E">
        <w:rPr>
          <w:rFonts w:cs="Times New Roman"/>
          <w:color w:val="000000" w:themeColor="text1"/>
          <w:szCs w:val="24"/>
        </w:rPr>
        <w:t>types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81A6E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81A6E">
        <w:rPr>
          <w:rFonts w:cs="Times New Roman"/>
          <w:color w:val="000000" w:themeColor="text1"/>
          <w:szCs w:val="24"/>
        </w:rPr>
        <w:t>consumer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81A6E">
        <w:rPr>
          <w:rFonts w:cs="Times New Roman"/>
          <w:color w:val="000000" w:themeColor="text1"/>
          <w:szCs w:val="24"/>
        </w:rPr>
        <w:t>products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81A6E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81A6E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81A6E">
        <w:rPr>
          <w:rFonts w:cs="Times New Roman"/>
          <w:color w:val="000000" w:themeColor="text1"/>
          <w:szCs w:val="24"/>
        </w:rPr>
        <w:t>agency's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81A6E">
        <w:rPr>
          <w:rFonts w:cs="Times New Roman"/>
          <w:color w:val="000000" w:themeColor="text1"/>
          <w:szCs w:val="24"/>
        </w:rPr>
        <w:t>jurisdiction,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2278C">
        <w:rPr>
          <w:rFonts w:cs="Times New Roman"/>
          <w:color w:val="000000" w:themeColor="text1"/>
          <w:szCs w:val="24"/>
        </w:rPr>
        <w:t>CPSC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2278C">
        <w:rPr>
          <w:rFonts w:cs="Times New Roman"/>
          <w:color w:val="000000" w:themeColor="text1"/>
          <w:szCs w:val="24"/>
        </w:rPr>
        <w:t>has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2278C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2278C">
        <w:rPr>
          <w:rFonts w:cs="Times New Roman"/>
          <w:color w:val="000000" w:themeColor="text1"/>
          <w:szCs w:val="24"/>
        </w:rPr>
        <w:t>authority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2278C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2278C">
        <w:rPr>
          <w:rFonts w:cs="Times New Roman"/>
          <w:color w:val="000000" w:themeColor="text1"/>
          <w:szCs w:val="24"/>
        </w:rPr>
        <w:t>regulate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2278C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2278C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2278C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2278C">
        <w:rPr>
          <w:rFonts w:cs="Times New Roman"/>
          <w:color w:val="000000" w:themeColor="text1"/>
          <w:szCs w:val="24"/>
        </w:rPr>
        <w:t>such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2278C">
        <w:rPr>
          <w:rFonts w:cs="Times New Roman"/>
          <w:color w:val="000000" w:themeColor="text1"/>
          <w:szCs w:val="24"/>
        </w:rPr>
        <w:t>consumer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2278C">
        <w:rPr>
          <w:rFonts w:cs="Times New Roman"/>
          <w:color w:val="000000" w:themeColor="text1"/>
          <w:szCs w:val="24"/>
        </w:rPr>
        <w:t>products,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81A6E">
        <w:rPr>
          <w:rFonts w:cs="Times New Roman"/>
          <w:color w:val="000000" w:themeColor="text1"/>
          <w:szCs w:val="24"/>
        </w:rPr>
        <w:t>but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81A6E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312AF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81A6E">
        <w:rPr>
          <w:rFonts w:cs="Times New Roman"/>
          <w:color w:val="000000" w:themeColor="text1"/>
          <w:szCs w:val="24"/>
        </w:rPr>
        <w:t>automobiles,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81A6E">
        <w:rPr>
          <w:rFonts w:cs="Times New Roman"/>
          <w:color w:val="000000" w:themeColor="text1"/>
          <w:szCs w:val="24"/>
        </w:rPr>
        <w:t>trucks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81A6E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81A6E">
        <w:rPr>
          <w:rFonts w:cs="Times New Roman"/>
          <w:color w:val="000000" w:themeColor="text1"/>
          <w:szCs w:val="24"/>
        </w:rPr>
        <w:t>motorcycles,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81A6E">
        <w:rPr>
          <w:rFonts w:cs="Times New Roman"/>
          <w:color w:val="000000" w:themeColor="text1"/>
          <w:szCs w:val="24"/>
        </w:rPr>
        <w:t>which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81A6E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81A6E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81A6E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81A6E">
        <w:rPr>
          <w:rFonts w:cs="Times New Roman"/>
          <w:color w:val="000000" w:themeColor="text1"/>
          <w:szCs w:val="24"/>
        </w:rPr>
        <w:t>its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81A6E">
        <w:rPr>
          <w:rFonts w:cs="Times New Roman"/>
          <w:color w:val="000000" w:themeColor="text1"/>
          <w:szCs w:val="24"/>
        </w:rPr>
        <w:t>jurisdiction.</w:t>
      </w:r>
    </w:p>
    <w:p w:rsidRPr="00C317BB" w:rsidR="008A396E" w:rsidP="00F27167" w:rsidRDefault="008A396E" w14:paraId="5B78D861" w14:textId="3414D88C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Moreover,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24E19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2016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amendments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TSCA,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Public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Law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114-182,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alter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both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manner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identifying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unreas</w:t>
      </w:r>
      <w:r w:rsidRPr="00C317BB" w:rsidR="0012714D">
        <w:rPr>
          <w:rFonts w:cs="Times New Roman"/>
          <w:color w:val="000000" w:themeColor="text1"/>
          <w:szCs w:val="24"/>
        </w:rPr>
        <w:t>o</w:t>
      </w:r>
      <w:r w:rsidRPr="00C317BB">
        <w:rPr>
          <w:rFonts w:cs="Times New Roman"/>
          <w:color w:val="000000" w:themeColor="text1"/>
          <w:szCs w:val="24"/>
        </w:rPr>
        <w:t>nable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EPA's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authority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address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unreasonable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TSCA,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such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management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increasingly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distinct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analogous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provisions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Consumer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Product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Safety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(CPSA),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Federal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Hazardous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Substances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(FHSA),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OSH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Act.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36BA0">
        <w:rPr>
          <w:rFonts w:cs="Times New Roman"/>
          <w:color w:val="000000" w:themeColor="text1"/>
          <w:szCs w:val="24"/>
        </w:rPr>
        <w:t>These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36BA0">
        <w:rPr>
          <w:rFonts w:cs="Times New Roman"/>
          <w:color w:val="000000" w:themeColor="text1"/>
          <w:szCs w:val="24"/>
        </w:rPr>
        <w:t>changes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36BA0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36BA0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36BA0">
        <w:rPr>
          <w:rFonts w:cs="Times New Roman"/>
          <w:color w:val="000000" w:themeColor="text1"/>
          <w:szCs w:val="24"/>
        </w:rPr>
        <w:t>reduce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36BA0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36BA0">
        <w:rPr>
          <w:rFonts w:cs="Times New Roman"/>
          <w:color w:val="000000" w:themeColor="text1"/>
          <w:szCs w:val="24"/>
        </w:rPr>
        <w:t>likelihood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36BA0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36BA0">
        <w:rPr>
          <w:rFonts w:cs="Times New Roman"/>
          <w:color w:val="000000" w:themeColor="text1"/>
          <w:szCs w:val="24"/>
        </w:rPr>
        <w:t>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36BA0">
        <w:rPr>
          <w:rFonts w:cs="Times New Roman"/>
          <w:color w:val="000000" w:themeColor="text1"/>
          <w:szCs w:val="24"/>
        </w:rPr>
        <w:t>action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36BA0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36BA0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36BA0">
        <w:rPr>
          <w:rFonts w:cs="Times New Roman"/>
          <w:color w:val="000000" w:themeColor="text1"/>
          <w:szCs w:val="24"/>
        </w:rPr>
        <w:t>CPSA,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36BA0">
        <w:rPr>
          <w:rFonts w:cs="Times New Roman"/>
          <w:color w:val="000000" w:themeColor="text1"/>
          <w:szCs w:val="24"/>
        </w:rPr>
        <w:t>FHSA,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36BA0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36BA0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36BA0">
        <w:rPr>
          <w:rFonts w:cs="Times New Roman"/>
          <w:color w:val="000000" w:themeColor="text1"/>
          <w:szCs w:val="24"/>
        </w:rPr>
        <w:t>OSH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36BA0">
        <w:rPr>
          <w:rFonts w:cs="Times New Roman"/>
          <w:color w:val="000000" w:themeColor="text1"/>
          <w:szCs w:val="24"/>
        </w:rPr>
        <w:t>Act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36BA0">
        <w:rPr>
          <w:rFonts w:cs="Times New Roman"/>
          <w:color w:val="000000" w:themeColor="text1"/>
          <w:szCs w:val="24"/>
        </w:rPr>
        <w:t>would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36BA0">
        <w:rPr>
          <w:rFonts w:cs="Times New Roman"/>
          <w:color w:val="000000" w:themeColor="text1"/>
          <w:szCs w:val="24"/>
        </w:rPr>
        <w:t>sufficiently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36BA0">
        <w:rPr>
          <w:rFonts w:cs="Times New Roman"/>
          <w:color w:val="000000" w:themeColor="text1"/>
          <w:szCs w:val="24"/>
        </w:rPr>
        <w:t>prevent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36BA0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36BA0">
        <w:rPr>
          <w:rFonts w:cs="Times New Roman"/>
          <w:color w:val="000000" w:themeColor="text1"/>
          <w:szCs w:val="24"/>
        </w:rPr>
        <w:t>reduce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36BA0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36BA0">
        <w:rPr>
          <w:rFonts w:cs="Times New Roman"/>
          <w:color w:val="000000" w:themeColor="text1"/>
          <w:szCs w:val="24"/>
        </w:rPr>
        <w:t>unreasonable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36BA0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36BA0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36BA0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36BA0">
        <w:rPr>
          <w:rFonts w:cs="Times New Roman"/>
          <w:color w:val="000000" w:themeColor="text1"/>
          <w:szCs w:val="24"/>
        </w:rPr>
        <w:t>asbestos.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F1788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F1788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F1788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F1788">
        <w:rPr>
          <w:rFonts w:cs="Times New Roman"/>
          <w:color w:val="000000" w:themeColor="text1"/>
          <w:szCs w:val="24"/>
        </w:rPr>
        <w:t>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F1788">
        <w:rPr>
          <w:rFonts w:cs="Times New Roman"/>
          <w:color w:val="000000" w:themeColor="text1"/>
          <w:szCs w:val="24"/>
        </w:rPr>
        <w:t>6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F1788">
        <w:rPr>
          <w:rFonts w:cs="Times New Roman"/>
          <w:color w:val="000000" w:themeColor="text1"/>
          <w:szCs w:val="24"/>
        </w:rPr>
        <w:t>rule,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F1788">
        <w:rPr>
          <w:rFonts w:cs="Times New Roman"/>
          <w:color w:val="000000" w:themeColor="text1"/>
          <w:szCs w:val="24"/>
        </w:rPr>
        <w:t>following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F1788">
        <w:rPr>
          <w:rFonts w:cs="Times New Roman"/>
          <w:color w:val="000000" w:themeColor="text1"/>
          <w:szCs w:val="24"/>
        </w:rPr>
        <w:t>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F1788">
        <w:rPr>
          <w:rFonts w:cs="Times New Roman"/>
          <w:color w:val="000000" w:themeColor="text1"/>
          <w:szCs w:val="24"/>
        </w:rPr>
        <w:t>unreasonable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F1788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F1788">
        <w:rPr>
          <w:rFonts w:cs="Times New Roman"/>
          <w:color w:val="000000" w:themeColor="text1"/>
          <w:szCs w:val="24"/>
        </w:rPr>
        <w:t>determination,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F1788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F1788">
        <w:rPr>
          <w:rFonts w:cs="Times New Roman"/>
          <w:color w:val="000000" w:themeColor="text1"/>
          <w:szCs w:val="24"/>
        </w:rPr>
        <w:t>must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F1788">
        <w:rPr>
          <w:rFonts w:cs="Times New Roman"/>
          <w:color w:val="000000" w:themeColor="text1"/>
          <w:szCs w:val="24"/>
        </w:rPr>
        <w:t>apply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F1788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F1788">
        <w:rPr>
          <w:rFonts w:cs="Times New Roman"/>
          <w:color w:val="000000" w:themeColor="text1"/>
          <w:szCs w:val="24"/>
        </w:rPr>
        <w:t>management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F1788">
        <w:rPr>
          <w:rFonts w:cs="Times New Roman"/>
          <w:color w:val="000000" w:themeColor="text1"/>
          <w:szCs w:val="24"/>
        </w:rPr>
        <w:t>requirements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F1788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F1788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F1788">
        <w:rPr>
          <w:rFonts w:cs="Times New Roman"/>
          <w:color w:val="000000" w:themeColor="text1"/>
          <w:szCs w:val="24"/>
        </w:rPr>
        <w:t>extent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F1788">
        <w:rPr>
          <w:rFonts w:cs="Times New Roman"/>
          <w:color w:val="000000" w:themeColor="text1"/>
          <w:szCs w:val="24"/>
        </w:rPr>
        <w:t>necessary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F1788">
        <w:rPr>
          <w:rFonts w:cs="Times New Roman"/>
          <w:color w:val="000000" w:themeColor="text1"/>
          <w:szCs w:val="24"/>
        </w:rPr>
        <w:t>so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F1788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F1788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F1788">
        <w:rPr>
          <w:rFonts w:cs="Times New Roman"/>
          <w:color w:val="000000" w:themeColor="text1"/>
          <w:szCs w:val="24"/>
        </w:rPr>
        <w:t>chemical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F1788">
        <w:rPr>
          <w:rFonts w:cs="Times New Roman"/>
          <w:color w:val="000000" w:themeColor="text1"/>
          <w:szCs w:val="24"/>
        </w:rPr>
        <w:t>no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F1788">
        <w:rPr>
          <w:rFonts w:cs="Times New Roman"/>
          <w:color w:val="000000" w:themeColor="text1"/>
          <w:szCs w:val="24"/>
        </w:rPr>
        <w:t>longer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F1788">
        <w:rPr>
          <w:rFonts w:cs="Times New Roman"/>
          <w:color w:val="000000" w:themeColor="text1"/>
          <w:szCs w:val="24"/>
        </w:rPr>
        <w:t>presents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F1788">
        <w:rPr>
          <w:rFonts w:cs="Times New Roman"/>
          <w:color w:val="000000" w:themeColor="text1"/>
          <w:szCs w:val="24"/>
        </w:rPr>
        <w:t>unreasonable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F1788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F1788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F1788">
        <w:rPr>
          <w:rFonts w:cs="Times New Roman"/>
          <w:color w:val="000000" w:themeColor="text1"/>
          <w:szCs w:val="24"/>
        </w:rPr>
        <w:t>only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F1788">
        <w:rPr>
          <w:rFonts w:cs="Times New Roman"/>
          <w:color w:val="000000" w:themeColor="text1"/>
          <w:szCs w:val="24"/>
        </w:rPr>
        <w:t>consider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F1788">
        <w:rPr>
          <w:rFonts w:cs="Times New Roman"/>
          <w:color w:val="000000" w:themeColor="text1"/>
          <w:szCs w:val="24"/>
        </w:rPr>
        <w:t>costs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F1788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F1788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F1788">
        <w:rPr>
          <w:rFonts w:cs="Times New Roman"/>
          <w:color w:val="000000" w:themeColor="text1"/>
          <w:szCs w:val="24"/>
        </w:rPr>
        <w:t>extent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F1788">
        <w:rPr>
          <w:rFonts w:cs="Times New Roman"/>
          <w:color w:val="000000" w:themeColor="text1"/>
          <w:szCs w:val="24"/>
        </w:rPr>
        <w:t>practicable,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15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U.S.C.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2605(a)</w:t>
      </w:r>
      <w:r w:rsidRPr="00C317BB" w:rsidR="009D00BD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(</w:t>
      </w:r>
      <w:r w:rsidRPr="00C317BB" w:rsidR="009D00BD">
        <w:rPr>
          <w:rFonts w:cs="Times New Roman"/>
          <w:color w:val="000000" w:themeColor="text1"/>
          <w:szCs w:val="24"/>
        </w:rPr>
        <w:t>c</w:t>
      </w:r>
      <w:r w:rsidRPr="00C317BB">
        <w:rPr>
          <w:rFonts w:cs="Times New Roman"/>
          <w:color w:val="000000" w:themeColor="text1"/>
          <w:szCs w:val="24"/>
        </w:rPr>
        <w:t>)(</w:t>
      </w:r>
      <w:r w:rsidRPr="00C317BB" w:rsidR="00EF5B62">
        <w:rPr>
          <w:rFonts w:cs="Times New Roman"/>
          <w:color w:val="000000" w:themeColor="text1"/>
          <w:szCs w:val="24"/>
        </w:rPr>
        <w:t>2</w:t>
      </w:r>
      <w:r w:rsidRPr="00C317BB">
        <w:rPr>
          <w:rFonts w:cs="Times New Roman"/>
          <w:color w:val="000000" w:themeColor="text1"/>
          <w:szCs w:val="24"/>
        </w:rPr>
        <w:t>),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subject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time-limited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conditional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exemptions,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15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U.S.C.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2605(g)</w:t>
      </w:r>
      <w:r w:rsidRPr="00C317BB" w:rsidR="0037251A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7251A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7251A">
        <w:rPr>
          <w:rFonts w:cs="Times New Roman"/>
          <w:color w:val="000000" w:themeColor="text1"/>
          <w:szCs w:val="24"/>
        </w:rPr>
        <w:t>contrast,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consumer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product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safety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rule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CPSA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must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include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finding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“the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benefits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expected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rule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bear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reasonable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relationship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it</w:t>
      </w:r>
      <w:r w:rsidRPr="00C317BB" w:rsidR="0012714D">
        <w:rPr>
          <w:rFonts w:cs="Times New Roman"/>
          <w:color w:val="000000" w:themeColor="text1"/>
          <w:szCs w:val="24"/>
        </w:rPr>
        <w:t>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714D">
        <w:rPr>
          <w:rFonts w:cs="Times New Roman"/>
          <w:color w:val="000000" w:themeColor="text1"/>
          <w:szCs w:val="24"/>
        </w:rPr>
        <w:t>c</w:t>
      </w:r>
      <w:r w:rsidRPr="00C317BB">
        <w:rPr>
          <w:rFonts w:cs="Times New Roman"/>
          <w:color w:val="000000" w:themeColor="text1"/>
          <w:szCs w:val="24"/>
        </w:rPr>
        <w:t>osts.”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15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U.S.C.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2058(f)(3)(E).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Additionally,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41DDD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2016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amendments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reflect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Congressional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intent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“delete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paralyzing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`least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burdensome'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requirement,”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162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Cong.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Rec.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S3517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(June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7,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2016)</w:t>
      </w:r>
      <w:r w:rsidRPr="00C317BB" w:rsidR="000C18FB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C18F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C18FB">
        <w:rPr>
          <w:rFonts w:cs="Times New Roman"/>
          <w:color w:val="000000" w:themeColor="text1"/>
          <w:szCs w:val="24"/>
        </w:rPr>
        <w:t>reference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C18F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C18FB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C18FB">
        <w:rPr>
          <w:rFonts w:cs="Times New Roman"/>
          <w:color w:val="000000" w:themeColor="text1"/>
          <w:szCs w:val="24"/>
        </w:rPr>
        <w:t>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C18FB">
        <w:rPr>
          <w:rFonts w:cs="Times New Roman"/>
          <w:color w:val="000000" w:themeColor="text1"/>
          <w:szCs w:val="24"/>
        </w:rPr>
        <w:t>6(a)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C18FB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C18FB">
        <w:rPr>
          <w:rFonts w:cs="Times New Roman"/>
          <w:color w:val="000000" w:themeColor="text1"/>
          <w:szCs w:val="24"/>
        </w:rPr>
        <w:t>originally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C18FB">
        <w:rPr>
          <w:rFonts w:cs="Times New Roman"/>
          <w:color w:val="000000" w:themeColor="text1"/>
          <w:szCs w:val="24"/>
        </w:rPr>
        <w:t>enacted,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C18FB">
        <w:rPr>
          <w:rFonts w:cs="Times New Roman"/>
          <w:color w:val="000000" w:themeColor="text1"/>
          <w:szCs w:val="24"/>
        </w:rPr>
        <w:t>which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C18FB">
        <w:rPr>
          <w:rFonts w:cs="Times New Roman"/>
          <w:color w:val="000000" w:themeColor="text1"/>
          <w:szCs w:val="24"/>
        </w:rPr>
        <w:t>required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C18F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C18F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C18FB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C18FB">
        <w:rPr>
          <w:rFonts w:cs="Times New Roman"/>
          <w:color w:val="000000" w:themeColor="text1"/>
          <w:szCs w:val="24"/>
        </w:rPr>
        <w:t>“the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C18FB">
        <w:rPr>
          <w:rFonts w:cs="Times New Roman"/>
          <w:color w:val="000000" w:themeColor="text1"/>
          <w:szCs w:val="24"/>
        </w:rPr>
        <w:t>least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C18FB">
        <w:rPr>
          <w:rFonts w:cs="Times New Roman"/>
          <w:color w:val="000000" w:themeColor="text1"/>
          <w:szCs w:val="24"/>
        </w:rPr>
        <w:t>burdensome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C18FB">
        <w:rPr>
          <w:rFonts w:cs="Times New Roman"/>
          <w:color w:val="000000" w:themeColor="text1"/>
          <w:szCs w:val="24"/>
        </w:rPr>
        <w:t>requirements”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C18F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C18FB">
        <w:rPr>
          <w:rFonts w:cs="Times New Roman"/>
          <w:color w:val="000000" w:themeColor="text1"/>
          <w:szCs w:val="24"/>
        </w:rPr>
        <w:t>protect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C18FB">
        <w:rPr>
          <w:rFonts w:cs="Times New Roman"/>
          <w:color w:val="000000" w:themeColor="text1"/>
          <w:szCs w:val="24"/>
        </w:rPr>
        <w:t>“adequately”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C18FB">
        <w:rPr>
          <w:rFonts w:cs="Times New Roman"/>
          <w:color w:val="000000" w:themeColor="text1"/>
          <w:szCs w:val="24"/>
        </w:rPr>
        <w:t>against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C18FB">
        <w:rPr>
          <w:rFonts w:cs="Times New Roman"/>
          <w:color w:val="000000" w:themeColor="text1"/>
          <w:szCs w:val="24"/>
        </w:rPr>
        <w:t>unreasonable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C18FB">
        <w:rPr>
          <w:rFonts w:cs="Times New Roman"/>
          <w:color w:val="000000" w:themeColor="text1"/>
          <w:szCs w:val="24"/>
        </w:rPr>
        <w:t>risk,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C18FB">
        <w:rPr>
          <w:rFonts w:cs="Times New Roman"/>
          <w:color w:val="000000" w:themeColor="text1"/>
          <w:szCs w:val="24"/>
        </w:rPr>
        <w:t>15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C18FB">
        <w:rPr>
          <w:rFonts w:cs="Times New Roman"/>
          <w:color w:val="000000" w:themeColor="text1"/>
          <w:szCs w:val="24"/>
        </w:rPr>
        <w:t>U.S.C.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C18FB">
        <w:rPr>
          <w:rFonts w:cs="Times New Roman"/>
          <w:color w:val="000000" w:themeColor="text1"/>
          <w:szCs w:val="24"/>
        </w:rPr>
        <w:t>2605(a)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E2EC1">
        <w:rPr>
          <w:rFonts w:cs="Times New Roman"/>
          <w:color w:val="000000" w:themeColor="text1"/>
          <w:szCs w:val="24"/>
        </w:rPr>
        <w:t>(1976)</w:t>
      </w:r>
      <w:r w:rsidRPr="00C317BB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However,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consumer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product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safety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rule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CPSA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must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impose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“the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least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burdensome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requirement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which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prevents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adequately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reduces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injury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which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rule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promulgated.”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15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U.S.C.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2058(f)(3)(F).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Analogous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requirements,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also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variance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recent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revisions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TSCA,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affect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availability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594A">
        <w:rPr>
          <w:rFonts w:cs="Times New Roman"/>
          <w:color w:val="000000" w:themeColor="text1"/>
          <w:szCs w:val="24"/>
        </w:rPr>
        <w:t>CPSC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6375B">
        <w:rPr>
          <w:rFonts w:cs="Times New Roman"/>
          <w:color w:val="000000" w:themeColor="text1"/>
          <w:szCs w:val="24"/>
        </w:rPr>
        <w:t>may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6375B">
        <w:rPr>
          <w:rFonts w:cs="Times New Roman"/>
          <w:color w:val="000000" w:themeColor="text1"/>
          <w:szCs w:val="24"/>
        </w:rPr>
        <w:t>take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FHSA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relative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6375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6375B">
        <w:rPr>
          <w:rFonts w:cs="Times New Roman"/>
          <w:color w:val="000000" w:themeColor="text1"/>
          <w:szCs w:val="24"/>
        </w:rPr>
        <w:t>may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6375B">
        <w:rPr>
          <w:rFonts w:cs="Times New Roman"/>
          <w:color w:val="000000" w:themeColor="text1"/>
          <w:szCs w:val="24"/>
        </w:rPr>
        <w:t>take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TSCA.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15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U.S.C.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1</w:t>
      </w:r>
      <w:r w:rsidRPr="00C317BB" w:rsidR="0012714D">
        <w:rPr>
          <w:rFonts w:cs="Times New Roman"/>
          <w:color w:val="000000" w:themeColor="text1"/>
          <w:szCs w:val="24"/>
        </w:rPr>
        <w:t>2</w:t>
      </w:r>
      <w:r w:rsidRPr="00C317BB">
        <w:rPr>
          <w:rFonts w:cs="Times New Roman"/>
          <w:color w:val="000000" w:themeColor="text1"/>
          <w:szCs w:val="24"/>
        </w:rPr>
        <w:t>62.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Gaps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also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exist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between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OSHA's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authority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workplace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st</w:t>
      </w:r>
      <w:r w:rsidRPr="00C317BB" w:rsidR="0012714D">
        <w:rPr>
          <w:rFonts w:cs="Times New Roman"/>
          <w:color w:val="000000" w:themeColor="text1"/>
          <w:szCs w:val="24"/>
        </w:rPr>
        <w:t>a</w:t>
      </w:r>
      <w:r w:rsidRPr="00C317BB">
        <w:rPr>
          <w:rFonts w:cs="Times New Roman"/>
          <w:color w:val="000000" w:themeColor="text1"/>
          <w:szCs w:val="24"/>
        </w:rPr>
        <w:t>ndards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OSH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EPA's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obligations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sufficiently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address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chemical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risks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TSCA.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PELs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chemical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exposure,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OSHA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must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first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establish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new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standards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economically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feasible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technologically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feasible.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79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714D">
        <w:rPr>
          <w:rFonts w:cs="Times New Roman"/>
          <w:color w:val="000000" w:themeColor="text1"/>
          <w:szCs w:val="24"/>
        </w:rPr>
        <w:t>6</w:t>
      </w:r>
      <w:r w:rsidRPr="00C317BB">
        <w:rPr>
          <w:rFonts w:cs="Times New Roman"/>
          <w:color w:val="000000" w:themeColor="text1"/>
          <w:szCs w:val="24"/>
        </w:rPr>
        <w:t>1387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(2014).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But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TSCA,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EPA's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substantive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burden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6(a)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demonstrate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regulated,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chemical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substance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longer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presents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unreasonable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risk,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unreasonable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determined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B5996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B5996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B5996">
        <w:rPr>
          <w:rFonts w:cs="Times New Roman"/>
          <w:color w:val="000000" w:themeColor="text1"/>
          <w:szCs w:val="24"/>
        </w:rPr>
        <w:t>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B5996">
        <w:rPr>
          <w:rFonts w:cs="Times New Roman"/>
          <w:color w:val="000000" w:themeColor="text1"/>
          <w:szCs w:val="24"/>
        </w:rPr>
        <w:t>6(b)(4)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D07B86" w:rsidP="00F27167" w:rsidRDefault="007D282F" w14:paraId="68650750" w14:textId="23006F69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therefore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concludes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Pr="00C317BB" w:rsidR="00C5068C">
        <w:rPr>
          <w:rFonts w:cs="Times New Roman"/>
          <w:color w:val="000000" w:themeColor="text1"/>
          <w:szCs w:val="24"/>
        </w:rPr>
        <w:t>: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396E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396E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396E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396E">
        <w:rPr>
          <w:rFonts w:cs="Times New Roman"/>
          <w:color w:val="000000" w:themeColor="text1"/>
          <w:szCs w:val="24"/>
        </w:rPr>
        <w:t>only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396E">
        <w:rPr>
          <w:rFonts w:cs="Times New Roman"/>
          <w:color w:val="000000" w:themeColor="text1"/>
          <w:szCs w:val="24"/>
        </w:rPr>
        <w:t>regulatory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396E">
        <w:rPr>
          <w:rFonts w:cs="Times New Roman"/>
          <w:color w:val="000000" w:themeColor="text1"/>
          <w:szCs w:val="24"/>
        </w:rPr>
        <w:t>authority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396E">
        <w:rPr>
          <w:rFonts w:cs="Times New Roman"/>
          <w:color w:val="000000" w:themeColor="text1"/>
          <w:szCs w:val="24"/>
        </w:rPr>
        <w:t>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396E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396E">
        <w:rPr>
          <w:rFonts w:cs="Times New Roman"/>
          <w:color w:val="000000" w:themeColor="text1"/>
          <w:szCs w:val="24"/>
        </w:rPr>
        <w:t>prevent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396E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396E">
        <w:rPr>
          <w:rFonts w:cs="Times New Roman"/>
          <w:color w:val="000000" w:themeColor="text1"/>
          <w:szCs w:val="24"/>
        </w:rPr>
        <w:t>reduce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396E">
        <w:rPr>
          <w:rFonts w:cs="Times New Roman"/>
          <w:color w:val="000000" w:themeColor="text1"/>
          <w:szCs w:val="24"/>
        </w:rPr>
        <w:t>risks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396E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396E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396E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396E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396E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396E">
        <w:rPr>
          <w:rFonts w:cs="Times New Roman"/>
          <w:color w:val="000000" w:themeColor="text1"/>
          <w:szCs w:val="24"/>
        </w:rPr>
        <w:t>sufficient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396E">
        <w:rPr>
          <w:rFonts w:cs="Times New Roman"/>
          <w:color w:val="000000" w:themeColor="text1"/>
          <w:szCs w:val="24"/>
        </w:rPr>
        <w:t>extent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396E">
        <w:rPr>
          <w:rFonts w:cs="Times New Roman"/>
          <w:color w:val="000000" w:themeColor="text1"/>
          <w:szCs w:val="24"/>
        </w:rPr>
        <w:t>across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396E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396E">
        <w:rPr>
          <w:rFonts w:cs="Times New Roman"/>
          <w:color w:val="000000" w:themeColor="text1"/>
          <w:szCs w:val="24"/>
        </w:rPr>
        <w:t>range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396E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1259">
        <w:rPr>
          <w:rFonts w:cs="Times New Roman"/>
          <w:color w:val="000000" w:themeColor="text1"/>
          <w:szCs w:val="24"/>
        </w:rPr>
        <w:t>conditions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1259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396E">
        <w:rPr>
          <w:rFonts w:cs="Times New Roman"/>
          <w:color w:val="000000" w:themeColor="text1"/>
          <w:szCs w:val="24"/>
        </w:rPr>
        <w:t>use</w:t>
      </w:r>
      <w:r w:rsidRPr="00C317BB" w:rsidR="00D52DC6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396E">
        <w:rPr>
          <w:rFonts w:cs="Times New Roman"/>
          <w:color w:val="000000" w:themeColor="text1"/>
          <w:szCs w:val="24"/>
        </w:rPr>
        <w:t>exposures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2DC6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2DC6">
        <w:rPr>
          <w:rFonts w:cs="Times New Roman"/>
          <w:color w:val="000000" w:themeColor="text1"/>
          <w:szCs w:val="24"/>
        </w:rPr>
        <w:t>populations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396E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396E">
        <w:rPr>
          <w:rFonts w:cs="Times New Roman"/>
          <w:color w:val="000000" w:themeColor="text1"/>
          <w:szCs w:val="24"/>
        </w:rPr>
        <w:t>concern</w:t>
      </w:r>
      <w:r w:rsidRPr="00C317BB" w:rsidR="004A4C2A">
        <w:rPr>
          <w:rFonts w:cs="Times New Roman"/>
          <w:color w:val="000000" w:themeColor="text1"/>
          <w:szCs w:val="24"/>
        </w:rPr>
        <w:t>;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396E">
        <w:rPr>
          <w:rFonts w:cs="Times New Roman"/>
          <w:color w:val="000000" w:themeColor="text1"/>
          <w:szCs w:val="24"/>
        </w:rPr>
        <w:t>these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396E">
        <w:rPr>
          <w:rFonts w:cs="Times New Roman"/>
          <w:color w:val="000000" w:themeColor="text1"/>
          <w:szCs w:val="24"/>
        </w:rPr>
        <w:t>risks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396E">
        <w:rPr>
          <w:rFonts w:cs="Times New Roman"/>
          <w:color w:val="000000" w:themeColor="text1"/>
          <w:szCs w:val="24"/>
        </w:rPr>
        <w:t>can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396E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396E">
        <w:rPr>
          <w:rFonts w:cs="Times New Roman"/>
          <w:color w:val="000000" w:themeColor="text1"/>
          <w:szCs w:val="24"/>
        </w:rPr>
        <w:t>addressed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396E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396E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396E">
        <w:rPr>
          <w:rFonts w:cs="Times New Roman"/>
          <w:color w:val="000000" w:themeColor="text1"/>
          <w:szCs w:val="24"/>
        </w:rPr>
        <w:t>more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396E">
        <w:rPr>
          <w:rFonts w:cs="Times New Roman"/>
          <w:color w:val="000000" w:themeColor="text1"/>
          <w:szCs w:val="24"/>
        </w:rPr>
        <w:t>coordinated,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396E">
        <w:rPr>
          <w:rFonts w:cs="Times New Roman"/>
          <w:color w:val="000000" w:themeColor="text1"/>
          <w:szCs w:val="24"/>
        </w:rPr>
        <w:t>efficient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396E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396E">
        <w:rPr>
          <w:rFonts w:cs="Times New Roman"/>
          <w:color w:val="000000" w:themeColor="text1"/>
          <w:szCs w:val="24"/>
        </w:rPr>
        <w:t>effective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396E">
        <w:rPr>
          <w:rFonts w:cs="Times New Roman"/>
          <w:color w:val="000000" w:themeColor="text1"/>
          <w:szCs w:val="24"/>
        </w:rPr>
        <w:t>manner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396E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396E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396E">
        <w:rPr>
          <w:rFonts w:cs="Times New Roman"/>
          <w:color w:val="000000" w:themeColor="text1"/>
          <w:szCs w:val="24"/>
        </w:rPr>
        <w:t>than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396E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396E">
        <w:rPr>
          <w:rFonts w:cs="Times New Roman"/>
          <w:color w:val="000000" w:themeColor="text1"/>
          <w:szCs w:val="24"/>
        </w:rPr>
        <w:t>different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396E">
        <w:rPr>
          <w:rFonts w:cs="Times New Roman"/>
          <w:color w:val="000000" w:themeColor="text1"/>
          <w:szCs w:val="24"/>
        </w:rPr>
        <w:t>laws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396E">
        <w:rPr>
          <w:rFonts w:cs="Times New Roman"/>
          <w:color w:val="000000" w:themeColor="text1"/>
          <w:szCs w:val="24"/>
        </w:rPr>
        <w:t>implemented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396E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396E">
        <w:rPr>
          <w:rFonts w:cs="Times New Roman"/>
          <w:color w:val="000000" w:themeColor="text1"/>
          <w:szCs w:val="24"/>
        </w:rPr>
        <w:t>different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396E">
        <w:rPr>
          <w:rFonts w:cs="Times New Roman"/>
          <w:color w:val="000000" w:themeColor="text1"/>
          <w:szCs w:val="24"/>
        </w:rPr>
        <w:t>agencies</w:t>
      </w:r>
      <w:r w:rsidRPr="00C317BB" w:rsidR="00DD58E4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D58E4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396E">
        <w:rPr>
          <w:rFonts w:cs="Times New Roman"/>
          <w:color w:val="000000" w:themeColor="text1"/>
          <w:szCs w:val="24"/>
        </w:rPr>
        <w:t>there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396E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396E">
        <w:rPr>
          <w:rFonts w:cs="Times New Roman"/>
          <w:color w:val="000000" w:themeColor="text1"/>
          <w:szCs w:val="24"/>
        </w:rPr>
        <w:t>key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396E">
        <w:rPr>
          <w:rFonts w:cs="Times New Roman"/>
          <w:color w:val="000000" w:themeColor="text1"/>
          <w:szCs w:val="24"/>
        </w:rPr>
        <w:t>differences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396E">
        <w:rPr>
          <w:rFonts w:cs="Times New Roman"/>
          <w:color w:val="000000" w:themeColor="text1"/>
          <w:szCs w:val="24"/>
        </w:rPr>
        <w:t>between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396E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396E">
        <w:rPr>
          <w:rFonts w:cs="Times New Roman"/>
          <w:color w:val="000000" w:themeColor="text1"/>
          <w:szCs w:val="24"/>
        </w:rPr>
        <w:t>finding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396E">
        <w:rPr>
          <w:rFonts w:cs="Times New Roman"/>
          <w:color w:val="000000" w:themeColor="text1"/>
          <w:szCs w:val="24"/>
        </w:rPr>
        <w:t>requirements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396E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396E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396E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396E">
        <w:rPr>
          <w:rFonts w:cs="Times New Roman"/>
          <w:color w:val="000000" w:themeColor="text1"/>
          <w:szCs w:val="24"/>
        </w:rPr>
        <w:t>those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396E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396E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396E">
        <w:rPr>
          <w:rFonts w:cs="Times New Roman"/>
          <w:color w:val="000000" w:themeColor="text1"/>
          <w:szCs w:val="24"/>
        </w:rPr>
        <w:t>OSH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396E">
        <w:rPr>
          <w:rFonts w:cs="Times New Roman"/>
          <w:color w:val="000000" w:themeColor="text1"/>
          <w:szCs w:val="24"/>
        </w:rPr>
        <w:t>Act.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396E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396E">
        <w:rPr>
          <w:rFonts w:cs="Times New Roman"/>
          <w:color w:val="000000" w:themeColor="text1"/>
          <w:szCs w:val="24"/>
        </w:rPr>
        <w:t>these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396E">
        <w:rPr>
          <w:rFonts w:cs="Times New Roman"/>
          <w:color w:val="000000" w:themeColor="text1"/>
          <w:szCs w:val="24"/>
        </w:rPr>
        <w:t>reasons,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396E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396E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396E">
        <w:rPr>
          <w:rFonts w:cs="Times New Roman"/>
          <w:color w:val="000000" w:themeColor="text1"/>
          <w:szCs w:val="24"/>
        </w:rPr>
        <w:t>Administrator’s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396E">
        <w:rPr>
          <w:rFonts w:cs="Times New Roman"/>
          <w:color w:val="000000" w:themeColor="text1"/>
          <w:szCs w:val="24"/>
        </w:rPr>
        <w:t>discretion,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396E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396E">
        <w:rPr>
          <w:rFonts w:cs="Times New Roman"/>
          <w:color w:val="000000" w:themeColor="text1"/>
          <w:szCs w:val="24"/>
        </w:rPr>
        <w:t>Administrator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396E">
        <w:rPr>
          <w:rFonts w:cs="Times New Roman"/>
          <w:color w:val="000000" w:themeColor="text1"/>
          <w:szCs w:val="24"/>
        </w:rPr>
        <w:t>does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396E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396E">
        <w:rPr>
          <w:rFonts w:cs="Times New Roman"/>
          <w:color w:val="000000" w:themeColor="text1"/>
          <w:szCs w:val="24"/>
        </w:rPr>
        <w:t>determine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396E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396E">
        <w:rPr>
          <w:rFonts w:cs="Times New Roman"/>
          <w:color w:val="000000" w:themeColor="text1"/>
          <w:szCs w:val="24"/>
        </w:rPr>
        <w:t>unreasonable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396E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396E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396E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7FEF">
        <w:rPr>
          <w:rFonts w:cs="Times New Roman"/>
          <w:color w:val="000000" w:themeColor="text1"/>
          <w:szCs w:val="24"/>
        </w:rPr>
        <w:t>conditions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7FEF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396E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396E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396E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396E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396E">
        <w:rPr>
          <w:rFonts w:cs="Times New Roman"/>
          <w:color w:val="000000" w:themeColor="text1"/>
          <w:szCs w:val="24"/>
        </w:rPr>
        <w:t>may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396E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396E">
        <w:rPr>
          <w:rFonts w:cs="Times New Roman"/>
          <w:color w:val="000000" w:themeColor="text1"/>
          <w:szCs w:val="24"/>
        </w:rPr>
        <w:t>prevented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396E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396E">
        <w:rPr>
          <w:rFonts w:cs="Times New Roman"/>
          <w:color w:val="000000" w:themeColor="text1"/>
          <w:szCs w:val="24"/>
        </w:rPr>
        <w:t>reduced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396E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396E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396E">
        <w:rPr>
          <w:rFonts w:cs="Times New Roman"/>
          <w:color w:val="000000" w:themeColor="text1"/>
          <w:szCs w:val="24"/>
        </w:rPr>
        <w:t>sufficient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396E">
        <w:rPr>
          <w:rFonts w:cs="Times New Roman"/>
          <w:color w:val="000000" w:themeColor="text1"/>
          <w:szCs w:val="24"/>
        </w:rPr>
        <w:t>extent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396E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396E">
        <w:rPr>
          <w:rFonts w:cs="Times New Roman"/>
          <w:color w:val="000000" w:themeColor="text1"/>
          <w:szCs w:val="24"/>
        </w:rPr>
        <w:t>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396E">
        <w:rPr>
          <w:rFonts w:cs="Times New Roman"/>
          <w:color w:val="000000" w:themeColor="text1"/>
          <w:szCs w:val="24"/>
        </w:rPr>
        <w:t>action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396E">
        <w:rPr>
          <w:rFonts w:cs="Times New Roman"/>
          <w:color w:val="000000" w:themeColor="text1"/>
          <w:szCs w:val="24"/>
        </w:rPr>
        <w:t>taken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396E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396E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396E">
        <w:rPr>
          <w:rFonts w:cs="Times New Roman"/>
          <w:color w:val="000000" w:themeColor="text1"/>
          <w:szCs w:val="24"/>
        </w:rPr>
        <w:t>Federal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396E">
        <w:rPr>
          <w:rFonts w:cs="Times New Roman"/>
          <w:color w:val="000000" w:themeColor="text1"/>
          <w:szCs w:val="24"/>
        </w:rPr>
        <w:t>law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396E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396E">
        <w:rPr>
          <w:rFonts w:cs="Times New Roman"/>
          <w:color w:val="000000" w:themeColor="text1"/>
          <w:szCs w:val="24"/>
        </w:rPr>
        <w:t>administered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396E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396E">
        <w:rPr>
          <w:rFonts w:cs="Times New Roman"/>
          <w:color w:val="000000" w:themeColor="text1"/>
          <w:szCs w:val="24"/>
        </w:rPr>
        <w:t>EPA.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2F17FE" w:rsidP="00F27167" w:rsidRDefault="002F17FE" w14:paraId="001FABD3" w14:textId="2AA15DEB">
      <w:pPr>
        <w:pStyle w:val="Heading2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B.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26C2A">
        <w:rPr>
          <w:rFonts w:cs="Times New Roman"/>
          <w:color w:val="000000" w:themeColor="text1"/>
          <w:szCs w:val="24"/>
        </w:rPr>
        <w:t>s</w:t>
      </w:r>
      <w:r w:rsidRPr="00C317BB">
        <w:rPr>
          <w:rFonts w:cs="Times New Roman"/>
          <w:color w:val="000000" w:themeColor="text1"/>
          <w:szCs w:val="24"/>
        </w:rPr>
        <w:t>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9(b)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26C2A">
        <w:rPr>
          <w:rFonts w:cs="Times New Roman"/>
          <w:color w:val="000000" w:themeColor="text1"/>
          <w:szCs w:val="24"/>
        </w:rPr>
        <w:t>a</w:t>
      </w:r>
      <w:r w:rsidRPr="00C317BB">
        <w:rPr>
          <w:rFonts w:cs="Times New Roman"/>
          <w:color w:val="000000" w:themeColor="text1"/>
          <w:szCs w:val="24"/>
        </w:rPr>
        <w:t>nalysis</w:t>
      </w:r>
    </w:p>
    <w:p w:rsidRPr="00C317BB" w:rsidR="002F17FE" w:rsidP="00F27167" w:rsidRDefault="002F17FE" w14:paraId="5A0F7DF1" w14:textId="7C4185B7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If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determines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actions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Federal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laws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administered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whole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part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eliminate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sufficiently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reduce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D6499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D6499">
        <w:rPr>
          <w:rFonts w:cs="Times New Roman"/>
          <w:color w:val="000000" w:themeColor="text1"/>
          <w:szCs w:val="24"/>
        </w:rPr>
        <w:t>health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D6499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D6499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D6499">
        <w:rPr>
          <w:rFonts w:cs="Times New Roman"/>
          <w:color w:val="000000" w:themeColor="text1"/>
          <w:szCs w:val="24"/>
        </w:rPr>
        <w:t>environment</w:t>
      </w:r>
      <w:r w:rsidRPr="00C317BB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9(b)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instructs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authorities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unless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Administrato</w:t>
      </w:r>
      <w:r w:rsidRPr="00C317BB" w:rsidR="0012714D">
        <w:rPr>
          <w:rFonts w:cs="Times New Roman"/>
          <w:color w:val="000000" w:themeColor="text1"/>
          <w:szCs w:val="24"/>
        </w:rPr>
        <w:t>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determines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Administrator's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discretion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public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interest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protect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against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such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TSCA.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making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such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public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interest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finding,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9(b)(2)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states: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“the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Administrator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shall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consider,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based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information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reasonably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available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Administrator,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relevant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aspects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comparison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estimated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costs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efficiencies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taken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title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taken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such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law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protect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against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such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risk.”</w:t>
      </w:r>
    </w:p>
    <w:p w:rsidRPr="00C317BB" w:rsidR="002F17FE" w:rsidP="00F27167" w:rsidRDefault="00D77DB8" w14:paraId="1F5F5A8D" w14:textId="35A7CC87">
      <w:pPr>
        <w:ind w:firstLine="720"/>
        <w:rPr>
          <w:rFonts w:cs="Times New Roman"/>
          <w:color w:val="000000" w:themeColor="text1"/>
          <w:szCs w:val="24"/>
        </w:rPr>
      </w:pPr>
      <w:bookmarkStart w:name="_Hlk94081341" w:id="47"/>
      <w:r w:rsidRPr="00C317BB">
        <w:rPr>
          <w:rFonts w:cs="Times New Roman"/>
          <w:color w:val="000000" w:themeColor="text1"/>
          <w:szCs w:val="24"/>
        </w:rPr>
        <w:t>Although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F17FE">
        <w:rPr>
          <w:rFonts w:cs="Times New Roman"/>
          <w:color w:val="000000" w:themeColor="text1"/>
          <w:szCs w:val="24"/>
        </w:rPr>
        <w:t>several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F17FE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F17FE">
        <w:rPr>
          <w:rFonts w:cs="Times New Roman"/>
          <w:color w:val="000000" w:themeColor="text1"/>
          <w:szCs w:val="24"/>
        </w:rPr>
        <w:t>statutes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F17FE">
        <w:rPr>
          <w:rFonts w:cs="Times New Roman"/>
          <w:color w:val="000000" w:themeColor="text1"/>
          <w:szCs w:val="24"/>
        </w:rPr>
        <w:t>have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F17FE">
        <w:rPr>
          <w:rFonts w:cs="Times New Roman"/>
          <w:color w:val="000000" w:themeColor="text1"/>
          <w:szCs w:val="24"/>
        </w:rPr>
        <w:t>been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F17FE">
        <w:rPr>
          <w:rFonts w:cs="Times New Roman"/>
          <w:color w:val="000000" w:themeColor="text1"/>
          <w:szCs w:val="24"/>
        </w:rPr>
        <w:t>used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F17FE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F17FE">
        <w:rPr>
          <w:rFonts w:cs="Times New Roman"/>
          <w:color w:val="000000" w:themeColor="text1"/>
          <w:szCs w:val="24"/>
        </w:rPr>
        <w:t>limit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F17FE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F17FE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F17FE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F17FE">
        <w:rPr>
          <w:rFonts w:cs="Times New Roman"/>
          <w:color w:val="000000" w:themeColor="text1"/>
          <w:szCs w:val="24"/>
        </w:rPr>
        <w:t>(Unit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F17FE">
        <w:rPr>
          <w:rFonts w:cs="Times New Roman"/>
          <w:color w:val="000000" w:themeColor="text1"/>
          <w:szCs w:val="24"/>
        </w:rPr>
        <w:t>II.B.1),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F17FE">
        <w:rPr>
          <w:rFonts w:cs="Times New Roman"/>
          <w:color w:val="000000" w:themeColor="text1"/>
          <w:szCs w:val="24"/>
        </w:rPr>
        <w:t>regulations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F17FE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F17FE">
        <w:rPr>
          <w:rFonts w:cs="Times New Roman"/>
          <w:color w:val="000000" w:themeColor="text1"/>
          <w:szCs w:val="24"/>
        </w:rPr>
        <w:t>th</w:t>
      </w:r>
      <w:r w:rsidRPr="00C317BB" w:rsidR="002216EA">
        <w:rPr>
          <w:rFonts w:cs="Times New Roman"/>
          <w:color w:val="000000" w:themeColor="text1"/>
          <w:szCs w:val="24"/>
        </w:rPr>
        <w:t>o</w:t>
      </w:r>
      <w:r w:rsidRPr="00C317BB" w:rsidR="002F17FE">
        <w:rPr>
          <w:rFonts w:cs="Times New Roman"/>
          <w:color w:val="000000" w:themeColor="text1"/>
          <w:szCs w:val="24"/>
        </w:rPr>
        <w:t>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F17FE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F17FE">
        <w:rPr>
          <w:rFonts w:cs="Times New Roman"/>
          <w:color w:val="000000" w:themeColor="text1"/>
          <w:szCs w:val="24"/>
        </w:rPr>
        <w:t>statutes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F17FE">
        <w:rPr>
          <w:rFonts w:cs="Times New Roman"/>
          <w:color w:val="000000" w:themeColor="text1"/>
          <w:szCs w:val="24"/>
        </w:rPr>
        <w:t>have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F17FE">
        <w:rPr>
          <w:rFonts w:cs="Times New Roman"/>
          <w:color w:val="000000" w:themeColor="text1"/>
          <w:szCs w:val="24"/>
        </w:rPr>
        <w:t>limitations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F17FE">
        <w:rPr>
          <w:rFonts w:cs="Times New Roman"/>
          <w:color w:val="000000" w:themeColor="text1"/>
          <w:szCs w:val="24"/>
        </w:rPr>
        <w:t>because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F17FE">
        <w:rPr>
          <w:rFonts w:cs="Times New Roman"/>
          <w:color w:val="000000" w:themeColor="text1"/>
          <w:szCs w:val="24"/>
        </w:rPr>
        <w:t>they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F17FE">
        <w:rPr>
          <w:rFonts w:cs="Times New Roman"/>
          <w:color w:val="000000" w:themeColor="text1"/>
          <w:szCs w:val="24"/>
        </w:rPr>
        <w:t>largely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F17FE">
        <w:rPr>
          <w:rFonts w:cs="Times New Roman"/>
          <w:color w:val="000000" w:themeColor="text1"/>
          <w:szCs w:val="24"/>
        </w:rPr>
        <w:t>regulate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F17FE">
        <w:rPr>
          <w:rFonts w:cs="Times New Roman"/>
          <w:color w:val="000000" w:themeColor="text1"/>
          <w:szCs w:val="24"/>
        </w:rPr>
        <w:t>releases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F17FE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F17FE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F17FE">
        <w:rPr>
          <w:rFonts w:cs="Times New Roman"/>
          <w:color w:val="000000" w:themeColor="text1"/>
          <w:szCs w:val="24"/>
        </w:rPr>
        <w:t>environment,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F17FE">
        <w:rPr>
          <w:rFonts w:cs="Times New Roman"/>
          <w:color w:val="000000" w:themeColor="text1"/>
          <w:szCs w:val="24"/>
        </w:rPr>
        <w:t>rather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F17FE">
        <w:rPr>
          <w:rFonts w:cs="Times New Roman"/>
          <w:color w:val="000000" w:themeColor="text1"/>
          <w:szCs w:val="24"/>
        </w:rPr>
        <w:t>than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F17FE">
        <w:rPr>
          <w:rFonts w:cs="Times New Roman"/>
          <w:color w:val="000000" w:themeColor="text1"/>
          <w:szCs w:val="24"/>
        </w:rPr>
        <w:t>direct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F17FE">
        <w:rPr>
          <w:rFonts w:cs="Times New Roman"/>
          <w:color w:val="000000" w:themeColor="text1"/>
          <w:szCs w:val="24"/>
        </w:rPr>
        <w:t>human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F17FE">
        <w:rPr>
          <w:rFonts w:cs="Times New Roman"/>
          <w:color w:val="000000" w:themeColor="text1"/>
          <w:szCs w:val="24"/>
        </w:rPr>
        <w:t>exposure</w:t>
      </w:r>
      <w:r w:rsidRPr="00C317BB" w:rsidR="006C20EB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F17FE">
        <w:rPr>
          <w:rFonts w:cs="Times New Roman"/>
          <w:color w:val="000000" w:themeColor="text1"/>
          <w:szCs w:val="24"/>
        </w:rPr>
        <w:t>CAA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83308">
        <w:rPr>
          <w:rFonts w:cs="Times New Roman"/>
          <w:color w:val="000000" w:themeColor="text1"/>
          <w:szCs w:val="24"/>
        </w:rPr>
        <w:t>generally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83308">
        <w:rPr>
          <w:rFonts w:cs="Times New Roman"/>
          <w:color w:val="000000" w:themeColor="text1"/>
          <w:szCs w:val="24"/>
        </w:rPr>
        <w:t>focuses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83308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83308">
        <w:rPr>
          <w:rFonts w:cs="Times New Roman"/>
          <w:color w:val="000000" w:themeColor="text1"/>
          <w:szCs w:val="24"/>
        </w:rPr>
        <w:t>releases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83308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83308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83308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83308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83308">
        <w:rPr>
          <w:rFonts w:cs="Times New Roman"/>
          <w:color w:val="000000" w:themeColor="text1"/>
          <w:szCs w:val="24"/>
        </w:rPr>
        <w:t>ambient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83308">
        <w:rPr>
          <w:rFonts w:cs="Times New Roman"/>
          <w:color w:val="000000" w:themeColor="text1"/>
          <w:szCs w:val="24"/>
        </w:rPr>
        <w:t>air</w:t>
      </w:r>
      <w:r w:rsidRPr="00C317BB" w:rsidR="002F17FE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bookmarkEnd w:id="47"/>
      <w:r w:rsidRPr="00C317BB" w:rsidR="002F17FE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F17FE">
        <w:rPr>
          <w:rFonts w:cs="Times New Roman"/>
          <w:color w:val="000000" w:themeColor="text1"/>
          <w:szCs w:val="24"/>
        </w:rPr>
        <w:t>RCRA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D28F8">
        <w:rPr>
          <w:rFonts w:cs="Times New Roman"/>
          <w:color w:val="000000" w:themeColor="text1"/>
          <w:szCs w:val="24"/>
        </w:rPr>
        <w:t>Subtitle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D28F8">
        <w:rPr>
          <w:rFonts w:cs="Times New Roman"/>
          <w:color w:val="000000" w:themeColor="text1"/>
          <w:szCs w:val="24"/>
        </w:rPr>
        <w:t>D</w:t>
      </w:r>
      <w:r w:rsidRPr="00C317BB" w:rsidR="002F17FE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B6F5F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B6F5F">
        <w:rPr>
          <w:rFonts w:cs="Times New Roman"/>
          <w:color w:val="000000" w:themeColor="text1"/>
          <w:szCs w:val="24"/>
        </w:rPr>
        <w:t>disposal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B6F5F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F17FE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F17FE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F6E13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F6E13">
        <w:rPr>
          <w:rFonts w:cs="Times New Roman"/>
          <w:color w:val="000000" w:themeColor="text1"/>
          <w:szCs w:val="24"/>
        </w:rPr>
        <w:t>regulated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F6E13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F6E13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F6E13">
        <w:rPr>
          <w:rFonts w:cs="Times New Roman"/>
          <w:color w:val="000000" w:themeColor="text1"/>
          <w:szCs w:val="24"/>
        </w:rPr>
        <w:t>non-hazardous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97F73">
        <w:rPr>
          <w:rFonts w:cs="Times New Roman"/>
          <w:color w:val="000000" w:themeColor="text1"/>
          <w:szCs w:val="24"/>
        </w:rPr>
        <w:t>solid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97F73">
        <w:rPr>
          <w:rFonts w:cs="Times New Roman"/>
          <w:color w:val="000000" w:themeColor="text1"/>
          <w:szCs w:val="24"/>
        </w:rPr>
        <w:t>waste;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F17FE">
        <w:rPr>
          <w:rFonts w:cs="Times New Roman"/>
          <w:color w:val="000000" w:themeColor="text1"/>
          <w:szCs w:val="24"/>
        </w:rPr>
        <w:t>RCRA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F17FE">
        <w:rPr>
          <w:rFonts w:cs="Times New Roman"/>
          <w:color w:val="000000" w:themeColor="text1"/>
          <w:szCs w:val="24"/>
        </w:rPr>
        <w:t>does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F17FE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F17FE">
        <w:rPr>
          <w:rFonts w:cs="Times New Roman"/>
          <w:color w:val="000000" w:themeColor="text1"/>
          <w:szCs w:val="24"/>
        </w:rPr>
        <w:t>address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F17FE">
        <w:rPr>
          <w:rFonts w:cs="Times New Roman"/>
          <w:color w:val="000000" w:themeColor="text1"/>
          <w:szCs w:val="24"/>
        </w:rPr>
        <w:t>exposures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F17FE">
        <w:rPr>
          <w:rFonts w:cs="Times New Roman"/>
          <w:color w:val="000000" w:themeColor="text1"/>
          <w:szCs w:val="24"/>
        </w:rPr>
        <w:t>during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32346">
        <w:rPr>
          <w:rFonts w:cs="Times New Roman"/>
          <w:color w:val="000000" w:themeColor="text1"/>
          <w:szCs w:val="24"/>
        </w:rPr>
        <w:t>manufacturing,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32346">
        <w:rPr>
          <w:rFonts w:cs="Times New Roman"/>
          <w:color w:val="000000" w:themeColor="text1"/>
          <w:szCs w:val="24"/>
        </w:rPr>
        <w:t>processing,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32346">
        <w:rPr>
          <w:rFonts w:cs="Times New Roman"/>
          <w:color w:val="000000" w:themeColor="text1"/>
          <w:szCs w:val="24"/>
        </w:rPr>
        <w:t>distribution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32346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F17FE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F17FE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F17FE">
        <w:rPr>
          <w:rFonts w:cs="Times New Roman"/>
          <w:color w:val="000000" w:themeColor="text1"/>
          <w:szCs w:val="24"/>
        </w:rPr>
        <w:t>products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F17FE">
        <w:rPr>
          <w:rFonts w:cs="Times New Roman"/>
          <w:color w:val="000000" w:themeColor="text1"/>
          <w:szCs w:val="24"/>
        </w:rPr>
        <w:t>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F17FE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F17FE">
        <w:rPr>
          <w:rFonts w:cs="Times New Roman"/>
          <w:color w:val="000000" w:themeColor="text1"/>
          <w:szCs w:val="24"/>
        </w:rPr>
        <w:t>asbestos.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F17FE">
        <w:rPr>
          <w:rFonts w:cs="Times New Roman"/>
          <w:color w:val="000000" w:themeColor="text1"/>
          <w:szCs w:val="24"/>
        </w:rPr>
        <w:t>Only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F17FE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F17FE">
        <w:rPr>
          <w:rFonts w:cs="Times New Roman"/>
          <w:color w:val="000000" w:themeColor="text1"/>
          <w:szCs w:val="24"/>
        </w:rPr>
        <w:t>provides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F17FE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F17FE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F17FE">
        <w:rPr>
          <w:rFonts w:cs="Times New Roman"/>
          <w:color w:val="000000" w:themeColor="text1"/>
          <w:szCs w:val="24"/>
        </w:rPr>
        <w:t>authority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F17FE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F17FE">
        <w:rPr>
          <w:rFonts w:cs="Times New Roman"/>
          <w:color w:val="000000" w:themeColor="text1"/>
          <w:szCs w:val="24"/>
        </w:rPr>
        <w:t>regulate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F17FE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F17FE">
        <w:rPr>
          <w:rFonts w:cs="Times New Roman"/>
          <w:color w:val="000000" w:themeColor="text1"/>
          <w:szCs w:val="24"/>
        </w:rPr>
        <w:t>manufacture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F17FE">
        <w:rPr>
          <w:rFonts w:cs="Times New Roman"/>
          <w:color w:val="000000" w:themeColor="text1"/>
          <w:szCs w:val="24"/>
        </w:rPr>
        <w:t>(including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F17FE">
        <w:rPr>
          <w:rFonts w:cs="Times New Roman"/>
          <w:color w:val="000000" w:themeColor="text1"/>
          <w:szCs w:val="24"/>
        </w:rPr>
        <w:t>import),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F17FE">
        <w:rPr>
          <w:rFonts w:cs="Times New Roman"/>
          <w:color w:val="000000" w:themeColor="text1"/>
          <w:szCs w:val="24"/>
        </w:rPr>
        <w:t>processing,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F17FE">
        <w:rPr>
          <w:rFonts w:cs="Times New Roman"/>
          <w:color w:val="000000" w:themeColor="text1"/>
          <w:szCs w:val="24"/>
        </w:rPr>
        <w:t>distribution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F17FE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F17FE">
        <w:rPr>
          <w:rFonts w:cs="Times New Roman"/>
          <w:color w:val="000000" w:themeColor="text1"/>
          <w:szCs w:val="24"/>
        </w:rPr>
        <w:t>commerce,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20EB">
        <w:rPr>
          <w:rFonts w:cs="Times New Roman"/>
          <w:color w:val="000000" w:themeColor="text1"/>
          <w:szCs w:val="24"/>
        </w:rPr>
        <w:t>commercial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F17FE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35EF4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35EF4">
        <w:rPr>
          <w:rFonts w:cs="Times New Roman"/>
          <w:color w:val="000000" w:themeColor="text1"/>
          <w:szCs w:val="24"/>
        </w:rPr>
        <w:t>commercial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35EF4">
        <w:rPr>
          <w:rFonts w:cs="Times New Roman"/>
          <w:color w:val="000000" w:themeColor="text1"/>
          <w:szCs w:val="24"/>
        </w:rPr>
        <w:t>disposal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F17FE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F17FE">
        <w:rPr>
          <w:rFonts w:cs="Times New Roman"/>
          <w:color w:val="000000" w:themeColor="text1"/>
          <w:szCs w:val="24"/>
        </w:rPr>
        <w:t>chemicals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F17FE">
        <w:rPr>
          <w:rFonts w:cs="Times New Roman"/>
          <w:color w:val="000000" w:themeColor="text1"/>
          <w:szCs w:val="24"/>
        </w:rPr>
        <w:t>substances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F3524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F3524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F3524">
        <w:rPr>
          <w:rFonts w:cs="Times New Roman"/>
          <w:color w:val="000000" w:themeColor="text1"/>
          <w:szCs w:val="24"/>
        </w:rPr>
        <w:t>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F3524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F3524">
        <w:rPr>
          <w:rFonts w:cs="Times New Roman"/>
          <w:color w:val="000000" w:themeColor="text1"/>
          <w:szCs w:val="24"/>
        </w:rPr>
        <w:t>address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F3524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F3524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F3524">
        <w:rPr>
          <w:rFonts w:cs="Times New Roman"/>
          <w:color w:val="000000" w:themeColor="text1"/>
          <w:szCs w:val="24"/>
        </w:rPr>
        <w:t>direct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F3524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F3524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F3524">
        <w:rPr>
          <w:rFonts w:cs="Times New Roman"/>
          <w:color w:val="000000" w:themeColor="text1"/>
          <w:szCs w:val="24"/>
        </w:rPr>
        <w:t>humans</w:t>
      </w:r>
      <w:r w:rsidRPr="00C317BB" w:rsidR="002F17FE">
        <w:rPr>
          <w:rFonts w:cs="Times New Roman"/>
          <w:color w:val="000000" w:themeColor="text1"/>
          <w:szCs w:val="24"/>
        </w:rPr>
        <w:t>.</w:t>
      </w:r>
    </w:p>
    <w:p w:rsidRPr="00C317BB" w:rsidR="008A396E" w:rsidP="00F27167" w:rsidRDefault="002F17FE" w14:paraId="5AF92F2C" w14:textId="3733770D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reasons,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Administrator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does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determine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unreasonable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753B">
        <w:rPr>
          <w:rFonts w:cs="Times New Roman"/>
          <w:color w:val="000000" w:themeColor="text1"/>
          <w:szCs w:val="24"/>
        </w:rPr>
        <w:t>conditions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9753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eliminated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reduced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sufficient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extent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actions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taken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Federal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laws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administered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whole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part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EPA.</w:t>
      </w:r>
    </w:p>
    <w:p w:rsidRPr="00C317BB" w:rsidR="008859BF" w:rsidP="00F27167" w:rsidRDefault="00B028D5" w14:paraId="0BC946F8" w14:textId="357F8E9C">
      <w:pPr>
        <w:pStyle w:val="Heading2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C.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859BF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26C2A">
        <w:rPr>
          <w:rFonts w:cs="Times New Roman"/>
          <w:color w:val="000000" w:themeColor="text1"/>
          <w:szCs w:val="24"/>
        </w:rPr>
        <w:t>s</w:t>
      </w:r>
      <w:r w:rsidRPr="00C317BB" w:rsidR="008859BF">
        <w:rPr>
          <w:rFonts w:cs="Times New Roman"/>
          <w:color w:val="000000" w:themeColor="text1"/>
          <w:szCs w:val="24"/>
        </w:rPr>
        <w:t>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859BF">
        <w:rPr>
          <w:rFonts w:cs="Times New Roman"/>
          <w:color w:val="000000" w:themeColor="text1"/>
          <w:szCs w:val="24"/>
        </w:rPr>
        <w:t>26(h)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26C2A">
        <w:rPr>
          <w:rFonts w:cs="Times New Roman"/>
          <w:color w:val="000000" w:themeColor="text1"/>
          <w:szCs w:val="24"/>
        </w:rPr>
        <w:t>c</w:t>
      </w:r>
      <w:r w:rsidRPr="00C317BB" w:rsidR="008859BF">
        <w:rPr>
          <w:rFonts w:cs="Times New Roman"/>
          <w:color w:val="000000" w:themeColor="text1"/>
          <w:szCs w:val="24"/>
        </w:rPr>
        <w:t>onsiderations</w:t>
      </w:r>
    </w:p>
    <w:p w:rsidRPr="00C317BB" w:rsidR="008B717A" w:rsidP="00F27167" w:rsidRDefault="002F3524" w14:paraId="7DB8A642" w14:textId="6E584621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accordance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26(h),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3F25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3F25">
        <w:rPr>
          <w:rFonts w:cs="Times New Roman"/>
          <w:color w:val="000000" w:themeColor="text1"/>
          <w:szCs w:val="24"/>
        </w:rPr>
        <w:t>has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3F25">
        <w:rPr>
          <w:rFonts w:cs="Times New Roman"/>
          <w:color w:val="000000" w:themeColor="text1"/>
          <w:szCs w:val="24"/>
        </w:rPr>
        <w:t>used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3F25">
        <w:rPr>
          <w:rFonts w:cs="Times New Roman"/>
          <w:color w:val="000000" w:themeColor="text1"/>
          <w:szCs w:val="24"/>
        </w:rPr>
        <w:t>scientific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3F25">
        <w:rPr>
          <w:rFonts w:cs="Times New Roman"/>
          <w:color w:val="000000" w:themeColor="text1"/>
          <w:szCs w:val="24"/>
        </w:rPr>
        <w:t>information,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3F25">
        <w:rPr>
          <w:rFonts w:cs="Times New Roman"/>
          <w:color w:val="000000" w:themeColor="text1"/>
          <w:szCs w:val="24"/>
        </w:rPr>
        <w:t>technical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3F25">
        <w:rPr>
          <w:rFonts w:cs="Times New Roman"/>
          <w:color w:val="000000" w:themeColor="text1"/>
          <w:szCs w:val="24"/>
        </w:rPr>
        <w:t>procedures,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3F25">
        <w:rPr>
          <w:rFonts w:cs="Times New Roman"/>
          <w:color w:val="000000" w:themeColor="text1"/>
          <w:szCs w:val="24"/>
        </w:rPr>
        <w:t>measures,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3F25">
        <w:rPr>
          <w:rFonts w:cs="Times New Roman"/>
          <w:color w:val="000000" w:themeColor="text1"/>
          <w:szCs w:val="24"/>
        </w:rPr>
        <w:t>methods,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3F25">
        <w:rPr>
          <w:rFonts w:cs="Times New Roman"/>
          <w:color w:val="000000" w:themeColor="text1"/>
          <w:szCs w:val="24"/>
        </w:rPr>
        <w:t>protocols,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3F25">
        <w:rPr>
          <w:rFonts w:cs="Times New Roman"/>
          <w:color w:val="000000" w:themeColor="text1"/>
          <w:szCs w:val="24"/>
        </w:rPr>
        <w:t>methodologies,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3F25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3F25">
        <w:rPr>
          <w:rFonts w:cs="Times New Roman"/>
          <w:color w:val="000000" w:themeColor="text1"/>
          <w:szCs w:val="24"/>
        </w:rPr>
        <w:t>models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3F25">
        <w:rPr>
          <w:rFonts w:cs="Times New Roman"/>
          <w:color w:val="000000" w:themeColor="text1"/>
          <w:szCs w:val="24"/>
        </w:rPr>
        <w:t>consistent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3F25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3F25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3F25">
        <w:rPr>
          <w:rFonts w:cs="Times New Roman"/>
          <w:color w:val="000000" w:themeColor="text1"/>
          <w:szCs w:val="24"/>
        </w:rPr>
        <w:t>best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3F25">
        <w:rPr>
          <w:rFonts w:cs="Times New Roman"/>
          <w:color w:val="000000" w:themeColor="text1"/>
          <w:szCs w:val="24"/>
        </w:rPr>
        <w:t>available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3F25">
        <w:rPr>
          <w:rFonts w:cs="Times New Roman"/>
          <w:color w:val="000000" w:themeColor="text1"/>
          <w:szCs w:val="24"/>
        </w:rPr>
        <w:t>science.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70B84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70B84">
        <w:rPr>
          <w:rFonts w:cs="Times New Roman"/>
          <w:color w:val="000000" w:themeColor="text1"/>
          <w:szCs w:val="24"/>
        </w:rPr>
        <w:t>unreasonable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70B84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70B84">
        <w:rPr>
          <w:rFonts w:cs="Times New Roman"/>
          <w:color w:val="000000" w:themeColor="text1"/>
          <w:szCs w:val="24"/>
        </w:rPr>
        <w:t>determination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70B84">
        <w:rPr>
          <w:rFonts w:cs="Times New Roman"/>
          <w:color w:val="000000" w:themeColor="text1"/>
          <w:szCs w:val="24"/>
        </w:rPr>
        <w:t>was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70B84">
        <w:rPr>
          <w:rFonts w:cs="Times New Roman"/>
          <w:color w:val="000000" w:themeColor="text1"/>
          <w:szCs w:val="24"/>
        </w:rPr>
        <w:t>based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70B84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70B84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70B84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70B84">
        <w:rPr>
          <w:rFonts w:cs="Times New Roman"/>
          <w:color w:val="000000" w:themeColor="text1"/>
          <w:szCs w:val="24"/>
        </w:rPr>
        <w:t>evaluation,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70B84">
        <w:rPr>
          <w:rFonts w:cs="Times New Roman"/>
          <w:color w:val="000000" w:themeColor="text1"/>
          <w:szCs w:val="24"/>
        </w:rPr>
        <w:t>which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70B84">
        <w:rPr>
          <w:rFonts w:cs="Times New Roman"/>
          <w:color w:val="000000" w:themeColor="text1"/>
          <w:szCs w:val="24"/>
        </w:rPr>
        <w:t>was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70B84">
        <w:rPr>
          <w:rFonts w:cs="Times New Roman"/>
          <w:color w:val="000000" w:themeColor="text1"/>
          <w:szCs w:val="24"/>
        </w:rPr>
        <w:t>subject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70B84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70B84">
        <w:rPr>
          <w:rFonts w:cs="Times New Roman"/>
          <w:color w:val="000000" w:themeColor="text1"/>
          <w:szCs w:val="24"/>
        </w:rPr>
        <w:t>peer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70B84">
        <w:rPr>
          <w:rFonts w:cs="Times New Roman"/>
          <w:color w:val="000000" w:themeColor="text1"/>
          <w:szCs w:val="24"/>
        </w:rPr>
        <w:t>review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70B84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70B84">
        <w:rPr>
          <w:rFonts w:cs="Times New Roman"/>
          <w:color w:val="000000" w:themeColor="text1"/>
          <w:szCs w:val="24"/>
        </w:rPr>
        <w:t>public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70B84">
        <w:rPr>
          <w:rFonts w:cs="Times New Roman"/>
          <w:color w:val="000000" w:themeColor="text1"/>
          <w:szCs w:val="24"/>
        </w:rPr>
        <w:t>comment,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70B84">
        <w:rPr>
          <w:rFonts w:cs="Times New Roman"/>
          <w:color w:val="000000" w:themeColor="text1"/>
          <w:szCs w:val="24"/>
        </w:rPr>
        <w:t>was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70B84">
        <w:rPr>
          <w:rFonts w:cs="Times New Roman"/>
          <w:color w:val="000000" w:themeColor="text1"/>
          <w:szCs w:val="24"/>
        </w:rPr>
        <w:t>developed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70B84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70B84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70B84">
        <w:rPr>
          <w:rFonts w:cs="Times New Roman"/>
          <w:color w:val="000000" w:themeColor="text1"/>
          <w:szCs w:val="24"/>
        </w:rPr>
        <w:t>manner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70B84">
        <w:rPr>
          <w:rFonts w:cs="Times New Roman"/>
          <w:color w:val="000000" w:themeColor="text1"/>
          <w:szCs w:val="24"/>
        </w:rPr>
        <w:t>consistent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70B84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70B84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70B84">
        <w:rPr>
          <w:rFonts w:cs="Times New Roman"/>
          <w:color w:val="000000" w:themeColor="text1"/>
          <w:szCs w:val="24"/>
        </w:rPr>
        <w:t>best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70B84">
        <w:rPr>
          <w:rFonts w:cs="Times New Roman"/>
          <w:color w:val="000000" w:themeColor="text1"/>
          <w:szCs w:val="24"/>
        </w:rPr>
        <w:t>available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70B84">
        <w:rPr>
          <w:rFonts w:cs="Times New Roman"/>
          <w:color w:val="000000" w:themeColor="text1"/>
          <w:szCs w:val="24"/>
        </w:rPr>
        <w:t>science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70B84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70B84">
        <w:rPr>
          <w:rFonts w:cs="Times New Roman"/>
          <w:color w:val="000000" w:themeColor="text1"/>
          <w:szCs w:val="24"/>
        </w:rPr>
        <w:t>based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70B84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70B84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70B84">
        <w:rPr>
          <w:rFonts w:cs="Times New Roman"/>
          <w:color w:val="000000" w:themeColor="text1"/>
          <w:szCs w:val="24"/>
        </w:rPr>
        <w:t>weight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70B84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70B84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70B84">
        <w:rPr>
          <w:rFonts w:cs="Times New Roman"/>
          <w:color w:val="000000" w:themeColor="text1"/>
          <w:szCs w:val="24"/>
        </w:rPr>
        <w:t>scientific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70B84">
        <w:rPr>
          <w:rFonts w:cs="Times New Roman"/>
          <w:color w:val="000000" w:themeColor="text1"/>
          <w:szCs w:val="24"/>
        </w:rPr>
        <w:t>evidence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70B84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70B84">
        <w:rPr>
          <w:rFonts w:cs="Times New Roman"/>
          <w:color w:val="000000" w:themeColor="text1"/>
          <w:szCs w:val="24"/>
        </w:rPr>
        <w:t>required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70B84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70B84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70B84">
        <w:rPr>
          <w:rFonts w:cs="Times New Roman"/>
          <w:color w:val="000000" w:themeColor="text1"/>
          <w:szCs w:val="24"/>
        </w:rPr>
        <w:t>sections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70B84">
        <w:rPr>
          <w:rFonts w:cs="Times New Roman"/>
          <w:color w:val="000000" w:themeColor="text1"/>
          <w:szCs w:val="24"/>
        </w:rPr>
        <w:t>26(h)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70B84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70B84">
        <w:rPr>
          <w:rFonts w:cs="Times New Roman"/>
          <w:color w:val="000000" w:themeColor="text1"/>
          <w:szCs w:val="24"/>
        </w:rPr>
        <w:t>40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70B84">
        <w:rPr>
          <w:rFonts w:cs="Times New Roman"/>
          <w:color w:val="000000" w:themeColor="text1"/>
          <w:szCs w:val="24"/>
        </w:rPr>
        <w:t>CFR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70B84">
        <w:rPr>
          <w:rFonts w:cs="Times New Roman"/>
          <w:color w:val="000000" w:themeColor="text1"/>
          <w:szCs w:val="24"/>
        </w:rPr>
        <w:t>702.43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70B84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7</w:t>
      </w:r>
      <w:r w:rsidRPr="00C317BB" w:rsidR="00F70B84">
        <w:rPr>
          <w:rFonts w:cs="Times New Roman"/>
          <w:color w:val="000000" w:themeColor="text1"/>
          <w:szCs w:val="24"/>
        </w:rPr>
        <w:t>02.45.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3F25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3F25">
        <w:rPr>
          <w:rFonts w:cs="Times New Roman"/>
          <w:color w:val="000000" w:themeColor="text1"/>
          <w:szCs w:val="24"/>
        </w:rPr>
        <w:t>extent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3F25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3F25">
        <w:rPr>
          <w:rFonts w:cs="Times New Roman"/>
          <w:color w:val="000000" w:themeColor="text1"/>
          <w:szCs w:val="24"/>
        </w:rPr>
        <w:t>which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3F25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3F25">
        <w:rPr>
          <w:rFonts w:cs="Times New Roman"/>
          <w:color w:val="000000" w:themeColor="text1"/>
          <w:szCs w:val="24"/>
        </w:rPr>
        <w:t>various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3F25">
        <w:rPr>
          <w:rFonts w:cs="Times New Roman"/>
          <w:color w:val="000000" w:themeColor="text1"/>
          <w:szCs w:val="24"/>
        </w:rPr>
        <w:t>information,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3F25">
        <w:rPr>
          <w:rFonts w:cs="Times New Roman"/>
          <w:color w:val="000000" w:themeColor="text1"/>
          <w:szCs w:val="24"/>
        </w:rPr>
        <w:t>procedures,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3F25">
        <w:rPr>
          <w:rFonts w:cs="Times New Roman"/>
          <w:color w:val="000000" w:themeColor="text1"/>
          <w:szCs w:val="24"/>
        </w:rPr>
        <w:t>measures,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3F25">
        <w:rPr>
          <w:rFonts w:cs="Times New Roman"/>
          <w:color w:val="000000" w:themeColor="text1"/>
          <w:szCs w:val="24"/>
        </w:rPr>
        <w:t>methods,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3F25">
        <w:rPr>
          <w:rFonts w:cs="Times New Roman"/>
          <w:color w:val="000000" w:themeColor="text1"/>
          <w:szCs w:val="24"/>
        </w:rPr>
        <w:t>protocols,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3F25">
        <w:rPr>
          <w:rFonts w:cs="Times New Roman"/>
          <w:color w:val="000000" w:themeColor="text1"/>
          <w:szCs w:val="24"/>
        </w:rPr>
        <w:t>methodologies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3F25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3F25">
        <w:rPr>
          <w:rFonts w:cs="Times New Roman"/>
          <w:color w:val="000000" w:themeColor="text1"/>
          <w:szCs w:val="24"/>
        </w:rPr>
        <w:t>models,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3F25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3F25">
        <w:rPr>
          <w:rFonts w:cs="Times New Roman"/>
          <w:color w:val="000000" w:themeColor="text1"/>
          <w:szCs w:val="24"/>
        </w:rPr>
        <w:t>applicable,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3F25">
        <w:rPr>
          <w:rFonts w:cs="Times New Roman"/>
          <w:color w:val="000000" w:themeColor="text1"/>
          <w:szCs w:val="24"/>
        </w:rPr>
        <w:t>used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3F25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3F25">
        <w:rPr>
          <w:rFonts w:cs="Times New Roman"/>
          <w:color w:val="000000" w:themeColor="text1"/>
          <w:szCs w:val="24"/>
        </w:rPr>
        <w:t>EPA’s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3F25">
        <w:rPr>
          <w:rFonts w:cs="Times New Roman"/>
          <w:color w:val="000000" w:themeColor="text1"/>
          <w:szCs w:val="24"/>
        </w:rPr>
        <w:t>decision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3F25">
        <w:rPr>
          <w:rFonts w:cs="Times New Roman"/>
          <w:color w:val="000000" w:themeColor="text1"/>
          <w:szCs w:val="24"/>
        </w:rPr>
        <w:t>have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3F25">
        <w:rPr>
          <w:rFonts w:cs="Times New Roman"/>
          <w:color w:val="000000" w:themeColor="text1"/>
          <w:szCs w:val="24"/>
        </w:rPr>
        <w:t>been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3F25">
        <w:rPr>
          <w:rFonts w:cs="Times New Roman"/>
          <w:color w:val="000000" w:themeColor="text1"/>
          <w:szCs w:val="24"/>
        </w:rPr>
        <w:t>subject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3F25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3F25">
        <w:rPr>
          <w:rFonts w:cs="Times New Roman"/>
          <w:color w:val="000000" w:themeColor="text1"/>
          <w:szCs w:val="24"/>
        </w:rPr>
        <w:t>independent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3F25">
        <w:rPr>
          <w:rFonts w:cs="Times New Roman"/>
          <w:color w:val="000000" w:themeColor="text1"/>
          <w:szCs w:val="24"/>
        </w:rPr>
        <w:t>verification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3F25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3F25">
        <w:rPr>
          <w:rFonts w:cs="Times New Roman"/>
          <w:color w:val="000000" w:themeColor="text1"/>
          <w:szCs w:val="24"/>
        </w:rPr>
        <w:t>peer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3F25">
        <w:rPr>
          <w:rFonts w:cs="Times New Roman"/>
          <w:color w:val="000000" w:themeColor="text1"/>
          <w:szCs w:val="24"/>
        </w:rPr>
        <w:t>review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3F25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3F25">
        <w:rPr>
          <w:rFonts w:cs="Times New Roman"/>
          <w:color w:val="000000" w:themeColor="text1"/>
          <w:szCs w:val="24"/>
        </w:rPr>
        <w:t>adequate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3F25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3F25">
        <w:rPr>
          <w:rFonts w:cs="Times New Roman"/>
          <w:color w:val="000000" w:themeColor="text1"/>
          <w:szCs w:val="24"/>
        </w:rPr>
        <w:t>justify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3F25">
        <w:rPr>
          <w:rFonts w:cs="Times New Roman"/>
          <w:color w:val="000000" w:themeColor="text1"/>
          <w:szCs w:val="24"/>
        </w:rPr>
        <w:t>their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3F25">
        <w:rPr>
          <w:rFonts w:cs="Times New Roman"/>
          <w:color w:val="000000" w:themeColor="text1"/>
          <w:szCs w:val="24"/>
        </w:rPr>
        <w:t>use,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3F25">
        <w:rPr>
          <w:rFonts w:cs="Times New Roman"/>
          <w:color w:val="000000" w:themeColor="text1"/>
          <w:szCs w:val="24"/>
        </w:rPr>
        <w:t>collectively,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3F25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3F25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3F25">
        <w:rPr>
          <w:rFonts w:cs="Times New Roman"/>
          <w:color w:val="000000" w:themeColor="text1"/>
          <w:szCs w:val="24"/>
        </w:rPr>
        <w:t>record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3F25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3F25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3F25">
        <w:rPr>
          <w:rFonts w:cs="Times New Roman"/>
          <w:color w:val="000000" w:themeColor="text1"/>
          <w:szCs w:val="24"/>
        </w:rPr>
        <w:t>rule.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3F25">
        <w:rPr>
          <w:rFonts w:cs="Times New Roman"/>
          <w:color w:val="000000" w:themeColor="text1"/>
          <w:szCs w:val="24"/>
        </w:rPr>
        <w:t>Additional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3F25">
        <w:rPr>
          <w:rFonts w:cs="Times New Roman"/>
          <w:color w:val="000000" w:themeColor="text1"/>
          <w:szCs w:val="24"/>
        </w:rPr>
        <w:t>information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3F25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3F25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3F25">
        <w:rPr>
          <w:rFonts w:cs="Times New Roman"/>
          <w:color w:val="000000" w:themeColor="text1"/>
          <w:szCs w:val="24"/>
        </w:rPr>
        <w:t>peer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3F25">
        <w:rPr>
          <w:rFonts w:cs="Times New Roman"/>
          <w:color w:val="000000" w:themeColor="text1"/>
          <w:szCs w:val="24"/>
        </w:rPr>
        <w:t>review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3F25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3F25">
        <w:rPr>
          <w:rFonts w:cs="Times New Roman"/>
          <w:color w:val="000000" w:themeColor="text1"/>
          <w:szCs w:val="24"/>
        </w:rPr>
        <w:t>public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3F25">
        <w:rPr>
          <w:rFonts w:cs="Times New Roman"/>
          <w:color w:val="000000" w:themeColor="text1"/>
          <w:szCs w:val="24"/>
        </w:rPr>
        <w:t>comment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3F25">
        <w:rPr>
          <w:rFonts w:cs="Times New Roman"/>
          <w:color w:val="000000" w:themeColor="text1"/>
          <w:szCs w:val="24"/>
        </w:rPr>
        <w:t>process,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3F25">
        <w:rPr>
          <w:rFonts w:cs="Times New Roman"/>
          <w:color w:val="000000" w:themeColor="text1"/>
          <w:szCs w:val="24"/>
        </w:rPr>
        <w:t>such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3F25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3F25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3F25">
        <w:rPr>
          <w:rFonts w:cs="Times New Roman"/>
          <w:color w:val="000000" w:themeColor="text1"/>
          <w:szCs w:val="24"/>
        </w:rPr>
        <w:t>peer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3F25">
        <w:rPr>
          <w:rFonts w:cs="Times New Roman"/>
          <w:color w:val="000000" w:themeColor="text1"/>
          <w:szCs w:val="24"/>
        </w:rPr>
        <w:t>review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3F25">
        <w:rPr>
          <w:rFonts w:cs="Times New Roman"/>
          <w:color w:val="000000" w:themeColor="text1"/>
          <w:szCs w:val="24"/>
        </w:rPr>
        <w:t>plan,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3F25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3F25">
        <w:rPr>
          <w:rFonts w:cs="Times New Roman"/>
          <w:color w:val="000000" w:themeColor="text1"/>
          <w:szCs w:val="24"/>
        </w:rPr>
        <w:t>peer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3F25">
        <w:rPr>
          <w:rFonts w:cs="Times New Roman"/>
          <w:color w:val="000000" w:themeColor="text1"/>
          <w:szCs w:val="24"/>
        </w:rPr>
        <w:t>review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3F25">
        <w:rPr>
          <w:rFonts w:cs="Times New Roman"/>
          <w:color w:val="000000" w:themeColor="text1"/>
          <w:szCs w:val="24"/>
        </w:rPr>
        <w:t>report,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3F25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3F25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3F25">
        <w:rPr>
          <w:rFonts w:cs="Times New Roman"/>
          <w:color w:val="000000" w:themeColor="text1"/>
          <w:szCs w:val="24"/>
        </w:rPr>
        <w:t>Agency’s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3F25">
        <w:rPr>
          <w:rFonts w:cs="Times New Roman"/>
          <w:color w:val="000000" w:themeColor="text1"/>
          <w:szCs w:val="24"/>
        </w:rPr>
        <w:t>response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3F25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3F25">
        <w:rPr>
          <w:rFonts w:cs="Times New Roman"/>
          <w:color w:val="000000" w:themeColor="text1"/>
          <w:szCs w:val="24"/>
        </w:rPr>
        <w:t>comments,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3F25">
        <w:rPr>
          <w:rFonts w:cs="Times New Roman"/>
          <w:color w:val="000000" w:themeColor="text1"/>
          <w:szCs w:val="24"/>
        </w:rPr>
        <w:t>can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3F25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3F25">
        <w:rPr>
          <w:rFonts w:cs="Times New Roman"/>
          <w:color w:val="000000" w:themeColor="text1"/>
          <w:szCs w:val="24"/>
        </w:rPr>
        <w:t>found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C87">
        <w:rPr>
          <w:rFonts w:cs="Times New Roman"/>
          <w:color w:val="000000" w:themeColor="text1"/>
          <w:szCs w:val="24"/>
        </w:rPr>
        <w:t>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3F25">
        <w:rPr>
          <w:rFonts w:cs="Times New Roman"/>
          <w:color w:val="000000" w:themeColor="text1"/>
          <w:szCs w:val="24"/>
        </w:rPr>
        <w:t>EPA’s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E54EE">
        <w:rPr>
          <w:rFonts w:cs="Times New Roman"/>
          <w:color w:val="000000" w:themeColor="text1"/>
          <w:szCs w:val="24"/>
        </w:rPr>
        <w:t>r</w:t>
      </w:r>
      <w:r w:rsidRPr="00C317BB" w:rsidR="00941C87">
        <w:rPr>
          <w:rFonts w:cs="Times New Roman"/>
          <w:color w:val="000000" w:themeColor="text1"/>
          <w:szCs w:val="24"/>
        </w:rPr>
        <w:t>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E54EE">
        <w:rPr>
          <w:rFonts w:cs="Times New Roman"/>
          <w:color w:val="000000" w:themeColor="text1"/>
          <w:szCs w:val="24"/>
        </w:rPr>
        <w:t>evaluation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C87">
        <w:rPr>
          <w:rFonts w:cs="Times New Roman"/>
          <w:color w:val="000000" w:themeColor="text1"/>
          <w:szCs w:val="24"/>
        </w:rPr>
        <w:t>docket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1C87">
        <w:rPr>
          <w:rFonts w:cs="Times New Roman"/>
          <w:color w:val="000000" w:themeColor="text1"/>
          <w:szCs w:val="24"/>
        </w:rPr>
        <w:t>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2677A">
        <w:rPr>
          <w:rFonts w:cs="Times New Roman"/>
          <w:color w:val="000000" w:themeColor="text1"/>
          <w:szCs w:val="24"/>
        </w:rPr>
        <w:t>EPA-HQ-OPPT-20</w:t>
      </w:r>
      <w:r w:rsidRPr="00C317BB" w:rsidR="0050506E">
        <w:rPr>
          <w:rFonts w:cs="Times New Roman"/>
          <w:color w:val="000000" w:themeColor="text1"/>
          <w:szCs w:val="24"/>
        </w:rPr>
        <w:t>19</w:t>
      </w:r>
      <w:r w:rsidRPr="00C317BB" w:rsidR="00B2677A">
        <w:rPr>
          <w:rFonts w:cs="Times New Roman"/>
          <w:color w:val="000000" w:themeColor="text1"/>
          <w:szCs w:val="24"/>
        </w:rPr>
        <w:t>-</w:t>
      </w:r>
      <w:r w:rsidRPr="00C317BB" w:rsidR="00475118">
        <w:rPr>
          <w:rFonts w:cs="Times New Roman"/>
          <w:color w:val="000000" w:themeColor="text1"/>
          <w:szCs w:val="24"/>
        </w:rPr>
        <w:t>0501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A7B52">
        <w:rPr>
          <w:rFonts w:cs="Times New Roman"/>
          <w:color w:val="000000" w:themeColor="text1"/>
          <w:szCs w:val="24"/>
        </w:rPr>
        <w:t>(Ref.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D0F6D">
        <w:rPr>
          <w:rFonts w:cs="Times New Roman"/>
          <w:color w:val="000000" w:themeColor="text1"/>
          <w:szCs w:val="24"/>
        </w:rPr>
        <w:t>2</w:t>
      </w:r>
      <w:r w:rsidRPr="00C317BB" w:rsidR="008C56A6">
        <w:rPr>
          <w:rFonts w:cs="Times New Roman"/>
          <w:color w:val="000000" w:themeColor="text1"/>
          <w:szCs w:val="24"/>
        </w:rPr>
        <w:t>3</w:t>
      </w:r>
      <w:r w:rsidRPr="00C317BB" w:rsidR="009A7B52">
        <w:rPr>
          <w:rFonts w:cs="Times New Roman"/>
          <w:color w:val="000000" w:themeColor="text1"/>
          <w:szCs w:val="24"/>
        </w:rPr>
        <w:t>)</w:t>
      </w:r>
      <w:r w:rsidRPr="00C317BB" w:rsidR="00363F25">
        <w:rPr>
          <w:rFonts w:cs="Times New Roman"/>
          <w:color w:val="000000" w:themeColor="text1"/>
          <w:szCs w:val="24"/>
        </w:rPr>
        <w:t>.</w:t>
      </w:r>
    </w:p>
    <w:p w:rsidRPr="00C317BB" w:rsidR="005C443E" w:rsidP="00F27167" w:rsidRDefault="008510C3" w14:paraId="69AE4E68" w14:textId="368FCEB7">
      <w:pPr>
        <w:pStyle w:val="Heading1"/>
        <w:rPr>
          <w:rStyle w:val="Strong"/>
          <w:rFonts w:cs="Times New Roman" w:eastAsiaTheme="minorHAnsi"/>
          <w:b/>
          <w:color w:val="000000" w:themeColor="text1"/>
          <w:kern w:val="0"/>
          <w:szCs w:val="24"/>
        </w:rPr>
      </w:pPr>
      <w:r w:rsidRPr="00C317BB">
        <w:rPr>
          <w:rStyle w:val="Strong"/>
          <w:rFonts w:cs="Times New Roman"/>
          <w:b/>
          <w:color w:val="000000" w:themeColor="text1"/>
          <w:szCs w:val="24"/>
        </w:rPr>
        <w:t>V</w:t>
      </w:r>
      <w:r w:rsidRPr="00C317BB" w:rsidR="006B1BFF">
        <w:rPr>
          <w:rStyle w:val="Strong"/>
          <w:rFonts w:cs="Times New Roman"/>
          <w:b/>
          <w:color w:val="000000" w:themeColor="text1"/>
          <w:szCs w:val="24"/>
        </w:rPr>
        <w:t>I</w:t>
      </w:r>
      <w:r w:rsidRPr="00C317BB" w:rsidR="00B14874">
        <w:rPr>
          <w:rStyle w:val="Strong"/>
          <w:rFonts w:cs="Times New Roman"/>
          <w:b/>
          <w:color w:val="000000" w:themeColor="text1"/>
          <w:szCs w:val="24"/>
        </w:rPr>
        <w:t>I</w:t>
      </w:r>
      <w:r w:rsidRPr="00C317BB" w:rsidR="005C443E">
        <w:rPr>
          <w:rStyle w:val="Strong"/>
          <w:rFonts w:cs="Times New Roman"/>
          <w:b/>
          <w:color w:val="000000" w:themeColor="text1"/>
          <w:szCs w:val="24"/>
        </w:rPr>
        <w:t>.</w:t>
      </w:r>
      <w:r w:rsidR="005613B2">
        <w:rPr>
          <w:rStyle w:val="Strong"/>
          <w:rFonts w:cs="Times New Roman"/>
          <w:b/>
          <w:color w:val="000000" w:themeColor="text1"/>
          <w:szCs w:val="24"/>
        </w:rPr>
        <w:t xml:space="preserve"> </w:t>
      </w:r>
      <w:r w:rsidRPr="00C317BB" w:rsidR="00DB66E9">
        <w:rPr>
          <w:rStyle w:val="Strong"/>
          <w:rFonts w:cs="Times New Roman"/>
          <w:b/>
          <w:color w:val="000000" w:themeColor="text1"/>
          <w:szCs w:val="24"/>
        </w:rPr>
        <w:t>References</w:t>
      </w:r>
      <w:r w:rsidR="005613B2">
        <w:rPr>
          <w:rStyle w:val="Strong"/>
          <w:rFonts w:cs="Times New Roman"/>
          <w:b/>
          <w:color w:val="000000" w:themeColor="text1"/>
          <w:szCs w:val="24"/>
        </w:rPr>
        <w:t xml:space="preserve"> </w:t>
      </w:r>
    </w:p>
    <w:p w:rsidRPr="00C317BB" w:rsidR="00F3587B" w:rsidP="00F27167" w:rsidRDefault="005C443E" w14:paraId="2000C477" w14:textId="5B72E566">
      <w:pPr>
        <w:pStyle w:val="HTMLPreformatted"/>
        <w:tabs>
          <w:tab w:val="clear" w:pos="916"/>
          <w:tab w:val="left" w:pos="72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17B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The</w:t>
      </w:r>
      <w:r w:rsidR="005613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317BB">
        <w:rPr>
          <w:rFonts w:ascii="Times New Roman" w:hAnsi="Times New Roman" w:cs="Times New Roman"/>
          <w:color w:val="000000" w:themeColor="text1"/>
          <w:sz w:val="24"/>
          <w:szCs w:val="24"/>
        </w:rPr>
        <w:t>following</w:t>
      </w:r>
      <w:r w:rsidR="005613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317BB">
        <w:rPr>
          <w:rFonts w:ascii="Times New Roman" w:hAnsi="Times New Roman" w:cs="Times New Roman"/>
          <w:color w:val="000000" w:themeColor="text1"/>
          <w:sz w:val="24"/>
          <w:szCs w:val="24"/>
        </w:rPr>
        <w:t>is</w:t>
      </w:r>
      <w:r w:rsidR="005613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317BB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5613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317BB">
        <w:rPr>
          <w:rFonts w:ascii="Times New Roman" w:hAnsi="Times New Roman" w:cs="Times New Roman"/>
          <w:color w:val="000000" w:themeColor="text1"/>
          <w:sz w:val="24"/>
          <w:szCs w:val="24"/>
        </w:rPr>
        <w:t>listing</w:t>
      </w:r>
      <w:r w:rsidR="005613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317BB">
        <w:rPr>
          <w:rFonts w:ascii="Times New Roman" w:hAnsi="Times New Roman" w:cs="Times New Roman"/>
          <w:color w:val="000000" w:themeColor="text1"/>
          <w:sz w:val="24"/>
          <w:szCs w:val="24"/>
        </w:rPr>
        <w:t>of</w:t>
      </w:r>
      <w:r w:rsidR="005613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317BB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r w:rsidR="005613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317BB">
        <w:rPr>
          <w:rFonts w:ascii="Times New Roman" w:hAnsi="Times New Roman" w:cs="Times New Roman"/>
          <w:color w:val="000000" w:themeColor="text1"/>
          <w:sz w:val="24"/>
          <w:szCs w:val="24"/>
        </w:rPr>
        <w:t>documents</w:t>
      </w:r>
      <w:r w:rsidR="005613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317BB">
        <w:rPr>
          <w:rFonts w:ascii="Times New Roman" w:hAnsi="Times New Roman" w:cs="Times New Roman"/>
          <w:color w:val="000000" w:themeColor="text1"/>
          <w:sz w:val="24"/>
          <w:szCs w:val="24"/>
        </w:rPr>
        <w:t>that</w:t>
      </w:r>
      <w:r w:rsidR="005613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317BB">
        <w:rPr>
          <w:rFonts w:ascii="Times New Roman" w:hAnsi="Times New Roman" w:cs="Times New Roman"/>
          <w:color w:val="000000" w:themeColor="text1"/>
          <w:sz w:val="24"/>
          <w:szCs w:val="24"/>
        </w:rPr>
        <w:t>are</w:t>
      </w:r>
      <w:r w:rsidR="005613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317BB">
        <w:rPr>
          <w:rFonts w:ascii="Times New Roman" w:hAnsi="Times New Roman" w:cs="Times New Roman"/>
          <w:color w:val="000000" w:themeColor="text1"/>
          <w:sz w:val="24"/>
          <w:szCs w:val="24"/>
        </w:rPr>
        <w:t>specifically</w:t>
      </w:r>
      <w:r w:rsidR="005613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317BB" w:rsidR="000C5CEF">
        <w:rPr>
          <w:rFonts w:ascii="Times New Roman" w:hAnsi="Times New Roman" w:cs="Times New Roman"/>
          <w:color w:val="000000" w:themeColor="text1"/>
          <w:sz w:val="24"/>
          <w:szCs w:val="24"/>
        </w:rPr>
        <w:t>referenced</w:t>
      </w:r>
      <w:r w:rsidR="005613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317BB"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r w:rsidR="005613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317BB">
        <w:rPr>
          <w:rFonts w:ascii="Times New Roman" w:hAnsi="Times New Roman" w:cs="Times New Roman"/>
          <w:color w:val="000000" w:themeColor="text1"/>
          <w:sz w:val="24"/>
          <w:szCs w:val="24"/>
        </w:rPr>
        <w:t>this</w:t>
      </w:r>
      <w:r w:rsidR="005613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317BB" w:rsidR="00D708A1">
        <w:rPr>
          <w:rFonts w:ascii="Times New Roman" w:hAnsi="Times New Roman" w:cs="Times New Roman"/>
          <w:color w:val="000000" w:themeColor="text1"/>
          <w:sz w:val="24"/>
          <w:szCs w:val="24"/>
        </w:rPr>
        <w:t>document</w:t>
      </w:r>
      <w:r w:rsidRPr="00C317BB" w:rsidR="00F46ED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613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317BB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r w:rsidR="005613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317BB">
        <w:rPr>
          <w:rFonts w:ascii="Times New Roman" w:hAnsi="Times New Roman" w:cs="Times New Roman"/>
          <w:color w:val="000000" w:themeColor="text1"/>
          <w:sz w:val="24"/>
          <w:szCs w:val="24"/>
        </w:rPr>
        <w:t>docket</w:t>
      </w:r>
      <w:r w:rsidR="005613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317BB">
        <w:rPr>
          <w:rFonts w:ascii="Times New Roman" w:hAnsi="Times New Roman" w:cs="Times New Roman"/>
          <w:color w:val="000000" w:themeColor="text1"/>
          <w:sz w:val="24"/>
          <w:szCs w:val="24"/>
        </w:rPr>
        <w:t>includes</w:t>
      </w:r>
      <w:r w:rsidR="005613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317BB">
        <w:rPr>
          <w:rFonts w:ascii="Times New Roman" w:hAnsi="Times New Roman" w:cs="Times New Roman"/>
          <w:color w:val="000000" w:themeColor="text1"/>
          <w:sz w:val="24"/>
          <w:szCs w:val="24"/>
        </w:rPr>
        <w:t>these</w:t>
      </w:r>
      <w:r w:rsidR="005613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317BB">
        <w:rPr>
          <w:rFonts w:ascii="Times New Roman" w:hAnsi="Times New Roman" w:cs="Times New Roman"/>
          <w:color w:val="000000" w:themeColor="text1"/>
          <w:sz w:val="24"/>
          <w:szCs w:val="24"/>
        </w:rPr>
        <w:t>documents</w:t>
      </w:r>
      <w:r w:rsidR="005613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317BB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r w:rsidR="005613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317BB">
        <w:rPr>
          <w:rFonts w:ascii="Times New Roman" w:hAnsi="Times New Roman" w:cs="Times New Roman"/>
          <w:color w:val="000000" w:themeColor="text1"/>
          <w:sz w:val="24"/>
          <w:szCs w:val="24"/>
        </w:rPr>
        <w:t>other</w:t>
      </w:r>
      <w:r w:rsidR="005613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317BB">
        <w:rPr>
          <w:rFonts w:ascii="Times New Roman" w:hAnsi="Times New Roman" w:cs="Times New Roman"/>
          <w:color w:val="000000" w:themeColor="text1"/>
          <w:sz w:val="24"/>
          <w:szCs w:val="24"/>
        </w:rPr>
        <w:t>information</w:t>
      </w:r>
      <w:r w:rsidR="005613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317BB">
        <w:rPr>
          <w:rFonts w:ascii="Times New Roman" w:hAnsi="Times New Roman" w:cs="Times New Roman"/>
          <w:color w:val="000000" w:themeColor="text1"/>
          <w:sz w:val="24"/>
          <w:szCs w:val="24"/>
        </w:rPr>
        <w:t>considered</w:t>
      </w:r>
      <w:r w:rsidR="005613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317BB">
        <w:rPr>
          <w:rFonts w:ascii="Times New Roman" w:hAnsi="Times New Roman" w:cs="Times New Roman"/>
          <w:color w:val="000000" w:themeColor="text1"/>
          <w:sz w:val="24"/>
          <w:szCs w:val="24"/>
        </w:rPr>
        <w:t>by</w:t>
      </w:r>
      <w:r w:rsidR="005613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317BB">
        <w:rPr>
          <w:rFonts w:ascii="Times New Roman" w:hAnsi="Times New Roman" w:cs="Times New Roman"/>
          <w:color w:val="000000" w:themeColor="text1"/>
          <w:sz w:val="24"/>
          <w:szCs w:val="24"/>
        </w:rPr>
        <w:t>EPA,</w:t>
      </w:r>
      <w:r w:rsidR="005613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317BB">
        <w:rPr>
          <w:rFonts w:ascii="Times New Roman" w:hAnsi="Times New Roman" w:cs="Times New Roman"/>
          <w:color w:val="000000" w:themeColor="text1"/>
          <w:sz w:val="24"/>
          <w:szCs w:val="24"/>
        </w:rPr>
        <w:t>including</w:t>
      </w:r>
      <w:r w:rsidR="005613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317BB">
        <w:rPr>
          <w:rFonts w:ascii="Times New Roman" w:hAnsi="Times New Roman" w:cs="Times New Roman"/>
          <w:color w:val="000000" w:themeColor="text1"/>
          <w:sz w:val="24"/>
          <w:szCs w:val="24"/>
        </w:rPr>
        <w:t>documents</w:t>
      </w:r>
      <w:r w:rsidR="005613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317BB">
        <w:rPr>
          <w:rFonts w:ascii="Times New Roman" w:hAnsi="Times New Roman" w:cs="Times New Roman"/>
          <w:color w:val="000000" w:themeColor="text1"/>
          <w:sz w:val="24"/>
          <w:szCs w:val="24"/>
        </w:rPr>
        <w:t>referenced</w:t>
      </w:r>
      <w:r w:rsidR="005613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317BB">
        <w:rPr>
          <w:rFonts w:ascii="Times New Roman" w:hAnsi="Times New Roman" w:cs="Times New Roman"/>
          <w:color w:val="000000" w:themeColor="text1"/>
          <w:sz w:val="24"/>
          <w:szCs w:val="24"/>
        </w:rPr>
        <w:t>within</w:t>
      </w:r>
      <w:r w:rsidR="005613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317BB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r w:rsidR="005613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317BB">
        <w:rPr>
          <w:rFonts w:ascii="Times New Roman" w:hAnsi="Times New Roman" w:cs="Times New Roman"/>
          <w:color w:val="000000" w:themeColor="text1"/>
          <w:sz w:val="24"/>
          <w:szCs w:val="24"/>
        </w:rPr>
        <w:t>documents</w:t>
      </w:r>
      <w:r w:rsidR="005613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317BB">
        <w:rPr>
          <w:rFonts w:ascii="Times New Roman" w:hAnsi="Times New Roman" w:cs="Times New Roman"/>
          <w:color w:val="000000" w:themeColor="text1"/>
          <w:sz w:val="24"/>
          <w:szCs w:val="24"/>
        </w:rPr>
        <w:t>that</w:t>
      </w:r>
      <w:r w:rsidR="005613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317BB">
        <w:rPr>
          <w:rFonts w:ascii="Times New Roman" w:hAnsi="Times New Roman" w:cs="Times New Roman"/>
          <w:color w:val="000000" w:themeColor="text1"/>
          <w:sz w:val="24"/>
          <w:szCs w:val="24"/>
        </w:rPr>
        <w:t>are</w:t>
      </w:r>
      <w:r w:rsidR="005613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317BB">
        <w:rPr>
          <w:rFonts w:ascii="Times New Roman" w:hAnsi="Times New Roman" w:cs="Times New Roman"/>
          <w:color w:val="000000" w:themeColor="text1"/>
          <w:sz w:val="24"/>
          <w:szCs w:val="24"/>
        </w:rPr>
        <w:t>included</w:t>
      </w:r>
      <w:r w:rsidR="005613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317BB"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r w:rsidR="005613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317BB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r w:rsidR="005613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317BB">
        <w:rPr>
          <w:rFonts w:ascii="Times New Roman" w:hAnsi="Times New Roman" w:cs="Times New Roman"/>
          <w:color w:val="000000" w:themeColor="text1"/>
          <w:sz w:val="24"/>
          <w:szCs w:val="24"/>
        </w:rPr>
        <w:t>docket,</w:t>
      </w:r>
      <w:r w:rsidR="005613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317BB">
        <w:rPr>
          <w:rFonts w:ascii="Times New Roman" w:hAnsi="Times New Roman" w:cs="Times New Roman"/>
          <w:color w:val="000000" w:themeColor="text1"/>
          <w:sz w:val="24"/>
          <w:szCs w:val="24"/>
        </w:rPr>
        <w:t>even</w:t>
      </w:r>
      <w:r w:rsidR="005613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317BB">
        <w:rPr>
          <w:rFonts w:ascii="Times New Roman" w:hAnsi="Times New Roman" w:cs="Times New Roman"/>
          <w:color w:val="000000" w:themeColor="text1"/>
          <w:sz w:val="24"/>
          <w:szCs w:val="24"/>
        </w:rPr>
        <w:t>if</w:t>
      </w:r>
      <w:r w:rsidR="005613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317BB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r w:rsidR="005613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317BB">
        <w:rPr>
          <w:rFonts w:ascii="Times New Roman" w:hAnsi="Times New Roman" w:cs="Times New Roman"/>
          <w:color w:val="000000" w:themeColor="text1"/>
          <w:sz w:val="24"/>
          <w:szCs w:val="24"/>
        </w:rPr>
        <w:t>referenced</w:t>
      </w:r>
      <w:r w:rsidR="005613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317BB">
        <w:rPr>
          <w:rFonts w:ascii="Times New Roman" w:hAnsi="Times New Roman" w:cs="Times New Roman"/>
          <w:color w:val="000000" w:themeColor="text1"/>
          <w:sz w:val="24"/>
          <w:szCs w:val="24"/>
        </w:rPr>
        <w:t>document</w:t>
      </w:r>
      <w:r w:rsidR="005613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317BB">
        <w:rPr>
          <w:rFonts w:ascii="Times New Roman" w:hAnsi="Times New Roman" w:cs="Times New Roman"/>
          <w:color w:val="000000" w:themeColor="text1"/>
          <w:sz w:val="24"/>
          <w:szCs w:val="24"/>
        </w:rPr>
        <w:t>is</w:t>
      </w:r>
      <w:r w:rsidR="005613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317BB">
        <w:rPr>
          <w:rFonts w:ascii="Times New Roman" w:hAnsi="Times New Roman" w:cs="Times New Roman"/>
          <w:color w:val="000000" w:themeColor="text1"/>
          <w:sz w:val="24"/>
          <w:szCs w:val="24"/>
        </w:rPr>
        <w:t>not</w:t>
      </w:r>
      <w:r w:rsidR="005613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317BB">
        <w:rPr>
          <w:rFonts w:ascii="Times New Roman" w:hAnsi="Times New Roman" w:cs="Times New Roman"/>
          <w:color w:val="000000" w:themeColor="text1"/>
          <w:sz w:val="24"/>
          <w:szCs w:val="24"/>
        </w:rPr>
        <w:t>physically</w:t>
      </w:r>
      <w:r w:rsidR="005613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317BB">
        <w:rPr>
          <w:rFonts w:ascii="Times New Roman" w:hAnsi="Times New Roman" w:cs="Times New Roman"/>
          <w:color w:val="000000" w:themeColor="text1"/>
          <w:sz w:val="24"/>
          <w:szCs w:val="24"/>
        </w:rPr>
        <w:t>located</w:t>
      </w:r>
      <w:r w:rsidR="005613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317BB"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r w:rsidR="005613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317BB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r w:rsidR="005613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317BB">
        <w:rPr>
          <w:rFonts w:ascii="Times New Roman" w:hAnsi="Times New Roman" w:cs="Times New Roman"/>
          <w:color w:val="000000" w:themeColor="text1"/>
          <w:sz w:val="24"/>
          <w:szCs w:val="24"/>
        </w:rPr>
        <w:t>docket</w:t>
      </w:r>
      <w:r w:rsidRPr="00C317BB" w:rsidR="00F46ED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613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317BB">
        <w:rPr>
          <w:rFonts w:ascii="Times New Roman" w:hAnsi="Times New Roman" w:cs="Times New Roman"/>
          <w:color w:val="000000" w:themeColor="text1"/>
          <w:sz w:val="24"/>
          <w:szCs w:val="24"/>
        </w:rPr>
        <w:t>For</w:t>
      </w:r>
      <w:r w:rsidR="005613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317BB">
        <w:rPr>
          <w:rFonts w:ascii="Times New Roman" w:hAnsi="Times New Roman" w:cs="Times New Roman"/>
          <w:color w:val="000000" w:themeColor="text1"/>
          <w:sz w:val="24"/>
          <w:szCs w:val="24"/>
        </w:rPr>
        <w:t>assistance</w:t>
      </w:r>
      <w:r w:rsidR="005613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317BB"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r w:rsidR="005613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317BB">
        <w:rPr>
          <w:rFonts w:ascii="Times New Roman" w:hAnsi="Times New Roman" w:cs="Times New Roman"/>
          <w:color w:val="000000" w:themeColor="text1"/>
          <w:sz w:val="24"/>
          <w:szCs w:val="24"/>
        </w:rPr>
        <w:t>locating</w:t>
      </w:r>
      <w:r w:rsidR="005613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317BB">
        <w:rPr>
          <w:rFonts w:ascii="Times New Roman" w:hAnsi="Times New Roman" w:cs="Times New Roman"/>
          <w:color w:val="000000" w:themeColor="text1"/>
          <w:sz w:val="24"/>
          <w:szCs w:val="24"/>
        </w:rPr>
        <w:t>these</w:t>
      </w:r>
      <w:r w:rsidR="005613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317BB">
        <w:rPr>
          <w:rFonts w:ascii="Times New Roman" w:hAnsi="Times New Roman" w:cs="Times New Roman"/>
          <w:color w:val="000000" w:themeColor="text1"/>
          <w:sz w:val="24"/>
          <w:szCs w:val="24"/>
        </w:rPr>
        <w:t>other</w:t>
      </w:r>
      <w:r w:rsidR="005613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317BB">
        <w:rPr>
          <w:rFonts w:ascii="Times New Roman" w:hAnsi="Times New Roman" w:cs="Times New Roman"/>
          <w:color w:val="000000" w:themeColor="text1"/>
          <w:sz w:val="24"/>
          <w:szCs w:val="24"/>
        </w:rPr>
        <w:t>documents,</w:t>
      </w:r>
      <w:r w:rsidR="005613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317BB">
        <w:rPr>
          <w:rFonts w:ascii="Times New Roman" w:hAnsi="Times New Roman" w:cs="Times New Roman"/>
          <w:color w:val="000000" w:themeColor="text1"/>
          <w:sz w:val="24"/>
          <w:szCs w:val="24"/>
        </w:rPr>
        <w:t>please</w:t>
      </w:r>
      <w:r w:rsidR="005613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317BB">
        <w:rPr>
          <w:rFonts w:ascii="Times New Roman" w:hAnsi="Times New Roman" w:cs="Times New Roman"/>
          <w:color w:val="000000" w:themeColor="text1"/>
          <w:sz w:val="24"/>
          <w:szCs w:val="24"/>
        </w:rPr>
        <w:t>consult</w:t>
      </w:r>
      <w:r w:rsidR="005613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317BB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r w:rsidR="005613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317BB" w:rsidR="00815B1D">
        <w:rPr>
          <w:rFonts w:ascii="Times New Roman" w:hAnsi="Times New Roman" w:cs="Times New Roman"/>
          <w:color w:val="000000" w:themeColor="text1"/>
          <w:sz w:val="24"/>
          <w:szCs w:val="24"/>
        </w:rPr>
        <w:t>technical</w:t>
      </w:r>
      <w:r w:rsidR="005613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317BB">
        <w:rPr>
          <w:rFonts w:ascii="Times New Roman" w:hAnsi="Times New Roman" w:cs="Times New Roman"/>
          <w:color w:val="000000" w:themeColor="text1"/>
          <w:sz w:val="24"/>
          <w:szCs w:val="24"/>
        </w:rPr>
        <w:t>person</w:t>
      </w:r>
      <w:r w:rsidR="005613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317BB">
        <w:rPr>
          <w:rFonts w:ascii="Times New Roman" w:hAnsi="Times New Roman" w:cs="Times New Roman"/>
          <w:color w:val="000000" w:themeColor="text1"/>
          <w:sz w:val="24"/>
          <w:szCs w:val="24"/>
        </w:rPr>
        <w:t>listed</w:t>
      </w:r>
      <w:r w:rsidR="005613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317BB">
        <w:rPr>
          <w:rFonts w:ascii="Times New Roman" w:hAnsi="Times New Roman" w:cs="Times New Roman"/>
          <w:color w:val="000000" w:themeColor="text1"/>
          <w:sz w:val="24"/>
          <w:szCs w:val="24"/>
        </w:rPr>
        <w:t>under</w:t>
      </w:r>
      <w:r w:rsidR="005613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317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FOR</w:t>
      </w:r>
      <w:r w:rsidR="005613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317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FURTHER</w:t>
      </w:r>
      <w:r w:rsidR="005613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317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INFORMATION</w:t>
      </w:r>
      <w:r w:rsidR="005613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317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CONTACT</w:t>
      </w:r>
      <w:r w:rsidRPr="00C317B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613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Pr="00C317BB" w:rsidR="00BB4B6D" w:rsidP="00F27167" w:rsidRDefault="00F11D1E" w14:paraId="2A94E76F" w14:textId="3AA0E782">
      <w:pPr>
        <w:rPr>
          <w:rStyle w:val="Hyperlink"/>
          <w:rFonts w:cs="Times New Roman"/>
          <w:color w:val="000000" w:themeColor="text1"/>
          <w:szCs w:val="24"/>
          <w:u w:val="none"/>
        </w:rPr>
      </w:pPr>
      <w:bookmarkStart w:name="_Hlk88124612" w:id="48"/>
      <w:r w:rsidRPr="00C317BB">
        <w:rPr>
          <w:rFonts w:cs="Times New Roman"/>
          <w:szCs w:val="24"/>
        </w:rPr>
        <w:tab/>
        <w:t>1.</w:t>
      </w:r>
      <w:r w:rsidR="005613B2">
        <w:rPr>
          <w:rFonts w:cs="Times New Roman"/>
          <w:szCs w:val="24"/>
        </w:rPr>
        <w:t xml:space="preserve"> </w:t>
      </w:r>
      <w:r w:rsidRPr="00C317BB" w:rsidR="005304EF">
        <w:rPr>
          <w:rFonts w:cs="Times New Roman"/>
          <w:color w:val="000000" w:themeColor="text1"/>
          <w:szCs w:val="24"/>
        </w:rPr>
        <w:t>EPA.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32564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32564">
        <w:rPr>
          <w:rFonts w:cs="Times New Roman"/>
          <w:color w:val="000000" w:themeColor="text1"/>
          <w:szCs w:val="24"/>
        </w:rPr>
        <w:t>Evaluation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32564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77CCC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77CCC">
        <w:rPr>
          <w:rFonts w:cs="Times New Roman"/>
          <w:color w:val="000000" w:themeColor="text1"/>
          <w:szCs w:val="24"/>
        </w:rPr>
        <w:t>Part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77CCC">
        <w:rPr>
          <w:rFonts w:cs="Times New Roman"/>
          <w:color w:val="000000" w:themeColor="text1"/>
          <w:szCs w:val="24"/>
        </w:rPr>
        <w:t>1: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77CCC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77CCC">
        <w:rPr>
          <w:rFonts w:cs="Times New Roman"/>
          <w:color w:val="000000" w:themeColor="text1"/>
          <w:szCs w:val="24"/>
        </w:rPr>
        <w:t>Asbestos</w:t>
      </w:r>
      <w:r w:rsidRPr="00C317BB" w:rsidR="00232564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77CCC">
        <w:rPr>
          <w:rFonts w:cs="Times New Roman"/>
          <w:color w:val="000000" w:themeColor="text1"/>
          <w:szCs w:val="24"/>
        </w:rPr>
        <w:t>December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1346">
        <w:rPr>
          <w:rFonts w:cs="Times New Roman"/>
          <w:color w:val="000000" w:themeColor="text1"/>
          <w:szCs w:val="24"/>
        </w:rPr>
        <w:t>2020</w:t>
      </w:r>
      <w:r w:rsidRPr="00C317BB" w:rsidR="00232564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87442">
        <w:rPr>
          <w:rFonts w:cs="Times New Roman"/>
          <w:color w:val="000000" w:themeColor="text1"/>
          <w:szCs w:val="24"/>
        </w:rPr>
        <w:t>(EPA-HQ-OPPT-</w:t>
      </w:r>
      <w:r w:rsidRPr="00C317BB" w:rsidR="000E2FB4">
        <w:rPr>
          <w:rFonts w:cs="Times New Roman"/>
          <w:color w:val="000000" w:themeColor="text1"/>
          <w:szCs w:val="24"/>
        </w:rPr>
        <w:t>2019-</w:t>
      </w:r>
      <w:r w:rsidRPr="00C317BB" w:rsidR="00077CCC">
        <w:rPr>
          <w:rFonts w:cs="Times New Roman"/>
          <w:color w:val="000000" w:themeColor="text1"/>
          <w:szCs w:val="24"/>
        </w:rPr>
        <w:t>0501</w:t>
      </w:r>
      <w:r w:rsidRPr="00C317BB" w:rsidR="00096F4D">
        <w:rPr>
          <w:rFonts w:cs="Times New Roman"/>
          <w:color w:val="000000" w:themeColor="text1"/>
          <w:szCs w:val="24"/>
        </w:rPr>
        <w:t>-0117</w:t>
      </w:r>
      <w:r w:rsidRPr="00C317BB" w:rsidR="00587442">
        <w:rPr>
          <w:rFonts w:cs="Times New Roman"/>
          <w:color w:val="000000" w:themeColor="text1"/>
          <w:szCs w:val="24"/>
        </w:rPr>
        <w:t>)</w:t>
      </w:r>
      <w:r w:rsidRPr="00C317BB" w:rsidR="00AF0966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B9178F" w:rsidP="00F27167" w:rsidRDefault="00F11D1E" w14:paraId="63C9E1B0" w14:textId="29B8FB10">
      <w:pPr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szCs w:val="24"/>
        </w:rPr>
        <w:tab/>
        <w:t>2.</w:t>
      </w:r>
      <w:r w:rsidR="005613B2">
        <w:rPr>
          <w:rFonts w:cs="Times New Roman"/>
          <w:szCs w:val="24"/>
        </w:rPr>
        <w:t xml:space="preserve"> </w:t>
      </w:r>
      <w:r w:rsidRPr="00C317BB" w:rsidR="00B9178F">
        <w:rPr>
          <w:rFonts w:cs="Times New Roman"/>
          <w:color w:val="000000" w:themeColor="text1"/>
          <w:szCs w:val="24"/>
        </w:rPr>
        <w:t>EPA.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A3704">
        <w:rPr>
          <w:rFonts w:cs="Times New Roman"/>
          <w:color w:val="000000" w:themeColor="text1"/>
          <w:szCs w:val="24"/>
        </w:rPr>
        <w:t>Economic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A3704">
        <w:rPr>
          <w:rFonts w:cs="Times New Roman"/>
          <w:color w:val="000000" w:themeColor="text1"/>
          <w:szCs w:val="24"/>
        </w:rPr>
        <w:t>Analysis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A3704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A3704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A3704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A3704">
        <w:rPr>
          <w:rFonts w:cs="Times New Roman"/>
          <w:color w:val="000000" w:themeColor="text1"/>
          <w:szCs w:val="24"/>
        </w:rPr>
        <w:t>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A3704">
        <w:rPr>
          <w:rFonts w:cs="Times New Roman"/>
          <w:color w:val="000000" w:themeColor="text1"/>
          <w:szCs w:val="24"/>
        </w:rPr>
        <w:t>6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A3704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A3704">
        <w:rPr>
          <w:rFonts w:cs="Times New Roman"/>
          <w:color w:val="000000" w:themeColor="text1"/>
          <w:szCs w:val="24"/>
        </w:rPr>
        <w:t>Rule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A3704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A3704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A3704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A3704">
        <w:rPr>
          <w:rFonts w:cs="Times New Roman"/>
          <w:color w:val="000000" w:themeColor="text1"/>
          <w:szCs w:val="24"/>
        </w:rPr>
        <w:t>Management,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A3704">
        <w:rPr>
          <w:rFonts w:cs="Times New Roman"/>
          <w:color w:val="000000" w:themeColor="text1"/>
          <w:szCs w:val="24"/>
        </w:rPr>
        <w:t>Part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A3704">
        <w:rPr>
          <w:rFonts w:cs="Times New Roman"/>
          <w:color w:val="000000" w:themeColor="text1"/>
          <w:szCs w:val="24"/>
        </w:rPr>
        <w:t>1.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A3704">
        <w:rPr>
          <w:rFonts w:cs="Times New Roman"/>
          <w:color w:val="000000" w:themeColor="text1"/>
          <w:szCs w:val="24"/>
        </w:rPr>
        <w:t>April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A3704">
        <w:rPr>
          <w:rFonts w:cs="Times New Roman"/>
          <w:color w:val="000000" w:themeColor="text1"/>
          <w:szCs w:val="24"/>
        </w:rPr>
        <w:t>2022</w:t>
      </w:r>
      <w:r w:rsidRPr="00C317BB" w:rsidR="008105F2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931834" w:rsidP="00F27167" w:rsidRDefault="00F11D1E" w14:paraId="5993D62F" w14:textId="6F76BF00">
      <w:pPr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szCs w:val="24"/>
        </w:rPr>
        <w:tab/>
        <w:t>3.</w:t>
      </w:r>
      <w:r w:rsidR="005613B2">
        <w:rPr>
          <w:rFonts w:cs="Times New Roman"/>
          <w:szCs w:val="24"/>
        </w:rPr>
        <w:t xml:space="preserve"> </w:t>
      </w:r>
      <w:r w:rsidRPr="00C317BB" w:rsidR="009D56CF">
        <w:rPr>
          <w:rFonts w:cs="Times New Roman"/>
          <w:color w:val="000000" w:themeColor="text1"/>
          <w:szCs w:val="24"/>
          <w:shd w:val="clear" w:color="auto" w:fill="FFFFFF"/>
        </w:rPr>
        <w:t>U.S.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9D56CF">
        <w:rPr>
          <w:rFonts w:cs="Times New Roman"/>
          <w:color w:val="000000" w:themeColor="text1"/>
          <w:szCs w:val="24"/>
          <w:shd w:val="clear" w:color="auto" w:fill="FFFFFF"/>
        </w:rPr>
        <w:t>Geological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9D56CF">
        <w:rPr>
          <w:rFonts w:cs="Times New Roman"/>
          <w:color w:val="000000" w:themeColor="text1"/>
          <w:szCs w:val="24"/>
          <w:shd w:val="clear" w:color="auto" w:fill="FFFFFF"/>
        </w:rPr>
        <w:t>Survey</w:t>
      </w:r>
      <w:r w:rsidRPr="00C317BB" w:rsidR="00211BF6">
        <w:rPr>
          <w:rFonts w:cs="Times New Roman"/>
          <w:color w:val="000000" w:themeColor="text1"/>
          <w:szCs w:val="24"/>
          <w:shd w:val="clear" w:color="auto" w:fill="FFFFFF"/>
        </w:rPr>
        <w:t>.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211BF6">
        <w:rPr>
          <w:rFonts w:cs="Times New Roman"/>
          <w:color w:val="000000" w:themeColor="text1"/>
          <w:szCs w:val="24"/>
          <w:shd w:val="clear" w:color="auto" w:fill="FFFFFF"/>
        </w:rPr>
        <w:t>(</w:t>
      </w:r>
      <w:r w:rsidRPr="00C317BB" w:rsidR="009D56CF">
        <w:rPr>
          <w:rFonts w:cs="Times New Roman"/>
          <w:color w:val="000000" w:themeColor="text1"/>
          <w:szCs w:val="24"/>
          <w:shd w:val="clear" w:color="auto" w:fill="FFFFFF"/>
        </w:rPr>
        <w:t>2021</w:t>
      </w:r>
      <w:r w:rsidRPr="00C317BB" w:rsidR="00211BF6">
        <w:rPr>
          <w:rFonts w:cs="Times New Roman"/>
          <w:color w:val="000000" w:themeColor="text1"/>
          <w:szCs w:val="24"/>
          <w:shd w:val="clear" w:color="auto" w:fill="FFFFFF"/>
        </w:rPr>
        <w:t>).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9D56CF">
        <w:rPr>
          <w:rFonts w:cs="Times New Roman"/>
          <w:color w:val="000000" w:themeColor="text1"/>
          <w:szCs w:val="24"/>
          <w:shd w:val="clear" w:color="auto" w:fill="FFFFFF"/>
        </w:rPr>
        <w:t>Mineral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9D56CF">
        <w:rPr>
          <w:rFonts w:cs="Times New Roman"/>
          <w:color w:val="000000" w:themeColor="text1"/>
          <w:szCs w:val="24"/>
          <w:shd w:val="clear" w:color="auto" w:fill="FFFFFF"/>
        </w:rPr>
        <w:t>commodity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9D56CF">
        <w:rPr>
          <w:rFonts w:cs="Times New Roman"/>
          <w:color w:val="000000" w:themeColor="text1"/>
          <w:szCs w:val="24"/>
          <w:shd w:val="clear" w:color="auto" w:fill="FFFFFF"/>
        </w:rPr>
        <w:t>summaries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9D56CF">
        <w:rPr>
          <w:rFonts w:cs="Times New Roman"/>
          <w:color w:val="000000" w:themeColor="text1"/>
          <w:szCs w:val="24"/>
          <w:shd w:val="clear" w:color="auto" w:fill="FFFFFF"/>
        </w:rPr>
        <w:t>2021: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9D56CF">
        <w:rPr>
          <w:rFonts w:cs="Times New Roman"/>
          <w:color w:val="000000" w:themeColor="text1"/>
          <w:szCs w:val="24"/>
          <w:shd w:val="clear" w:color="auto" w:fill="FFFFFF"/>
        </w:rPr>
        <w:t>U.S.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9D56CF">
        <w:rPr>
          <w:rFonts w:cs="Times New Roman"/>
          <w:color w:val="000000" w:themeColor="text1"/>
          <w:szCs w:val="24"/>
          <w:shd w:val="clear" w:color="auto" w:fill="FFFFFF"/>
        </w:rPr>
        <w:t>Geological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9D56CF">
        <w:rPr>
          <w:rFonts w:cs="Times New Roman"/>
          <w:color w:val="000000" w:themeColor="text1"/>
          <w:szCs w:val="24"/>
          <w:shd w:val="clear" w:color="auto" w:fill="FFFFFF"/>
        </w:rPr>
        <w:t>Survey</w:t>
      </w:r>
      <w:r w:rsidRPr="00C317BB" w:rsidR="009D56CF">
        <w:rPr>
          <w:rFonts w:cs="Times New Roman"/>
          <w:i/>
          <w:color w:val="000000" w:themeColor="text1"/>
          <w:szCs w:val="24"/>
          <w:shd w:val="clear" w:color="auto" w:fill="FFFFFF"/>
        </w:rPr>
        <w:t>,</w:t>
      </w:r>
      <w:r w:rsidR="005613B2">
        <w:rPr>
          <w:rFonts w:cs="Times New Roman"/>
          <w:i/>
          <w:color w:val="000000" w:themeColor="text1"/>
          <w:szCs w:val="24"/>
          <w:shd w:val="clear" w:color="auto" w:fill="FFFFFF"/>
        </w:rPr>
        <w:t xml:space="preserve"> </w:t>
      </w:r>
      <w:r w:rsidRPr="00C317BB" w:rsidR="009D56CF">
        <w:rPr>
          <w:rFonts w:cs="Times New Roman"/>
          <w:i/>
          <w:color w:val="000000" w:themeColor="text1"/>
          <w:szCs w:val="24"/>
          <w:shd w:val="clear" w:color="auto" w:fill="FFFFFF"/>
        </w:rPr>
        <w:t>https://doi.org/10.3133/mcs2021</w:t>
      </w:r>
      <w:r w:rsidRPr="00C317BB" w:rsidR="009D56CF">
        <w:rPr>
          <w:rFonts w:cs="Times New Roman"/>
          <w:color w:val="000000" w:themeColor="text1"/>
          <w:szCs w:val="24"/>
          <w:shd w:val="clear" w:color="auto" w:fill="FFFFFF"/>
        </w:rPr>
        <w:t>.</w:t>
      </w:r>
    </w:p>
    <w:p w:rsidRPr="00C317BB" w:rsidR="005F6CF2" w:rsidP="00F27167" w:rsidRDefault="00F11D1E" w14:paraId="51590FDB" w14:textId="0717DD98">
      <w:pPr>
        <w:rPr>
          <w:rFonts w:cs="Times New Roman"/>
          <w:b/>
          <w:color w:val="000000" w:themeColor="text1"/>
          <w:szCs w:val="24"/>
        </w:rPr>
      </w:pPr>
      <w:r w:rsidRPr="00C317BB">
        <w:rPr>
          <w:rFonts w:cs="Times New Roman"/>
          <w:szCs w:val="24"/>
        </w:rPr>
        <w:tab/>
        <w:t>4.</w:t>
      </w:r>
      <w:r w:rsidR="005613B2">
        <w:rPr>
          <w:rFonts w:cs="Times New Roman"/>
          <w:szCs w:val="24"/>
        </w:rPr>
        <w:t xml:space="preserve"> </w:t>
      </w:r>
      <w:r w:rsidRPr="00C317BB" w:rsidR="00B00DE0">
        <w:rPr>
          <w:rFonts w:cs="Times New Roman"/>
          <w:color w:val="000000" w:themeColor="text1"/>
          <w:szCs w:val="24"/>
        </w:rPr>
        <w:t>Environment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00DE0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00DE0">
        <w:rPr>
          <w:rFonts w:cs="Times New Roman"/>
          <w:color w:val="000000" w:themeColor="text1"/>
          <w:szCs w:val="24"/>
        </w:rPr>
        <w:t>Climate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00DE0">
        <w:rPr>
          <w:rFonts w:cs="Times New Roman"/>
          <w:color w:val="000000" w:themeColor="text1"/>
          <w:szCs w:val="24"/>
        </w:rPr>
        <w:t>Change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00DE0">
        <w:rPr>
          <w:rFonts w:cs="Times New Roman"/>
          <w:color w:val="000000" w:themeColor="text1"/>
          <w:szCs w:val="24"/>
        </w:rPr>
        <w:t>Canada</w:t>
      </w:r>
      <w:r w:rsidRPr="00C317BB" w:rsidR="00211BF6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11BF6">
        <w:rPr>
          <w:rFonts w:cs="Times New Roman"/>
          <w:color w:val="000000" w:themeColor="text1"/>
          <w:szCs w:val="24"/>
        </w:rPr>
        <w:t>(</w:t>
      </w:r>
      <w:r w:rsidRPr="00C317BB" w:rsidR="00FE0C1E">
        <w:rPr>
          <w:rFonts w:cs="Times New Roman"/>
          <w:color w:val="000000" w:themeColor="text1"/>
          <w:szCs w:val="24"/>
        </w:rPr>
        <w:t>2021</w:t>
      </w:r>
      <w:r w:rsidRPr="00C317BB" w:rsidR="00211BF6">
        <w:rPr>
          <w:rFonts w:cs="Times New Roman"/>
          <w:color w:val="000000" w:themeColor="text1"/>
          <w:szCs w:val="24"/>
        </w:rPr>
        <w:t>).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F6CF2">
        <w:rPr>
          <w:rFonts w:cs="Times New Roman"/>
          <w:color w:val="000000" w:themeColor="text1"/>
          <w:szCs w:val="24"/>
        </w:rPr>
        <w:t>Prohibitions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F6CF2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F6CF2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F6CF2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F6CF2">
        <w:rPr>
          <w:rFonts w:cs="Times New Roman"/>
          <w:color w:val="000000" w:themeColor="text1"/>
          <w:szCs w:val="24"/>
        </w:rPr>
        <w:t>Products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F6CF2">
        <w:rPr>
          <w:rFonts w:cs="Times New Roman"/>
          <w:color w:val="000000" w:themeColor="text1"/>
          <w:szCs w:val="24"/>
        </w:rPr>
        <w:t>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F6CF2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F6CF2">
        <w:rPr>
          <w:rFonts w:cs="Times New Roman"/>
          <w:color w:val="000000" w:themeColor="text1"/>
          <w:szCs w:val="24"/>
        </w:rPr>
        <w:t>Regulations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F6CF2">
        <w:rPr>
          <w:rFonts w:cs="Times New Roman"/>
          <w:color w:val="000000" w:themeColor="text1"/>
          <w:szCs w:val="24"/>
        </w:rPr>
        <w:t>(</w:t>
      </w:r>
      <w:r w:rsidRPr="00C317BB" w:rsidR="005F6CF2">
        <w:rPr>
          <w:rFonts w:cs="Times New Roman"/>
          <w:i/>
          <w:color w:val="000000" w:themeColor="text1"/>
          <w:szCs w:val="24"/>
        </w:rPr>
        <w:t>SOR/2019-196</w:t>
      </w:r>
      <w:r w:rsidRPr="00C317BB" w:rsidR="005F6CF2">
        <w:rPr>
          <w:rFonts w:cs="Times New Roman"/>
          <w:color w:val="000000" w:themeColor="text1"/>
          <w:szCs w:val="24"/>
        </w:rPr>
        <w:t>).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F6CF2">
        <w:rPr>
          <w:rFonts w:cs="Times New Roman"/>
          <w:i/>
          <w:color w:val="000000" w:themeColor="text1"/>
          <w:szCs w:val="24"/>
        </w:rPr>
        <w:t>https://pollution-waste.canada.ca/environmental-protection-registry/regulations/view?Id=150</w:t>
      </w:r>
      <w:r w:rsidRPr="00C317BB" w:rsidR="00722110">
        <w:rPr>
          <w:rStyle w:val="Hyperlink"/>
          <w:rFonts w:cs="Times New Roman"/>
          <w:i/>
          <w:color w:val="000000" w:themeColor="text1"/>
          <w:szCs w:val="24"/>
          <w:u w:val="none"/>
        </w:rPr>
        <w:t>.</w:t>
      </w:r>
      <w:r w:rsidR="005613B2">
        <w:rPr>
          <w:rStyle w:val="Hyperlink"/>
          <w:rFonts w:cs="Times New Roman"/>
          <w:color w:val="000000" w:themeColor="text1"/>
          <w:szCs w:val="24"/>
          <w:u w:val="none"/>
        </w:rPr>
        <w:t xml:space="preserve"> </w:t>
      </w:r>
      <w:r w:rsidRPr="00C317BB" w:rsidR="00722110">
        <w:rPr>
          <w:rStyle w:val="Hyperlink"/>
          <w:rFonts w:cs="Times New Roman"/>
          <w:color w:val="000000" w:themeColor="text1"/>
          <w:szCs w:val="24"/>
          <w:u w:val="none"/>
        </w:rPr>
        <w:t>Accessed</w:t>
      </w:r>
      <w:r w:rsidR="005613B2">
        <w:rPr>
          <w:rStyle w:val="Hyperlink"/>
          <w:rFonts w:cs="Times New Roman"/>
          <w:color w:val="000000" w:themeColor="text1"/>
          <w:szCs w:val="24"/>
          <w:u w:val="none"/>
        </w:rPr>
        <w:t xml:space="preserve"> </w:t>
      </w:r>
      <w:r w:rsidRPr="00C317BB" w:rsidR="00EC2D10">
        <w:rPr>
          <w:rStyle w:val="Hyperlink"/>
          <w:rFonts w:cs="Times New Roman"/>
          <w:color w:val="000000" w:themeColor="text1"/>
          <w:szCs w:val="24"/>
          <w:u w:val="none"/>
        </w:rPr>
        <w:t>August</w:t>
      </w:r>
      <w:r w:rsidR="005613B2">
        <w:rPr>
          <w:rStyle w:val="Hyperlink"/>
          <w:rFonts w:cs="Times New Roman"/>
          <w:color w:val="000000" w:themeColor="text1"/>
          <w:szCs w:val="24"/>
          <w:u w:val="none"/>
        </w:rPr>
        <w:t xml:space="preserve"> </w:t>
      </w:r>
      <w:r w:rsidRPr="00C317BB" w:rsidR="00EC2D10">
        <w:rPr>
          <w:rStyle w:val="Hyperlink"/>
          <w:rFonts w:cs="Times New Roman"/>
          <w:color w:val="000000" w:themeColor="text1"/>
          <w:szCs w:val="24"/>
          <w:u w:val="none"/>
        </w:rPr>
        <w:t>31</w:t>
      </w:r>
      <w:r w:rsidRPr="00C317BB" w:rsidR="00131169">
        <w:rPr>
          <w:rStyle w:val="Hyperlink"/>
          <w:rFonts w:cs="Times New Roman"/>
          <w:color w:val="000000" w:themeColor="text1"/>
          <w:szCs w:val="24"/>
          <w:u w:val="none"/>
        </w:rPr>
        <w:t>,</w:t>
      </w:r>
      <w:r w:rsidR="005613B2">
        <w:rPr>
          <w:rStyle w:val="Hyperlink"/>
          <w:rFonts w:cs="Times New Roman"/>
          <w:color w:val="000000" w:themeColor="text1"/>
          <w:szCs w:val="24"/>
          <w:u w:val="none"/>
        </w:rPr>
        <w:t xml:space="preserve"> </w:t>
      </w:r>
      <w:r w:rsidRPr="00C317BB" w:rsidR="00131169">
        <w:rPr>
          <w:rStyle w:val="Hyperlink"/>
          <w:rFonts w:cs="Times New Roman"/>
          <w:color w:val="000000" w:themeColor="text1"/>
          <w:szCs w:val="24"/>
          <w:u w:val="none"/>
        </w:rPr>
        <w:t>2021.</w:t>
      </w:r>
    </w:p>
    <w:p w:rsidRPr="00C317BB" w:rsidR="004F211E" w:rsidP="00F27167" w:rsidRDefault="00F11D1E" w14:paraId="4BC8A52B" w14:textId="0348FBBF">
      <w:pPr>
        <w:rPr>
          <w:rFonts w:cs="Times New Roman"/>
          <w:b/>
          <w:color w:val="000000" w:themeColor="text1"/>
          <w:szCs w:val="24"/>
        </w:rPr>
      </w:pPr>
      <w:r w:rsidRPr="00C317BB">
        <w:rPr>
          <w:rFonts w:cs="Times New Roman"/>
          <w:szCs w:val="24"/>
        </w:rPr>
        <w:tab/>
        <w:t>5.</w:t>
      </w:r>
      <w:r w:rsidR="005613B2">
        <w:rPr>
          <w:rFonts w:cs="Times New Roman"/>
          <w:szCs w:val="24"/>
        </w:rPr>
        <w:t xml:space="preserve"> </w:t>
      </w:r>
      <w:r w:rsidRPr="00C317BB" w:rsidR="00873D25">
        <w:rPr>
          <w:rFonts w:cs="Times New Roman"/>
          <w:color w:val="000000" w:themeColor="text1"/>
          <w:szCs w:val="24"/>
        </w:rPr>
        <w:t>Department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73D25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73D25">
        <w:rPr>
          <w:rFonts w:cs="Times New Roman"/>
          <w:color w:val="000000" w:themeColor="text1"/>
          <w:szCs w:val="24"/>
        </w:rPr>
        <w:t>Labor</w:t>
      </w:r>
      <w:r w:rsidRPr="00C317BB" w:rsidR="00A12FFD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F211E">
        <w:rPr>
          <w:rFonts w:cs="Times New Roman"/>
          <w:color w:val="000000" w:themeColor="text1"/>
          <w:szCs w:val="24"/>
        </w:rPr>
        <w:t>O</w:t>
      </w:r>
      <w:r w:rsidRPr="00C317BB" w:rsidR="002F792E">
        <w:rPr>
          <w:rFonts w:cs="Times New Roman"/>
          <w:color w:val="000000" w:themeColor="text1"/>
          <w:szCs w:val="24"/>
        </w:rPr>
        <w:t>ccupational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F792E">
        <w:rPr>
          <w:rFonts w:cs="Times New Roman"/>
          <w:color w:val="000000" w:themeColor="text1"/>
          <w:szCs w:val="24"/>
        </w:rPr>
        <w:t>Safety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F792E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F792E">
        <w:rPr>
          <w:rFonts w:cs="Times New Roman"/>
          <w:color w:val="000000" w:themeColor="text1"/>
          <w:szCs w:val="24"/>
        </w:rPr>
        <w:t>Health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F792E">
        <w:rPr>
          <w:rFonts w:cs="Times New Roman"/>
          <w:color w:val="000000" w:themeColor="text1"/>
          <w:szCs w:val="24"/>
        </w:rPr>
        <w:t>Administration</w:t>
      </w:r>
      <w:r w:rsidRPr="00C317BB" w:rsidR="004F211E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14CE2">
        <w:rPr>
          <w:rFonts w:cs="Times New Roman"/>
          <w:color w:val="000000" w:themeColor="text1"/>
          <w:szCs w:val="24"/>
        </w:rPr>
        <w:t>Permissible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14CE2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14CE2">
        <w:rPr>
          <w:rFonts w:cs="Times New Roman"/>
          <w:color w:val="000000" w:themeColor="text1"/>
          <w:szCs w:val="24"/>
        </w:rPr>
        <w:t>Limits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14CE2">
        <w:rPr>
          <w:rFonts w:cs="Times New Roman"/>
          <w:color w:val="000000" w:themeColor="text1"/>
          <w:szCs w:val="24"/>
        </w:rPr>
        <w:t>–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14CE2">
        <w:rPr>
          <w:rFonts w:cs="Times New Roman"/>
          <w:color w:val="000000" w:themeColor="text1"/>
          <w:szCs w:val="24"/>
        </w:rPr>
        <w:t>Annotated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14CE2">
        <w:rPr>
          <w:rFonts w:cs="Times New Roman"/>
          <w:color w:val="000000" w:themeColor="text1"/>
          <w:szCs w:val="24"/>
        </w:rPr>
        <w:t>Tables.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C1BF7">
        <w:rPr>
          <w:rFonts w:cs="Times New Roman"/>
          <w:i/>
          <w:color w:val="000000" w:themeColor="text1"/>
          <w:szCs w:val="24"/>
        </w:rPr>
        <w:t>www.osha.gov/annotated-pels</w:t>
      </w:r>
      <w:r w:rsidRPr="00C317BB" w:rsidR="006A44C2">
        <w:rPr>
          <w:rFonts w:cs="Times New Roman"/>
          <w:i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14CE2">
        <w:rPr>
          <w:rFonts w:cs="Times New Roman"/>
          <w:color w:val="000000" w:themeColor="text1"/>
          <w:szCs w:val="24"/>
        </w:rPr>
        <w:t>Accessed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14CE2">
        <w:rPr>
          <w:rFonts w:cs="Times New Roman"/>
          <w:color w:val="000000" w:themeColor="text1"/>
          <w:szCs w:val="24"/>
        </w:rPr>
        <w:t>August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14CE2">
        <w:rPr>
          <w:rFonts w:cs="Times New Roman"/>
          <w:color w:val="000000" w:themeColor="text1"/>
          <w:szCs w:val="24"/>
        </w:rPr>
        <w:t>31,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14CE2">
        <w:rPr>
          <w:rFonts w:cs="Times New Roman"/>
          <w:color w:val="000000" w:themeColor="text1"/>
          <w:szCs w:val="24"/>
        </w:rPr>
        <w:t>2021.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3C0005" w:rsidP="00F27167" w:rsidRDefault="00F11D1E" w14:paraId="04AA234C" w14:textId="2B82C1DC">
      <w:pPr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szCs w:val="24"/>
        </w:rPr>
        <w:tab/>
        <w:t>6</w:t>
      </w:r>
      <w:r w:rsidR="005613B2">
        <w:rPr>
          <w:rFonts w:cs="Times New Roman"/>
          <w:szCs w:val="24"/>
        </w:rPr>
        <w:t xml:space="preserve"> </w:t>
      </w:r>
      <w:r w:rsidRPr="00C317BB" w:rsidR="00834555">
        <w:rPr>
          <w:rFonts w:cs="Times New Roman"/>
          <w:color w:val="000000" w:themeColor="text1"/>
          <w:szCs w:val="24"/>
        </w:rPr>
        <w:t>EPA.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416E4">
        <w:rPr>
          <w:rFonts w:cs="Times New Roman"/>
          <w:color w:val="000000" w:themeColor="text1"/>
          <w:szCs w:val="24"/>
        </w:rPr>
        <w:t>Problem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416E4">
        <w:rPr>
          <w:rFonts w:cs="Times New Roman"/>
          <w:color w:val="000000" w:themeColor="text1"/>
          <w:szCs w:val="24"/>
        </w:rPr>
        <w:t>Formulation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416E4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416E4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416E4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416E4">
        <w:rPr>
          <w:rFonts w:cs="Times New Roman"/>
          <w:color w:val="000000" w:themeColor="text1"/>
          <w:szCs w:val="24"/>
        </w:rPr>
        <w:t>Evaluation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416E4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416E4">
        <w:rPr>
          <w:rFonts w:cs="Times New Roman"/>
          <w:color w:val="000000" w:themeColor="text1"/>
          <w:szCs w:val="24"/>
        </w:rPr>
        <w:t>Asbestos.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416E4">
        <w:rPr>
          <w:rFonts w:cs="Times New Roman"/>
          <w:color w:val="000000" w:themeColor="text1"/>
          <w:szCs w:val="24"/>
        </w:rPr>
        <w:t>May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416E4">
        <w:rPr>
          <w:rFonts w:cs="Times New Roman"/>
          <w:color w:val="000000" w:themeColor="text1"/>
          <w:szCs w:val="24"/>
        </w:rPr>
        <w:t>2018.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145E8">
        <w:rPr>
          <w:rFonts w:cs="Times New Roman"/>
          <w:color w:val="000000" w:themeColor="text1"/>
          <w:szCs w:val="24"/>
        </w:rPr>
        <w:t>(</w:t>
      </w:r>
      <w:r w:rsidRPr="00C317BB" w:rsidR="001145E8">
        <w:rPr>
          <w:rFonts w:cs="Times New Roman"/>
          <w:color w:val="000000" w:themeColor="text1"/>
          <w:szCs w:val="24"/>
          <w:shd w:val="clear" w:color="auto" w:fill="FFFFFF"/>
        </w:rPr>
        <w:t>EPA-HQ-OPPT-2016-0736</w:t>
      </w:r>
      <w:r w:rsidRPr="00C317BB" w:rsidR="00D6435A">
        <w:rPr>
          <w:rFonts w:cs="Times New Roman"/>
          <w:color w:val="000000" w:themeColor="text1"/>
          <w:szCs w:val="24"/>
          <w:shd w:val="clear" w:color="auto" w:fill="FFFFFF"/>
        </w:rPr>
        <w:t>-0131</w:t>
      </w:r>
      <w:r w:rsidRPr="00C317BB" w:rsidR="001145E8">
        <w:rPr>
          <w:rFonts w:cs="Times New Roman"/>
          <w:color w:val="000000" w:themeColor="text1"/>
          <w:szCs w:val="24"/>
        </w:rPr>
        <w:t>)</w:t>
      </w:r>
      <w:r w:rsidRPr="00C317BB" w:rsidR="001145E8">
        <w:rPr>
          <w:rFonts w:cs="Times New Roman"/>
          <w:color w:val="000000" w:themeColor="text1"/>
          <w:szCs w:val="24"/>
          <w:shd w:val="clear" w:color="auto" w:fill="FFFFFF"/>
        </w:rPr>
        <w:t>.</w:t>
      </w:r>
      <w:r w:rsidR="005613B2">
        <w:rPr>
          <w:rFonts w:cs="Times New Roman"/>
          <w:szCs w:val="24"/>
        </w:rPr>
        <w:t xml:space="preserve"> </w:t>
      </w:r>
      <w:r w:rsidRPr="00C317BB">
        <w:rPr>
          <w:rFonts w:cs="Times New Roman"/>
          <w:i/>
          <w:color w:val="000000" w:themeColor="text1"/>
          <w:szCs w:val="24"/>
          <w:shd w:val="clear" w:color="auto" w:fill="FFFFFF"/>
        </w:rPr>
        <w:t>https://www.regulations.gov/document/EPA-HQ-OPPT-2016-0736-0131.</w:t>
      </w:r>
    </w:p>
    <w:p w:rsidRPr="00C317BB" w:rsidR="003C0005" w:rsidP="00F27167" w:rsidRDefault="00F11D1E" w14:paraId="6BE15DCC" w14:textId="3D87DB3D">
      <w:pPr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szCs w:val="24"/>
        </w:rPr>
        <w:tab/>
        <w:t>7.</w:t>
      </w:r>
      <w:r w:rsidR="005613B2">
        <w:rPr>
          <w:rFonts w:cs="Times New Roman"/>
          <w:szCs w:val="24"/>
        </w:rPr>
        <w:t xml:space="preserve"> </w:t>
      </w:r>
      <w:r w:rsidRPr="00C317BB" w:rsidR="003C0005">
        <w:rPr>
          <w:rFonts w:cs="Times New Roman"/>
          <w:color w:val="000000" w:themeColor="text1"/>
          <w:szCs w:val="24"/>
        </w:rPr>
        <w:t>EPA.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0005">
        <w:rPr>
          <w:rFonts w:cs="Times New Roman"/>
          <w:color w:val="000000" w:themeColor="text1"/>
          <w:szCs w:val="24"/>
        </w:rPr>
        <w:t>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0005">
        <w:rPr>
          <w:rFonts w:cs="Times New Roman"/>
          <w:color w:val="000000" w:themeColor="text1"/>
          <w:szCs w:val="24"/>
        </w:rPr>
        <w:t>6(a)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0005">
        <w:rPr>
          <w:rFonts w:cs="Times New Roman"/>
          <w:color w:val="000000" w:themeColor="text1"/>
          <w:szCs w:val="24"/>
        </w:rPr>
        <w:t>Rulemakings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0005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0005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0005">
        <w:rPr>
          <w:rFonts w:cs="Times New Roman"/>
          <w:color w:val="000000" w:themeColor="text1"/>
          <w:szCs w:val="24"/>
        </w:rPr>
        <w:t>Toxic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0005">
        <w:rPr>
          <w:rFonts w:cs="Times New Roman"/>
          <w:color w:val="000000" w:themeColor="text1"/>
          <w:szCs w:val="24"/>
        </w:rPr>
        <w:t>Substances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0005">
        <w:rPr>
          <w:rFonts w:cs="Times New Roman"/>
          <w:color w:val="000000" w:themeColor="text1"/>
          <w:szCs w:val="24"/>
        </w:rPr>
        <w:t>Control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0005">
        <w:rPr>
          <w:rFonts w:cs="Times New Roman"/>
          <w:color w:val="000000" w:themeColor="text1"/>
          <w:szCs w:val="24"/>
        </w:rPr>
        <w:t>Act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0005">
        <w:rPr>
          <w:rFonts w:cs="Times New Roman"/>
          <w:color w:val="000000" w:themeColor="text1"/>
          <w:szCs w:val="24"/>
        </w:rPr>
        <w:t>(TSCA)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0005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0005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0005">
        <w:rPr>
          <w:rFonts w:cs="Times New Roman"/>
          <w:color w:val="000000" w:themeColor="text1"/>
          <w:szCs w:val="24"/>
        </w:rPr>
        <w:t>Rulemakings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0005">
        <w:rPr>
          <w:rFonts w:cs="Times New Roman"/>
          <w:color w:val="000000" w:themeColor="text1"/>
          <w:szCs w:val="24"/>
        </w:rPr>
        <w:t>E.O.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0005">
        <w:rPr>
          <w:rFonts w:cs="Times New Roman"/>
          <w:color w:val="000000" w:themeColor="text1"/>
          <w:szCs w:val="24"/>
        </w:rPr>
        <w:t>13132: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0005">
        <w:rPr>
          <w:rFonts w:cs="Times New Roman"/>
          <w:color w:val="000000" w:themeColor="text1"/>
          <w:szCs w:val="24"/>
        </w:rPr>
        <w:t>Federalism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0005">
        <w:rPr>
          <w:rFonts w:cs="Times New Roman"/>
          <w:color w:val="000000" w:themeColor="text1"/>
          <w:szCs w:val="24"/>
        </w:rPr>
        <w:t>Consultation.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0005">
        <w:rPr>
          <w:rFonts w:cs="Times New Roman"/>
          <w:color w:val="000000" w:themeColor="text1"/>
          <w:szCs w:val="24"/>
        </w:rPr>
        <w:t>May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0005">
        <w:rPr>
          <w:rFonts w:cs="Times New Roman"/>
          <w:color w:val="000000" w:themeColor="text1"/>
          <w:szCs w:val="24"/>
        </w:rPr>
        <w:t>13,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0005">
        <w:rPr>
          <w:rFonts w:cs="Times New Roman"/>
          <w:color w:val="000000" w:themeColor="text1"/>
          <w:szCs w:val="24"/>
        </w:rPr>
        <w:t>2021.</w:t>
      </w:r>
    </w:p>
    <w:p w:rsidRPr="00C317BB" w:rsidR="000E342D" w:rsidP="00F27167" w:rsidRDefault="00F11D1E" w14:paraId="1A88B3DD" w14:textId="5AEBC95F">
      <w:pPr>
        <w:rPr>
          <w:rFonts w:cs="Times New Roman"/>
          <w:b/>
          <w:color w:val="000000" w:themeColor="text1"/>
          <w:szCs w:val="24"/>
        </w:rPr>
      </w:pPr>
      <w:r w:rsidRPr="00C317BB">
        <w:rPr>
          <w:rFonts w:cs="Times New Roman"/>
          <w:szCs w:val="24"/>
        </w:rPr>
        <w:tab/>
        <w:t>8.</w:t>
      </w:r>
      <w:r w:rsidR="005613B2">
        <w:rPr>
          <w:rFonts w:cs="Times New Roman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EPA.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Notification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Consultation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Coordination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Rulemakings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Toxic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Substances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Control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Act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10004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10004">
        <w:rPr>
          <w:rFonts w:cs="Times New Roman"/>
          <w:color w:val="000000" w:themeColor="text1"/>
          <w:szCs w:val="24"/>
        </w:rPr>
        <w:t>Part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10004">
        <w:rPr>
          <w:rFonts w:cs="Times New Roman"/>
          <w:color w:val="000000" w:themeColor="text1"/>
          <w:szCs w:val="24"/>
        </w:rPr>
        <w:t>1: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10004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10004">
        <w:rPr>
          <w:rFonts w:cs="Times New Roman"/>
          <w:color w:val="000000" w:themeColor="text1"/>
          <w:szCs w:val="24"/>
        </w:rPr>
        <w:t>Asbestos.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10004">
        <w:rPr>
          <w:rFonts w:cs="Times New Roman"/>
          <w:color w:val="000000" w:themeColor="text1"/>
          <w:szCs w:val="24"/>
        </w:rPr>
        <w:t>May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10004">
        <w:rPr>
          <w:rFonts w:cs="Times New Roman"/>
          <w:color w:val="000000" w:themeColor="text1"/>
          <w:szCs w:val="24"/>
        </w:rPr>
        <w:t>24,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10004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10004">
        <w:rPr>
          <w:rFonts w:cs="Times New Roman"/>
          <w:color w:val="000000" w:themeColor="text1"/>
          <w:szCs w:val="24"/>
        </w:rPr>
        <w:t>June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10004">
        <w:rPr>
          <w:rFonts w:cs="Times New Roman"/>
          <w:color w:val="000000" w:themeColor="text1"/>
          <w:szCs w:val="24"/>
        </w:rPr>
        <w:t>3,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10004">
        <w:rPr>
          <w:rFonts w:cs="Times New Roman"/>
          <w:color w:val="000000" w:themeColor="text1"/>
          <w:szCs w:val="24"/>
        </w:rPr>
        <w:t>2021.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379C">
        <w:rPr>
          <w:rFonts w:cs="Times New Roman"/>
          <w:color w:val="000000" w:themeColor="text1"/>
          <w:szCs w:val="24"/>
        </w:rPr>
        <w:t>Tribal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D367C">
        <w:rPr>
          <w:rFonts w:cs="Times New Roman"/>
          <w:color w:val="000000" w:themeColor="text1"/>
          <w:szCs w:val="24"/>
        </w:rPr>
        <w:t>Consultation</w:t>
      </w:r>
      <w:r w:rsidRPr="00C317BB" w:rsidR="006442A3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0E342D" w:rsidP="00F27167" w:rsidRDefault="005613B2" w14:paraId="72219F59" w14:textId="69B7B36F">
      <w:pPr>
        <w:rPr>
          <w:rFonts w:cs="Times New Roman"/>
          <w:b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 </w:t>
      </w:r>
      <w:r w:rsidRPr="00C317BB" w:rsidR="00F11D1E">
        <w:rPr>
          <w:rFonts w:cs="Times New Roman"/>
          <w:szCs w:val="24"/>
        </w:rPr>
        <w:tab/>
        <w:t>9.</w:t>
      </w:r>
      <w:r>
        <w:rPr>
          <w:rFonts w:cs="Times New Roman"/>
          <w:szCs w:val="24"/>
        </w:rPr>
        <w:t xml:space="preserve"> </w:t>
      </w:r>
      <w:r w:rsidRPr="00C317BB" w:rsidR="00E74001">
        <w:rPr>
          <w:rFonts w:cs="Times New Roman"/>
          <w:color w:val="000000" w:themeColor="text1"/>
          <w:szCs w:val="24"/>
        </w:rPr>
        <w:t>A</w:t>
      </w:r>
      <w:r w:rsidRPr="00C317BB" w:rsidR="00270674">
        <w:rPr>
          <w:rFonts w:cs="Times New Roman"/>
          <w:color w:val="000000" w:themeColor="text1"/>
          <w:szCs w:val="24"/>
        </w:rPr>
        <w:t>sbestos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270674">
        <w:rPr>
          <w:rFonts w:cs="Times New Roman"/>
          <w:color w:val="000000" w:themeColor="text1"/>
          <w:szCs w:val="24"/>
        </w:rPr>
        <w:t>Disease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270674">
        <w:rPr>
          <w:rFonts w:cs="Times New Roman"/>
          <w:color w:val="000000" w:themeColor="text1"/>
          <w:szCs w:val="24"/>
        </w:rPr>
        <w:t>Awareness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270674">
        <w:rPr>
          <w:rFonts w:cs="Times New Roman"/>
          <w:color w:val="000000" w:themeColor="text1"/>
          <w:szCs w:val="24"/>
        </w:rPr>
        <w:t>Organization</w:t>
      </w:r>
      <w:r w:rsidRPr="00C317BB" w:rsidR="00E74001">
        <w:rPr>
          <w:rFonts w:cs="Times New Roman"/>
          <w:color w:val="000000" w:themeColor="text1"/>
          <w:szCs w:val="24"/>
        </w:rPr>
        <w:t>.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Comments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8105F2">
        <w:rPr>
          <w:rFonts w:cs="Times New Roman"/>
          <w:color w:val="000000" w:themeColor="text1"/>
          <w:szCs w:val="24"/>
        </w:rPr>
        <w:t>submitted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F45ACA">
        <w:rPr>
          <w:rFonts w:cs="Times New Roman"/>
          <w:color w:val="000000" w:themeColor="text1"/>
          <w:szCs w:val="24"/>
        </w:rPr>
        <w:t>at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F45ACA">
        <w:rPr>
          <w:rFonts w:cs="Times New Roman"/>
          <w:color w:val="000000" w:themeColor="text1"/>
          <w:szCs w:val="24"/>
        </w:rPr>
        <w:t>the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F45ACA">
        <w:rPr>
          <w:rFonts w:cs="Times New Roman"/>
          <w:color w:val="000000" w:themeColor="text1"/>
          <w:szCs w:val="24"/>
        </w:rPr>
        <w:t>Environmental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F45ACA">
        <w:rPr>
          <w:rFonts w:cs="Times New Roman"/>
          <w:color w:val="000000" w:themeColor="text1"/>
          <w:szCs w:val="24"/>
        </w:rPr>
        <w:t>Justice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F45ACA">
        <w:rPr>
          <w:rFonts w:cs="Times New Roman"/>
          <w:color w:val="000000" w:themeColor="text1"/>
          <w:szCs w:val="24"/>
        </w:rPr>
        <w:t>Webinar.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June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1,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2021</w:t>
      </w:r>
      <w:r w:rsidRPr="00C317BB" w:rsidR="005416E4">
        <w:rPr>
          <w:rFonts w:cs="Times New Roman"/>
          <w:color w:val="000000" w:themeColor="text1"/>
          <w:szCs w:val="24"/>
        </w:rPr>
        <w:t>.</w:t>
      </w:r>
    </w:p>
    <w:p w:rsidRPr="00C317BB" w:rsidR="000E342D" w:rsidP="00F27167" w:rsidRDefault="00F11D1E" w14:paraId="7FE10FCE" w14:textId="17C19ED5">
      <w:pPr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szCs w:val="24"/>
        </w:rPr>
        <w:tab/>
        <w:t>10.</w:t>
      </w:r>
      <w:r w:rsidR="005613B2">
        <w:rPr>
          <w:rFonts w:cs="Times New Roman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EPA.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Part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1.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(Chrysotile)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Public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Webinar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Slides</w:t>
      </w:r>
      <w:r w:rsidRPr="00C317BB" w:rsidR="00B10004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A45C4">
        <w:rPr>
          <w:rFonts w:cs="Times New Roman"/>
          <w:color w:val="000000" w:themeColor="text1"/>
          <w:szCs w:val="24"/>
        </w:rPr>
        <w:t>February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A45C4">
        <w:rPr>
          <w:rFonts w:cs="Times New Roman"/>
          <w:color w:val="000000" w:themeColor="text1"/>
          <w:szCs w:val="24"/>
        </w:rPr>
        <w:t>3,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A45C4">
        <w:rPr>
          <w:rFonts w:cs="Times New Roman"/>
          <w:color w:val="000000" w:themeColor="text1"/>
          <w:szCs w:val="24"/>
        </w:rPr>
        <w:t>2021.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0E342D" w:rsidP="00F27167" w:rsidRDefault="00F11D1E" w14:paraId="000DF54F" w14:textId="2FED4431">
      <w:pPr>
        <w:rPr>
          <w:rFonts w:cs="Times New Roman"/>
          <w:b/>
          <w:color w:val="000000" w:themeColor="text1"/>
          <w:szCs w:val="24"/>
        </w:rPr>
      </w:pPr>
      <w:r w:rsidRPr="00C317BB">
        <w:rPr>
          <w:rFonts w:cs="Times New Roman"/>
          <w:szCs w:val="24"/>
        </w:rPr>
        <w:tab/>
        <w:t>11.</w:t>
      </w:r>
      <w:r w:rsidR="005613B2">
        <w:rPr>
          <w:rFonts w:cs="Times New Roman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EPA.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Meeting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Environment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Climate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Change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Canada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Management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6,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Part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1: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Asbestos.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105F2">
        <w:rPr>
          <w:rFonts w:cs="Times New Roman"/>
          <w:color w:val="000000" w:themeColor="text1"/>
          <w:szCs w:val="24"/>
        </w:rPr>
        <w:t>February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105F2">
        <w:rPr>
          <w:rFonts w:cs="Times New Roman"/>
          <w:color w:val="000000" w:themeColor="text1"/>
          <w:szCs w:val="24"/>
        </w:rPr>
        <w:t>26,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105F2">
        <w:rPr>
          <w:rFonts w:cs="Times New Roman"/>
          <w:color w:val="000000" w:themeColor="text1"/>
          <w:szCs w:val="24"/>
        </w:rPr>
        <w:t>2021.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077077" w:rsidP="00F27167" w:rsidRDefault="00F11D1E" w14:paraId="101A8556" w14:textId="0C3A574A">
      <w:pPr>
        <w:rPr>
          <w:rFonts w:cs="Times New Roman"/>
          <w:b/>
          <w:color w:val="000000" w:themeColor="text1"/>
          <w:szCs w:val="24"/>
        </w:rPr>
      </w:pPr>
      <w:r w:rsidRPr="00C317BB">
        <w:rPr>
          <w:rFonts w:cs="Times New Roman"/>
          <w:szCs w:val="24"/>
        </w:rPr>
        <w:tab/>
        <w:t>12.</w:t>
      </w:r>
      <w:r w:rsidR="005613B2">
        <w:rPr>
          <w:rFonts w:cs="Times New Roman"/>
          <w:szCs w:val="24"/>
        </w:rPr>
        <w:t xml:space="preserve"> </w:t>
      </w:r>
      <w:r w:rsidRPr="00C317BB" w:rsidR="00077077">
        <w:rPr>
          <w:rFonts w:cs="Times New Roman"/>
          <w:color w:val="000000" w:themeColor="text1"/>
          <w:szCs w:val="24"/>
        </w:rPr>
        <w:t>EPA.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77077">
        <w:rPr>
          <w:rFonts w:cs="Times New Roman"/>
          <w:color w:val="000000" w:themeColor="text1"/>
          <w:szCs w:val="24"/>
        </w:rPr>
        <w:t>Email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77077">
        <w:rPr>
          <w:rFonts w:cs="Times New Roman"/>
          <w:color w:val="000000" w:themeColor="text1"/>
          <w:szCs w:val="24"/>
        </w:rPr>
        <w:t>Exchange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77077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C317BB" w:rsidR="00077077">
        <w:rPr>
          <w:rFonts w:cs="Times New Roman"/>
          <w:color w:val="000000" w:themeColor="text1"/>
          <w:szCs w:val="24"/>
        </w:rPr>
        <w:t>Mobis</w:t>
      </w:r>
      <w:proofErr w:type="spellEnd"/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77077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77077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77077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77077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77077">
        <w:rPr>
          <w:rFonts w:cs="Times New Roman"/>
          <w:color w:val="000000" w:themeColor="text1"/>
          <w:szCs w:val="24"/>
        </w:rPr>
        <w:t>presence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77077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77077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77077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77077">
        <w:rPr>
          <w:rFonts w:cs="Times New Roman"/>
          <w:color w:val="000000" w:themeColor="text1"/>
          <w:szCs w:val="24"/>
        </w:rPr>
        <w:t>its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77077">
        <w:rPr>
          <w:rFonts w:cs="Times New Roman"/>
          <w:color w:val="000000" w:themeColor="text1"/>
          <w:szCs w:val="24"/>
        </w:rPr>
        <w:t>Brake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77077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77077">
        <w:rPr>
          <w:rFonts w:cs="Times New Roman"/>
          <w:color w:val="000000" w:themeColor="text1"/>
          <w:szCs w:val="24"/>
        </w:rPr>
        <w:t>Friction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77077">
        <w:rPr>
          <w:rFonts w:cs="Times New Roman"/>
          <w:color w:val="000000" w:themeColor="text1"/>
          <w:szCs w:val="24"/>
        </w:rPr>
        <w:t>Products.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77077">
        <w:rPr>
          <w:rFonts w:cs="Times New Roman"/>
          <w:color w:val="000000" w:themeColor="text1"/>
          <w:szCs w:val="24"/>
        </w:rPr>
        <w:t>March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77077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77077">
        <w:rPr>
          <w:rFonts w:cs="Times New Roman"/>
          <w:color w:val="000000" w:themeColor="text1"/>
          <w:szCs w:val="24"/>
        </w:rPr>
        <w:t>June,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77077">
        <w:rPr>
          <w:rFonts w:cs="Times New Roman"/>
          <w:color w:val="000000" w:themeColor="text1"/>
          <w:szCs w:val="24"/>
        </w:rPr>
        <w:t>2021.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0E342D" w:rsidP="00F27167" w:rsidRDefault="00F11D1E" w14:paraId="01C1E56C" w14:textId="60CFB7BA">
      <w:pPr>
        <w:rPr>
          <w:rFonts w:cs="Times New Roman"/>
          <w:b/>
          <w:color w:val="000000" w:themeColor="text1"/>
          <w:szCs w:val="24"/>
        </w:rPr>
      </w:pPr>
      <w:r w:rsidRPr="00C317BB">
        <w:rPr>
          <w:rFonts w:cs="Times New Roman"/>
          <w:szCs w:val="24"/>
        </w:rPr>
        <w:tab/>
        <w:t>13.</w:t>
      </w:r>
      <w:r w:rsidR="005613B2">
        <w:rPr>
          <w:rFonts w:cs="Times New Roman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EPA.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Existing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Chemical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Limit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(ECEL)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Occupational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Asbestos.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March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2,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2021</w:t>
      </w:r>
      <w:r w:rsidRPr="00C317BB" w:rsidR="00F07A24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29604B" w:rsidP="00F27167" w:rsidRDefault="00F11D1E" w14:paraId="28E2EBB7" w14:textId="28B4667F">
      <w:pPr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szCs w:val="24"/>
        </w:rPr>
        <w:tab/>
        <w:t>14.</w:t>
      </w:r>
      <w:r w:rsidR="005613B2">
        <w:rPr>
          <w:rFonts w:cs="Times New Roman"/>
          <w:szCs w:val="24"/>
        </w:rPr>
        <w:t xml:space="preserve"> </w:t>
      </w:r>
      <w:r w:rsidRPr="00C317BB" w:rsidR="0029604B">
        <w:rPr>
          <w:rFonts w:cs="Times New Roman"/>
          <w:color w:val="000000" w:themeColor="text1"/>
          <w:szCs w:val="24"/>
        </w:rPr>
        <w:t>EPA.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9604B">
        <w:rPr>
          <w:rFonts w:cs="Times New Roman"/>
          <w:color w:val="000000" w:themeColor="text1"/>
          <w:szCs w:val="24"/>
        </w:rPr>
        <w:t>Meeting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9604B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90CE9">
        <w:rPr>
          <w:rFonts w:cs="Times New Roman"/>
          <w:color w:val="000000" w:themeColor="text1"/>
          <w:szCs w:val="24"/>
        </w:rPr>
        <w:t>Chemours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9604B">
        <w:rPr>
          <w:rFonts w:cs="Times New Roman"/>
          <w:color w:val="000000" w:themeColor="text1"/>
          <w:szCs w:val="24"/>
        </w:rPr>
        <w:t>Corporation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9604B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9604B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9604B">
        <w:rPr>
          <w:rFonts w:cs="Times New Roman"/>
          <w:color w:val="000000" w:themeColor="text1"/>
          <w:szCs w:val="24"/>
        </w:rPr>
        <w:t>Management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9604B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9604B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9604B">
        <w:rPr>
          <w:rFonts w:cs="Times New Roman"/>
          <w:color w:val="000000" w:themeColor="text1"/>
          <w:szCs w:val="24"/>
        </w:rPr>
        <w:t>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9604B">
        <w:rPr>
          <w:rFonts w:cs="Times New Roman"/>
          <w:color w:val="000000" w:themeColor="text1"/>
          <w:szCs w:val="24"/>
        </w:rPr>
        <w:t>6,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9604B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9604B">
        <w:rPr>
          <w:rFonts w:cs="Times New Roman"/>
          <w:color w:val="000000" w:themeColor="text1"/>
          <w:szCs w:val="24"/>
        </w:rPr>
        <w:t>Part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9604B">
        <w:rPr>
          <w:rFonts w:cs="Times New Roman"/>
          <w:color w:val="000000" w:themeColor="text1"/>
          <w:szCs w:val="24"/>
        </w:rPr>
        <w:t>1: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9604B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9604B">
        <w:rPr>
          <w:rFonts w:cs="Times New Roman"/>
          <w:color w:val="000000" w:themeColor="text1"/>
          <w:szCs w:val="24"/>
        </w:rPr>
        <w:t>Asbestos</w:t>
      </w:r>
      <w:r w:rsidRPr="00C317BB" w:rsidR="008105F2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B6D44">
        <w:rPr>
          <w:rFonts w:cs="Times New Roman"/>
          <w:color w:val="000000" w:themeColor="text1"/>
          <w:szCs w:val="24"/>
        </w:rPr>
        <w:t>March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B6D44">
        <w:rPr>
          <w:rFonts w:cs="Times New Roman"/>
          <w:color w:val="000000" w:themeColor="text1"/>
          <w:szCs w:val="24"/>
        </w:rPr>
        <w:t>29,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B6D44">
        <w:rPr>
          <w:rFonts w:cs="Times New Roman"/>
          <w:color w:val="000000" w:themeColor="text1"/>
          <w:szCs w:val="24"/>
        </w:rPr>
        <w:t>2021</w:t>
      </w:r>
      <w:r w:rsidRPr="00C317BB" w:rsidR="006366DA">
        <w:rPr>
          <w:rFonts w:cs="Times New Roman"/>
          <w:color w:val="000000" w:themeColor="text1"/>
          <w:szCs w:val="24"/>
        </w:rPr>
        <w:t>.</w:t>
      </w:r>
    </w:p>
    <w:p w:rsidRPr="00C317BB" w:rsidR="000E342D" w:rsidP="00F27167" w:rsidRDefault="00F11D1E" w14:paraId="4D598F9D" w14:textId="281661BE">
      <w:pPr>
        <w:rPr>
          <w:rFonts w:cs="Times New Roman"/>
          <w:b/>
          <w:color w:val="000000" w:themeColor="text1"/>
          <w:szCs w:val="24"/>
        </w:rPr>
      </w:pPr>
      <w:r w:rsidRPr="00C317BB">
        <w:rPr>
          <w:rFonts w:cs="Times New Roman"/>
          <w:szCs w:val="24"/>
        </w:rPr>
        <w:tab/>
        <w:t>15.</w:t>
      </w:r>
      <w:r w:rsidR="005613B2">
        <w:rPr>
          <w:rFonts w:cs="Times New Roman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EPA.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Meeting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Olin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Corporation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Management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6,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Part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1: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Asbestos.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105F2">
        <w:rPr>
          <w:rFonts w:cs="Times New Roman"/>
          <w:color w:val="000000" w:themeColor="text1"/>
          <w:szCs w:val="24"/>
        </w:rPr>
        <w:t>June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105F2">
        <w:rPr>
          <w:rFonts w:cs="Times New Roman"/>
          <w:color w:val="000000" w:themeColor="text1"/>
          <w:szCs w:val="24"/>
        </w:rPr>
        <w:t>2,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105F2">
        <w:rPr>
          <w:rFonts w:cs="Times New Roman"/>
          <w:color w:val="000000" w:themeColor="text1"/>
          <w:szCs w:val="24"/>
        </w:rPr>
        <w:t>2021</w:t>
      </w:r>
      <w:r w:rsidRPr="00C317BB" w:rsidR="000C0DB3">
        <w:rPr>
          <w:rFonts w:cs="Times New Roman"/>
          <w:color w:val="000000" w:themeColor="text1"/>
          <w:szCs w:val="24"/>
        </w:rPr>
        <w:t>.</w:t>
      </w:r>
    </w:p>
    <w:p w:rsidRPr="00C317BB" w:rsidR="000E342D" w:rsidP="00F27167" w:rsidRDefault="00F11D1E" w14:paraId="7FE74A81" w14:textId="1911E021">
      <w:pPr>
        <w:rPr>
          <w:rFonts w:cs="Times New Roman"/>
          <w:b/>
          <w:color w:val="000000" w:themeColor="text1"/>
          <w:szCs w:val="24"/>
        </w:rPr>
      </w:pPr>
      <w:r w:rsidRPr="00C317BB">
        <w:rPr>
          <w:rFonts w:cs="Times New Roman"/>
          <w:szCs w:val="24"/>
        </w:rPr>
        <w:tab/>
        <w:t>16.</w:t>
      </w:r>
      <w:r w:rsidR="005613B2">
        <w:rPr>
          <w:rFonts w:cs="Times New Roman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EPA.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Meeting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C317BB" w:rsidR="000E342D">
        <w:rPr>
          <w:rFonts w:cs="Times New Roman"/>
          <w:color w:val="000000" w:themeColor="text1"/>
          <w:szCs w:val="24"/>
        </w:rPr>
        <w:t>Oxychem</w:t>
      </w:r>
      <w:proofErr w:type="spellEnd"/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Corporation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Management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6,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Part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1: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Asbestos.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105F2">
        <w:rPr>
          <w:rFonts w:cs="Times New Roman"/>
          <w:color w:val="000000" w:themeColor="text1"/>
          <w:szCs w:val="24"/>
        </w:rPr>
        <w:t>May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105F2">
        <w:rPr>
          <w:rFonts w:cs="Times New Roman"/>
          <w:color w:val="000000" w:themeColor="text1"/>
          <w:szCs w:val="24"/>
        </w:rPr>
        <w:t>27,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105F2">
        <w:rPr>
          <w:rFonts w:cs="Times New Roman"/>
          <w:color w:val="000000" w:themeColor="text1"/>
          <w:szCs w:val="24"/>
        </w:rPr>
        <w:t>2021</w:t>
      </w:r>
      <w:r w:rsidRPr="00C317BB" w:rsidR="000C0DB3">
        <w:rPr>
          <w:rFonts w:cs="Times New Roman"/>
          <w:color w:val="000000" w:themeColor="text1"/>
          <w:szCs w:val="24"/>
        </w:rPr>
        <w:t>.</w:t>
      </w:r>
    </w:p>
    <w:p w:rsidRPr="00C317BB" w:rsidR="000E342D" w:rsidP="00F27167" w:rsidRDefault="00F11D1E" w14:paraId="67223A36" w14:textId="22E7842C">
      <w:pPr>
        <w:rPr>
          <w:rFonts w:cs="Times New Roman"/>
          <w:b/>
          <w:color w:val="000000" w:themeColor="text1"/>
          <w:szCs w:val="24"/>
        </w:rPr>
      </w:pPr>
      <w:r w:rsidRPr="00C317BB">
        <w:rPr>
          <w:rFonts w:cs="Times New Roman"/>
          <w:szCs w:val="24"/>
        </w:rPr>
        <w:tab/>
        <w:t>17.</w:t>
      </w:r>
      <w:r w:rsidR="005613B2">
        <w:rPr>
          <w:rFonts w:cs="Times New Roman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EPA.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Meeting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Westlake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Corporation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bookmarkStart w:name="_Hlk88214605" w:id="49"/>
      <w:r w:rsidRPr="00C317BB" w:rsidR="000E342D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Management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6,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Part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1: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Asbestos.</w:t>
      </w:r>
      <w:bookmarkEnd w:id="49"/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15AED">
        <w:rPr>
          <w:rFonts w:cs="Times New Roman"/>
          <w:color w:val="000000" w:themeColor="text1"/>
          <w:szCs w:val="24"/>
        </w:rPr>
        <w:t>May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15AED">
        <w:rPr>
          <w:rFonts w:cs="Times New Roman"/>
          <w:color w:val="000000" w:themeColor="text1"/>
          <w:szCs w:val="24"/>
        </w:rPr>
        <w:t>20,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15AED">
        <w:rPr>
          <w:rFonts w:cs="Times New Roman"/>
          <w:color w:val="000000" w:themeColor="text1"/>
          <w:szCs w:val="24"/>
        </w:rPr>
        <w:t>2021</w:t>
      </w:r>
      <w:r w:rsidRPr="00C317BB" w:rsidR="000C0DB3">
        <w:rPr>
          <w:rFonts w:cs="Times New Roman"/>
          <w:color w:val="000000" w:themeColor="text1"/>
          <w:szCs w:val="24"/>
        </w:rPr>
        <w:t>.</w:t>
      </w:r>
    </w:p>
    <w:p w:rsidRPr="00C317BB" w:rsidR="005C6CBB" w:rsidP="00F27167" w:rsidRDefault="00F11D1E" w14:paraId="0C9621B2" w14:textId="73FBD3D5">
      <w:pPr>
        <w:rPr>
          <w:rFonts w:cs="Times New Roman"/>
          <w:b/>
          <w:color w:val="000000" w:themeColor="text1"/>
          <w:szCs w:val="24"/>
        </w:rPr>
      </w:pPr>
      <w:r w:rsidRPr="00C317BB">
        <w:rPr>
          <w:rFonts w:cs="Times New Roman"/>
          <w:szCs w:val="24"/>
        </w:rPr>
        <w:tab/>
        <w:t>18.</w:t>
      </w:r>
      <w:r w:rsidR="005613B2">
        <w:rPr>
          <w:rFonts w:cs="Times New Roman"/>
          <w:szCs w:val="24"/>
        </w:rPr>
        <w:t xml:space="preserve"> </w:t>
      </w:r>
      <w:r w:rsidRPr="00C317BB" w:rsidR="00F67CD1">
        <w:rPr>
          <w:rFonts w:cs="Times New Roman"/>
          <w:color w:val="000000" w:themeColor="text1"/>
          <w:szCs w:val="24"/>
        </w:rPr>
        <w:t>Westlake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67CD1">
        <w:rPr>
          <w:rFonts w:cs="Times New Roman"/>
          <w:color w:val="000000" w:themeColor="text1"/>
          <w:szCs w:val="24"/>
        </w:rPr>
        <w:t>Corporation.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C6CBB">
        <w:rPr>
          <w:rFonts w:cs="Times New Roman"/>
          <w:color w:val="000000" w:themeColor="text1"/>
          <w:szCs w:val="24"/>
        </w:rPr>
        <w:t>Comments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77117">
        <w:rPr>
          <w:rFonts w:cs="Times New Roman"/>
          <w:color w:val="000000" w:themeColor="text1"/>
          <w:szCs w:val="24"/>
        </w:rPr>
        <w:t>submitted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77098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77098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67CD1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C317BB" w:rsidR="0050461B">
        <w:rPr>
          <w:rFonts w:cs="Times New Roman"/>
          <w:color w:val="000000" w:themeColor="text1"/>
          <w:szCs w:val="24"/>
        </w:rPr>
        <w:t>Axiall</w:t>
      </w:r>
      <w:proofErr w:type="spellEnd"/>
      <w:r w:rsidRPr="00C317BB" w:rsidR="0050461B">
        <w:rPr>
          <w:rFonts w:cs="Times New Roman"/>
          <w:color w:val="000000" w:themeColor="text1"/>
          <w:szCs w:val="24"/>
        </w:rPr>
        <w:t>/Westlake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0461B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0461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0461B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0461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77098">
        <w:rPr>
          <w:rFonts w:cs="Times New Roman"/>
          <w:color w:val="000000" w:themeColor="text1"/>
          <w:szCs w:val="24"/>
        </w:rPr>
        <w:t>diaphragms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77098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77098">
        <w:rPr>
          <w:rFonts w:cs="Times New Roman"/>
          <w:color w:val="000000" w:themeColor="text1"/>
          <w:szCs w:val="24"/>
        </w:rPr>
        <w:t>chlor-alkali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77098">
        <w:rPr>
          <w:rFonts w:cs="Times New Roman"/>
          <w:color w:val="000000" w:themeColor="text1"/>
          <w:szCs w:val="24"/>
        </w:rPr>
        <w:t>facilit</w:t>
      </w:r>
      <w:r w:rsidRPr="00C317BB" w:rsidR="000C0DB3">
        <w:rPr>
          <w:rFonts w:cs="Times New Roman"/>
          <w:color w:val="000000" w:themeColor="text1"/>
          <w:szCs w:val="24"/>
        </w:rPr>
        <w:t>y</w:t>
      </w:r>
      <w:r w:rsidRPr="00C317BB" w:rsidR="00115D20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0461B">
        <w:rPr>
          <w:rFonts w:cs="Times New Roman"/>
          <w:color w:val="000000" w:themeColor="text1"/>
          <w:szCs w:val="24"/>
        </w:rPr>
        <w:t>May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0461B">
        <w:rPr>
          <w:rFonts w:cs="Times New Roman"/>
          <w:color w:val="000000" w:themeColor="text1"/>
          <w:szCs w:val="24"/>
        </w:rPr>
        <w:t>22,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0461B">
        <w:rPr>
          <w:rFonts w:cs="Times New Roman"/>
          <w:color w:val="000000" w:themeColor="text1"/>
          <w:szCs w:val="24"/>
        </w:rPr>
        <w:t>2018.</w:t>
      </w:r>
    </w:p>
    <w:p w:rsidRPr="00C317BB" w:rsidR="005416E4" w:rsidP="00F27167" w:rsidRDefault="00F11D1E" w14:paraId="0FA8F9A2" w14:textId="169C2D78">
      <w:pPr>
        <w:rPr>
          <w:rFonts w:cs="Times New Roman"/>
          <w:b/>
          <w:color w:val="000000" w:themeColor="text1"/>
          <w:szCs w:val="24"/>
        </w:rPr>
      </w:pPr>
      <w:r w:rsidRPr="00C317BB">
        <w:rPr>
          <w:rFonts w:cs="Times New Roman"/>
          <w:szCs w:val="24"/>
        </w:rPr>
        <w:tab/>
        <w:t>19.</w:t>
      </w:r>
      <w:r w:rsidR="005613B2">
        <w:rPr>
          <w:rFonts w:cs="Times New Roman"/>
          <w:szCs w:val="24"/>
        </w:rPr>
        <w:t xml:space="preserve"> </w:t>
      </w:r>
      <w:r w:rsidRPr="00C317BB" w:rsidR="005416E4">
        <w:rPr>
          <w:rFonts w:cs="Times New Roman"/>
          <w:color w:val="000000" w:themeColor="text1"/>
          <w:szCs w:val="24"/>
        </w:rPr>
        <w:t>A</w:t>
      </w:r>
      <w:r w:rsidRPr="00C317BB" w:rsidR="00775C01">
        <w:rPr>
          <w:rFonts w:cs="Times New Roman"/>
          <w:color w:val="000000" w:themeColor="text1"/>
          <w:szCs w:val="24"/>
        </w:rPr>
        <w:t>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416E4">
        <w:rPr>
          <w:rFonts w:cs="Times New Roman"/>
          <w:color w:val="000000" w:themeColor="text1"/>
          <w:szCs w:val="24"/>
        </w:rPr>
        <w:t>D</w:t>
      </w:r>
      <w:r w:rsidRPr="00C317BB" w:rsidR="00775C01">
        <w:rPr>
          <w:rFonts w:cs="Times New Roman"/>
          <w:color w:val="000000" w:themeColor="text1"/>
          <w:szCs w:val="24"/>
        </w:rPr>
        <w:t>isease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416E4">
        <w:rPr>
          <w:rFonts w:cs="Times New Roman"/>
          <w:color w:val="000000" w:themeColor="text1"/>
          <w:szCs w:val="24"/>
        </w:rPr>
        <w:t>A</w:t>
      </w:r>
      <w:r w:rsidRPr="00C317BB" w:rsidR="00775C01">
        <w:rPr>
          <w:rFonts w:cs="Times New Roman"/>
          <w:color w:val="000000" w:themeColor="text1"/>
          <w:szCs w:val="24"/>
        </w:rPr>
        <w:t>wareness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416E4">
        <w:rPr>
          <w:rFonts w:cs="Times New Roman"/>
          <w:color w:val="000000" w:themeColor="text1"/>
          <w:szCs w:val="24"/>
        </w:rPr>
        <w:t>O</w:t>
      </w:r>
      <w:r w:rsidRPr="00C317BB" w:rsidR="00CA3EB2">
        <w:rPr>
          <w:rFonts w:cs="Times New Roman"/>
          <w:color w:val="000000" w:themeColor="text1"/>
          <w:szCs w:val="24"/>
        </w:rPr>
        <w:t>rganization</w:t>
      </w:r>
      <w:r w:rsidRPr="00C317BB" w:rsidR="003C623F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91A2C">
        <w:rPr>
          <w:rFonts w:cs="Times New Roman"/>
          <w:color w:val="000000" w:themeColor="text1"/>
          <w:szCs w:val="24"/>
        </w:rPr>
        <w:t>(2019)</w:t>
      </w:r>
      <w:r w:rsidRPr="00C317BB" w:rsidR="008B7084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416E4">
        <w:rPr>
          <w:rFonts w:cs="Times New Roman"/>
          <w:color w:val="000000" w:themeColor="text1"/>
          <w:szCs w:val="24"/>
        </w:rPr>
        <w:t>ADAO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416E4">
        <w:rPr>
          <w:rFonts w:cs="Times New Roman"/>
          <w:color w:val="000000" w:themeColor="text1"/>
          <w:szCs w:val="24"/>
        </w:rPr>
        <w:t>Chlor-Alkali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416E4">
        <w:rPr>
          <w:rFonts w:cs="Times New Roman"/>
          <w:color w:val="000000" w:themeColor="text1"/>
          <w:szCs w:val="24"/>
        </w:rPr>
        <w:t>Industry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416E4">
        <w:rPr>
          <w:rFonts w:cs="Times New Roman"/>
          <w:color w:val="000000" w:themeColor="text1"/>
          <w:szCs w:val="24"/>
        </w:rPr>
        <w:t>Report.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A0975">
        <w:rPr>
          <w:rFonts w:cs="Times New Roman"/>
          <w:i/>
          <w:color w:val="000000" w:themeColor="text1"/>
          <w:szCs w:val="24"/>
        </w:rPr>
        <w:t>https://www.asbestosdiseaseawareness.org/wp-content/uploads/2019/08/ADAO-ChlorAlkali-Industry-Report.pdf</w:t>
      </w:r>
      <w:r w:rsidRPr="00C317BB" w:rsidR="000A148D">
        <w:rPr>
          <w:rFonts w:cs="Times New Roman"/>
          <w:i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A0975">
        <w:rPr>
          <w:rFonts w:cs="Times New Roman"/>
          <w:color w:val="000000" w:themeColor="text1"/>
          <w:szCs w:val="24"/>
        </w:rPr>
        <w:t>Accessed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A0975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31E9">
        <w:rPr>
          <w:rFonts w:cs="Times New Roman"/>
          <w:color w:val="000000" w:themeColor="text1"/>
          <w:szCs w:val="24"/>
        </w:rPr>
        <w:t>June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97E47">
        <w:rPr>
          <w:rFonts w:cs="Times New Roman"/>
          <w:color w:val="000000" w:themeColor="text1"/>
          <w:szCs w:val="24"/>
        </w:rPr>
        <w:t>1,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A148D">
        <w:rPr>
          <w:rFonts w:cs="Times New Roman"/>
          <w:color w:val="000000" w:themeColor="text1"/>
          <w:szCs w:val="24"/>
        </w:rPr>
        <w:t>2021.</w:t>
      </w:r>
    </w:p>
    <w:p w:rsidRPr="00C317BB" w:rsidR="00C36B9A" w:rsidP="00F27167" w:rsidRDefault="00F11D1E" w14:paraId="7FBE213D" w14:textId="1BB0305C">
      <w:pPr>
        <w:rPr>
          <w:rFonts w:cs="Times New Roman"/>
          <w:b/>
          <w:color w:val="000000" w:themeColor="text1"/>
          <w:szCs w:val="24"/>
        </w:rPr>
      </w:pPr>
      <w:r w:rsidRPr="00C317BB">
        <w:rPr>
          <w:rFonts w:cs="Times New Roman"/>
          <w:szCs w:val="24"/>
        </w:rPr>
        <w:tab/>
        <w:t>20.</w:t>
      </w:r>
      <w:r w:rsidR="005613B2">
        <w:rPr>
          <w:rFonts w:cs="Times New Roman"/>
          <w:szCs w:val="24"/>
        </w:rPr>
        <w:t xml:space="preserve"> </w:t>
      </w:r>
      <w:r w:rsidRPr="00C317BB" w:rsidR="00C36B9A">
        <w:rPr>
          <w:rFonts w:cs="Times New Roman"/>
          <w:color w:val="000000" w:themeColor="text1"/>
          <w:szCs w:val="24"/>
        </w:rPr>
        <w:t>EPA.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36B9A">
        <w:rPr>
          <w:rFonts w:cs="Times New Roman"/>
          <w:color w:val="000000" w:themeColor="text1"/>
          <w:szCs w:val="24"/>
        </w:rPr>
        <w:t>Meeting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36B9A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36B9A">
        <w:rPr>
          <w:rFonts w:cs="Times New Roman"/>
          <w:color w:val="000000" w:themeColor="text1"/>
          <w:szCs w:val="24"/>
        </w:rPr>
        <w:t>Correspondence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36B9A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36B9A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36B9A">
        <w:rPr>
          <w:rFonts w:cs="Times New Roman"/>
          <w:color w:val="000000" w:themeColor="text1"/>
          <w:szCs w:val="24"/>
        </w:rPr>
        <w:t>Chlorine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36B9A">
        <w:rPr>
          <w:rFonts w:cs="Times New Roman"/>
          <w:color w:val="000000" w:themeColor="text1"/>
          <w:szCs w:val="24"/>
        </w:rPr>
        <w:t>Institute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36B9A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36B9A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36B9A">
        <w:rPr>
          <w:rFonts w:cs="Times New Roman"/>
          <w:color w:val="000000" w:themeColor="text1"/>
          <w:szCs w:val="24"/>
        </w:rPr>
        <w:t>Evaluation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36B9A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36B9A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36B9A">
        <w:rPr>
          <w:rFonts w:cs="Times New Roman"/>
          <w:color w:val="000000" w:themeColor="text1"/>
          <w:szCs w:val="24"/>
        </w:rPr>
        <w:t>Management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36B9A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36B9A">
        <w:rPr>
          <w:rFonts w:cs="Times New Roman"/>
          <w:color w:val="000000" w:themeColor="text1"/>
          <w:szCs w:val="24"/>
        </w:rPr>
        <w:t>Part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36B9A">
        <w:rPr>
          <w:rFonts w:cs="Times New Roman"/>
          <w:color w:val="000000" w:themeColor="text1"/>
          <w:szCs w:val="24"/>
        </w:rPr>
        <w:t>1: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36B9A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36B9A">
        <w:rPr>
          <w:rFonts w:cs="Times New Roman"/>
          <w:color w:val="000000" w:themeColor="text1"/>
          <w:szCs w:val="24"/>
        </w:rPr>
        <w:t>Asbestos.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36B9A">
        <w:rPr>
          <w:rFonts w:cs="Times New Roman"/>
          <w:color w:val="000000" w:themeColor="text1"/>
          <w:szCs w:val="24"/>
        </w:rPr>
        <w:t>June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36B9A">
        <w:rPr>
          <w:rFonts w:cs="Times New Roman"/>
          <w:color w:val="000000" w:themeColor="text1"/>
          <w:szCs w:val="24"/>
        </w:rPr>
        <w:t>30,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36B9A">
        <w:rPr>
          <w:rFonts w:cs="Times New Roman"/>
          <w:color w:val="000000" w:themeColor="text1"/>
          <w:szCs w:val="24"/>
        </w:rPr>
        <w:t>2021.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122101" w:rsidP="00F27167" w:rsidRDefault="00F11D1E" w14:paraId="47F66F9B" w14:textId="5F1F31E4">
      <w:pPr>
        <w:rPr>
          <w:rFonts w:cs="Times New Roman"/>
          <w:b/>
          <w:color w:val="000000" w:themeColor="text1"/>
          <w:szCs w:val="24"/>
        </w:rPr>
      </w:pPr>
      <w:r w:rsidRPr="00C317BB">
        <w:rPr>
          <w:rFonts w:cs="Times New Roman"/>
          <w:szCs w:val="24"/>
        </w:rPr>
        <w:tab/>
        <w:t>21.</w:t>
      </w:r>
      <w:r w:rsidR="005613B2">
        <w:rPr>
          <w:rFonts w:cs="Times New Roman"/>
          <w:szCs w:val="24"/>
        </w:rPr>
        <w:t xml:space="preserve"> </w:t>
      </w:r>
      <w:r w:rsidRPr="00C317BB" w:rsidR="00122101">
        <w:rPr>
          <w:rFonts w:cs="Times New Roman"/>
          <w:color w:val="000000" w:themeColor="text1"/>
          <w:szCs w:val="24"/>
        </w:rPr>
        <w:t>EPA.</w:t>
      </w:r>
      <w:r w:rsidR="005613B2">
        <w:rPr>
          <w:rFonts w:cs="Times New Roman"/>
          <w:b/>
          <w:color w:val="000000" w:themeColor="text1"/>
          <w:szCs w:val="24"/>
        </w:rPr>
        <w:t xml:space="preserve"> </w:t>
      </w:r>
      <w:r w:rsidRPr="00C317BB" w:rsidR="00122101">
        <w:rPr>
          <w:rFonts w:cs="Times New Roman"/>
          <w:color w:val="000000" w:themeColor="text1"/>
          <w:szCs w:val="24"/>
        </w:rPr>
        <w:t>Email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2101">
        <w:rPr>
          <w:rFonts w:cs="Times New Roman"/>
          <w:color w:val="000000" w:themeColor="text1"/>
          <w:szCs w:val="24"/>
        </w:rPr>
        <w:t>Correspondence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2101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2101">
        <w:rPr>
          <w:rFonts w:cs="Times New Roman"/>
          <w:color w:val="000000" w:themeColor="text1"/>
          <w:szCs w:val="24"/>
        </w:rPr>
        <w:t>Oilfield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2101">
        <w:rPr>
          <w:rFonts w:cs="Times New Roman"/>
          <w:color w:val="000000" w:themeColor="text1"/>
          <w:szCs w:val="24"/>
        </w:rPr>
        <w:t>Industry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2101">
        <w:rPr>
          <w:rFonts w:cs="Times New Roman"/>
          <w:color w:val="000000" w:themeColor="text1"/>
          <w:szCs w:val="24"/>
        </w:rPr>
        <w:t>concerning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2101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2101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2101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2101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2101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2101">
        <w:rPr>
          <w:rFonts w:cs="Times New Roman"/>
          <w:color w:val="000000" w:themeColor="text1"/>
          <w:szCs w:val="24"/>
        </w:rPr>
        <w:t>Brake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2101">
        <w:rPr>
          <w:rFonts w:cs="Times New Roman"/>
          <w:color w:val="000000" w:themeColor="text1"/>
          <w:szCs w:val="24"/>
        </w:rPr>
        <w:t>Blocks.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2101">
        <w:rPr>
          <w:rFonts w:cs="Times New Roman"/>
          <w:color w:val="000000" w:themeColor="text1"/>
          <w:szCs w:val="24"/>
        </w:rPr>
        <w:t>April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15B72">
        <w:rPr>
          <w:rFonts w:cs="Times New Roman"/>
          <w:color w:val="000000" w:themeColor="text1"/>
          <w:szCs w:val="24"/>
        </w:rPr>
        <w:t>through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2101">
        <w:rPr>
          <w:rFonts w:cs="Times New Roman"/>
          <w:color w:val="000000" w:themeColor="text1"/>
          <w:szCs w:val="24"/>
        </w:rPr>
        <w:t>June,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22101">
        <w:rPr>
          <w:rFonts w:cs="Times New Roman"/>
          <w:color w:val="000000" w:themeColor="text1"/>
          <w:szCs w:val="24"/>
        </w:rPr>
        <w:t>2021.</w:t>
      </w:r>
    </w:p>
    <w:p w:rsidRPr="00C317BB" w:rsidR="000E342D" w:rsidP="00F27167" w:rsidRDefault="00F11D1E" w14:paraId="20DBB009" w14:textId="37F0E2B0">
      <w:pPr>
        <w:rPr>
          <w:rFonts w:cs="Times New Roman"/>
          <w:b/>
          <w:color w:val="000000" w:themeColor="text1"/>
          <w:szCs w:val="24"/>
        </w:rPr>
      </w:pPr>
      <w:r w:rsidRPr="00C317BB">
        <w:rPr>
          <w:rFonts w:cs="Times New Roman"/>
          <w:szCs w:val="24"/>
        </w:rPr>
        <w:tab/>
        <w:t>22.</w:t>
      </w:r>
      <w:r w:rsidR="005613B2">
        <w:rPr>
          <w:rFonts w:cs="Times New Roman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  <w:shd w:val="clear" w:color="auto" w:fill="FFFFFF"/>
        </w:rPr>
        <w:t>U.S.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  <w:shd w:val="clear" w:color="auto" w:fill="FFFFFF"/>
        </w:rPr>
        <w:t>Department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  <w:shd w:val="clear" w:color="auto" w:fill="FFFFFF"/>
        </w:rPr>
        <w:t>of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  <w:shd w:val="clear" w:color="auto" w:fill="FFFFFF"/>
        </w:rPr>
        <w:t>Energy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  <w:shd w:val="clear" w:color="auto" w:fill="FFFFFF"/>
        </w:rPr>
        <w:t>Efficiency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  <w:shd w:val="clear" w:color="auto" w:fill="FFFFFF"/>
        </w:rPr>
        <w:t>and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  <w:shd w:val="clear" w:color="auto" w:fill="FFFFFF"/>
        </w:rPr>
        <w:t>Renewable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  <w:shd w:val="clear" w:color="auto" w:fill="FFFFFF"/>
        </w:rPr>
        <w:t>Energy,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  <w:shd w:val="clear" w:color="auto" w:fill="FFFFFF"/>
        </w:rPr>
        <w:t>Industrial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  <w:shd w:val="clear" w:color="auto" w:fill="FFFFFF"/>
        </w:rPr>
        <w:t>Technologies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  <w:shd w:val="clear" w:color="auto" w:fill="FFFFFF"/>
        </w:rPr>
        <w:t>Program.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211BF6">
        <w:rPr>
          <w:rFonts w:cs="Times New Roman"/>
          <w:color w:val="000000" w:themeColor="text1"/>
          <w:szCs w:val="24"/>
          <w:shd w:val="clear" w:color="auto" w:fill="FFFFFF"/>
        </w:rPr>
        <w:t>(</w:t>
      </w:r>
      <w:r w:rsidRPr="00C317BB" w:rsidR="000E342D">
        <w:rPr>
          <w:rFonts w:cs="Times New Roman"/>
          <w:color w:val="000000" w:themeColor="text1"/>
          <w:szCs w:val="24"/>
          <w:shd w:val="clear" w:color="auto" w:fill="FFFFFF"/>
        </w:rPr>
        <w:t>2006</w:t>
      </w:r>
      <w:r w:rsidRPr="00C317BB" w:rsidR="00211BF6">
        <w:rPr>
          <w:rFonts w:cs="Times New Roman"/>
          <w:color w:val="000000" w:themeColor="text1"/>
          <w:szCs w:val="24"/>
          <w:shd w:val="clear" w:color="auto" w:fill="FFFFFF"/>
        </w:rPr>
        <w:t>).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  <w:shd w:val="clear" w:color="auto" w:fill="FFFFFF"/>
        </w:rPr>
        <w:t>Zero-Gap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  <w:shd w:val="clear" w:color="auto" w:fill="FFFFFF"/>
        </w:rPr>
        <w:t>Membrane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  <w:shd w:val="clear" w:color="auto" w:fill="FFFFFF"/>
        </w:rPr>
        <w:t>Chlor-Alkali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  <w:shd w:val="clear" w:color="auto" w:fill="FFFFFF"/>
        </w:rPr>
        <w:t>Cells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  <w:shd w:val="clear" w:color="auto" w:fill="FFFFFF"/>
        </w:rPr>
        <w:t>with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  <w:shd w:val="clear" w:color="auto" w:fill="FFFFFF"/>
        </w:rPr>
        <w:t>Oxygen-Depolarized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  <w:shd w:val="clear" w:color="auto" w:fill="FFFFFF"/>
        </w:rPr>
        <w:t>Cathodes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  <w:shd w:val="clear" w:color="auto" w:fill="FFFFFF"/>
        </w:rPr>
        <w:t>Achieved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  <w:shd w:val="clear" w:color="auto" w:fill="FFFFFF"/>
        </w:rPr>
        <w:t>Energy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  <w:shd w:val="clear" w:color="auto" w:fill="FFFFFF"/>
        </w:rPr>
        <w:t>Savings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  <w:shd w:val="clear" w:color="auto" w:fill="FFFFFF"/>
        </w:rPr>
        <w:t>of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  <w:shd w:val="clear" w:color="auto" w:fill="FFFFFF"/>
        </w:rPr>
        <w:t>32%</w:t>
      </w:r>
      <w:r w:rsidRPr="00C317BB" w:rsidR="00F07A24">
        <w:rPr>
          <w:rFonts w:cs="Times New Roman"/>
          <w:color w:val="000000" w:themeColor="text1"/>
          <w:szCs w:val="24"/>
          <w:shd w:val="clear" w:color="auto" w:fill="FFFFFF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A3785">
        <w:rPr>
          <w:rFonts w:cs="Times New Roman"/>
          <w:i/>
          <w:color w:val="000000" w:themeColor="text1"/>
          <w:szCs w:val="24"/>
          <w:shd w:val="clear" w:color="auto" w:fill="FFFFFF"/>
        </w:rPr>
        <w:t>https://www1.eere.energy.gov/manufacturing/industries_technologies/imf/pdfs/1797_advanced_chlor-alkali.pdf.</w:t>
      </w:r>
      <w:r w:rsidR="005613B2">
        <w:rPr>
          <w:rFonts w:cs="Times New Roman"/>
          <w:i/>
          <w:color w:val="000000" w:themeColor="text1"/>
          <w:szCs w:val="24"/>
          <w:shd w:val="clear" w:color="auto" w:fill="FFFFFF"/>
        </w:rPr>
        <w:t xml:space="preserve"> </w:t>
      </w:r>
      <w:r w:rsidRPr="00C317BB" w:rsidR="003A3785">
        <w:rPr>
          <w:rFonts w:cs="Times New Roman"/>
          <w:color w:val="000000" w:themeColor="text1"/>
          <w:szCs w:val="24"/>
          <w:shd w:val="clear" w:color="auto" w:fill="FFFFFF"/>
        </w:rPr>
        <w:t>Accessed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3A3785">
        <w:rPr>
          <w:rFonts w:cs="Times New Roman"/>
          <w:color w:val="000000" w:themeColor="text1"/>
          <w:szCs w:val="24"/>
          <w:shd w:val="clear" w:color="auto" w:fill="FFFFFF"/>
        </w:rPr>
        <w:t>on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DF24AD">
        <w:rPr>
          <w:rFonts w:cs="Times New Roman"/>
          <w:color w:val="000000" w:themeColor="text1"/>
          <w:szCs w:val="24"/>
          <w:shd w:val="clear" w:color="auto" w:fill="FFFFFF"/>
        </w:rPr>
        <w:t>November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DF24AD">
        <w:rPr>
          <w:rFonts w:cs="Times New Roman"/>
          <w:color w:val="000000" w:themeColor="text1"/>
          <w:szCs w:val="24"/>
          <w:shd w:val="clear" w:color="auto" w:fill="FFFFFF"/>
        </w:rPr>
        <w:t>1,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DF24AD">
        <w:rPr>
          <w:rFonts w:cs="Times New Roman"/>
          <w:color w:val="000000" w:themeColor="text1"/>
          <w:szCs w:val="24"/>
          <w:shd w:val="clear" w:color="auto" w:fill="FFFFFF"/>
        </w:rPr>
        <w:t>2021.</w:t>
      </w:r>
    </w:p>
    <w:p w:rsidRPr="00C317BB" w:rsidR="005416E4" w:rsidP="00F27167" w:rsidRDefault="00F11D1E" w14:paraId="5A2C5B90" w14:textId="46CCF3AC">
      <w:pPr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szCs w:val="24"/>
        </w:rPr>
        <w:tab/>
        <w:t>23.</w:t>
      </w:r>
      <w:r w:rsidR="005613B2">
        <w:rPr>
          <w:rFonts w:cs="Times New Roman"/>
          <w:szCs w:val="24"/>
        </w:rPr>
        <w:t xml:space="preserve"> </w:t>
      </w:r>
      <w:r w:rsidRPr="00C317BB" w:rsidR="005416E4">
        <w:rPr>
          <w:rFonts w:cs="Times New Roman"/>
          <w:color w:val="000000" w:themeColor="text1"/>
          <w:szCs w:val="24"/>
        </w:rPr>
        <w:t>EPA.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416E4">
        <w:rPr>
          <w:rFonts w:cs="Times New Roman"/>
          <w:color w:val="000000" w:themeColor="text1"/>
          <w:szCs w:val="24"/>
        </w:rPr>
        <w:t>Summary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416E4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416E4">
        <w:rPr>
          <w:rFonts w:cs="Times New Roman"/>
          <w:color w:val="000000" w:themeColor="text1"/>
          <w:szCs w:val="24"/>
        </w:rPr>
        <w:t>External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416E4">
        <w:rPr>
          <w:rFonts w:cs="Times New Roman"/>
          <w:color w:val="000000" w:themeColor="text1"/>
          <w:szCs w:val="24"/>
        </w:rPr>
        <w:t>Peer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416E4">
        <w:rPr>
          <w:rFonts w:cs="Times New Roman"/>
          <w:color w:val="000000" w:themeColor="text1"/>
          <w:szCs w:val="24"/>
        </w:rPr>
        <w:t>Review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416E4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416E4">
        <w:rPr>
          <w:rFonts w:cs="Times New Roman"/>
          <w:color w:val="000000" w:themeColor="text1"/>
          <w:szCs w:val="24"/>
        </w:rPr>
        <w:t>Public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416E4">
        <w:rPr>
          <w:rFonts w:cs="Times New Roman"/>
          <w:color w:val="000000" w:themeColor="text1"/>
          <w:szCs w:val="24"/>
        </w:rPr>
        <w:t>Comments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416E4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416E4">
        <w:rPr>
          <w:rFonts w:cs="Times New Roman"/>
          <w:color w:val="000000" w:themeColor="text1"/>
          <w:szCs w:val="24"/>
        </w:rPr>
        <w:t>Disposition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416E4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416E4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416E4">
        <w:rPr>
          <w:rFonts w:cs="Times New Roman"/>
          <w:color w:val="000000" w:themeColor="text1"/>
          <w:szCs w:val="24"/>
        </w:rPr>
        <w:t>Asbestos.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60682">
        <w:rPr>
          <w:rFonts w:cs="Times New Roman"/>
          <w:color w:val="000000" w:themeColor="text1"/>
          <w:szCs w:val="24"/>
        </w:rPr>
        <w:t>May,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60682">
        <w:rPr>
          <w:rFonts w:cs="Times New Roman"/>
          <w:color w:val="000000" w:themeColor="text1"/>
          <w:szCs w:val="24"/>
        </w:rPr>
        <w:t>2020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416E4">
        <w:rPr>
          <w:rFonts w:cs="Times New Roman"/>
          <w:color w:val="000000" w:themeColor="text1"/>
          <w:szCs w:val="24"/>
        </w:rPr>
        <w:t>(EPA-HQ-OPPT-2019-0501).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0E342D" w:rsidP="00F27167" w:rsidRDefault="005613B2" w14:paraId="2E6FA13E" w14:textId="43B01D5C">
      <w:pPr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 </w:t>
      </w:r>
      <w:r w:rsidRPr="00C317BB" w:rsidR="00F11D1E">
        <w:rPr>
          <w:rFonts w:cs="Times New Roman"/>
          <w:szCs w:val="24"/>
        </w:rPr>
        <w:tab/>
        <w:t>24.</w:t>
      </w:r>
      <w:r>
        <w:rPr>
          <w:rFonts w:cs="Times New Roman"/>
          <w:szCs w:val="24"/>
        </w:rPr>
        <w:t xml:space="preserve"> </w:t>
      </w:r>
      <w:r w:rsidRPr="00C317BB" w:rsidR="005416E4">
        <w:rPr>
          <w:rFonts w:cs="Times New Roman"/>
          <w:color w:val="000000" w:themeColor="text1"/>
          <w:szCs w:val="24"/>
        </w:rPr>
        <w:t>EPA.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Information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Collection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Request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(ICR)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for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the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Regulation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of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Part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1: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Chrysotile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Asbestos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under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TSCA</w:t>
      </w:r>
      <w:r>
        <w:rPr>
          <w:rFonts w:cs="Times New Roman"/>
          <w:color w:val="000000" w:themeColor="text1"/>
          <w:szCs w:val="24"/>
        </w:rPr>
        <w:t xml:space="preserve"> Section </w:t>
      </w:r>
      <w:r w:rsidRPr="00C317BB" w:rsidR="000E342D">
        <w:rPr>
          <w:rFonts w:cs="Times New Roman"/>
          <w:color w:val="000000" w:themeColor="text1"/>
          <w:szCs w:val="24"/>
        </w:rPr>
        <w:t>6(a)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(Proposed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Rule).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EPA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ICR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No.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E052C5">
        <w:rPr>
          <w:rFonts w:cs="Times New Roman"/>
          <w:color w:val="000000" w:themeColor="text1"/>
          <w:szCs w:val="24"/>
        </w:rPr>
        <w:t>2707.01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and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OMB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No.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E052C5">
        <w:rPr>
          <w:rFonts w:cs="Times New Roman"/>
          <w:szCs w:val="24"/>
        </w:rPr>
        <w:t>2070-</w:t>
      </w:r>
      <w:r w:rsidRPr="00C317BB" w:rsidR="000E342D">
        <w:rPr>
          <w:rFonts w:cs="Times New Roman"/>
          <w:color w:val="000000" w:themeColor="text1"/>
          <w:szCs w:val="24"/>
        </w:rPr>
        <w:t>[NEW].</w:t>
      </w:r>
    </w:p>
    <w:p w:rsidRPr="00C317BB" w:rsidR="00DB547F" w:rsidP="00F27167" w:rsidRDefault="00F11D1E" w14:paraId="6A9F33DE" w14:textId="06D45315">
      <w:pPr>
        <w:rPr>
          <w:rStyle w:val="Hyperlink"/>
          <w:rFonts w:cs="Times New Roman"/>
          <w:color w:val="000000" w:themeColor="text1"/>
          <w:szCs w:val="24"/>
          <w:u w:val="none"/>
        </w:rPr>
      </w:pPr>
      <w:r w:rsidRPr="00C317BB">
        <w:rPr>
          <w:rFonts w:cs="Times New Roman"/>
          <w:szCs w:val="24"/>
        </w:rPr>
        <w:tab/>
        <w:t>25.</w:t>
      </w:r>
      <w:r w:rsidR="005613B2">
        <w:rPr>
          <w:rFonts w:cs="Times New Roman"/>
          <w:szCs w:val="24"/>
        </w:rPr>
        <w:t xml:space="preserve"> </w:t>
      </w:r>
      <w:r w:rsidRPr="00C317BB" w:rsidR="000E342D">
        <w:rPr>
          <w:rFonts w:cs="Times New Roman"/>
          <w:color w:val="000000" w:themeColor="text1"/>
          <w:szCs w:val="24"/>
        </w:rPr>
        <w:t>EPA.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07A24">
        <w:rPr>
          <w:rFonts w:cs="Times New Roman"/>
          <w:color w:val="000000" w:themeColor="text1"/>
          <w:szCs w:val="24"/>
        </w:rPr>
        <w:t>Environmental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07A24">
        <w:rPr>
          <w:rFonts w:cs="Times New Roman"/>
          <w:color w:val="000000" w:themeColor="text1"/>
          <w:szCs w:val="24"/>
        </w:rPr>
        <w:t>Justice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07A24">
        <w:rPr>
          <w:rFonts w:cs="Times New Roman"/>
          <w:color w:val="000000" w:themeColor="text1"/>
          <w:szCs w:val="24"/>
        </w:rPr>
        <w:t>Consultation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07A24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07A24">
        <w:rPr>
          <w:rFonts w:cs="Times New Roman"/>
          <w:color w:val="000000" w:themeColor="text1"/>
          <w:szCs w:val="24"/>
        </w:rPr>
        <w:t>Forthcoming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07A24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07A24">
        <w:rPr>
          <w:rFonts w:cs="Times New Roman"/>
          <w:color w:val="000000" w:themeColor="text1"/>
          <w:szCs w:val="24"/>
        </w:rPr>
        <w:t>Rulemakings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07A24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07A24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07A24">
        <w:rPr>
          <w:rFonts w:cs="Times New Roman"/>
          <w:color w:val="000000" w:themeColor="text1"/>
          <w:szCs w:val="24"/>
        </w:rPr>
        <w:t>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07A24">
        <w:rPr>
          <w:rFonts w:cs="Times New Roman"/>
          <w:color w:val="000000" w:themeColor="text1"/>
          <w:szCs w:val="24"/>
        </w:rPr>
        <w:t>6(a).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A0463">
        <w:rPr>
          <w:rFonts w:cs="Times New Roman"/>
          <w:color w:val="000000" w:themeColor="text1"/>
          <w:szCs w:val="24"/>
        </w:rPr>
        <w:t>May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A0463">
        <w:rPr>
          <w:rFonts w:cs="Times New Roman"/>
          <w:color w:val="000000" w:themeColor="text1"/>
          <w:szCs w:val="24"/>
        </w:rPr>
        <w:t>12,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07A24">
        <w:rPr>
          <w:rFonts w:cs="Times New Roman"/>
          <w:color w:val="000000" w:themeColor="text1"/>
          <w:szCs w:val="24"/>
        </w:rPr>
        <w:t>2021.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34535">
        <w:rPr>
          <w:rFonts w:cs="Times New Roman"/>
          <w:i/>
          <w:color w:val="000000" w:themeColor="text1"/>
          <w:szCs w:val="24"/>
        </w:rPr>
        <w:t>https://www.epa.gov/chemicals-under-tsca/epa-announces-environmental-justice-consultations-risk-management-0</w:t>
      </w:r>
    </w:p>
    <w:bookmarkEnd w:id="48"/>
    <w:p w:rsidRPr="00C317BB" w:rsidR="000D20A3" w:rsidP="00F27167" w:rsidRDefault="00F11D1E" w14:paraId="1BBA6624" w14:textId="0392348F">
      <w:pPr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szCs w:val="24"/>
        </w:rPr>
        <w:tab/>
        <w:t>26.</w:t>
      </w:r>
      <w:r w:rsidR="005613B2">
        <w:rPr>
          <w:rFonts w:cs="Times New Roman"/>
          <w:szCs w:val="24"/>
        </w:rPr>
        <w:t xml:space="preserve"> </w:t>
      </w:r>
      <w:r w:rsidRPr="00C317BB" w:rsidR="00D238A4">
        <w:rPr>
          <w:rFonts w:cs="Times New Roman"/>
          <w:color w:val="000000" w:themeColor="text1"/>
          <w:szCs w:val="24"/>
        </w:rPr>
        <w:t>Office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38A4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38A4">
        <w:rPr>
          <w:rFonts w:cs="Times New Roman"/>
          <w:color w:val="000000" w:themeColor="text1"/>
          <w:szCs w:val="24"/>
        </w:rPr>
        <w:t>Management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38A4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238A4">
        <w:rPr>
          <w:rFonts w:cs="Times New Roman"/>
          <w:color w:val="000000" w:themeColor="text1"/>
          <w:szCs w:val="24"/>
        </w:rPr>
        <w:t>Budget.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B1983">
        <w:rPr>
          <w:rFonts w:cs="Times New Roman"/>
          <w:color w:val="000000" w:themeColor="text1"/>
          <w:szCs w:val="24"/>
        </w:rPr>
        <w:t>Memorandum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B1983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B1983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B1983">
        <w:rPr>
          <w:rFonts w:cs="Times New Roman"/>
          <w:color w:val="000000" w:themeColor="text1"/>
          <w:szCs w:val="24"/>
        </w:rPr>
        <w:t>Heads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B1983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B1983">
        <w:rPr>
          <w:rFonts w:cs="Times New Roman"/>
          <w:color w:val="000000" w:themeColor="text1"/>
          <w:szCs w:val="24"/>
        </w:rPr>
        <w:t>Executive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B1983">
        <w:rPr>
          <w:rFonts w:cs="Times New Roman"/>
          <w:color w:val="000000" w:themeColor="text1"/>
          <w:szCs w:val="24"/>
        </w:rPr>
        <w:t>Departments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B1983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B1983">
        <w:rPr>
          <w:rFonts w:cs="Times New Roman"/>
          <w:color w:val="000000" w:themeColor="text1"/>
          <w:szCs w:val="24"/>
        </w:rPr>
        <w:t>Agencies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B1983">
        <w:rPr>
          <w:rFonts w:cs="Times New Roman"/>
          <w:color w:val="000000" w:themeColor="text1"/>
          <w:szCs w:val="24"/>
        </w:rPr>
        <w:t>(M-95-09).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B1983">
        <w:rPr>
          <w:rFonts w:cs="Times New Roman"/>
          <w:szCs w:val="24"/>
        </w:rPr>
        <w:t>Guidance</w:t>
      </w:r>
      <w:r w:rsidR="005613B2">
        <w:rPr>
          <w:rFonts w:cs="Times New Roman"/>
          <w:szCs w:val="24"/>
        </w:rPr>
        <w:t xml:space="preserve"> </w:t>
      </w:r>
      <w:r w:rsidRPr="00C317BB" w:rsidR="001B1983">
        <w:rPr>
          <w:rFonts w:cs="Times New Roman"/>
          <w:szCs w:val="24"/>
        </w:rPr>
        <w:t>for</w:t>
      </w:r>
      <w:r w:rsidR="005613B2">
        <w:rPr>
          <w:rFonts w:cs="Times New Roman"/>
          <w:szCs w:val="24"/>
        </w:rPr>
        <w:t xml:space="preserve"> </w:t>
      </w:r>
      <w:r w:rsidRPr="00C317BB" w:rsidR="001B1983">
        <w:rPr>
          <w:rFonts w:cs="Times New Roman"/>
          <w:szCs w:val="24"/>
        </w:rPr>
        <w:t>Implementing</w:t>
      </w:r>
      <w:r w:rsidR="005613B2">
        <w:rPr>
          <w:rFonts w:cs="Times New Roman"/>
          <w:szCs w:val="24"/>
        </w:rPr>
        <w:t xml:space="preserve"> </w:t>
      </w:r>
      <w:r w:rsidRPr="00C317BB" w:rsidR="001B1983">
        <w:rPr>
          <w:rFonts w:cs="Times New Roman"/>
          <w:szCs w:val="24"/>
        </w:rPr>
        <w:t>Title</w:t>
      </w:r>
      <w:r w:rsidR="005613B2">
        <w:rPr>
          <w:rFonts w:cs="Times New Roman"/>
          <w:szCs w:val="24"/>
        </w:rPr>
        <w:t xml:space="preserve"> </w:t>
      </w:r>
      <w:r w:rsidRPr="00C317BB" w:rsidR="001B1983">
        <w:rPr>
          <w:rFonts w:cs="Times New Roman"/>
          <w:szCs w:val="24"/>
        </w:rPr>
        <w:t>II</w:t>
      </w:r>
      <w:r w:rsidR="005613B2">
        <w:rPr>
          <w:rFonts w:cs="Times New Roman"/>
          <w:szCs w:val="24"/>
        </w:rPr>
        <w:t xml:space="preserve"> </w:t>
      </w:r>
      <w:r w:rsidRPr="00C317BB" w:rsidR="001B1983">
        <w:rPr>
          <w:rFonts w:cs="Times New Roman"/>
          <w:szCs w:val="24"/>
        </w:rPr>
        <w:t>of</w:t>
      </w:r>
      <w:r w:rsidR="005613B2">
        <w:rPr>
          <w:rFonts w:cs="Times New Roman"/>
          <w:szCs w:val="24"/>
        </w:rPr>
        <w:t xml:space="preserve"> </w:t>
      </w:r>
      <w:r w:rsidRPr="00C317BB" w:rsidR="001B1983">
        <w:rPr>
          <w:rFonts w:cs="Times New Roman"/>
          <w:szCs w:val="24"/>
        </w:rPr>
        <w:t>S.</w:t>
      </w:r>
      <w:r w:rsidR="005613B2">
        <w:rPr>
          <w:rFonts w:cs="Times New Roman"/>
          <w:szCs w:val="24"/>
        </w:rPr>
        <w:t xml:space="preserve"> </w:t>
      </w:r>
      <w:r w:rsidRPr="00C317BB" w:rsidR="001B1983">
        <w:rPr>
          <w:rFonts w:cs="Times New Roman"/>
          <w:szCs w:val="24"/>
        </w:rPr>
        <w:t>1</w:t>
      </w:r>
      <w:r w:rsidRPr="00C317BB" w:rsidR="00C75508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B1983">
        <w:rPr>
          <w:rFonts w:cs="Times New Roman"/>
          <w:color w:val="000000" w:themeColor="text1"/>
          <w:szCs w:val="24"/>
        </w:rPr>
        <w:t>March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B1983">
        <w:rPr>
          <w:rFonts w:cs="Times New Roman"/>
          <w:color w:val="000000" w:themeColor="text1"/>
          <w:szCs w:val="24"/>
        </w:rPr>
        <w:t>31,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B1983">
        <w:rPr>
          <w:rFonts w:cs="Times New Roman"/>
          <w:color w:val="000000" w:themeColor="text1"/>
          <w:szCs w:val="24"/>
        </w:rPr>
        <w:t>1995.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B1983">
        <w:rPr>
          <w:rFonts w:cs="Times New Roman"/>
          <w:i/>
          <w:color w:val="000000" w:themeColor="text1"/>
          <w:szCs w:val="24"/>
        </w:rPr>
        <w:t>https://www.whitehouse.gov/sites/whitehouse.gov/files/omb/memoranda/1995-1998/m95-09.pdf</w:t>
      </w:r>
      <w:r w:rsidRPr="00C317BB" w:rsidR="00CA26D0">
        <w:rPr>
          <w:rFonts w:cs="Times New Roman"/>
          <w:i/>
          <w:color w:val="000000" w:themeColor="text1"/>
          <w:szCs w:val="24"/>
        </w:rPr>
        <w:t>.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CA26D0">
        <w:rPr>
          <w:rFonts w:cs="Times New Roman"/>
          <w:color w:val="000000" w:themeColor="text1"/>
          <w:szCs w:val="24"/>
        </w:rPr>
        <w:t>Accessed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A26D0">
        <w:rPr>
          <w:rFonts w:cs="Times New Roman"/>
          <w:color w:val="000000" w:themeColor="text1"/>
          <w:szCs w:val="24"/>
        </w:rPr>
        <w:t>December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A26D0">
        <w:rPr>
          <w:rFonts w:cs="Times New Roman"/>
          <w:color w:val="000000" w:themeColor="text1"/>
          <w:szCs w:val="24"/>
        </w:rPr>
        <w:t>1</w:t>
      </w:r>
      <w:r w:rsidRPr="00C317BB" w:rsidR="001B1983">
        <w:rPr>
          <w:rFonts w:cs="Times New Roman"/>
          <w:color w:val="000000" w:themeColor="text1"/>
          <w:szCs w:val="24"/>
        </w:rPr>
        <w:t>4</w:t>
      </w:r>
      <w:r w:rsidRPr="00C317BB" w:rsidR="00CA26D0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A26D0">
        <w:rPr>
          <w:rFonts w:cs="Times New Roman"/>
          <w:color w:val="000000" w:themeColor="text1"/>
          <w:szCs w:val="24"/>
        </w:rPr>
        <w:t>2021.</w:t>
      </w:r>
    </w:p>
    <w:p w:rsidRPr="00C317BB" w:rsidR="002212DA" w:rsidP="00F27167" w:rsidRDefault="00F11D1E" w14:paraId="1CCAF563" w14:textId="015E14CA">
      <w:pPr>
        <w:rPr>
          <w:rFonts w:cs="Times New Roman"/>
          <w:i/>
          <w:color w:val="000000" w:themeColor="text1"/>
          <w:szCs w:val="24"/>
        </w:rPr>
      </w:pPr>
      <w:r w:rsidRPr="00C317BB">
        <w:rPr>
          <w:rFonts w:cs="Times New Roman"/>
          <w:szCs w:val="24"/>
        </w:rPr>
        <w:tab/>
        <w:t>27.</w:t>
      </w:r>
      <w:r w:rsidR="005613B2">
        <w:rPr>
          <w:rFonts w:cs="Times New Roman"/>
          <w:szCs w:val="24"/>
        </w:rPr>
        <w:t xml:space="preserve"> </w:t>
      </w:r>
      <w:r w:rsidRPr="00C317BB" w:rsidR="00D43F70">
        <w:rPr>
          <w:rFonts w:cs="Times New Roman"/>
          <w:color w:val="000000" w:themeColor="text1"/>
          <w:szCs w:val="24"/>
        </w:rPr>
        <w:t>National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43F70">
        <w:rPr>
          <w:rFonts w:cs="Times New Roman"/>
          <w:color w:val="000000" w:themeColor="text1"/>
          <w:szCs w:val="24"/>
        </w:rPr>
        <w:t>I</w:t>
      </w:r>
      <w:r w:rsidRPr="00C317BB" w:rsidR="0056536A">
        <w:rPr>
          <w:rFonts w:cs="Times New Roman"/>
          <w:color w:val="000000" w:themeColor="text1"/>
          <w:szCs w:val="24"/>
        </w:rPr>
        <w:t>nstitute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1E16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6536A">
        <w:rPr>
          <w:rFonts w:cs="Times New Roman"/>
          <w:color w:val="000000" w:themeColor="text1"/>
          <w:szCs w:val="24"/>
        </w:rPr>
        <w:t>Occupational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6536A">
        <w:rPr>
          <w:rFonts w:cs="Times New Roman"/>
          <w:color w:val="000000" w:themeColor="text1"/>
          <w:szCs w:val="24"/>
        </w:rPr>
        <w:t>Safety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6536A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6536A">
        <w:rPr>
          <w:rFonts w:cs="Times New Roman"/>
          <w:color w:val="000000" w:themeColor="text1"/>
          <w:szCs w:val="24"/>
        </w:rPr>
        <w:t>Health.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6536A">
        <w:rPr>
          <w:rFonts w:cs="Times New Roman"/>
          <w:color w:val="000000" w:themeColor="text1"/>
          <w:szCs w:val="24"/>
        </w:rPr>
        <w:t>H</w:t>
      </w:r>
      <w:r w:rsidRPr="00C317BB" w:rsidR="005A125E">
        <w:rPr>
          <w:rFonts w:cs="Times New Roman"/>
          <w:color w:val="000000" w:themeColor="text1"/>
          <w:szCs w:val="24"/>
        </w:rPr>
        <w:t>ierarch</w:t>
      </w:r>
      <w:r w:rsidRPr="00C317BB" w:rsidR="00426145">
        <w:rPr>
          <w:rFonts w:cs="Times New Roman"/>
          <w:color w:val="000000" w:themeColor="text1"/>
          <w:szCs w:val="24"/>
        </w:rPr>
        <w:t>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A125E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A125E">
        <w:rPr>
          <w:rFonts w:cs="Times New Roman"/>
          <w:color w:val="000000" w:themeColor="text1"/>
          <w:szCs w:val="24"/>
        </w:rPr>
        <w:t>Controls</w:t>
      </w:r>
      <w:r w:rsidRPr="00C317BB" w:rsidR="00DF5C70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4EB7">
        <w:rPr>
          <w:rFonts w:cs="Times New Roman"/>
          <w:i/>
          <w:color w:val="000000" w:themeColor="text1"/>
          <w:szCs w:val="24"/>
        </w:rPr>
        <w:t>https://www.cdc.gov/niosh/topics/hierarchy/default.html</w:t>
      </w:r>
      <w:r w:rsidRPr="00C317BB" w:rsidR="001B1983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944EB7">
        <w:rPr>
          <w:rFonts w:cs="Times New Roman"/>
          <w:color w:val="000000" w:themeColor="text1"/>
          <w:szCs w:val="24"/>
        </w:rPr>
        <w:t>Accessed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4EB7">
        <w:rPr>
          <w:rFonts w:cs="Times New Roman"/>
          <w:color w:val="000000" w:themeColor="text1"/>
          <w:szCs w:val="24"/>
        </w:rPr>
        <w:t>December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4EB7">
        <w:rPr>
          <w:rFonts w:cs="Times New Roman"/>
          <w:color w:val="000000" w:themeColor="text1"/>
          <w:szCs w:val="24"/>
        </w:rPr>
        <w:t>10,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44EB7">
        <w:rPr>
          <w:rFonts w:cs="Times New Roman"/>
          <w:color w:val="000000" w:themeColor="text1"/>
          <w:szCs w:val="24"/>
        </w:rPr>
        <w:t>2021.</w:t>
      </w:r>
    </w:p>
    <w:p w:rsidRPr="00C317BB" w:rsidR="00EA31AD" w:rsidP="00F27167" w:rsidRDefault="00910F8A" w14:paraId="395BFD49" w14:textId="0D0AC3DA">
      <w:pPr>
        <w:pStyle w:val="Heading1"/>
        <w:rPr>
          <w:rStyle w:val="Strong"/>
          <w:rFonts w:cs="Times New Roman" w:eastAsiaTheme="minorHAnsi"/>
          <w:b/>
          <w:color w:val="000000" w:themeColor="text1"/>
          <w:kern w:val="0"/>
          <w:szCs w:val="24"/>
        </w:rPr>
      </w:pPr>
      <w:r w:rsidRPr="00C317BB">
        <w:rPr>
          <w:rStyle w:val="Strong"/>
          <w:rFonts w:cs="Times New Roman"/>
          <w:b/>
          <w:color w:val="000000" w:themeColor="text1"/>
          <w:szCs w:val="24"/>
        </w:rPr>
        <w:t>VIII</w:t>
      </w:r>
      <w:r w:rsidRPr="00C317BB" w:rsidR="00EA31AD">
        <w:rPr>
          <w:rStyle w:val="Strong"/>
          <w:rFonts w:cs="Times New Roman"/>
          <w:b/>
          <w:color w:val="000000" w:themeColor="text1"/>
          <w:szCs w:val="24"/>
        </w:rPr>
        <w:t>.</w:t>
      </w:r>
      <w:r w:rsidR="005613B2">
        <w:rPr>
          <w:rStyle w:val="Strong"/>
          <w:rFonts w:cs="Times New Roman"/>
          <w:b/>
          <w:color w:val="000000" w:themeColor="text1"/>
          <w:szCs w:val="24"/>
        </w:rPr>
        <w:t xml:space="preserve"> </w:t>
      </w:r>
      <w:r w:rsidRPr="00C317BB" w:rsidR="00EA31AD">
        <w:rPr>
          <w:rStyle w:val="Strong"/>
          <w:rFonts w:cs="Times New Roman"/>
          <w:b/>
          <w:color w:val="000000" w:themeColor="text1"/>
          <w:szCs w:val="24"/>
        </w:rPr>
        <w:t>Statutory</w:t>
      </w:r>
      <w:r w:rsidR="005613B2">
        <w:rPr>
          <w:rStyle w:val="Strong"/>
          <w:rFonts w:cs="Times New Roman"/>
          <w:b/>
          <w:color w:val="000000" w:themeColor="text1"/>
          <w:szCs w:val="24"/>
        </w:rPr>
        <w:t xml:space="preserve"> </w:t>
      </w:r>
      <w:r w:rsidRPr="00C317BB" w:rsidR="00EA31AD">
        <w:rPr>
          <w:rStyle w:val="Strong"/>
          <w:rFonts w:cs="Times New Roman"/>
          <w:b/>
          <w:color w:val="000000" w:themeColor="text1"/>
          <w:szCs w:val="24"/>
        </w:rPr>
        <w:t>and</w:t>
      </w:r>
      <w:r w:rsidR="005613B2">
        <w:rPr>
          <w:rStyle w:val="Strong"/>
          <w:rFonts w:cs="Times New Roman"/>
          <w:b/>
          <w:color w:val="000000" w:themeColor="text1"/>
          <w:szCs w:val="24"/>
        </w:rPr>
        <w:t xml:space="preserve"> </w:t>
      </w:r>
      <w:r w:rsidRPr="00C317BB" w:rsidR="00EA31AD">
        <w:rPr>
          <w:rStyle w:val="Strong"/>
          <w:rFonts w:cs="Times New Roman"/>
          <w:b/>
          <w:color w:val="000000" w:themeColor="text1"/>
          <w:szCs w:val="24"/>
        </w:rPr>
        <w:t>Executive</w:t>
      </w:r>
      <w:r w:rsidR="005613B2">
        <w:rPr>
          <w:rStyle w:val="Strong"/>
          <w:rFonts w:cs="Times New Roman"/>
          <w:b/>
          <w:color w:val="000000" w:themeColor="text1"/>
          <w:szCs w:val="24"/>
        </w:rPr>
        <w:t xml:space="preserve"> </w:t>
      </w:r>
      <w:r w:rsidRPr="00C317BB" w:rsidR="00EA31AD">
        <w:rPr>
          <w:rStyle w:val="Strong"/>
          <w:rFonts w:cs="Times New Roman"/>
          <w:b/>
          <w:color w:val="000000" w:themeColor="text1"/>
          <w:szCs w:val="24"/>
        </w:rPr>
        <w:t>Order</w:t>
      </w:r>
      <w:r w:rsidR="005613B2">
        <w:rPr>
          <w:rStyle w:val="Strong"/>
          <w:rFonts w:cs="Times New Roman"/>
          <w:b/>
          <w:color w:val="000000" w:themeColor="text1"/>
          <w:szCs w:val="24"/>
        </w:rPr>
        <w:t xml:space="preserve"> </w:t>
      </w:r>
      <w:r w:rsidRPr="00C317BB" w:rsidR="00EA31AD">
        <w:rPr>
          <w:rStyle w:val="Strong"/>
          <w:rFonts w:cs="Times New Roman"/>
          <w:b/>
          <w:color w:val="000000" w:themeColor="text1"/>
          <w:szCs w:val="24"/>
        </w:rPr>
        <w:t>Reviews</w:t>
      </w:r>
      <w:r w:rsidR="005613B2">
        <w:rPr>
          <w:rStyle w:val="Strong"/>
          <w:rFonts w:cs="Times New Roman"/>
          <w:b/>
          <w:color w:val="000000" w:themeColor="text1"/>
          <w:szCs w:val="24"/>
        </w:rPr>
        <w:t xml:space="preserve"> </w:t>
      </w:r>
    </w:p>
    <w:p w:rsidRPr="00C317BB" w:rsidR="00EA31AD" w:rsidP="00F27167" w:rsidRDefault="00EA31AD" w14:paraId="1327233C" w14:textId="19B23979">
      <w:pPr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ab/>
        <w:t>Additional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information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about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statutes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Executive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Orders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found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B311E">
        <w:rPr>
          <w:rFonts w:cs="Times New Roman"/>
          <w:i/>
          <w:color w:val="000000" w:themeColor="text1"/>
          <w:szCs w:val="24"/>
        </w:rPr>
        <w:t>https://www.epa.gov/laws-regulations/laws-and-executive-orders</w:t>
      </w:r>
      <w:r w:rsidRPr="00C317BB" w:rsidR="006F1F0C">
        <w:rPr>
          <w:rFonts w:cs="Times New Roman"/>
          <w:i/>
          <w:color w:val="000000" w:themeColor="text1"/>
          <w:szCs w:val="24"/>
        </w:rPr>
        <w:t>.</w:t>
      </w:r>
    </w:p>
    <w:p w:rsidRPr="00C317BB" w:rsidR="00EA31AD" w:rsidP="00F27167" w:rsidRDefault="00EA31AD" w14:paraId="4CAAAB0D" w14:textId="77777777">
      <w:pPr>
        <w:pStyle w:val="Heading2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A.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Executive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12866: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Regulatory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Planning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Review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Executive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13563: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Improving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Regulation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Regulatory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Review</w:t>
      </w:r>
    </w:p>
    <w:p w:rsidRPr="00C317BB" w:rsidR="00EA31AD" w:rsidP="00F27167" w:rsidRDefault="00EA31AD" w14:paraId="7268492B" w14:textId="2FCC8C30">
      <w:pPr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ab/>
      </w:r>
      <w:r w:rsidRPr="00C317BB" w:rsidR="00D53DFD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3DFD">
        <w:rPr>
          <w:rFonts w:cs="Times New Roman"/>
          <w:color w:val="000000" w:themeColor="text1"/>
          <w:szCs w:val="24"/>
        </w:rPr>
        <w:t>action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3DFD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3DFD">
        <w:rPr>
          <w:rFonts w:cs="Times New Roman"/>
          <w:color w:val="000000" w:themeColor="text1"/>
          <w:szCs w:val="24"/>
        </w:rPr>
        <w:t>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3DFD">
        <w:rPr>
          <w:rFonts w:cs="Times New Roman"/>
          <w:color w:val="000000" w:themeColor="text1"/>
          <w:szCs w:val="24"/>
        </w:rPr>
        <w:t>economically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3DFD">
        <w:rPr>
          <w:rFonts w:cs="Times New Roman"/>
          <w:color w:val="000000" w:themeColor="text1"/>
          <w:szCs w:val="24"/>
        </w:rPr>
        <w:t>significant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3DFD">
        <w:rPr>
          <w:rFonts w:cs="Times New Roman"/>
          <w:color w:val="000000" w:themeColor="text1"/>
          <w:szCs w:val="24"/>
        </w:rPr>
        <w:t>regulatory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3DFD">
        <w:rPr>
          <w:rFonts w:cs="Times New Roman"/>
          <w:color w:val="000000" w:themeColor="text1"/>
          <w:szCs w:val="24"/>
        </w:rPr>
        <w:t>action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3DFD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3DFD">
        <w:rPr>
          <w:rFonts w:cs="Times New Roman"/>
          <w:color w:val="000000" w:themeColor="text1"/>
          <w:szCs w:val="24"/>
        </w:rPr>
        <w:t>was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3DFD">
        <w:rPr>
          <w:rFonts w:cs="Times New Roman"/>
          <w:color w:val="000000" w:themeColor="text1"/>
          <w:szCs w:val="24"/>
        </w:rPr>
        <w:t>submitted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3DFD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3DFD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3DFD">
        <w:rPr>
          <w:rFonts w:cs="Times New Roman"/>
          <w:color w:val="000000" w:themeColor="text1"/>
          <w:szCs w:val="24"/>
        </w:rPr>
        <w:t>Office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3DFD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3DFD">
        <w:rPr>
          <w:rFonts w:cs="Times New Roman"/>
          <w:color w:val="000000" w:themeColor="text1"/>
          <w:szCs w:val="24"/>
        </w:rPr>
        <w:t>Management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3DFD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3DFD">
        <w:rPr>
          <w:rFonts w:cs="Times New Roman"/>
          <w:color w:val="000000" w:themeColor="text1"/>
          <w:szCs w:val="24"/>
        </w:rPr>
        <w:t>Budget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3DFD">
        <w:rPr>
          <w:rFonts w:cs="Times New Roman"/>
          <w:color w:val="000000" w:themeColor="text1"/>
          <w:szCs w:val="24"/>
        </w:rPr>
        <w:t>(OMB)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3DFD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3DFD">
        <w:rPr>
          <w:rFonts w:cs="Times New Roman"/>
          <w:color w:val="000000" w:themeColor="text1"/>
          <w:szCs w:val="24"/>
        </w:rPr>
        <w:t>review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3DFD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3DFD">
        <w:rPr>
          <w:rFonts w:cs="Times New Roman"/>
          <w:color w:val="000000" w:themeColor="text1"/>
          <w:szCs w:val="24"/>
        </w:rPr>
        <w:t>Executive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3DFD">
        <w:rPr>
          <w:rFonts w:cs="Times New Roman"/>
          <w:color w:val="000000" w:themeColor="text1"/>
          <w:szCs w:val="24"/>
        </w:rPr>
        <w:t>Order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3DFD">
        <w:rPr>
          <w:rFonts w:cs="Times New Roman"/>
          <w:color w:val="000000" w:themeColor="text1"/>
          <w:szCs w:val="24"/>
        </w:rPr>
        <w:t>12866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3DFD">
        <w:rPr>
          <w:rFonts w:cs="Times New Roman"/>
          <w:color w:val="000000" w:themeColor="text1"/>
          <w:szCs w:val="24"/>
        </w:rPr>
        <w:t>(58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3DFD">
        <w:rPr>
          <w:rFonts w:cs="Times New Roman"/>
          <w:color w:val="000000" w:themeColor="text1"/>
          <w:szCs w:val="24"/>
        </w:rPr>
        <w:t>FR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3DFD">
        <w:rPr>
          <w:rFonts w:cs="Times New Roman"/>
          <w:color w:val="000000" w:themeColor="text1"/>
          <w:szCs w:val="24"/>
        </w:rPr>
        <w:t>51735,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3DFD">
        <w:rPr>
          <w:rFonts w:cs="Times New Roman"/>
          <w:color w:val="000000" w:themeColor="text1"/>
          <w:szCs w:val="24"/>
        </w:rPr>
        <w:t>October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3DFD">
        <w:rPr>
          <w:rFonts w:cs="Times New Roman"/>
          <w:color w:val="000000" w:themeColor="text1"/>
          <w:szCs w:val="24"/>
        </w:rPr>
        <w:t>4,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3DFD">
        <w:rPr>
          <w:rFonts w:cs="Times New Roman"/>
          <w:color w:val="000000" w:themeColor="text1"/>
          <w:szCs w:val="24"/>
        </w:rPr>
        <w:t>1993)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3DFD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3DFD">
        <w:rPr>
          <w:rFonts w:cs="Times New Roman"/>
          <w:color w:val="000000" w:themeColor="text1"/>
          <w:szCs w:val="24"/>
        </w:rPr>
        <w:t>Executive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3DFD">
        <w:rPr>
          <w:rFonts w:cs="Times New Roman"/>
          <w:color w:val="000000" w:themeColor="text1"/>
          <w:szCs w:val="24"/>
        </w:rPr>
        <w:t>Order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3DFD">
        <w:rPr>
          <w:rFonts w:cs="Times New Roman"/>
          <w:color w:val="000000" w:themeColor="text1"/>
          <w:szCs w:val="24"/>
        </w:rPr>
        <w:t>13563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3DFD">
        <w:rPr>
          <w:rFonts w:cs="Times New Roman"/>
          <w:color w:val="000000" w:themeColor="text1"/>
          <w:szCs w:val="24"/>
        </w:rPr>
        <w:t>(76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3DFD">
        <w:rPr>
          <w:rFonts w:cs="Times New Roman"/>
          <w:color w:val="000000" w:themeColor="text1"/>
          <w:szCs w:val="24"/>
        </w:rPr>
        <w:t>FR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3DFD">
        <w:rPr>
          <w:rFonts w:cs="Times New Roman"/>
          <w:color w:val="000000" w:themeColor="text1"/>
          <w:szCs w:val="24"/>
        </w:rPr>
        <w:t>3821,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3DFD">
        <w:rPr>
          <w:rFonts w:cs="Times New Roman"/>
          <w:color w:val="000000" w:themeColor="text1"/>
          <w:szCs w:val="24"/>
        </w:rPr>
        <w:t>January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3DFD">
        <w:rPr>
          <w:rFonts w:cs="Times New Roman"/>
          <w:color w:val="000000" w:themeColor="text1"/>
          <w:szCs w:val="24"/>
        </w:rPr>
        <w:t>21,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3DFD">
        <w:rPr>
          <w:rFonts w:cs="Times New Roman"/>
          <w:color w:val="000000" w:themeColor="text1"/>
          <w:szCs w:val="24"/>
        </w:rPr>
        <w:t>2011).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3DFD">
        <w:rPr>
          <w:rFonts w:cs="Times New Roman"/>
          <w:color w:val="000000" w:themeColor="text1"/>
          <w:szCs w:val="24"/>
        </w:rPr>
        <w:t>Any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changes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made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response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OMB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recommendations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have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documented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docket.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prepared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economic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analysis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potential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costs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benefits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associated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action,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which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available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docket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summarized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39DC">
        <w:rPr>
          <w:rFonts w:cs="Times New Roman"/>
          <w:color w:val="000000" w:themeColor="text1"/>
          <w:szCs w:val="24"/>
        </w:rPr>
        <w:t>I</w:t>
      </w:r>
      <w:r w:rsidRPr="00C317BB">
        <w:rPr>
          <w:rFonts w:cs="Times New Roman"/>
          <w:color w:val="000000" w:themeColor="text1"/>
          <w:szCs w:val="24"/>
        </w:rPr>
        <w:t>V.</w:t>
      </w:r>
      <w:r w:rsidRPr="00C317BB" w:rsidR="007839DC">
        <w:rPr>
          <w:rFonts w:cs="Times New Roman"/>
          <w:color w:val="000000" w:themeColor="text1"/>
          <w:szCs w:val="24"/>
        </w:rPr>
        <w:t>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(Ref.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9178F">
        <w:rPr>
          <w:rFonts w:cs="Times New Roman"/>
          <w:color w:val="000000" w:themeColor="text1"/>
          <w:szCs w:val="24"/>
        </w:rPr>
        <w:t>2</w:t>
      </w:r>
      <w:r w:rsidRPr="00C317BB">
        <w:rPr>
          <w:rFonts w:cs="Times New Roman"/>
          <w:color w:val="000000" w:themeColor="text1"/>
          <w:szCs w:val="24"/>
        </w:rPr>
        <w:t>).</w:t>
      </w:r>
    </w:p>
    <w:p w:rsidRPr="00C317BB" w:rsidR="00EA31AD" w:rsidP="00F27167" w:rsidRDefault="00EA31AD" w14:paraId="23D731E4" w14:textId="77777777">
      <w:pPr>
        <w:pStyle w:val="Heading2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B.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Paperwork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Reduction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(PRA)</w:t>
      </w:r>
    </w:p>
    <w:p w:rsidRPr="00C317BB" w:rsidR="00EA31AD" w:rsidP="00F27167" w:rsidRDefault="00EA31AD" w14:paraId="2803B6FC" w14:textId="6AAA0886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information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collection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requirements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rule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have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submitted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OMB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review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comment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Paperwork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Reduction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Act,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44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U.S.C.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3501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i/>
          <w:color w:val="000000" w:themeColor="text1"/>
          <w:szCs w:val="24"/>
        </w:rPr>
        <w:t>et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>
        <w:rPr>
          <w:rFonts w:cs="Times New Roman"/>
          <w:i/>
          <w:color w:val="000000" w:themeColor="text1"/>
          <w:szCs w:val="24"/>
        </w:rPr>
        <w:t>seq.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Information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Collection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Request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(ICR)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document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prepared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assigned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ICR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number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052C5">
        <w:rPr>
          <w:rFonts w:cs="Times New Roman"/>
          <w:color w:val="000000" w:themeColor="text1"/>
          <w:szCs w:val="24"/>
        </w:rPr>
        <w:t>2707.01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(Ref.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D2327">
        <w:rPr>
          <w:rFonts w:cs="Times New Roman"/>
          <w:color w:val="000000" w:themeColor="text1"/>
          <w:szCs w:val="24"/>
        </w:rPr>
        <w:t>2</w:t>
      </w:r>
      <w:r w:rsidRPr="00C317BB" w:rsidR="008C56A6">
        <w:rPr>
          <w:rFonts w:cs="Times New Roman"/>
          <w:color w:val="000000" w:themeColor="text1"/>
          <w:szCs w:val="24"/>
        </w:rPr>
        <w:t>4</w:t>
      </w:r>
      <w:r w:rsidRPr="00C317BB">
        <w:rPr>
          <w:rFonts w:cs="Times New Roman"/>
          <w:color w:val="000000" w:themeColor="text1"/>
          <w:szCs w:val="24"/>
        </w:rPr>
        <w:t>),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briefly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summarized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here.</w:t>
      </w:r>
    </w:p>
    <w:p w:rsidRPr="00C317BB" w:rsidR="00EA31AD" w:rsidP="00F27167" w:rsidRDefault="00EA31AD" w14:paraId="7A1D6BD9" w14:textId="7D5AD5BF">
      <w:pPr>
        <w:rPr>
          <w:rFonts w:cs="Times New Roman"/>
          <w:b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ab/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information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collection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activities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required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rule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include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recordkeeping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requirement</w:t>
      </w:r>
      <w:r w:rsidRPr="00C317BB" w:rsidR="00FC0739">
        <w:rPr>
          <w:rFonts w:cs="Times New Roman"/>
          <w:color w:val="000000" w:themeColor="text1"/>
          <w:szCs w:val="24"/>
        </w:rPr>
        <w:t>s</w:t>
      </w:r>
      <w:r w:rsidRPr="00C317BB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E433A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E433A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E433A">
        <w:rPr>
          <w:rFonts w:cs="Times New Roman"/>
          <w:color w:val="000000" w:themeColor="text1"/>
          <w:szCs w:val="24"/>
        </w:rPr>
        <w:t>rule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E433A">
        <w:rPr>
          <w:rFonts w:cs="Times New Roman"/>
          <w:color w:val="000000" w:themeColor="text1"/>
          <w:szCs w:val="24"/>
        </w:rPr>
        <w:t>does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E433A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E433A">
        <w:rPr>
          <w:rFonts w:cs="Times New Roman"/>
          <w:color w:val="000000" w:themeColor="text1"/>
          <w:szCs w:val="24"/>
        </w:rPr>
        <w:t>include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E433A">
        <w:rPr>
          <w:rFonts w:cs="Times New Roman"/>
          <w:color w:val="000000" w:themeColor="text1"/>
          <w:szCs w:val="24"/>
        </w:rPr>
        <w:t>any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E433A">
        <w:rPr>
          <w:rFonts w:cs="Times New Roman"/>
          <w:color w:val="000000" w:themeColor="text1"/>
          <w:szCs w:val="24"/>
        </w:rPr>
        <w:t>reporting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E433A">
        <w:rPr>
          <w:rFonts w:cs="Times New Roman"/>
          <w:color w:val="000000" w:themeColor="text1"/>
          <w:szCs w:val="24"/>
        </w:rPr>
        <w:t>requirements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E433A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E433A">
        <w:rPr>
          <w:rFonts w:cs="Times New Roman"/>
          <w:color w:val="000000" w:themeColor="text1"/>
          <w:szCs w:val="24"/>
        </w:rPr>
        <w:t>any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F06E4">
        <w:rPr>
          <w:rFonts w:cs="Times New Roman"/>
          <w:color w:val="000000" w:themeColor="text1"/>
          <w:szCs w:val="24"/>
        </w:rPr>
        <w:t>third-party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F06E4">
        <w:rPr>
          <w:rFonts w:cs="Times New Roman"/>
          <w:color w:val="000000" w:themeColor="text1"/>
          <w:szCs w:val="24"/>
        </w:rPr>
        <w:t>notification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F06E4">
        <w:rPr>
          <w:rFonts w:cs="Times New Roman"/>
          <w:color w:val="000000" w:themeColor="text1"/>
          <w:szCs w:val="24"/>
        </w:rPr>
        <w:t>requirements,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F06E4">
        <w:rPr>
          <w:rFonts w:cs="Times New Roman"/>
          <w:color w:val="000000" w:themeColor="text1"/>
          <w:szCs w:val="24"/>
        </w:rPr>
        <w:t>nor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F06E4">
        <w:rPr>
          <w:rFonts w:cs="Times New Roman"/>
          <w:color w:val="000000" w:themeColor="text1"/>
          <w:szCs w:val="24"/>
        </w:rPr>
        <w:t>does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F06E4">
        <w:rPr>
          <w:rFonts w:cs="Times New Roman"/>
          <w:color w:val="000000" w:themeColor="text1"/>
          <w:szCs w:val="24"/>
        </w:rPr>
        <w:t>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F06E4">
        <w:rPr>
          <w:rFonts w:cs="Times New Roman"/>
          <w:color w:val="000000" w:themeColor="text1"/>
          <w:szCs w:val="24"/>
        </w:rPr>
        <w:t>include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F06E4">
        <w:rPr>
          <w:rFonts w:cs="Times New Roman"/>
          <w:color w:val="000000" w:themeColor="text1"/>
          <w:szCs w:val="24"/>
        </w:rPr>
        <w:t>any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F06E4">
        <w:rPr>
          <w:rFonts w:cs="Times New Roman"/>
          <w:color w:val="000000" w:themeColor="text1"/>
          <w:szCs w:val="24"/>
        </w:rPr>
        <w:t>certification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F06E4">
        <w:rPr>
          <w:rFonts w:cs="Times New Roman"/>
          <w:color w:val="000000" w:themeColor="text1"/>
          <w:szCs w:val="24"/>
        </w:rPr>
        <w:t>requirements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F06E4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F06E4">
        <w:rPr>
          <w:rFonts w:cs="Times New Roman"/>
          <w:color w:val="000000" w:themeColor="text1"/>
          <w:szCs w:val="24"/>
        </w:rPr>
        <w:t>would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F06E4">
        <w:rPr>
          <w:rFonts w:cs="Times New Roman"/>
          <w:color w:val="000000" w:themeColor="text1"/>
          <w:szCs w:val="24"/>
        </w:rPr>
        <w:t>substitute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F06E4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F06E4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F06E4">
        <w:rPr>
          <w:rFonts w:cs="Times New Roman"/>
          <w:color w:val="000000" w:themeColor="text1"/>
          <w:szCs w:val="24"/>
        </w:rPr>
        <w:t>collection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F06E4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F06E4">
        <w:rPr>
          <w:rFonts w:cs="Times New Roman"/>
          <w:color w:val="000000" w:themeColor="text1"/>
          <w:szCs w:val="24"/>
        </w:rPr>
        <w:t>information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F06E4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F06E4">
        <w:rPr>
          <w:rFonts w:cs="Times New Roman"/>
          <w:color w:val="000000" w:themeColor="text1"/>
          <w:szCs w:val="24"/>
        </w:rPr>
        <w:t>collect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F06E4">
        <w:rPr>
          <w:rFonts w:cs="Times New Roman"/>
          <w:color w:val="000000" w:themeColor="text1"/>
          <w:szCs w:val="24"/>
        </w:rPr>
        <w:t>evidence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F06E4">
        <w:rPr>
          <w:rFonts w:cs="Times New Roman"/>
          <w:color w:val="000000" w:themeColor="text1"/>
          <w:szCs w:val="24"/>
        </w:rPr>
        <w:t>of,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F06E4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F06E4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F06E4">
        <w:rPr>
          <w:rFonts w:cs="Times New Roman"/>
          <w:color w:val="000000" w:themeColor="text1"/>
          <w:szCs w:val="24"/>
        </w:rPr>
        <w:t>monitor,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F06E4">
        <w:rPr>
          <w:rFonts w:cs="Times New Roman"/>
          <w:color w:val="000000" w:themeColor="text1"/>
          <w:szCs w:val="24"/>
        </w:rPr>
        <w:t>compliance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F06E4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F06E4">
        <w:rPr>
          <w:rFonts w:cs="Times New Roman"/>
          <w:color w:val="000000" w:themeColor="text1"/>
          <w:szCs w:val="24"/>
        </w:rPr>
        <w:t>regulatory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F06E4">
        <w:rPr>
          <w:rFonts w:cs="Times New Roman"/>
          <w:color w:val="000000" w:themeColor="text1"/>
          <w:szCs w:val="24"/>
        </w:rPr>
        <w:t>standards.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E433A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E433A">
        <w:rPr>
          <w:rFonts w:cs="Times New Roman"/>
          <w:color w:val="000000" w:themeColor="text1"/>
          <w:szCs w:val="24"/>
        </w:rPr>
        <w:t>explained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E433A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E433A">
        <w:rPr>
          <w:rFonts w:cs="Times New Roman"/>
          <w:color w:val="000000" w:themeColor="text1"/>
          <w:szCs w:val="24"/>
        </w:rPr>
        <w:t>Unit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E433A">
        <w:rPr>
          <w:rFonts w:cs="Times New Roman"/>
          <w:color w:val="000000" w:themeColor="text1"/>
          <w:szCs w:val="24"/>
        </w:rPr>
        <w:t>IV.A.4.b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E433A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E433A">
        <w:rPr>
          <w:rFonts w:cs="Times New Roman"/>
          <w:color w:val="000000" w:themeColor="text1"/>
          <w:szCs w:val="24"/>
        </w:rPr>
        <w:t>specified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E433A">
        <w:rPr>
          <w:rFonts w:cs="Times New Roman"/>
          <w:color w:val="000000" w:themeColor="text1"/>
          <w:szCs w:val="24"/>
        </w:rPr>
        <w:t>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E433A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section </w:t>
      </w:r>
      <w:r w:rsidRPr="00C317BB" w:rsidR="00AE433A">
        <w:rPr>
          <w:rFonts w:cs="Times New Roman"/>
          <w:color w:val="000000" w:themeColor="text1"/>
          <w:szCs w:val="24"/>
        </w:rPr>
        <w:t>751.X11,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companies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B2E01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B2E01">
        <w:rPr>
          <w:rFonts w:cs="Times New Roman"/>
          <w:color w:val="000000" w:themeColor="text1"/>
          <w:szCs w:val="24"/>
        </w:rPr>
        <w:t>manufacture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B2E01">
        <w:rPr>
          <w:rFonts w:cs="Times New Roman"/>
          <w:color w:val="000000" w:themeColor="text1"/>
          <w:szCs w:val="24"/>
        </w:rPr>
        <w:t>(</w:t>
      </w:r>
      <w:r w:rsidRPr="00C317BB" w:rsidR="00493709">
        <w:rPr>
          <w:rFonts w:cs="Times New Roman"/>
          <w:color w:val="000000" w:themeColor="text1"/>
          <w:szCs w:val="24"/>
        </w:rPr>
        <w:t>including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B2E01">
        <w:rPr>
          <w:rFonts w:cs="Times New Roman"/>
          <w:color w:val="000000" w:themeColor="text1"/>
          <w:szCs w:val="24"/>
        </w:rPr>
        <w:t>import),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B2E01">
        <w:rPr>
          <w:rFonts w:cs="Times New Roman"/>
          <w:color w:val="000000" w:themeColor="text1"/>
          <w:szCs w:val="24"/>
        </w:rPr>
        <w:t>process,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B2E01">
        <w:rPr>
          <w:rFonts w:cs="Times New Roman"/>
          <w:color w:val="000000" w:themeColor="text1"/>
          <w:szCs w:val="24"/>
        </w:rPr>
        <w:t>distribute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B2E01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B2E01">
        <w:rPr>
          <w:rFonts w:cs="Times New Roman"/>
          <w:color w:val="000000" w:themeColor="text1"/>
          <w:szCs w:val="24"/>
        </w:rPr>
        <w:t>commerce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B2E01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B2E01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B2E01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B2E01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E433A">
        <w:rPr>
          <w:rFonts w:cs="Times New Roman"/>
          <w:color w:val="000000" w:themeColor="text1"/>
          <w:szCs w:val="24"/>
        </w:rPr>
        <w:t>would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E433A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E433A">
        <w:rPr>
          <w:rFonts w:cs="Times New Roman"/>
          <w:color w:val="000000" w:themeColor="text1"/>
          <w:szCs w:val="24"/>
        </w:rPr>
        <w:t>required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retain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certain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information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company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headquarters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6496C">
        <w:rPr>
          <w:rFonts w:cs="Times New Roman"/>
          <w:color w:val="000000" w:themeColor="text1"/>
          <w:szCs w:val="24"/>
        </w:rPr>
        <w:t>five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years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D5CA4">
        <w:rPr>
          <w:rFonts w:cs="Times New Roman"/>
          <w:color w:val="000000" w:themeColor="text1"/>
          <w:szCs w:val="24"/>
        </w:rPr>
        <w:t>generation</w:t>
      </w:r>
      <w:r w:rsidRPr="00C317BB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information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collection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activities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necessary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provide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information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upon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inspection.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believes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information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collection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activities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significantly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impact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regulated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entities.</w:t>
      </w:r>
      <w:r w:rsidR="005613B2">
        <w:rPr>
          <w:rFonts w:cs="Times New Roman"/>
          <w:b/>
          <w:color w:val="000000" w:themeColor="text1"/>
          <w:szCs w:val="24"/>
        </w:rPr>
        <w:t xml:space="preserve"> </w:t>
      </w:r>
      <w:r w:rsidRPr="00C317BB" w:rsidR="00AE433A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E433A">
        <w:rPr>
          <w:rFonts w:cs="Times New Roman"/>
          <w:color w:val="000000" w:themeColor="text1"/>
          <w:szCs w:val="24"/>
        </w:rPr>
        <w:t>further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E433A">
        <w:rPr>
          <w:rFonts w:cs="Times New Roman"/>
          <w:color w:val="000000" w:themeColor="text1"/>
          <w:szCs w:val="24"/>
        </w:rPr>
        <w:t>explained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E433A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E433A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E433A">
        <w:rPr>
          <w:rFonts w:cs="Times New Roman"/>
          <w:color w:val="000000" w:themeColor="text1"/>
          <w:szCs w:val="24"/>
        </w:rPr>
        <w:t>ICR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E433A">
        <w:rPr>
          <w:rFonts w:cs="Times New Roman"/>
          <w:color w:val="000000" w:themeColor="text1"/>
          <w:szCs w:val="24"/>
        </w:rPr>
        <w:t>document:</w:t>
      </w:r>
    </w:p>
    <w:p w:rsidRPr="00C317BB" w:rsidR="00A66FCE" w:rsidP="00F27167" w:rsidRDefault="00A66FCE" w14:paraId="05E85D77" w14:textId="375211DF">
      <w:pPr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ab/>
      </w:r>
      <w:r w:rsidRPr="00C317BB" w:rsidR="00AE433A">
        <w:rPr>
          <w:rFonts w:cs="Times New Roman"/>
          <w:color w:val="000000" w:themeColor="text1"/>
          <w:szCs w:val="24"/>
        </w:rPr>
        <w:t>•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4AAE">
        <w:rPr>
          <w:rFonts w:cs="Times New Roman"/>
          <w:color w:val="000000" w:themeColor="text1"/>
          <w:szCs w:val="24"/>
        </w:rPr>
        <w:t>F</w:t>
      </w:r>
      <w:r w:rsidRPr="00C317BB">
        <w:rPr>
          <w:rFonts w:cs="Times New Roman"/>
          <w:color w:val="000000" w:themeColor="text1"/>
          <w:szCs w:val="24"/>
        </w:rPr>
        <w:t>our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chemical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manufacturers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sheet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gaskets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12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companies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installing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aftermarket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automotive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brak</w:t>
      </w:r>
      <w:r w:rsidRPr="00C317BB" w:rsidR="00A25A3E">
        <w:rPr>
          <w:rFonts w:cs="Times New Roman"/>
          <w:color w:val="000000" w:themeColor="text1"/>
          <w:szCs w:val="24"/>
        </w:rPr>
        <w:t>e</w:t>
      </w:r>
      <w:r w:rsidRPr="00C317BB">
        <w:rPr>
          <w:rFonts w:cs="Times New Roman"/>
          <w:color w:val="000000" w:themeColor="text1"/>
          <w:szCs w:val="24"/>
        </w:rPr>
        <w:t>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5A3E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5A3E">
        <w:rPr>
          <w:rFonts w:cs="Times New Roman"/>
          <w:color w:val="000000" w:themeColor="text1"/>
          <w:szCs w:val="24"/>
        </w:rPr>
        <w:t>estimated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5A3E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incur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4AAE">
        <w:rPr>
          <w:rFonts w:cs="Times New Roman"/>
          <w:color w:val="000000" w:themeColor="text1"/>
          <w:szCs w:val="24"/>
        </w:rPr>
        <w:t>additional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recordkeeping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costs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associated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45928">
        <w:rPr>
          <w:rFonts w:cs="Times New Roman"/>
          <w:color w:val="000000" w:themeColor="text1"/>
          <w:szCs w:val="24"/>
        </w:rPr>
        <w:t>their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disposal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activities.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4AAE">
        <w:rPr>
          <w:rFonts w:cs="Times New Roman"/>
          <w:color w:val="000000" w:themeColor="text1"/>
          <w:szCs w:val="24"/>
        </w:rPr>
        <w:t>Each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4AAE">
        <w:rPr>
          <w:rFonts w:cs="Times New Roman"/>
          <w:color w:val="000000" w:themeColor="text1"/>
          <w:szCs w:val="24"/>
        </w:rPr>
        <w:t>firm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4AAE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4AAE">
        <w:rPr>
          <w:rFonts w:cs="Times New Roman"/>
          <w:color w:val="000000" w:themeColor="text1"/>
          <w:szCs w:val="24"/>
        </w:rPr>
        <w:t>predicted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4AAE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4AAE">
        <w:rPr>
          <w:rFonts w:cs="Times New Roman"/>
          <w:color w:val="000000" w:themeColor="text1"/>
          <w:szCs w:val="24"/>
        </w:rPr>
        <w:t>incur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4AAE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4AAE">
        <w:rPr>
          <w:rFonts w:cs="Times New Roman"/>
          <w:color w:val="000000" w:themeColor="text1"/>
          <w:szCs w:val="24"/>
        </w:rPr>
        <w:t>burden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4AAE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4AAE">
        <w:rPr>
          <w:rFonts w:cs="Times New Roman"/>
          <w:color w:val="000000" w:themeColor="text1"/>
          <w:szCs w:val="24"/>
        </w:rPr>
        <w:t>approximately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4AAE">
        <w:rPr>
          <w:rFonts w:cs="Times New Roman"/>
          <w:color w:val="000000" w:themeColor="text1"/>
          <w:szCs w:val="24"/>
        </w:rPr>
        <w:t>4.4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4AAE">
        <w:rPr>
          <w:rFonts w:cs="Times New Roman"/>
          <w:color w:val="000000" w:themeColor="text1"/>
          <w:szCs w:val="24"/>
        </w:rPr>
        <w:t>hours.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4AAE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4AAE">
        <w:rPr>
          <w:rFonts w:cs="Times New Roman"/>
          <w:color w:val="000000" w:themeColor="text1"/>
          <w:szCs w:val="24"/>
        </w:rPr>
        <w:t>aftermarket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4AAE">
        <w:rPr>
          <w:rFonts w:cs="Times New Roman"/>
          <w:color w:val="000000" w:themeColor="text1"/>
          <w:szCs w:val="24"/>
        </w:rPr>
        <w:t>automotive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4AAE">
        <w:rPr>
          <w:rFonts w:cs="Times New Roman"/>
          <w:color w:val="000000" w:themeColor="text1"/>
          <w:szCs w:val="24"/>
        </w:rPr>
        <w:t>brake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4AAE">
        <w:rPr>
          <w:rFonts w:cs="Times New Roman"/>
          <w:color w:val="000000" w:themeColor="text1"/>
          <w:szCs w:val="24"/>
        </w:rPr>
        <w:t>installers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4AAE">
        <w:rPr>
          <w:rFonts w:cs="Times New Roman"/>
          <w:color w:val="000000" w:themeColor="text1"/>
          <w:szCs w:val="24"/>
        </w:rPr>
        <w:t>incur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4AAE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4AAE">
        <w:rPr>
          <w:rFonts w:cs="Times New Roman"/>
          <w:color w:val="000000" w:themeColor="text1"/>
          <w:szCs w:val="24"/>
        </w:rPr>
        <w:t>burden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4AAE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4AAE">
        <w:rPr>
          <w:rFonts w:cs="Times New Roman"/>
          <w:color w:val="000000" w:themeColor="text1"/>
          <w:szCs w:val="24"/>
        </w:rPr>
        <w:t>one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4AAE">
        <w:rPr>
          <w:rFonts w:cs="Times New Roman"/>
          <w:color w:val="000000" w:themeColor="text1"/>
          <w:szCs w:val="24"/>
        </w:rPr>
        <w:t>year,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4AAE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4AAE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4AAE">
        <w:rPr>
          <w:rFonts w:cs="Times New Roman"/>
          <w:color w:val="000000" w:themeColor="text1"/>
          <w:szCs w:val="24"/>
        </w:rPr>
        <w:t>chemical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4AAE">
        <w:rPr>
          <w:rFonts w:cs="Times New Roman"/>
          <w:color w:val="000000" w:themeColor="text1"/>
          <w:szCs w:val="24"/>
        </w:rPr>
        <w:t>manufacturers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4AAE">
        <w:rPr>
          <w:rFonts w:cs="Times New Roman"/>
          <w:color w:val="000000" w:themeColor="text1"/>
          <w:szCs w:val="24"/>
        </w:rPr>
        <w:t>using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4AAE">
        <w:rPr>
          <w:rFonts w:cs="Times New Roman"/>
          <w:color w:val="000000" w:themeColor="text1"/>
          <w:szCs w:val="24"/>
        </w:rPr>
        <w:t>sheet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4AAE">
        <w:rPr>
          <w:rFonts w:cs="Times New Roman"/>
          <w:color w:val="000000" w:themeColor="text1"/>
          <w:szCs w:val="24"/>
        </w:rPr>
        <w:t>gaskets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4AAE">
        <w:rPr>
          <w:rFonts w:cs="Times New Roman"/>
          <w:color w:val="000000" w:themeColor="text1"/>
          <w:szCs w:val="24"/>
        </w:rPr>
        <w:t>incur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4AAE">
        <w:rPr>
          <w:rFonts w:cs="Times New Roman"/>
          <w:color w:val="000000" w:themeColor="text1"/>
          <w:szCs w:val="24"/>
        </w:rPr>
        <w:t>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4AAE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4AAE">
        <w:rPr>
          <w:rFonts w:cs="Times New Roman"/>
          <w:color w:val="000000" w:themeColor="text1"/>
          <w:szCs w:val="24"/>
        </w:rPr>
        <w:t>two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4AAE">
        <w:rPr>
          <w:rFonts w:cs="Times New Roman"/>
          <w:color w:val="000000" w:themeColor="text1"/>
          <w:szCs w:val="24"/>
        </w:rPr>
        <w:t>years.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A66FCE" w:rsidP="00F27167" w:rsidRDefault="00A66FCE" w14:paraId="696F5481" w14:textId="42BE7313">
      <w:pPr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ab/>
      </w:r>
      <w:r w:rsidRPr="00C317BB" w:rsidR="00AE433A">
        <w:rPr>
          <w:rFonts w:cs="Times New Roman"/>
          <w:color w:val="000000" w:themeColor="text1"/>
          <w:szCs w:val="24"/>
        </w:rPr>
        <w:t>•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4AAE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4AAE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4AAE">
        <w:rPr>
          <w:rFonts w:cs="Times New Roman"/>
          <w:color w:val="000000" w:themeColor="text1"/>
          <w:szCs w:val="24"/>
        </w:rPr>
        <w:t>remaining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A06FC">
        <w:rPr>
          <w:rFonts w:cs="Times New Roman"/>
          <w:color w:val="000000" w:themeColor="text1"/>
          <w:szCs w:val="24"/>
        </w:rPr>
        <w:t>industry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A06FC">
        <w:rPr>
          <w:rFonts w:cs="Times New Roman"/>
          <w:color w:val="000000" w:themeColor="text1"/>
          <w:szCs w:val="24"/>
        </w:rPr>
        <w:t>sectors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A06FC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A06FC">
        <w:rPr>
          <w:rFonts w:cs="Times New Roman"/>
          <w:color w:val="000000" w:themeColor="text1"/>
          <w:szCs w:val="24"/>
        </w:rPr>
        <w:t>recordkeeping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A06FC">
        <w:rPr>
          <w:rFonts w:cs="Times New Roman"/>
          <w:color w:val="000000" w:themeColor="text1"/>
          <w:szCs w:val="24"/>
        </w:rPr>
        <w:t>activities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A06FC">
        <w:rPr>
          <w:rFonts w:cs="Times New Roman"/>
          <w:color w:val="000000" w:themeColor="text1"/>
          <w:szCs w:val="24"/>
        </w:rPr>
        <w:t>required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A06FC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A06FC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A06FC">
        <w:rPr>
          <w:rFonts w:cs="Times New Roman"/>
          <w:color w:val="000000" w:themeColor="text1"/>
          <w:szCs w:val="24"/>
        </w:rPr>
        <w:t>rule,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A06FC">
        <w:rPr>
          <w:rFonts w:cs="Times New Roman"/>
          <w:color w:val="000000" w:themeColor="text1"/>
          <w:szCs w:val="24"/>
        </w:rPr>
        <w:t>r</w:t>
      </w:r>
      <w:r w:rsidRPr="00C317BB">
        <w:rPr>
          <w:rFonts w:cs="Times New Roman"/>
          <w:color w:val="000000" w:themeColor="text1"/>
          <w:szCs w:val="24"/>
        </w:rPr>
        <w:t>ecords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comply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requirements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assumed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already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maintained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part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ordinary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business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records</w:t>
      </w:r>
      <w:r w:rsidRPr="00C317BB" w:rsidR="007A06FC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A06FC">
        <w:rPr>
          <w:rFonts w:cs="Times New Roman"/>
          <w:color w:val="000000" w:themeColor="text1"/>
          <w:szCs w:val="24"/>
        </w:rPr>
        <w:t>Therefore,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E433A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E433A">
        <w:rPr>
          <w:rFonts w:cs="Times New Roman"/>
          <w:color w:val="000000" w:themeColor="text1"/>
          <w:szCs w:val="24"/>
        </w:rPr>
        <w:t>estimates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E433A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E433A">
        <w:rPr>
          <w:rFonts w:cs="Times New Roman"/>
          <w:color w:val="000000" w:themeColor="text1"/>
          <w:szCs w:val="24"/>
        </w:rPr>
        <w:t>such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E433A">
        <w:rPr>
          <w:rFonts w:cs="Times New Roman"/>
          <w:color w:val="000000" w:themeColor="text1"/>
          <w:szCs w:val="24"/>
        </w:rPr>
        <w:t>respondents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E433A">
        <w:rPr>
          <w:rFonts w:cs="Times New Roman"/>
          <w:color w:val="000000" w:themeColor="text1"/>
          <w:szCs w:val="24"/>
        </w:rPr>
        <w:t>would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E433A">
        <w:rPr>
          <w:rFonts w:cs="Times New Roman"/>
          <w:color w:val="000000" w:themeColor="text1"/>
          <w:szCs w:val="24"/>
        </w:rPr>
        <w:t>incur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A06FC">
        <w:rPr>
          <w:rFonts w:cs="Times New Roman"/>
          <w:color w:val="000000" w:themeColor="text1"/>
          <w:szCs w:val="24"/>
        </w:rPr>
        <w:t>no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E433A">
        <w:rPr>
          <w:rFonts w:cs="Times New Roman"/>
          <w:color w:val="000000" w:themeColor="text1"/>
          <w:szCs w:val="24"/>
        </w:rPr>
        <w:t>additional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A06FC">
        <w:rPr>
          <w:rFonts w:cs="Times New Roman"/>
          <w:color w:val="000000" w:themeColor="text1"/>
          <w:szCs w:val="24"/>
        </w:rPr>
        <w:t>incremental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45928">
        <w:rPr>
          <w:rFonts w:cs="Times New Roman"/>
          <w:color w:val="000000" w:themeColor="text1"/>
          <w:szCs w:val="24"/>
        </w:rPr>
        <w:t>paperwork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A06FC">
        <w:rPr>
          <w:rFonts w:cs="Times New Roman"/>
          <w:color w:val="000000" w:themeColor="text1"/>
          <w:szCs w:val="24"/>
        </w:rPr>
        <w:t>burdens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45928">
        <w:rPr>
          <w:rFonts w:cs="Times New Roman"/>
          <w:color w:val="000000" w:themeColor="text1"/>
          <w:szCs w:val="24"/>
        </w:rPr>
        <w:t>due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45928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45928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45928">
        <w:rPr>
          <w:rFonts w:cs="Times New Roman"/>
          <w:color w:val="000000" w:themeColor="text1"/>
          <w:szCs w:val="24"/>
        </w:rPr>
        <w:t>rule</w:t>
      </w:r>
      <w:r w:rsidRPr="00C317BB">
        <w:rPr>
          <w:rFonts w:cs="Times New Roman"/>
          <w:color w:val="000000" w:themeColor="text1"/>
          <w:szCs w:val="24"/>
        </w:rPr>
        <w:t>.</w:t>
      </w:r>
    </w:p>
    <w:p w:rsidRPr="00C317BB" w:rsidR="00EA31AD" w:rsidP="00F27167" w:rsidRDefault="00EA31AD" w14:paraId="36D957F5" w14:textId="3986551C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i/>
          <w:color w:val="000000" w:themeColor="text1"/>
          <w:szCs w:val="24"/>
        </w:rPr>
        <w:t>Respondents/affected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>
        <w:rPr>
          <w:rFonts w:cs="Times New Roman"/>
          <w:i/>
          <w:color w:val="000000" w:themeColor="text1"/>
          <w:szCs w:val="24"/>
        </w:rPr>
        <w:t>entities: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93709">
        <w:rPr>
          <w:rFonts w:cs="Times New Roman"/>
          <w:color w:val="000000" w:themeColor="text1"/>
          <w:szCs w:val="24"/>
        </w:rPr>
        <w:t>C</w:t>
      </w:r>
      <w:r w:rsidRPr="00C317BB" w:rsidR="002946A0">
        <w:rPr>
          <w:rFonts w:cs="Times New Roman"/>
          <w:color w:val="000000" w:themeColor="text1"/>
          <w:szCs w:val="24"/>
        </w:rPr>
        <w:t>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946A0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manufacturers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93709">
        <w:rPr>
          <w:rFonts w:cs="Times New Roman"/>
          <w:color w:val="000000" w:themeColor="text1"/>
          <w:szCs w:val="24"/>
        </w:rPr>
        <w:t>(including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93709">
        <w:rPr>
          <w:rFonts w:cs="Times New Roman"/>
          <w:color w:val="000000" w:themeColor="text1"/>
          <w:szCs w:val="24"/>
        </w:rPr>
        <w:t>importers)</w:t>
      </w:r>
      <w:r w:rsidRPr="00C317BB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processors,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distributors.</w:t>
      </w:r>
    </w:p>
    <w:p w:rsidRPr="00C317BB" w:rsidR="00EA31AD" w:rsidP="00F27167" w:rsidRDefault="00EA31AD" w14:paraId="7052EB2E" w14:textId="34A563E7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i/>
          <w:color w:val="000000" w:themeColor="text1"/>
          <w:szCs w:val="24"/>
        </w:rPr>
        <w:t>Respondent’s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>
        <w:rPr>
          <w:rFonts w:cs="Times New Roman"/>
          <w:i/>
          <w:color w:val="000000" w:themeColor="text1"/>
          <w:szCs w:val="24"/>
        </w:rPr>
        <w:t>obligation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>
        <w:rPr>
          <w:rFonts w:cs="Times New Roman"/>
          <w:i/>
          <w:color w:val="000000" w:themeColor="text1"/>
          <w:szCs w:val="24"/>
        </w:rPr>
        <w:t>to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>
        <w:rPr>
          <w:rFonts w:cs="Times New Roman"/>
          <w:i/>
          <w:color w:val="000000" w:themeColor="text1"/>
          <w:szCs w:val="24"/>
        </w:rPr>
        <w:t>respond: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Mandatory</w:t>
      </w:r>
      <w:r w:rsidR="005613B2">
        <w:rPr>
          <w:rFonts w:cs="Times New Roman"/>
          <w:color w:val="000000" w:themeColor="text1"/>
          <w:szCs w:val="24"/>
        </w:rPr>
        <w:t>.</w:t>
      </w:r>
    </w:p>
    <w:p w:rsidRPr="00C317BB" w:rsidR="00EA31AD" w:rsidP="00F27167" w:rsidRDefault="00EA31AD" w14:paraId="22B251FA" w14:textId="1F25E668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i/>
          <w:color w:val="000000" w:themeColor="text1"/>
          <w:szCs w:val="24"/>
        </w:rPr>
        <w:t>Estimated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>
        <w:rPr>
          <w:rFonts w:cs="Times New Roman"/>
          <w:i/>
          <w:color w:val="000000" w:themeColor="text1"/>
          <w:szCs w:val="24"/>
        </w:rPr>
        <w:t>number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>
        <w:rPr>
          <w:rFonts w:cs="Times New Roman"/>
          <w:i/>
          <w:color w:val="000000" w:themeColor="text1"/>
          <w:szCs w:val="24"/>
        </w:rPr>
        <w:t>of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>
        <w:rPr>
          <w:rFonts w:cs="Times New Roman"/>
          <w:i/>
          <w:color w:val="000000" w:themeColor="text1"/>
          <w:szCs w:val="24"/>
        </w:rPr>
        <w:t>respondents: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01420">
        <w:rPr>
          <w:rFonts w:cs="Times New Roman"/>
          <w:color w:val="000000" w:themeColor="text1"/>
          <w:szCs w:val="24"/>
        </w:rPr>
        <w:t>16</w:t>
      </w:r>
      <w:r w:rsidR="005613B2">
        <w:rPr>
          <w:rFonts w:cs="Times New Roman"/>
          <w:color w:val="000000" w:themeColor="text1"/>
          <w:szCs w:val="24"/>
        </w:rPr>
        <w:t>.</w:t>
      </w:r>
    </w:p>
    <w:p w:rsidRPr="00C317BB" w:rsidR="00EA31AD" w:rsidP="00F27167" w:rsidRDefault="00EA31AD" w14:paraId="0F79366B" w14:textId="1201FACF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i/>
          <w:color w:val="000000" w:themeColor="text1"/>
          <w:szCs w:val="24"/>
        </w:rPr>
        <w:t>Frequency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>
        <w:rPr>
          <w:rFonts w:cs="Times New Roman"/>
          <w:i/>
          <w:color w:val="000000" w:themeColor="text1"/>
          <w:szCs w:val="24"/>
        </w:rPr>
        <w:t>of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>
        <w:rPr>
          <w:rFonts w:cs="Times New Roman"/>
          <w:i/>
          <w:color w:val="000000" w:themeColor="text1"/>
          <w:szCs w:val="24"/>
        </w:rPr>
        <w:t>response: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occasion.</w:t>
      </w:r>
    </w:p>
    <w:p w:rsidRPr="00C317BB" w:rsidR="00EA31AD" w:rsidP="00F27167" w:rsidRDefault="00EA31AD" w14:paraId="5A492EDC" w14:textId="0AAB526C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i/>
          <w:color w:val="000000" w:themeColor="text1"/>
          <w:szCs w:val="24"/>
        </w:rPr>
        <w:t>Total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>
        <w:rPr>
          <w:rFonts w:cs="Times New Roman"/>
          <w:i/>
          <w:color w:val="000000" w:themeColor="text1"/>
          <w:szCs w:val="24"/>
        </w:rPr>
        <w:t>estimated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>
        <w:rPr>
          <w:rFonts w:cs="Times New Roman"/>
          <w:i/>
          <w:color w:val="000000" w:themeColor="text1"/>
          <w:szCs w:val="24"/>
        </w:rPr>
        <w:t>burden: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01420">
        <w:rPr>
          <w:rFonts w:cs="Times New Roman"/>
          <w:color w:val="000000" w:themeColor="text1"/>
          <w:szCs w:val="24"/>
        </w:rPr>
        <w:t>29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746F2">
        <w:rPr>
          <w:rFonts w:cs="Times New Roman"/>
          <w:color w:val="000000" w:themeColor="text1"/>
          <w:szCs w:val="24"/>
        </w:rPr>
        <w:t>hours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746F2">
        <w:rPr>
          <w:rFonts w:cs="Times New Roman"/>
          <w:color w:val="000000" w:themeColor="text1"/>
          <w:szCs w:val="24"/>
        </w:rPr>
        <w:t>per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746F2">
        <w:rPr>
          <w:rFonts w:cs="Times New Roman"/>
          <w:color w:val="000000" w:themeColor="text1"/>
          <w:szCs w:val="24"/>
        </w:rPr>
        <w:t>year</w:t>
      </w:r>
      <w:r w:rsidRPr="00C317BB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Burden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defined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5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CFR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1320.3(b).</w:t>
      </w:r>
    </w:p>
    <w:p w:rsidRPr="00C317BB" w:rsidR="00EA31AD" w:rsidP="00F27167" w:rsidRDefault="00EA31AD" w14:paraId="166704EF" w14:textId="69859D33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i/>
          <w:color w:val="000000" w:themeColor="text1"/>
          <w:szCs w:val="24"/>
        </w:rPr>
        <w:t>Total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>
        <w:rPr>
          <w:rFonts w:cs="Times New Roman"/>
          <w:i/>
          <w:color w:val="000000" w:themeColor="text1"/>
          <w:szCs w:val="24"/>
        </w:rPr>
        <w:t>estimated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>
        <w:rPr>
          <w:rFonts w:cs="Times New Roman"/>
          <w:i/>
          <w:color w:val="000000" w:themeColor="text1"/>
          <w:szCs w:val="24"/>
        </w:rPr>
        <w:t>cost: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70987">
        <w:rPr>
          <w:rFonts w:cs="Times New Roman"/>
          <w:color w:val="000000" w:themeColor="text1"/>
          <w:szCs w:val="24"/>
        </w:rPr>
        <w:t>$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01420">
        <w:rPr>
          <w:rFonts w:cs="Times New Roman"/>
          <w:color w:val="000000" w:themeColor="text1"/>
          <w:szCs w:val="24"/>
        </w:rPr>
        <w:t>1,166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year.</w:t>
      </w:r>
    </w:p>
    <w:p w:rsidRPr="00C317BB" w:rsidR="00EA31AD" w:rsidP="00F27167" w:rsidRDefault="00EA31AD" w14:paraId="2B9EBE29" w14:textId="7190AEA8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agency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conduct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sponsor,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person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required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respond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collection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information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unless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displays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currently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valid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OMB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control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number.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OMB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control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numbers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EPA’s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regulations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40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CFR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listed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40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CFR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part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9.</w:t>
      </w:r>
    </w:p>
    <w:p w:rsidRPr="00C317BB" w:rsidR="00EA31AD" w:rsidP="00F27167" w:rsidRDefault="00EA31AD" w14:paraId="559BF4DA" w14:textId="3E82683F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Submit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your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comments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Agency’s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need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information,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accuracy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provided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burden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estimates,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suggested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methods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minimizing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respondent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burden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docket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identified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beginning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rule.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You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also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send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your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ICR-related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comments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OMB’s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Office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Information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Regulatory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Affairs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206F">
        <w:rPr>
          <w:rFonts w:cs="Times New Roman"/>
          <w:color w:val="000000" w:themeColor="text1"/>
          <w:szCs w:val="24"/>
        </w:rPr>
        <w:t>using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206F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206F">
        <w:rPr>
          <w:rFonts w:cs="Times New Roman"/>
          <w:color w:val="000000" w:themeColor="text1"/>
          <w:szCs w:val="24"/>
        </w:rPr>
        <w:t>interface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206F">
        <w:rPr>
          <w:rFonts w:cs="Times New Roman"/>
          <w:color w:val="000000" w:themeColor="text1"/>
          <w:szCs w:val="24"/>
        </w:rPr>
        <w:t>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206F">
        <w:rPr>
          <w:rFonts w:cs="Times New Roman"/>
          <w:i/>
          <w:color w:val="000000" w:themeColor="text1"/>
          <w:szCs w:val="24"/>
        </w:rPr>
        <w:t>www.reginfo.gov/public/do/PRAMain</w:t>
      </w:r>
      <w:r w:rsidRPr="00C317BB" w:rsidR="00AB206F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206F">
        <w:rPr>
          <w:rFonts w:cs="Times New Roman"/>
          <w:color w:val="000000" w:themeColor="text1"/>
          <w:szCs w:val="24"/>
        </w:rPr>
        <w:t>Find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206F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206F">
        <w:rPr>
          <w:rFonts w:cs="Times New Roman"/>
          <w:color w:val="000000" w:themeColor="text1"/>
          <w:szCs w:val="24"/>
        </w:rPr>
        <w:t>particular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206F">
        <w:rPr>
          <w:rFonts w:cs="Times New Roman"/>
          <w:color w:val="000000" w:themeColor="text1"/>
          <w:szCs w:val="24"/>
        </w:rPr>
        <w:t>information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206F">
        <w:rPr>
          <w:rFonts w:cs="Times New Roman"/>
          <w:color w:val="000000" w:themeColor="text1"/>
          <w:szCs w:val="24"/>
        </w:rPr>
        <w:t>collection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206F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206F">
        <w:rPr>
          <w:rFonts w:cs="Times New Roman"/>
          <w:color w:val="000000" w:themeColor="text1"/>
          <w:szCs w:val="24"/>
        </w:rPr>
        <w:t>selecting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206F">
        <w:rPr>
          <w:rFonts w:cs="Times New Roman"/>
          <w:color w:val="000000" w:themeColor="text1"/>
          <w:szCs w:val="24"/>
        </w:rPr>
        <w:t>"Currently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206F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206F">
        <w:rPr>
          <w:rFonts w:cs="Times New Roman"/>
          <w:color w:val="000000" w:themeColor="text1"/>
          <w:szCs w:val="24"/>
        </w:rPr>
        <w:t>Review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206F">
        <w:rPr>
          <w:rFonts w:cs="Times New Roman"/>
          <w:color w:val="000000" w:themeColor="text1"/>
          <w:szCs w:val="24"/>
        </w:rPr>
        <w:t>-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206F">
        <w:rPr>
          <w:rFonts w:cs="Times New Roman"/>
          <w:color w:val="000000" w:themeColor="text1"/>
          <w:szCs w:val="24"/>
        </w:rPr>
        <w:t>Open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206F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206F">
        <w:rPr>
          <w:rFonts w:cs="Times New Roman"/>
          <w:color w:val="000000" w:themeColor="text1"/>
          <w:szCs w:val="24"/>
        </w:rPr>
        <w:t>Public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206F">
        <w:rPr>
          <w:rFonts w:cs="Times New Roman"/>
          <w:color w:val="000000" w:themeColor="text1"/>
          <w:szCs w:val="24"/>
        </w:rPr>
        <w:t>Comments"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206F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206F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206F">
        <w:rPr>
          <w:rFonts w:cs="Times New Roman"/>
          <w:color w:val="000000" w:themeColor="text1"/>
          <w:szCs w:val="24"/>
        </w:rPr>
        <w:t>using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206F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206F">
        <w:rPr>
          <w:rFonts w:cs="Times New Roman"/>
          <w:color w:val="000000" w:themeColor="text1"/>
          <w:szCs w:val="24"/>
        </w:rPr>
        <w:t>search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B206F">
        <w:rPr>
          <w:rFonts w:cs="Times New Roman"/>
          <w:color w:val="000000" w:themeColor="text1"/>
          <w:szCs w:val="24"/>
        </w:rPr>
        <w:t>function</w:t>
      </w:r>
      <w:r w:rsidRPr="00C317BB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Since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OMB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required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make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decision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concerning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ICR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between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30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60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days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after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receipt,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OMB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must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receive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comments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later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Style w:val="fdmstext"/>
          <w:rFonts w:cs="Times New Roman"/>
          <w:b w:val="0"/>
          <w:color w:val="000000" w:themeColor="text1"/>
          <w:szCs w:val="24"/>
        </w:rPr>
        <w:t>[</w:t>
      </w:r>
      <w:r w:rsidRPr="00C317BB" w:rsidR="003011AC">
        <w:rPr>
          <w:rStyle w:val="fdmstext"/>
          <w:rFonts w:cs="Times New Roman"/>
          <w:b w:val="0"/>
          <w:color w:val="000000" w:themeColor="text1"/>
          <w:szCs w:val="24"/>
        </w:rPr>
        <w:t>INSERT</w:t>
      </w:r>
      <w:r w:rsidR="005613B2">
        <w:rPr>
          <w:rStyle w:val="fdmstext"/>
          <w:rFonts w:cs="Times New Roman"/>
          <w:b w:val="0"/>
          <w:color w:val="000000" w:themeColor="text1"/>
          <w:szCs w:val="24"/>
        </w:rPr>
        <w:t xml:space="preserve"> </w:t>
      </w:r>
      <w:r w:rsidRPr="00C317BB" w:rsidR="003011AC">
        <w:rPr>
          <w:rStyle w:val="fdmstext"/>
          <w:rFonts w:cs="Times New Roman"/>
          <w:b w:val="0"/>
          <w:color w:val="000000" w:themeColor="text1"/>
          <w:szCs w:val="24"/>
        </w:rPr>
        <w:t>DATE</w:t>
      </w:r>
      <w:r w:rsidR="005613B2">
        <w:rPr>
          <w:rStyle w:val="fdmstext"/>
          <w:rFonts w:cs="Times New Roman"/>
          <w:b w:val="0"/>
          <w:color w:val="000000" w:themeColor="text1"/>
          <w:szCs w:val="24"/>
        </w:rPr>
        <w:t xml:space="preserve"> </w:t>
      </w:r>
      <w:r w:rsidRPr="00C317BB" w:rsidR="003011AC">
        <w:rPr>
          <w:rStyle w:val="fdmstext"/>
          <w:rFonts w:cs="Times New Roman"/>
          <w:b w:val="0"/>
          <w:color w:val="000000" w:themeColor="text1"/>
          <w:szCs w:val="24"/>
        </w:rPr>
        <w:t>30</w:t>
      </w:r>
      <w:r w:rsidR="005613B2">
        <w:rPr>
          <w:rStyle w:val="fdmstext"/>
          <w:rFonts w:cs="Times New Roman"/>
          <w:b w:val="0"/>
          <w:color w:val="000000" w:themeColor="text1"/>
          <w:szCs w:val="24"/>
        </w:rPr>
        <w:t xml:space="preserve"> </w:t>
      </w:r>
      <w:r w:rsidRPr="00C317BB" w:rsidR="003011AC">
        <w:rPr>
          <w:rStyle w:val="fdmstext"/>
          <w:rFonts w:cs="Times New Roman"/>
          <w:b w:val="0"/>
          <w:color w:val="000000" w:themeColor="text1"/>
          <w:szCs w:val="24"/>
        </w:rPr>
        <w:t>DAYS</w:t>
      </w:r>
      <w:r w:rsidR="005613B2">
        <w:rPr>
          <w:rStyle w:val="fdmstext"/>
          <w:rFonts w:cs="Times New Roman"/>
          <w:b w:val="0"/>
          <w:color w:val="000000" w:themeColor="text1"/>
          <w:szCs w:val="24"/>
        </w:rPr>
        <w:t xml:space="preserve"> </w:t>
      </w:r>
      <w:r w:rsidRPr="00C317BB" w:rsidR="003011AC">
        <w:rPr>
          <w:rStyle w:val="fdmstext"/>
          <w:rFonts w:cs="Times New Roman"/>
          <w:b w:val="0"/>
          <w:color w:val="000000" w:themeColor="text1"/>
          <w:szCs w:val="24"/>
        </w:rPr>
        <w:t>AFTER</w:t>
      </w:r>
      <w:r w:rsidR="005613B2">
        <w:rPr>
          <w:rStyle w:val="fdmstext"/>
          <w:rFonts w:cs="Times New Roman"/>
          <w:b w:val="0"/>
          <w:color w:val="000000" w:themeColor="text1"/>
          <w:szCs w:val="24"/>
        </w:rPr>
        <w:t xml:space="preserve"> </w:t>
      </w:r>
      <w:r w:rsidRPr="00C317BB" w:rsidR="003011AC">
        <w:rPr>
          <w:rStyle w:val="fdmstext"/>
          <w:rFonts w:cs="Times New Roman"/>
          <w:b w:val="0"/>
          <w:color w:val="000000" w:themeColor="text1"/>
          <w:szCs w:val="24"/>
        </w:rPr>
        <w:t>PUBLICATION</w:t>
      </w:r>
      <w:r w:rsidR="005613B2">
        <w:rPr>
          <w:rStyle w:val="fdmstext"/>
          <w:rFonts w:cs="Times New Roman"/>
          <w:b w:val="0"/>
          <w:color w:val="000000" w:themeColor="text1"/>
          <w:szCs w:val="24"/>
        </w:rPr>
        <w:t xml:space="preserve"> </w:t>
      </w:r>
      <w:r w:rsidRPr="00C317BB" w:rsidR="003011AC">
        <w:rPr>
          <w:rStyle w:val="fdmstext"/>
          <w:rFonts w:cs="Times New Roman"/>
          <w:b w:val="0"/>
          <w:color w:val="000000" w:themeColor="text1"/>
          <w:szCs w:val="24"/>
        </w:rPr>
        <w:t>IN</w:t>
      </w:r>
      <w:r w:rsidR="005613B2">
        <w:rPr>
          <w:rStyle w:val="fdmstext"/>
          <w:rFonts w:cs="Times New Roman"/>
          <w:b w:val="0"/>
          <w:color w:val="000000" w:themeColor="text1"/>
          <w:szCs w:val="24"/>
        </w:rPr>
        <w:t xml:space="preserve"> </w:t>
      </w:r>
      <w:r w:rsidRPr="00C317BB" w:rsidR="003011AC">
        <w:rPr>
          <w:rStyle w:val="fdmstext"/>
          <w:rFonts w:cs="Times New Roman"/>
          <w:b w:val="0"/>
          <w:color w:val="000000" w:themeColor="text1"/>
          <w:szCs w:val="24"/>
        </w:rPr>
        <w:t>THE</w:t>
      </w:r>
      <w:r w:rsidR="005613B2">
        <w:rPr>
          <w:rStyle w:val="fdmstext"/>
          <w:rFonts w:cs="Times New Roman"/>
          <w:b w:val="0"/>
          <w:color w:val="000000" w:themeColor="text1"/>
          <w:szCs w:val="24"/>
        </w:rPr>
        <w:t xml:space="preserve"> </w:t>
      </w:r>
      <w:r w:rsidRPr="00C317BB" w:rsidR="003011AC">
        <w:rPr>
          <w:rStyle w:val="fdmstext"/>
          <w:rFonts w:cs="Times New Roman"/>
          <w:i/>
          <w:color w:val="000000" w:themeColor="text1"/>
          <w:szCs w:val="24"/>
        </w:rPr>
        <w:t>FEDERAL</w:t>
      </w:r>
      <w:r w:rsidR="005613B2">
        <w:rPr>
          <w:rStyle w:val="fdmstext"/>
          <w:rFonts w:cs="Times New Roman"/>
          <w:i/>
          <w:color w:val="000000" w:themeColor="text1"/>
          <w:szCs w:val="24"/>
        </w:rPr>
        <w:t xml:space="preserve"> </w:t>
      </w:r>
      <w:r w:rsidRPr="00C317BB" w:rsidR="003011AC">
        <w:rPr>
          <w:rStyle w:val="fdmstext"/>
          <w:rFonts w:cs="Times New Roman"/>
          <w:i/>
          <w:color w:val="000000" w:themeColor="text1"/>
          <w:szCs w:val="24"/>
        </w:rPr>
        <w:t>REGISTER</w:t>
      </w:r>
      <w:r w:rsidRPr="00C317BB">
        <w:rPr>
          <w:rStyle w:val="fdmstext"/>
          <w:rFonts w:cs="Times New Roman"/>
          <w:b w:val="0"/>
          <w:color w:val="000000" w:themeColor="text1"/>
          <w:szCs w:val="24"/>
        </w:rPr>
        <w:t>]</w:t>
      </w:r>
      <w:r w:rsidRPr="00C317BB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will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respond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ICR-related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comments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final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rule.</w:t>
      </w:r>
    </w:p>
    <w:p w:rsidRPr="00C317BB" w:rsidR="00EA31AD" w:rsidP="00F27167" w:rsidRDefault="00EA31AD" w14:paraId="5E7F73FD" w14:textId="3B8A2257">
      <w:pPr>
        <w:pStyle w:val="Heading2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C.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Regulatory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Flexibility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(RFA)</w:t>
      </w:r>
    </w:p>
    <w:p w:rsidRPr="00C317BB" w:rsidR="009F651C" w:rsidP="00132FC5" w:rsidRDefault="00EA31AD" w14:paraId="3581589A" w14:textId="2CB17042">
      <w:pPr>
        <w:rPr>
          <w:rFonts w:cs="Times New Roman"/>
          <w:szCs w:val="24"/>
        </w:rPr>
      </w:pPr>
      <w:r w:rsidRPr="00C317BB">
        <w:rPr>
          <w:rFonts w:cs="Times New Roman"/>
          <w:szCs w:val="24"/>
        </w:rPr>
        <w:tab/>
      </w:r>
      <w:r w:rsidR="005613B2">
        <w:rPr>
          <w:rFonts w:cs="Times New Roman"/>
          <w:szCs w:val="24"/>
        </w:rPr>
        <w:t xml:space="preserve"> </w:t>
      </w:r>
      <w:r w:rsidRPr="00C317BB" w:rsidR="00F55408">
        <w:rPr>
          <w:rFonts w:cs="Times New Roman"/>
          <w:szCs w:val="24"/>
        </w:rPr>
        <w:t>I</w:t>
      </w:r>
      <w:r w:rsidR="005613B2">
        <w:rPr>
          <w:rFonts w:cs="Times New Roman"/>
          <w:szCs w:val="24"/>
        </w:rPr>
        <w:t xml:space="preserve"> </w:t>
      </w:r>
      <w:r w:rsidRPr="00C317BB" w:rsidR="00F55408">
        <w:rPr>
          <w:rFonts w:cs="Times New Roman"/>
          <w:szCs w:val="24"/>
        </w:rPr>
        <w:t>certify</w:t>
      </w:r>
      <w:r w:rsidR="005613B2">
        <w:rPr>
          <w:rFonts w:cs="Times New Roman"/>
          <w:szCs w:val="24"/>
        </w:rPr>
        <w:t xml:space="preserve"> </w:t>
      </w:r>
      <w:r w:rsidRPr="00C317BB" w:rsidR="00F55408">
        <w:rPr>
          <w:rFonts w:cs="Times New Roman"/>
          <w:szCs w:val="24"/>
        </w:rPr>
        <w:t>that</w:t>
      </w:r>
      <w:r w:rsidR="005613B2">
        <w:rPr>
          <w:rFonts w:cs="Times New Roman"/>
          <w:szCs w:val="24"/>
        </w:rPr>
        <w:t xml:space="preserve"> </w:t>
      </w:r>
      <w:r w:rsidRPr="00C317BB" w:rsidR="00F55408">
        <w:rPr>
          <w:rFonts w:cs="Times New Roman"/>
          <w:szCs w:val="24"/>
        </w:rPr>
        <w:t>this</w:t>
      </w:r>
      <w:r w:rsidR="005613B2">
        <w:rPr>
          <w:rFonts w:cs="Times New Roman"/>
          <w:szCs w:val="24"/>
        </w:rPr>
        <w:t xml:space="preserve"> </w:t>
      </w:r>
      <w:r w:rsidRPr="00C317BB" w:rsidR="00F55408">
        <w:rPr>
          <w:rFonts w:cs="Times New Roman"/>
          <w:szCs w:val="24"/>
        </w:rPr>
        <w:t>action</w:t>
      </w:r>
      <w:r w:rsidR="005613B2">
        <w:rPr>
          <w:rFonts w:cs="Times New Roman"/>
          <w:szCs w:val="24"/>
        </w:rPr>
        <w:t xml:space="preserve"> </w:t>
      </w:r>
      <w:r w:rsidRPr="00C317BB" w:rsidR="00F55408">
        <w:rPr>
          <w:rFonts w:cs="Times New Roman"/>
          <w:szCs w:val="24"/>
        </w:rPr>
        <w:t>will</w:t>
      </w:r>
      <w:r w:rsidR="005613B2">
        <w:rPr>
          <w:rFonts w:cs="Times New Roman"/>
          <w:szCs w:val="24"/>
        </w:rPr>
        <w:t xml:space="preserve"> </w:t>
      </w:r>
      <w:r w:rsidRPr="00C317BB" w:rsidR="00F55408">
        <w:rPr>
          <w:rFonts w:cs="Times New Roman"/>
          <w:szCs w:val="24"/>
        </w:rPr>
        <w:t>not</w:t>
      </w:r>
      <w:r w:rsidR="005613B2">
        <w:rPr>
          <w:rFonts w:cs="Times New Roman"/>
          <w:szCs w:val="24"/>
        </w:rPr>
        <w:t xml:space="preserve"> </w:t>
      </w:r>
      <w:r w:rsidRPr="00C317BB" w:rsidR="00F55408">
        <w:rPr>
          <w:rFonts w:cs="Times New Roman"/>
          <w:szCs w:val="24"/>
        </w:rPr>
        <w:t>have</w:t>
      </w:r>
      <w:r w:rsidR="005613B2">
        <w:rPr>
          <w:rFonts w:cs="Times New Roman"/>
          <w:szCs w:val="24"/>
        </w:rPr>
        <w:t xml:space="preserve"> </w:t>
      </w:r>
      <w:r w:rsidRPr="00C317BB" w:rsidR="00F55408">
        <w:rPr>
          <w:rFonts w:cs="Times New Roman"/>
          <w:szCs w:val="24"/>
        </w:rPr>
        <w:t>a</w:t>
      </w:r>
      <w:r w:rsidR="005613B2">
        <w:rPr>
          <w:rFonts w:cs="Times New Roman"/>
          <w:szCs w:val="24"/>
        </w:rPr>
        <w:t xml:space="preserve"> </w:t>
      </w:r>
      <w:r w:rsidRPr="00C317BB" w:rsidR="00F55408">
        <w:rPr>
          <w:rFonts w:cs="Times New Roman"/>
          <w:szCs w:val="24"/>
        </w:rPr>
        <w:t>significant</w:t>
      </w:r>
      <w:r w:rsidR="005613B2">
        <w:rPr>
          <w:rFonts w:cs="Times New Roman"/>
          <w:szCs w:val="24"/>
        </w:rPr>
        <w:t xml:space="preserve"> </w:t>
      </w:r>
      <w:r w:rsidRPr="00C317BB" w:rsidR="00F55408">
        <w:rPr>
          <w:rFonts w:cs="Times New Roman"/>
          <w:szCs w:val="24"/>
        </w:rPr>
        <w:t>economic</w:t>
      </w:r>
      <w:r w:rsidR="005613B2">
        <w:rPr>
          <w:rFonts w:cs="Times New Roman"/>
          <w:szCs w:val="24"/>
        </w:rPr>
        <w:t xml:space="preserve"> </w:t>
      </w:r>
      <w:r w:rsidRPr="00C317BB" w:rsidR="00F55408">
        <w:rPr>
          <w:rFonts w:cs="Times New Roman"/>
          <w:szCs w:val="24"/>
        </w:rPr>
        <w:t>impact</w:t>
      </w:r>
      <w:r w:rsidR="005613B2">
        <w:rPr>
          <w:rFonts w:cs="Times New Roman"/>
          <w:szCs w:val="24"/>
        </w:rPr>
        <w:t xml:space="preserve"> </w:t>
      </w:r>
      <w:r w:rsidRPr="00C317BB" w:rsidR="00F55408">
        <w:rPr>
          <w:rFonts w:cs="Times New Roman"/>
          <w:szCs w:val="24"/>
        </w:rPr>
        <w:t>on</w:t>
      </w:r>
      <w:r w:rsidR="005613B2">
        <w:rPr>
          <w:rFonts w:cs="Times New Roman"/>
          <w:szCs w:val="24"/>
        </w:rPr>
        <w:t xml:space="preserve"> </w:t>
      </w:r>
      <w:r w:rsidRPr="00C317BB" w:rsidR="00F55408">
        <w:rPr>
          <w:rFonts w:cs="Times New Roman"/>
          <w:szCs w:val="24"/>
        </w:rPr>
        <w:t>a</w:t>
      </w:r>
      <w:r w:rsidR="005613B2">
        <w:rPr>
          <w:rFonts w:cs="Times New Roman"/>
          <w:szCs w:val="24"/>
        </w:rPr>
        <w:t xml:space="preserve"> </w:t>
      </w:r>
      <w:r w:rsidRPr="00C317BB" w:rsidR="00F55408">
        <w:rPr>
          <w:rFonts w:cs="Times New Roman"/>
          <w:szCs w:val="24"/>
        </w:rPr>
        <w:t>substantial</w:t>
      </w:r>
      <w:r w:rsidR="005613B2">
        <w:rPr>
          <w:rFonts w:cs="Times New Roman"/>
          <w:szCs w:val="24"/>
        </w:rPr>
        <w:t xml:space="preserve"> </w:t>
      </w:r>
      <w:r w:rsidRPr="00C317BB" w:rsidR="00F55408">
        <w:rPr>
          <w:rFonts w:cs="Times New Roman"/>
          <w:szCs w:val="24"/>
        </w:rPr>
        <w:t>number</w:t>
      </w:r>
      <w:r w:rsidR="005613B2">
        <w:rPr>
          <w:rFonts w:cs="Times New Roman"/>
          <w:szCs w:val="24"/>
        </w:rPr>
        <w:t xml:space="preserve"> </w:t>
      </w:r>
      <w:r w:rsidRPr="00C317BB" w:rsidR="00F55408">
        <w:rPr>
          <w:rFonts w:cs="Times New Roman"/>
          <w:szCs w:val="24"/>
        </w:rPr>
        <w:t>of</w:t>
      </w:r>
      <w:r w:rsidR="005613B2">
        <w:rPr>
          <w:rFonts w:cs="Times New Roman"/>
          <w:szCs w:val="24"/>
        </w:rPr>
        <w:t xml:space="preserve"> </w:t>
      </w:r>
      <w:r w:rsidRPr="00C317BB" w:rsidR="00F55408">
        <w:rPr>
          <w:rFonts w:cs="Times New Roman"/>
          <w:szCs w:val="24"/>
        </w:rPr>
        <w:t>small</w:t>
      </w:r>
      <w:r w:rsidR="005613B2">
        <w:rPr>
          <w:rFonts w:cs="Times New Roman"/>
          <w:szCs w:val="24"/>
        </w:rPr>
        <w:t xml:space="preserve"> </w:t>
      </w:r>
      <w:r w:rsidRPr="00C317BB" w:rsidR="00F55408">
        <w:rPr>
          <w:rFonts w:cs="Times New Roman"/>
          <w:szCs w:val="24"/>
        </w:rPr>
        <w:t>entities</w:t>
      </w:r>
      <w:r w:rsidR="005613B2">
        <w:rPr>
          <w:rFonts w:cs="Times New Roman"/>
          <w:szCs w:val="24"/>
        </w:rPr>
        <w:t xml:space="preserve"> </w:t>
      </w:r>
      <w:r w:rsidRPr="00C317BB" w:rsidR="00F55408">
        <w:rPr>
          <w:rFonts w:cs="Times New Roman"/>
          <w:szCs w:val="24"/>
        </w:rPr>
        <w:t>under</w:t>
      </w:r>
      <w:r w:rsidR="005613B2">
        <w:rPr>
          <w:rFonts w:cs="Times New Roman"/>
          <w:szCs w:val="24"/>
        </w:rPr>
        <w:t xml:space="preserve"> </w:t>
      </w:r>
      <w:r w:rsidRPr="00C317BB" w:rsidR="00F55408">
        <w:rPr>
          <w:rFonts w:cs="Times New Roman"/>
          <w:szCs w:val="24"/>
        </w:rPr>
        <w:t>the</w:t>
      </w:r>
      <w:r w:rsidR="005613B2">
        <w:rPr>
          <w:rFonts w:cs="Times New Roman"/>
          <w:szCs w:val="24"/>
        </w:rPr>
        <w:t xml:space="preserve"> </w:t>
      </w:r>
      <w:r w:rsidRPr="00C317BB" w:rsidR="00F55408">
        <w:rPr>
          <w:rFonts w:cs="Times New Roman"/>
          <w:szCs w:val="24"/>
        </w:rPr>
        <w:t>RFA</w:t>
      </w:r>
      <w:r w:rsidRPr="00C317BB" w:rsidR="00E052C5">
        <w:rPr>
          <w:rFonts w:cs="Times New Roman"/>
          <w:szCs w:val="24"/>
        </w:rPr>
        <w:t>,</w:t>
      </w:r>
      <w:r w:rsidR="005613B2">
        <w:rPr>
          <w:rFonts w:cs="Times New Roman"/>
          <w:szCs w:val="24"/>
        </w:rPr>
        <w:t xml:space="preserve"> </w:t>
      </w:r>
      <w:r w:rsidRPr="00C317BB" w:rsidR="00E052C5">
        <w:rPr>
          <w:rFonts w:cs="Times New Roman"/>
          <w:szCs w:val="24"/>
        </w:rPr>
        <w:t>5</w:t>
      </w:r>
      <w:r w:rsidR="005613B2">
        <w:rPr>
          <w:rFonts w:cs="Times New Roman"/>
          <w:szCs w:val="24"/>
        </w:rPr>
        <w:t xml:space="preserve"> </w:t>
      </w:r>
      <w:r w:rsidRPr="00C317BB" w:rsidR="00E052C5">
        <w:rPr>
          <w:rFonts w:cs="Times New Roman"/>
          <w:szCs w:val="24"/>
        </w:rPr>
        <w:t>U.S.C.</w:t>
      </w:r>
      <w:r w:rsidR="005613B2">
        <w:rPr>
          <w:rFonts w:cs="Times New Roman"/>
          <w:szCs w:val="24"/>
        </w:rPr>
        <w:t xml:space="preserve"> </w:t>
      </w:r>
      <w:r w:rsidRPr="00C317BB" w:rsidR="00E052C5">
        <w:rPr>
          <w:rFonts w:cs="Times New Roman"/>
          <w:szCs w:val="24"/>
        </w:rPr>
        <w:t>601</w:t>
      </w:r>
      <w:r w:rsidR="005613B2">
        <w:rPr>
          <w:rFonts w:cs="Times New Roman"/>
          <w:szCs w:val="24"/>
        </w:rPr>
        <w:t xml:space="preserve"> </w:t>
      </w:r>
      <w:r w:rsidRPr="00C317BB" w:rsidR="00E052C5">
        <w:rPr>
          <w:rFonts w:cs="Times New Roman"/>
          <w:szCs w:val="24"/>
        </w:rPr>
        <w:t>et</w:t>
      </w:r>
      <w:r w:rsidR="005613B2">
        <w:rPr>
          <w:rFonts w:cs="Times New Roman"/>
          <w:szCs w:val="24"/>
        </w:rPr>
        <w:t xml:space="preserve"> </w:t>
      </w:r>
      <w:r w:rsidRPr="00C317BB" w:rsidR="00E052C5">
        <w:rPr>
          <w:rFonts w:cs="Times New Roman"/>
          <w:szCs w:val="24"/>
        </w:rPr>
        <w:t>seq</w:t>
      </w:r>
      <w:r w:rsidRPr="00C317BB" w:rsidR="00F55408">
        <w:rPr>
          <w:rFonts w:cs="Times New Roman"/>
          <w:szCs w:val="24"/>
        </w:rPr>
        <w:t>.</w:t>
      </w:r>
      <w:r w:rsidR="005613B2">
        <w:rPr>
          <w:rFonts w:cs="Times New Roman"/>
          <w:szCs w:val="24"/>
        </w:rPr>
        <w:t xml:space="preserve"> </w:t>
      </w:r>
      <w:r w:rsidRPr="00C317BB" w:rsidR="004B3DA2">
        <w:rPr>
          <w:rFonts w:cs="Times New Roman"/>
          <w:szCs w:val="24"/>
        </w:rPr>
        <w:t>The</w:t>
      </w:r>
      <w:r w:rsidR="005613B2">
        <w:rPr>
          <w:rFonts w:cs="Times New Roman"/>
          <w:szCs w:val="24"/>
        </w:rPr>
        <w:t xml:space="preserve"> </w:t>
      </w:r>
      <w:r w:rsidRPr="00C317BB" w:rsidR="004B3DA2">
        <w:rPr>
          <w:rFonts w:cs="Times New Roman"/>
          <w:szCs w:val="24"/>
        </w:rPr>
        <w:t>small</w:t>
      </w:r>
      <w:r w:rsidR="005613B2">
        <w:rPr>
          <w:rFonts w:cs="Times New Roman"/>
          <w:szCs w:val="24"/>
        </w:rPr>
        <w:t xml:space="preserve"> </w:t>
      </w:r>
      <w:r w:rsidRPr="00C317BB" w:rsidR="004B3DA2">
        <w:rPr>
          <w:rFonts w:cs="Times New Roman"/>
          <w:szCs w:val="24"/>
        </w:rPr>
        <w:t>entities</w:t>
      </w:r>
      <w:r w:rsidR="005613B2">
        <w:rPr>
          <w:rFonts w:cs="Times New Roman"/>
          <w:szCs w:val="24"/>
        </w:rPr>
        <w:t xml:space="preserve"> </w:t>
      </w:r>
      <w:r w:rsidRPr="00C317BB" w:rsidR="004B3DA2">
        <w:rPr>
          <w:rFonts w:cs="Times New Roman"/>
          <w:szCs w:val="24"/>
        </w:rPr>
        <w:t>subject</w:t>
      </w:r>
      <w:r w:rsidR="005613B2">
        <w:rPr>
          <w:rFonts w:cs="Times New Roman"/>
          <w:szCs w:val="24"/>
        </w:rPr>
        <w:t xml:space="preserve"> </w:t>
      </w:r>
      <w:r w:rsidRPr="00C317BB" w:rsidR="004B3DA2">
        <w:rPr>
          <w:rFonts w:cs="Times New Roman"/>
          <w:szCs w:val="24"/>
        </w:rPr>
        <w:t>to</w:t>
      </w:r>
      <w:r w:rsidR="005613B2">
        <w:rPr>
          <w:rFonts w:cs="Times New Roman"/>
          <w:szCs w:val="24"/>
        </w:rPr>
        <w:t xml:space="preserve"> </w:t>
      </w:r>
      <w:r w:rsidRPr="00C317BB" w:rsidR="004B3DA2">
        <w:rPr>
          <w:rFonts w:cs="Times New Roman"/>
          <w:szCs w:val="24"/>
        </w:rPr>
        <w:t>the</w:t>
      </w:r>
      <w:r w:rsidR="005613B2">
        <w:rPr>
          <w:rFonts w:cs="Times New Roman"/>
          <w:szCs w:val="24"/>
        </w:rPr>
        <w:t xml:space="preserve"> </w:t>
      </w:r>
      <w:r w:rsidRPr="00C317BB" w:rsidR="004B3DA2">
        <w:rPr>
          <w:rFonts w:cs="Times New Roman"/>
          <w:szCs w:val="24"/>
        </w:rPr>
        <w:t>requirements</w:t>
      </w:r>
      <w:r w:rsidR="005613B2">
        <w:rPr>
          <w:rFonts w:cs="Times New Roman"/>
          <w:szCs w:val="24"/>
        </w:rPr>
        <w:t xml:space="preserve"> </w:t>
      </w:r>
      <w:r w:rsidRPr="00C317BB" w:rsidR="004B3DA2">
        <w:rPr>
          <w:rFonts w:cs="Times New Roman"/>
          <w:szCs w:val="24"/>
        </w:rPr>
        <w:t>of</w:t>
      </w:r>
      <w:r w:rsidR="005613B2">
        <w:rPr>
          <w:rFonts w:cs="Times New Roman"/>
          <w:szCs w:val="24"/>
        </w:rPr>
        <w:t xml:space="preserve"> </w:t>
      </w:r>
      <w:r w:rsidRPr="00C317BB" w:rsidR="004B3DA2">
        <w:rPr>
          <w:rFonts w:cs="Times New Roman"/>
          <w:szCs w:val="24"/>
        </w:rPr>
        <w:t>this</w:t>
      </w:r>
      <w:r w:rsidR="005613B2">
        <w:rPr>
          <w:rFonts w:cs="Times New Roman"/>
          <w:szCs w:val="24"/>
        </w:rPr>
        <w:t xml:space="preserve"> </w:t>
      </w:r>
      <w:r w:rsidRPr="00C317BB" w:rsidR="00F55408">
        <w:rPr>
          <w:rFonts w:cs="Times New Roman"/>
          <w:szCs w:val="24"/>
        </w:rPr>
        <w:t>action</w:t>
      </w:r>
      <w:r w:rsidR="005613B2">
        <w:rPr>
          <w:rFonts w:cs="Times New Roman"/>
          <w:szCs w:val="24"/>
        </w:rPr>
        <w:t xml:space="preserve"> </w:t>
      </w:r>
      <w:r w:rsidRPr="00C317BB" w:rsidR="00FB6DE3">
        <w:rPr>
          <w:rFonts w:cs="Times New Roman"/>
          <w:szCs w:val="24"/>
        </w:rPr>
        <w:t>manufacture</w:t>
      </w:r>
      <w:r w:rsidR="005613B2">
        <w:rPr>
          <w:rFonts w:cs="Times New Roman"/>
          <w:szCs w:val="24"/>
        </w:rPr>
        <w:t xml:space="preserve"> </w:t>
      </w:r>
      <w:r w:rsidRPr="00C317BB" w:rsidR="00FB6DE3">
        <w:rPr>
          <w:rFonts w:cs="Times New Roman"/>
          <w:szCs w:val="24"/>
        </w:rPr>
        <w:t>(including</w:t>
      </w:r>
      <w:r w:rsidR="005613B2">
        <w:rPr>
          <w:rFonts w:cs="Times New Roman"/>
          <w:szCs w:val="24"/>
        </w:rPr>
        <w:t xml:space="preserve"> </w:t>
      </w:r>
      <w:r w:rsidRPr="00C317BB" w:rsidR="00FB6DE3">
        <w:rPr>
          <w:rFonts w:cs="Times New Roman"/>
          <w:szCs w:val="24"/>
        </w:rPr>
        <w:t>import),</w:t>
      </w:r>
      <w:r w:rsidR="005613B2">
        <w:rPr>
          <w:rFonts w:cs="Times New Roman"/>
          <w:szCs w:val="24"/>
        </w:rPr>
        <w:t xml:space="preserve"> </w:t>
      </w:r>
      <w:r w:rsidRPr="00C317BB" w:rsidR="00FB6DE3">
        <w:rPr>
          <w:rFonts w:cs="Times New Roman"/>
          <w:szCs w:val="24"/>
        </w:rPr>
        <w:t>process,</w:t>
      </w:r>
      <w:r w:rsidR="005613B2">
        <w:rPr>
          <w:rFonts w:cs="Times New Roman"/>
          <w:szCs w:val="24"/>
        </w:rPr>
        <w:t xml:space="preserve"> </w:t>
      </w:r>
      <w:r w:rsidRPr="00C317BB" w:rsidR="00FB6DE3">
        <w:rPr>
          <w:rFonts w:cs="Times New Roman"/>
          <w:szCs w:val="24"/>
        </w:rPr>
        <w:t>distribute</w:t>
      </w:r>
      <w:r w:rsidR="005613B2">
        <w:rPr>
          <w:rFonts w:cs="Times New Roman"/>
          <w:szCs w:val="24"/>
        </w:rPr>
        <w:t xml:space="preserve"> </w:t>
      </w:r>
      <w:r w:rsidRPr="00C317BB" w:rsidR="00493709">
        <w:rPr>
          <w:rFonts w:cs="Times New Roman"/>
          <w:szCs w:val="24"/>
        </w:rPr>
        <w:t>in</w:t>
      </w:r>
      <w:r w:rsidR="005613B2">
        <w:rPr>
          <w:rFonts w:cs="Times New Roman"/>
          <w:szCs w:val="24"/>
        </w:rPr>
        <w:t xml:space="preserve"> </w:t>
      </w:r>
      <w:r w:rsidRPr="00C317BB" w:rsidR="00493709">
        <w:rPr>
          <w:rFonts w:cs="Times New Roman"/>
          <w:szCs w:val="24"/>
        </w:rPr>
        <w:t>commerce</w:t>
      </w:r>
      <w:r w:rsidR="005613B2">
        <w:rPr>
          <w:rFonts w:cs="Times New Roman"/>
          <w:szCs w:val="24"/>
        </w:rPr>
        <w:t xml:space="preserve"> </w:t>
      </w:r>
      <w:r w:rsidRPr="00C317BB" w:rsidR="00FB6DE3">
        <w:rPr>
          <w:rFonts w:cs="Times New Roman"/>
          <w:szCs w:val="24"/>
        </w:rPr>
        <w:t>and</w:t>
      </w:r>
      <w:r w:rsidR="005613B2">
        <w:rPr>
          <w:rFonts w:cs="Times New Roman"/>
          <w:szCs w:val="24"/>
        </w:rPr>
        <w:t xml:space="preserve"> </w:t>
      </w:r>
      <w:r w:rsidRPr="00C317BB" w:rsidR="00FB6DE3">
        <w:rPr>
          <w:rFonts w:cs="Times New Roman"/>
          <w:szCs w:val="24"/>
        </w:rPr>
        <w:t>use</w:t>
      </w:r>
      <w:r w:rsidR="005613B2">
        <w:rPr>
          <w:rFonts w:cs="Times New Roman"/>
          <w:szCs w:val="24"/>
        </w:rPr>
        <w:t xml:space="preserve"> </w:t>
      </w:r>
      <w:r w:rsidRPr="00C317BB" w:rsidR="00FB6DE3">
        <w:rPr>
          <w:rFonts w:cs="Times New Roman"/>
          <w:szCs w:val="24"/>
        </w:rPr>
        <w:t>chrysotile</w:t>
      </w:r>
      <w:r w:rsidR="005613B2">
        <w:rPr>
          <w:rFonts w:cs="Times New Roman"/>
          <w:szCs w:val="24"/>
        </w:rPr>
        <w:t xml:space="preserve"> </w:t>
      </w:r>
      <w:r w:rsidRPr="00C317BB" w:rsidR="00FB6DE3">
        <w:rPr>
          <w:rFonts w:cs="Times New Roman"/>
          <w:szCs w:val="24"/>
        </w:rPr>
        <w:t>asbestos</w:t>
      </w:r>
      <w:r w:rsidR="005613B2">
        <w:rPr>
          <w:rFonts w:cs="Times New Roman"/>
          <w:szCs w:val="24"/>
        </w:rPr>
        <w:t xml:space="preserve"> </w:t>
      </w:r>
      <w:r w:rsidRPr="00C317BB" w:rsidR="00FB6DE3">
        <w:rPr>
          <w:rFonts w:cs="Times New Roman"/>
          <w:szCs w:val="24"/>
        </w:rPr>
        <w:t>in</w:t>
      </w:r>
      <w:r w:rsidR="005613B2">
        <w:rPr>
          <w:rFonts w:cs="Times New Roman"/>
          <w:szCs w:val="24"/>
        </w:rPr>
        <w:t xml:space="preserve"> </w:t>
      </w:r>
      <w:r w:rsidRPr="00C317BB" w:rsidR="00FB6DE3">
        <w:rPr>
          <w:rFonts w:cs="Times New Roman"/>
          <w:szCs w:val="24"/>
        </w:rPr>
        <w:t>the</w:t>
      </w:r>
      <w:r w:rsidR="005613B2">
        <w:rPr>
          <w:rFonts w:cs="Times New Roman"/>
          <w:szCs w:val="24"/>
        </w:rPr>
        <w:t xml:space="preserve"> </w:t>
      </w:r>
      <w:r w:rsidRPr="00C317BB" w:rsidR="00CD6534">
        <w:rPr>
          <w:rFonts w:cs="Times New Roman"/>
          <w:szCs w:val="24"/>
        </w:rPr>
        <w:t>conditions</w:t>
      </w:r>
      <w:r w:rsidR="005613B2">
        <w:rPr>
          <w:rFonts w:cs="Times New Roman"/>
          <w:szCs w:val="24"/>
        </w:rPr>
        <w:t xml:space="preserve"> </w:t>
      </w:r>
      <w:r w:rsidRPr="00C317BB" w:rsidR="00CD6534">
        <w:rPr>
          <w:rFonts w:cs="Times New Roman"/>
          <w:szCs w:val="24"/>
        </w:rPr>
        <w:t>of</w:t>
      </w:r>
      <w:r w:rsidR="005613B2">
        <w:rPr>
          <w:rFonts w:cs="Times New Roman"/>
          <w:szCs w:val="24"/>
        </w:rPr>
        <w:t xml:space="preserve"> </w:t>
      </w:r>
      <w:r w:rsidRPr="00C317BB" w:rsidR="00CD6534">
        <w:rPr>
          <w:rFonts w:cs="Times New Roman"/>
          <w:szCs w:val="24"/>
        </w:rPr>
        <w:t>use</w:t>
      </w:r>
      <w:r w:rsidR="005613B2">
        <w:rPr>
          <w:rFonts w:cs="Times New Roman"/>
          <w:szCs w:val="24"/>
        </w:rPr>
        <w:t xml:space="preserve"> </w:t>
      </w:r>
      <w:r w:rsidRPr="00C317BB" w:rsidR="00CD6534">
        <w:rPr>
          <w:rFonts w:cs="Times New Roman"/>
          <w:szCs w:val="24"/>
        </w:rPr>
        <w:t>covered</w:t>
      </w:r>
      <w:r w:rsidR="005613B2">
        <w:rPr>
          <w:rFonts w:cs="Times New Roman"/>
          <w:szCs w:val="24"/>
        </w:rPr>
        <w:t xml:space="preserve"> </w:t>
      </w:r>
      <w:r w:rsidRPr="00C317BB" w:rsidR="00CD6534">
        <w:rPr>
          <w:rFonts w:cs="Times New Roman"/>
          <w:szCs w:val="24"/>
        </w:rPr>
        <w:t>by</w:t>
      </w:r>
      <w:r w:rsidR="005613B2">
        <w:rPr>
          <w:rFonts w:cs="Times New Roman"/>
          <w:szCs w:val="24"/>
        </w:rPr>
        <w:t xml:space="preserve"> </w:t>
      </w:r>
      <w:r w:rsidRPr="00C317BB" w:rsidR="00CD6534">
        <w:rPr>
          <w:rFonts w:cs="Times New Roman"/>
          <w:szCs w:val="24"/>
        </w:rPr>
        <w:t>this</w:t>
      </w:r>
      <w:r w:rsidR="005613B2">
        <w:rPr>
          <w:rFonts w:cs="Times New Roman"/>
          <w:szCs w:val="24"/>
        </w:rPr>
        <w:t xml:space="preserve"> </w:t>
      </w:r>
      <w:r w:rsidRPr="00C317BB" w:rsidR="00493709">
        <w:rPr>
          <w:rFonts w:cs="Times New Roman"/>
          <w:szCs w:val="24"/>
        </w:rPr>
        <w:t>proposed</w:t>
      </w:r>
      <w:r w:rsidR="005613B2">
        <w:rPr>
          <w:rFonts w:cs="Times New Roman"/>
          <w:szCs w:val="24"/>
        </w:rPr>
        <w:t xml:space="preserve"> </w:t>
      </w:r>
      <w:r w:rsidRPr="00C317BB" w:rsidR="00CD6534">
        <w:rPr>
          <w:rFonts w:cs="Times New Roman"/>
          <w:szCs w:val="24"/>
        </w:rPr>
        <w:t>rule</w:t>
      </w:r>
      <w:r w:rsidRPr="00C317BB" w:rsidR="00FB6DE3">
        <w:rPr>
          <w:rFonts w:cs="Times New Roman"/>
          <w:szCs w:val="24"/>
        </w:rPr>
        <w:t>.</w:t>
      </w:r>
      <w:r w:rsidR="005613B2">
        <w:rPr>
          <w:rFonts w:cs="Times New Roman"/>
          <w:szCs w:val="24"/>
        </w:rPr>
        <w:t xml:space="preserve"> </w:t>
      </w:r>
      <w:r w:rsidRPr="00C317BB" w:rsidR="006771E7">
        <w:rPr>
          <w:rFonts w:cs="Times New Roman"/>
          <w:szCs w:val="24"/>
        </w:rPr>
        <w:t>EPA</w:t>
      </w:r>
      <w:r w:rsidR="005613B2">
        <w:rPr>
          <w:rFonts w:cs="Times New Roman"/>
          <w:szCs w:val="24"/>
        </w:rPr>
        <w:t xml:space="preserve"> </w:t>
      </w:r>
      <w:r w:rsidRPr="00C317BB" w:rsidR="006771E7">
        <w:rPr>
          <w:rFonts w:cs="Times New Roman"/>
          <w:szCs w:val="24"/>
        </w:rPr>
        <w:t>estimates</w:t>
      </w:r>
      <w:r w:rsidR="005613B2">
        <w:rPr>
          <w:rFonts w:cs="Times New Roman"/>
          <w:szCs w:val="24"/>
        </w:rPr>
        <w:t xml:space="preserve"> </w:t>
      </w:r>
      <w:r w:rsidRPr="00C317BB" w:rsidR="006771E7">
        <w:rPr>
          <w:rFonts w:cs="Times New Roman"/>
          <w:szCs w:val="24"/>
        </w:rPr>
        <w:t>that</w:t>
      </w:r>
      <w:r w:rsidR="005613B2">
        <w:rPr>
          <w:rFonts w:cs="Times New Roman"/>
          <w:szCs w:val="24"/>
        </w:rPr>
        <w:t xml:space="preserve"> </w:t>
      </w:r>
      <w:r w:rsidRPr="00C317BB" w:rsidR="00580B87">
        <w:rPr>
          <w:rFonts w:cs="Times New Roman"/>
          <w:szCs w:val="24"/>
        </w:rPr>
        <w:t>the</w:t>
      </w:r>
      <w:r w:rsidR="005613B2">
        <w:rPr>
          <w:rFonts w:cs="Times New Roman"/>
          <w:szCs w:val="24"/>
        </w:rPr>
        <w:t xml:space="preserve"> </w:t>
      </w:r>
      <w:r w:rsidRPr="00C317BB" w:rsidR="00580B87">
        <w:rPr>
          <w:rFonts w:cs="Times New Roman"/>
          <w:szCs w:val="24"/>
        </w:rPr>
        <w:t>proposed</w:t>
      </w:r>
      <w:r w:rsidR="005613B2">
        <w:rPr>
          <w:rFonts w:cs="Times New Roman"/>
          <w:szCs w:val="24"/>
        </w:rPr>
        <w:t xml:space="preserve"> </w:t>
      </w:r>
      <w:r w:rsidRPr="00C317BB" w:rsidR="006771E7">
        <w:rPr>
          <w:rFonts w:cs="Times New Roman"/>
          <w:szCs w:val="24"/>
        </w:rPr>
        <w:t>rule</w:t>
      </w:r>
      <w:r w:rsidR="005613B2">
        <w:rPr>
          <w:rFonts w:cs="Times New Roman"/>
          <w:szCs w:val="24"/>
        </w:rPr>
        <w:t xml:space="preserve"> </w:t>
      </w:r>
      <w:r w:rsidRPr="00C317BB" w:rsidR="006771E7">
        <w:rPr>
          <w:rFonts w:cs="Times New Roman"/>
          <w:szCs w:val="24"/>
        </w:rPr>
        <w:t>would</w:t>
      </w:r>
      <w:r w:rsidR="005613B2">
        <w:rPr>
          <w:rFonts w:cs="Times New Roman"/>
          <w:szCs w:val="24"/>
        </w:rPr>
        <w:t xml:space="preserve"> </w:t>
      </w:r>
      <w:r w:rsidRPr="00C317BB" w:rsidR="006771E7">
        <w:rPr>
          <w:rFonts w:cs="Times New Roman"/>
          <w:szCs w:val="24"/>
        </w:rPr>
        <w:t>affect</w:t>
      </w:r>
      <w:r w:rsidR="005613B2">
        <w:rPr>
          <w:rFonts w:cs="Times New Roman"/>
          <w:szCs w:val="24"/>
        </w:rPr>
        <w:t xml:space="preserve"> </w:t>
      </w:r>
      <w:r w:rsidRPr="00C317BB" w:rsidR="006771E7">
        <w:rPr>
          <w:rFonts w:cs="Times New Roman"/>
          <w:szCs w:val="24"/>
        </w:rPr>
        <w:t>at</w:t>
      </w:r>
      <w:r w:rsidR="005613B2">
        <w:rPr>
          <w:rFonts w:cs="Times New Roman"/>
          <w:szCs w:val="24"/>
        </w:rPr>
        <w:t xml:space="preserve"> </w:t>
      </w:r>
      <w:r w:rsidRPr="00C317BB" w:rsidR="006771E7">
        <w:rPr>
          <w:rFonts w:cs="Times New Roman"/>
          <w:szCs w:val="24"/>
        </w:rPr>
        <w:t>least</w:t>
      </w:r>
      <w:r w:rsidR="005613B2">
        <w:rPr>
          <w:rFonts w:cs="Times New Roman"/>
          <w:szCs w:val="24"/>
        </w:rPr>
        <w:t xml:space="preserve"> </w:t>
      </w:r>
      <w:r w:rsidRPr="00C317BB" w:rsidR="006771E7">
        <w:rPr>
          <w:rFonts w:cs="Times New Roman"/>
          <w:szCs w:val="24"/>
        </w:rPr>
        <w:t>15</w:t>
      </w:r>
      <w:r w:rsidR="005613B2">
        <w:rPr>
          <w:rFonts w:cs="Times New Roman"/>
          <w:szCs w:val="24"/>
        </w:rPr>
        <w:t xml:space="preserve"> </w:t>
      </w:r>
      <w:r w:rsidRPr="00C317BB" w:rsidR="006771E7">
        <w:rPr>
          <w:rFonts w:cs="Times New Roman"/>
          <w:szCs w:val="24"/>
        </w:rPr>
        <w:t>small</w:t>
      </w:r>
      <w:r w:rsidR="005613B2">
        <w:rPr>
          <w:rFonts w:cs="Times New Roman"/>
          <w:szCs w:val="24"/>
        </w:rPr>
        <w:t xml:space="preserve"> </w:t>
      </w:r>
      <w:r w:rsidRPr="00C317BB" w:rsidR="006771E7">
        <w:rPr>
          <w:rFonts w:cs="Times New Roman"/>
          <w:szCs w:val="24"/>
        </w:rPr>
        <w:t>entities,</w:t>
      </w:r>
      <w:r w:rsidR="005613B2">
        <w:rPr>
          <w:rFonts w:cs="Times New Roman"/>
          <w:szCs w:val="24"/>
        </w:rPr>
        <w:t xml:space="preserve"> </w:t>
      </w:r>
      <w:r w:rsidRPr="00C317BB" w:rsidR="004B3DA2">
        <w:rPr>
          <w:rFonts w:cs="Times New Roman"/>
          <w:szCs w:val="24"/>
        </w:rPr>
        <w:t>of</w:t>
      </w:r>
      <w:r w:rsidR="005613B2">
        <w:rPr>
          <w:rFonts w:cs="Times New Roman"/>
          <w:szCs w:val="24"/>
        </w:rPr>
        <w:t xml:space="preserve"> </w:t>
      </w:r>
      <w:r w:rsidRPr="00C317BB" w:rsidR="004B3DA2">
        <w:rPr>
          <w:rFonts w:cs="Times New Roman"/>
          <w:szCs w:val="24"/>
        </w:rPr>
        <w:t>which</w:t>
      </w:r>
      <w:r w:rsidR="005613B2">
        <w:rPr>
          <w:rFonts w:cs="Times New Roman"/>
          <w:szCs w:val="24"/>
        </w:rPr>
        <w:t xml:space="preserve"> </w:t>
      </w:r>
      <w:r w:rsidRPr="00C317BB" w:rsidR="004B3DA2">
        <w:rPr>
          <w:rFonts w:cs="Times New Roman"/>
          <w:szCs w:val="24"/>
        </w:rPr>
        <w:t>12</w:t>
      </w:r>
      <w:r w:rsidR="005613B2">
        <w:rPr>
          <w:rFonts w:cs="Times New Roman"/>
          <w:szCs w:val="24"/>
        </w:rPr>
        <w:t xml:space="preserve"> </w:t>
      </w:r>
      <w:r w:rsidRPr="00C317BB" w:rsidR="004B3DA2">
        <w:rPr>
          <w:rFonts w:cs="Times New Roman"/>
          <w:szCs w:val="24"/>
        </w:rPr>
        <w:t>are</w:t>
      </w:r>
      <w:r w:rsidR="005613B2">
        <w:rPr>
          <w:rFonts w:cs="Times New Roman"/>
          <w:szCs w:val="24"/>
        </w:rPr>
        <w:t xml:space="preserve"> </w:t>
      </w:r>
      <w:r w:rsidRPr="00C317BB" w:rsidR="004B3DA2">
        <w:rPr>
          <w:rFonts w:cs="Times New Roman"/>
          <w:szCs w:val="24"/>
        </w:rPr>
        <w:t>businesses</w:t>
      </w:r>
      <w:r w:rsidR="005613B2">
        <w:rPr>
          <w:rFonts w:cs="Times New Roman"/>
          <w:szCs w:val="24"/>
        </w:rPr>
        <w:t xml:space="preserve"> </w:t>
      </w:r>
      <w:r w:rsidRPr="00C317BB" w:rsidR="004B3DA2">
        <w:rPr>
          <w:rFonts w:cs="Times New Roman"/>
          <w:szCs w:val="24"/>
        </w:rPr>
        <w:t>supplying</w:t>
      </w:r>
      <w:r w:rsidR="005613B2">
        <w:rPr>
          <w:rFonts w:cs="Times New Roman"/>
          <w:szCs w:val="24"/>
        </w:rPr>
        <w:t xml:space="preserve"> </w:t>
      </w:r>
      <w:r w:rsidRPr="00C317BB" w:rsidR="004B3DA2">
        <w:rPr>
          <w:rFonts w:cs="Times New Roman"/>
          <w:szCs w:val="24"/>
        </w:rPr>
        <w:t>aftermarket</w:t>
      </w:r>
      <w:r w:rsidR="005613B2">
        <w:rPr>
          <w:rFonts w:cs="Times New Roman"/>
          <w:szCs w:val="24"/>
        </w:rPr>
        <w:t xml:space="preserve"> </w:t>
      </w:r>
      <w:r w:rsidRPr="00C317BB" w:rsidR="004B3DA2">
        <w:rPr>
          <w:rFonts w:cs="Times New Roman"/>
          <w:szCs w:val="24"/>
        </w:rPr>
        <w:t>brakes</w:t>
      </w:r>
      <w:r w:rsidR="005613B2">
        <w:rPr>
          <w:rFonts w:cs="Times New Roman"/>
          <w:szCs w:val="24"/>
        </w:rPr>
        <w:t xml:space="preserve"> </w:t>
      </w:r>
      <w:r w:rsidRPr="00C317BB" w:rsidR="004B3DA2">
        <w:rPr>
          <w:rFonts w:cs="Times New Roman"/>
          <w:szCs w:val="24"/>
        </w:rPr>
        <w:t>incurring</w:t>
      </w:r>
      <w:r w:rsidR="005613B2">
        <w:rPr>
          <w:rFonts w:cs="Times New Roman"/>
          <w:szCs w:val="24"/>
        </w:rPr>
        <w:t xml:space="preserve"> </w:t>
      </w:r>
      <w:r w:rsidRPr="00C317BB" w:rsidR="004B3DA2">
        <w:rPr>
          <w:rFonts w:cs="Times New Roman"/>
          <w:szCs w:val="24"/>
        </w:rPr>
        <w:t>costs</w:t>
      </w:r>
      <w:r w:rsidR="005613B2">
        <w:rPr>
          <w:rFonts w:cs="Times New Roman"/>
          <w:szCs w:val="24"/>
        </w:rPr>
        <w:t xml:space="preserve"> </w:t>
      </w:r>
      <w:r w:rsidRPr="00C317BB" w:rsidR="004B3DA2">
        <w:rPr>
          <w:rFonts w:cs="Times New Roman"/>
          <w:szCs w:val="24"/>
        </w:rPr>
        <w:t>between</w:t>
      </w:r>
      <w:r w:rsidR="005613B2">
        <w:rPr>
          <w:rFonts w:cs="Times New Roman"/>
          <w:szCs w:val="24"/>
        </w:rPr>
        <w:t xml:space="preserve"> </w:t>
      </w:r>
      <w:r w:rsidRPr="00C317BB" w:rsidR="004B3DA2">
        <w:rPr>
          <w:rFonts w:cs="Times New Roman"/>
          <w:szCs w:val="24"/>
        </w:rPr>
        <w:t>$778</w:t>
      </w:r>
      <w:r w:rsidR="005613B2">
        <w:rPr>
          <w:rFonts w:cs="Times New Roman"/>
          <w:szCs w:val="24"/>
        </w:rPr>
        <w:t xml:space="preserve"> </w:t>
      </w:r>
      <w:r w:rsidRPr="00C317BB" w:rsidR="004B3DA2">
        <w:rPr>
          <w:rFonts w:cs="Times New Roman"/>
          <w:szCs w:val="24"/>
        </w:rPr>
        <w:t>and</w:t>
      </w:r>
      <w:r w:rsidR="005613B2">
        <w:rPr>
          <w:rFonts w:cs="Times New Roman"/>
          <w:szCs w:val="24"/>
        </w:rPr>
        <w:t xml:space="preserve"> </w:t>
      </w:r>
      <w:r w:rsidRPr="00C317BB" w:rsidR="004B3DA2">
        <w:rPr>
          <w:rFonts w:cs="Times New Roman"/>
          <w:szCs w:val="24"/>
        </w:rPr>
        <w:t>$11,523</w:t>
      </w:r>
      <w:r w:rsidR="005613B2">
        <w:rPr>
          <w:rFonts w:cs="Times New Roman"/>
          <w:szCs w:val="24"/>
        </w:rPr>
        <w:t xml:space="preserve"> </w:t>
      </w:r>
      <w:r w:rsidRPr="00C317BB" w:rsidR="004B3DA2">
        <w:rPr>
          <w:rFonts w:cs="Times New Roman"/>
          <w:szCs w:val="24"/>
        </w:rPr>
        <w:t>per</w:t>
      </w:r>
      <w:r w:rsidR="005613B2">
        <w:rPr>
          <w:rFonts w:cs="Times New Roman"/>
          <w:szCs w:val="24"/>
        </w:rPr>
        <w:t xml:space="preserve"> </w:t>
      </w:r>
      <w:r w:rsidRPr="00C317BB" w:rsidR="004B3DA2">
        <w:rPr>
          <w:rFonts w:cs="Times New Roman"/>
          <w:szCs w:val="24"/>
        </w:rPr>
        <w:t>firm</w:t>
      </w:r>
      <w:r w:rsidR="005613B2">
        <w:rPr>
          <w:rFonts w:cs="Times New Roman"/>
          <w:szCs w:val="24"/>
        </w:rPr>
        <w:t xml:space="preserve"> </w:t>
      </w:r>
      <w:r w:rsidRPr="00C317BB" w:rsidR="004B3DA2">
        <w:rPr>
          <w:rFonts w:cs="Times New Roman"/>
          <w:szCs w:val="24"/>
        </w:rPr>
        <w:t>(depending</w:t>
      </w:r>
      <w:r w:rsidR="005613B2">
        <w:rPr>
          <w:rFonts w:cs="Times New Roman"/>
          <w:szCs w:val="24"/>
        </w:rPr>
        <w:t xml:space="preserve"> </w:t>
      </w:r>
      <w:r w:rsidRPr="00C317BB" w:rsidR="004B3DA2">
        <w:rPr>
          <w:rFonts w:cs="Times New Roman"/>
          <w:szCs w:val="24"/>
        </w:rPr>
        <w:t>on</w:t>
      </w:r>
      <w:r w:rsidR="005613B2">
        <w:rPr>
          <w:rFonts w:cs="Times New Roman"/>
          <w:szCs w:val="24"/>
        </w:rPr>
        <w:t xml:space="preserve"> </w:t>
      </w:r>
      <w:r w:rsidRPr="00C317BB" w:rsidR="004B3DA2">
        <w:rPr>
          <w:rFonts w:cs="Times New Roman"/>
          <w:szCs w:val="24"/>
        </w:rPr>
        <w:t>the</w:t>
      </w:r>
      <w:r w:rsidR="005613B2">
        <w:rPr>
          <w:rFonts w:cs="Times New Roman"/>
          <w:szCs w:val="24"/>
        </w:rPr>
        <w:t xml:space="preserve"> </w:t>
      </w:r>
      <w:r w:rsidRPr="00C317BB" w:rsidR="004B3DA2">
        <w:rPr>
          <w:rFonts w:cs="Times New Roman"/>
          <w:szCs w:val="24"/>
        </w:rPr>
        <w:t>number</w:t>
      </w:r>
      <w:r w:rsidR="005613B2">
        <w:rPr>
          <w:rFonts w:cs="Times New Roman"/>
          <w:szCs w:val="24"/>
        </w:rPr>
        <w:t xml:space="preserve"> </w:t>
      </w:r>
      <w:r w:rsidRPr="00C317BB" w:rsidR="004B3DA2">
        <w:rPr>
          <w:rFonts w:cs="Times New Roman"/>
          <w:szCs w:val="24"/>
        </w:rPr>
        <w:t>of</w:t>
      </w:r>
      <w:r w:rsidR="005613B2">
        <w:rPr>
          <w:rFonts w:cs="Times New Roman"/>
          <w:szCs w:val="24"/>
        </w:rPr>
        <w:t xml:space="preserve"> </w:t>
      </w:r>
      <w:r w:rsidRPr="00C317BB" w:rsidR="004B3DA2">
        <w:rPr>
          <w:rFonts w:cs="Times New Roman"/>
          <w:szCs w:val="24"/>
        </w:rPr>
        <w:t>brake</w:t>
      </w:r>
      <w:r w:rsidR="005613B2">
        <w:rPr>
          <w:rFonts w:cs="Times New Roman"/>
          <w:szCs w:val="24"/>
        </w:rPr>
        <w:t xml:space="preserve"> </w:t>
      </w:r>
      <w:r w:rsidRPr="00C317BB" w:rsidR="004B3DA2">
        <w:rPr>
          <w:rFonts w:cs="Times New Roman"/>
          <w:szCs w:val="24"/>
        </w:rPr>
        <w:t>replacements</w:t>
      </w:r>
      <w:r w:rsidR="005613B2">
        <w:rPr>
          <w:rFonts w:cs="Times New Roman"/>
          <w:szCs w:val="24"/>
        </w:rPr>
        <w:t xml:space="preserve"> </w:t>
      </w:r>
      <w:r w:rsidRPr="00C317BB" w:rsidR="004B3DA2">
        <w:rPr>
          <w:rFonts w:cs="Times New Roman"/>
          <w:szCs w:val="24"/>
        </w:rPr>
        <w:t>they</w:t>
      </w:r>
      <w:r w:rsidR="005613B2">
        <w:rPr>
          <w:rFonts w:cs="Times New Roman"/>
          <w:szCs w:val="24"/>
        </w:rPr>
        <w:t xml:space="preserve"> </w:t>
      </w:r>
      <w:r w:rsidRPr="00C317BB" w:rsidR="004B3DA2">
        <w:rPr>
          <w:rFonts w:cs="Times New Roman"/>
          <w:szCs w:val="24"/>
        </w:rPr>
        <w:t>perform).</w:t>
      </w:r>
      <w:r w:rsidR="005613B2">
        <w:rPr>
          <w:rFonts w:cs="Times New Roman"/>
          <w:szCs w:val="24"/>
        </w:rPr>
        <w:t xml:space="preserve"> </w:t>
      </w:r>
      <w:r w:rsidRPr="00C317BB" w:rsidR="004B3DA2">
        <w:rPr>
          <w:rFonts w:cs="Times New Roman"/>
          <w:szCs w:val="24"/>
        </w:rPr>
        <w:t>Nine</w:t>
      </w:r>
      <w:r w:rsidR="005613B2">
        <w:rPr>
          <w:rFonts w:cs="Times New Roman"/>
          <w:szCs w:val="24"/>
        </w:rPr>
        <w:t xml:space="preserve"> </w:t>
      </w:r>
      <w:r w:rsidRPr="00C317BB" w:rsidR="004B3DA2">
        <w:rPr>
          <w:rFonts w:cs="Times New Roman"/>
          <w:szCs w:val="24"/>
        </w:rPr>
        <w:t>of</w:t>
      </w:r>
      <w:r w:rsidR="005613B2">
        <w:rPr>
          <w:rFonts w:cs="Times New Roman"/>
          <w:szCs w:val="24"/>
        </w:rPr>
        <w:t xml:space="preserve"> </w:t>
      </w:r>
      <w:r w:rsidRPr="00C317BB" w:rsidR="004B3DA2">
        <w:rPr>
          <w:rFonts w:cs="Times New Roman"/>
          <w:szCs w:val="24"/>
        </w:rPr>
        <w:t>the</w:t>
      </w:r>
      <w:r w:rsidR="005613B2">
        <w:rPr>
          <w:rFonts w:cs="Times New Roman"/>
          <w:szCs w:val="24"/>
        </w:rPr>
        <w:t xml:space="preserve"> </w:t>
      </w:r>
      <w:r w:rsidRPr="00C317BB" w:rsidR="004B3DA2">
        <w:rPr>
          <w:rFonts w:cs="Times New Roman"/>
          <w:szCs w:val="24"/>
        </w:rPr>
        <w:t>brake</w:t>
      </w:r>
      <w:r w:rsidR="005613B2">
        <w:rPr>
          <w:rFonts w:cs="Times New Roman"/>
          <w:szCs w:val="24"/>
        </w:rPr>
        <w:t xml:space="preserve"> </w:t>
      </w:r>
      <w:r w:rsidRPr="00C317BB" w:rsidR="004B3DA2">
        <w:rPr>
          <w:rFonts w:cs="Times New Roman"/>
          <w:szCs w:val="24"/>
        </w:rPr>
        <w:t>replacement</w:t>
      </w:r>
      <w:r w:rsidR="005613B2">
        <w:rPr>
          <w:rFonts w:cs="Times New Roman"/>
          <w:szCs w:val="24"/>
        </w:rPr>
        <w:t xml:space="preserve"> </w:t>
      </w:r>
      <w:r w:rsidRPr="00C317BB" w:rsidR="004B3DA2">
        <w:rPr>
          <w:rFonts w:cs="Times New Roman"/>
          <w:szCs w:val="24"/>
        </w:rPr>
        <w:t>firms</w:t>
      </w:r>
      <w:r w:rsidR="005613B2">
        <w:rPr>
          <w:rFonts w:cs="Times New Roman"/>
          <w:szCs w:val="24"/>
        </w:rPr>
        <w:t xml:space="preserve"> </w:t>
      </w:r>
      <w:r w:rsidRPr="00C317BB" w:rsidR="004B3DA2">
        <w:rPr>
          <w:rFonts w:cs="Times New Roman"/>
          <w:szCs w:val="24"/>
        </w:rPr>
        <w:t>have</w:t>
      </w:r>
      <w:r w:rsidR="005613B2">
        <w:rPr>
          <w:rFonts w:cs="Times New Roman"/>
          <w:szCs w:val="24"/>
        </w:rPr>
        <w:t xml:space="preserve"> </w:t>
      </w:r>
      <w:r w:rsidRPr="00C317BB" w:rsidR="006771E7">
        <w:rPr>
          <w:rFonts w:cs="Times New Roman"/>
          <w:szCs w:val="24"/>
        </w:rPr>
        <w:t>a</w:t>
      </w:r>
      <w:r w:rsidR="005613B2">
        <w:rPr>
          <w:rFonts w:cs="Times New Roman"/>
          <w:szCs w:val="24"/>
        </w:rPr>
        <w:t xml:space="preserve"> </w:t>
      </w:r>
      <w:r w:rsidRPr="00C317BB" w:rsidR="006771E7">
        <w:rPr>
          <w:rFonts w:cs="Times New Roman"/>
          <w:szCs w:val="24"/>
        </w:rPr>
        <w:t>cost</w:t>
      </w:r>
      <w:r w:rsidR="005613B2">
        <w:rPr>
          <w:rFonts w:cs="Times New Roman"/>
          <w:szCs w:val="24"/>
        </w:rPr>
        <w:t xml:space="preserve"> </w:t>
      </w:r>
      <w:r w:rsidRPr="00C317BB" w:rsidR="006771E7">
        <w:rPr>
          <w:rFonts w:cs="Times New Roman"/>
          <w:szCs w:val="24"/>
        </w:rPr>
        <w:t>impact</w:t>
      </w:r>
      <w:r w:rsidR="005613B2">
        <w:rPr>
          <w:rFonts w:cs="Times New Roman"/>
          <w:szCs w:val="24"/>
        </w:rPr>
        <w:t xml:space="preserve"> </w:t>
      </w:r>
      <w:r w:rsidRPr="00C317BB" w:rsidR="006771E7">
        <w:rPr>
          <w:rFonts w:cs="Times New Roman"/>
          <w:szCs w:val="24"/>
        </w:rPr>
        <w:t>of</w:t>
      </w:r>
      <w:r w:rsidR="005613B2">
        <w:rPr>
          <w:rFonts w:cs="Times New Roman"/>
          <w:szCs w:val="24"/>
        </w:rPr>
        <w:t xml:space="preserve"> </w:t>
      </w:r>
      <w:r w:rsidRPr="00C317BB" w:rsidR="006771E7">
        <w:rPr>
          <w:rFonts w:cs="Times New Roman"/>
          <w:szCs w:val="24"/>
        </w:rPr>
        <w:t>less</w:t>
      </w:r>
      <w:r w:rsidR="005613B2">
        <w:rPr>
          <w:rFonts w:cs="Times New Roman"/>
          <w:szCs w:val="24"/>
        </w:rPr>
        <w:t xml:space="preserve"> </w:t>
      </w:r>
      <w:r w:rsidRPr="00C317BB" w:rsidR="006771E7">
        <w:rPr>
          <w:rFonts w:cs="Times New Roman"/>
          <w:szCs w:val="24"/>
        </w:rPr>
        <w:t>than</w:t>
      </w:r>
      <w:r w:rsidR="005613B2">
        <w:rPr>
          <w:rFonts w:cs="Times New Roman"/>
          <w:szCs w:val="24"/>
        </w:rPr>
        <w:t xml:space="preserve"> </w:t>
      </w:r>
      <w:r w:rsidRPr="00C317BB" w:rsidR="006771E7">
        <w:rPr>
          <w:rFonts w:cs="Times New Roman"/>
          <w:szCs w:val="24"/>
        </w:rPr>
        <w:t>1%</w:t>
      </w:r>
      <w:r w:rsidR="005613B2">
        <w:rPr>
          <w:rFonts w:cs="Times New Roman"/>
          <w:szCs w:val="24"/>
        </w:rPr>
        <w:t xml:space="preserve"> </w:t>
      </w:r>
      <w:r w:rsidRPr="00C317BB" w:rsidR="006771E7">
        <w:rPr>
          <w:rFonts w:cs="Times New Roman"/>
          <w:szCs w:val="24"/>
        </w:rPr>
        <w:t>of</w:t>
      </w:r>
      <w:r w:rsidR="005613B2">
        <w:rPr>
          <w:rFonts w:cs="Times New Roman"/>
          <w:szCs w:val="24"/>
        </w:rPr>
        <w:t xml:space="preserve"> </w:t>
      </w:r>
      <w:r w:rsidRPr="00C317BB" w:rsidR="006771E7">
        <w:rPr>
          <w:rFonts w:cs="Times New Roman"/>
          <w:szCs w:val="24"/>
        </w:rPr>
        <w:t>the</w:t>
      </w:r>
      <w:r w:rsidRPr="00C317BB" w:rsidR="00A66748">
        <w:rPr>
          <w:rFonts w:cs="Times New Roman"/>
          <w:szCs w:val="24"/>
        </w:rPr>
        <w:t>ir</w:t>
      </w:r>
      <w:r w:rsidR="005613B2">
        <w:rPr>
          <w:rFonts w:cs="Times New Roman"/>
          <w:szCs w:val="24"/>
        </w:rPr>
        <w:t xml:space="preserve"> </w:t>
      </w:r>
      <w:r w:rsidRPr="00C317BB" w:rsidR="006771E7">
        <w:rPr>
          <w:rFonts w:cs="Times New Roman"/>
          <w:szCs w:val="24"/>
        </w:rPr>
        <w:t>annual</w:t>
      </w:r>
      <w:r w:rsidR="005613B2">
        <w:rPr>
          <w:rFonts w:cs="Times New Roman"/>
          <w:szCs w:val="24"/>
        </w:rPr>
        <w:t xml:space="preserve"> </w:t>
      </w:r>
      <w:r w:rsidRPr="00C317BB" w:rsidR="006771E7">
        <w:rPr>
          <w:rFonts w:cs="Times New Roman"/>
          <w:szCs w:val="24"/>
        </w:rPr>
        <w:t>revenue.</w:t>
      </w:r>
      <w:r w:rsidR="005613B2">
        <w:rPr>
          <w:rFonts w:cs="Times New Roman"/>
          <w:szCs w:val="24"/>
        </w:rPr>
        <w:t xml:space="preserve"> </w:t>
      </w:r>
      <w:r w:rsidRPr="00C317BB" w:rsidR="006E39C8">
        <w:rPr>
          <w:rFonts w:cs="Times New Roman"/>
          <w:szCs w:val="24"/>
        </w:rPr>
        <w:t>Of</w:t>
      </w:r>
      <w:r w:rsidR="005613B2">
        <w:rPr>
          <w:rFonts w:cs="Times New Roman"/>
          <w:szCs w:val="24"/>
        </w:rPr>
        <w:t xml:space="preserve"> </w:t>
      </w:r>
      <w:r w:rsidRPr="00C317BB" w:rsidR="006E39C8">
        <w:rPr>
          <w:rFonts w:cs="Times New Roman"/>
          <w:szCs w:val="24"/>
        </w:rPr>
        <w:t>the</w:t>
      </w:r>
      <w:r w:rsidR="005613B2">
        <w:rPr>
          <w:rFonts w:cs="Times New Roman"/>
          <w:szCs w:val="24"/>
        </w:rPr>
        <w:t xml:space="preserve"> </w:t>
      </w:r>
      <w:r w:rsidRPr="00C317BB" w:rsidR="00D25B6D">
        <w:rPr>
          <w:rFonts w:cs="Times New Roman"/>
          <w:szCs w:val="24"/>
        </w:rPr>
        <w:t>three</w:t>
      </w:r>
      <w:r w:rsidR="005613B2">
        <w:rPr>
          <w:rFonts w:cs="Times New Roman"/>
          <w:szCs w:val="24"/>
        </w:rPr>
        <w:t xml:space="preserve"> </w:t>
      </w:r>
      <w:r w:rsidRPr="00C317BB" w:rsidR="006E39C8">
        <w:rPr>
          <w:rFonts w:cs="Times New Roman"/>
          <w:szCs w:val="24"/>
        </w:rPr>
        <w:t>small</w:t>
      </w:r>
      <w:r w:rsidR="005613B2">
        <w:rPr>
          <w:rFonts w:cs="Times New Roman"/>
          <w:szCs w:val="24"/>
        </w:rPr>
        <w:t xml:space="preserve"> </w:t>
      </w:r>
      <w:r w:rsidRPr="00C317BB" w:rsidR="006E39C8">
        <w:rPr>
          <w:rFonts w:cs="Times New Roman"/>
          <w:szCs w:val="24"/>
        </w:rPr>
        <w:t>entities</w:t>
      </w:r>
      <w:r w:rsidR="005613B2">
        <w:rPr>
          <w:rFonts w:cs="Times New Roman"/>
          <w:szCs w:val="24"/>
        </w:rPr>
        <w:t xml:space="preserve"> </w:t>
      </w:r>
      <w:r w:rsidRPr="00C317BB" w:rsidR="006E39C8">
        <w:rPr>
          <w:rFonts w:cs="Times New Roman"/>
          <w:szCs w:val="24"/>
        </w:rPr>
        <w:t>estimated</w:t>
      </w:r>
      <w:r w:rsidR="005613B2">
        <w:rPr>
          <w:rFonts w:cs="Times New Roman"/>
          <w:szCs w:val="24"/>
        </w:rPr>
        <w:t xml:space="preserve"> </w:t>
      </w:r>
      <w:r w:rsidRPr="00C317BB" w:rsidR="006E39C8">
        <w:rPr>
          <w:rFonts w:cs="Times New Roman"/>
          <w:szCs w:val="24"/>
        </w:rPr>
        <w:t>to</w:t>
      </w:r>
      <w:r w:rsidR="005613B2">
        <w:rPr>
          <w:rFonts w:cs="Times New Roman"/>
          <w:szCs w:val="24"/>
        </w:rPr>
        <w:t xml:space="preserve"> </w:t>
      </w:r>
      <w:r w:rsidRPr="00C317BB" w:rsidR="006E39C8">
        <w:rPr>
          <w:rFonts w:cs="Times New Roman"/>
          <w:szCs w:val="24"/>
        </w:rPr>
        <w:t>be</w:t>
      </w:r>
      <w:r w:rsidR="005613B2">
        <w:rPr>
          <w:rFonts w:cs="Times New Roman"/>
          <w:szCs w:val="24"/>
        </w:rPr>
        <w:t xml:space="preserve"> </w:t>
      </w:r>
      <w:r w:rsidRPr="00C317BB" w:rsidR="006E39C8">
        <w:rPr>
          <w:rFonts w:cs="Times New Roman"/>
          <w:szCs w:val="24"/>
        </w:rPr>
        <w:t>affected</w:t>
      </w:r>
      <w:r w:rsidR="005613B2">
        <w:rPr>
          <w:rFonts w:cs="Times New Roman"/>
          <w:szCs w:val="24"/>
        </w:rPr>
        <w:t xml:space="preserve"> </w:t>
      </w:r>
      <w:r w:rsidRPr="00C317BB" w:rsidR="006E39C8">
        <w:rPr>
          <w:rFonts w:cs="Times New Roman"/>
          <w:szCs w:val="24"/>
        </w:rPr>
        <w:t>by</w:t>
      </w:r>
      <w:r w:rsidR="005613B2">
        <w:rPr>
          <w:rFonts w:cs="Times New Roman"/>
          <w:szCs w:val="24"/>
        </w:rPr>
        <w:t xml:space="preserve"> </w:t>
      </w:r>
      <w:r w:rsidRPr="00C317BB" w:rsidR="006E39C8">
        <w:rPr>
          <w:rFonts w:cs="Times New Roman"/>
          <w:szCs w:val="24"/>
        </w:rPr>
        <w:t>the</w:t>
      </w:r>
      <w:r w:rsidR="005613B2">
        <w:rPr>
          <w:rFonts w:cs="Times New Roman"/>
          <w:szCs w:val="24"/>
        </w:rPr>
        <w:t xml:space="preserve"> </w:t>
      </w:r>
      <w:r w:rsidRPr="00C317BB" w:rsidR="006E39C8">
        <w:rPr>
          <w:rFonts w:cs="Times New Roman"/>
          <w:szCs w:val="24"/>
        </w:rPr>
        <w:t>rule</w:t>
      </w:r>
      <w:r w:rsidR="005613B2">
        <w:rPr>
          <w:rFonts w:cs="Times New Roman"/>
          <w:szCs w:val="24"/>
        </w:rPr>
        <w:t xml:space="preserve"> </w:t>
      </w:r>
      <w:r w:rsidRPr="00C317BB" w:rsidR="006E39C8">
        <w:rPr>
          <w:rFonts w:cs="Times New Roman"/>
          <w:szCs w:val="24"/>
        </w:rPr>
        <w:t>that</w:t>
      </w:r>
      <w:r w:rsidR="005613B2">
        <w:rPr>
          <w:rFonts w:cs="Times New Roman"/>
          <w:szCs w:val="24"/>
        </w:rPr>
        <w:t xml:space="preserve"> </w:t>
      </w:r>
      <w:r w:rsidRPr="00C317BB" w:rsidR="006E39C8">
        <w:rPr>
          <w:rFonts w:cs="Times New Roman"/>
          <w:szCs w:val="24"/>
        </w:rPr>
        <w:t>are</w:t>
      </w:r>
      <w:r w:rsidR="005613B2">
        <w:rPr>
          <w:rFonts w:cs="Times New Roman"/>
          <w:szCs w:val="24"/>
        </w:rPr>
        <w:t xml:space="preserve"> </w:t>
      </w:r>
      <w:r w:rsidRPr="00C317BB" w:rsidR="006E39C8">
        <w:rPr>
          <w:rFonts w:cs="Times New Roman"/>
          <w:szCs w:val="24"/>
        </w:rPr>
        <w:t>not</w:t>
      </w:r>
      <w:r w:rsidR="005613B2">
        <w:rPr>
          <w:rFonts w:cs="Times New Roman"/>
          <w:szCs w:val="24"/>
        </w:rPr>
        <w:t xml:space="preserve"> </w:t>
      </w:r>
      <w:r w:rsidRPr="00C317BB" w:rsidR="006E39C8">
        <w:rPr>
          <w:rFonts w:cs="Times New Roman"/>
          <w:szCs w:val="24"/>
        </w:rPr>
        <w:t>supplying</w:t>
      </w:r>
      <w:r w:rsidR="005613B2">
        <w:rPr>
          <w:rFonts w:cs="Times New Roman"/>
          <w:szCs w:val="24"/>
        </w:rPr>
        <w:t xml:space="preserve"> </w:t>
      </w:r>
      <w:r w:rsidRPr="00C317BB" w:rsidR="006E39C8">
        <w:rPr>
          <w:rFonts w:cs="Times New Roman"/>
          <w:szCs w:val="24"/>
        </w:rPr>
        <w:t>aftermarket</w:t>
      </w:r>
      <w:r w:rsidR="005613B2">
        <w:rPr>
          <w:rFonts w:cs="Times New Roman"/>
          <w:szCs w:val="24"/>
        </w:rPr>
        <w:t xml:space="preserve"> </w:t>
      </w:r>
      <w:r w:rsidRPr="00C317BB" w:rsidR="006E39C8">
        <w:rPr>
          <w:rFonts w:cs="Times New Roman"/>
          <w:szCs w:val="24"/>
        </w:rPr>
        <w:t>brakes,</w:t>
      </w:r>
      <w:r w:rsidR="005613B2">
        <w:rPr>
          <w:rFonts w:cs="Times New Roman"/>
          <w:szCs w:val="24"/>
        </w:rPr>
        <w:t xml:space="preserve"> </w:t>
      </w:r>
      <w:r w:rsidRPr="00C317BB" w:rsidR="00D25B6D">
        <w:rPr>
          <w:rFonts w:cs="Times New Roman"/>
          <w:szCs w:val="24"/>
        </w:rPr>
        <w:t>two</w:t>
      </w:r>
      <w:r w:rsidR="005613B2">
        <w:rPr>
          <w:rFonts w:cs="Times New Roman"/>
          <w:szCs w:val="24"/>
        </w:rPr>
        <w:t xml:space="preserve"> </w:t>
      </w:r>
      <w:r w:rsidRPr="00C317BB" w:rsidR="006E39C8">
        <w:rPr>
          <w:rFonts w:cs="Times New Roman"/>
          <w:szCs w:val="24"/>
        </w:rPr>
        <w:t>manufacture</w:t>
      </w:r>
      <w:r w:rsidR="005613B2">
        <w:rPr>
          <w:rFonts w:cs="Times New Roman"/>
          <w:szCs w:val="24"/>
        </w:rPr>
        <w:t xml:space="preserve"> </w:t>
      </w:r>
      <w:r w:rsidRPr="00C317BB" w:rsidR="006E39C8">
        <w:rPr>
          <w:rFonts w:cs="Times New Roman"/>
          <w:szCs w:val="24"/>
        </w:rPr>
        <w:t>sheet</w:t>
      </w:r>
      <w:r w:rsidR="005613B2">
        <w:rPr>
          <w:rFonts w:cs="Times New Roman"/>
          <w:szCs w:val="24"/>
        </w:rPr>
        <w:t xml:space="preserve"> </w:t>
      </w:r>
      <w:r w:rsidRPr="00C317BB" w:rsidR="006E39C8">
        <w:rPr>
          <w:rFonts w:cs="Times New Roman"/>
          <w:szCs w:val="24"/>
        </w:rPr>
        <w:t>gaskets</w:t>
      </w:r>
      <w:r w:rsidR="005613B2">
        <w:rPr>
          <w:rFonts w:cs="Times New Roman"/>
          <w:szCs w:val="24"/>
        </w:rPr>
        <w:t xml:space="preserve"> </w:t>
      </w:r>
      <w:r w:rsidRPr="00C317BB" w:rsidR="006E39C8">
        <w:rPr>
          <w:rFonts w:cs="Times New Roman"/>
          <w:szCs w:val="24"/>
        </w:rPr>
        <w:t>for</w:t>
      </w:r>
      <w:r w:rsidR="005613B2">
        <w:rPr>
          <w:rFonts w:cs="Times New Roman"/>
          <w:szCs w:val="24"/>
        </w:rPr>
        <w:t xml:space="preserve"> </w:t>
      </w:r>
      <w:r w:rsidRPr="00C317BB" w:rsidR="006E39C8">
        <w:rPr>
          <w:rFonts w:cs="Times New Roman"/>
          <w:szCs w:val="24"/>
        </w:rPr>
        <w:t>chemical</w:t>
      </w:r>
      <w:r w:rsidR="005613B2">
        <w:rPr>
          <w:rFonts w:cs="Times New Roman"/>
          <w:szCs w:val="24"/>
        </w:rPr>
        <w:t xml:space="preserve"> </w:t>
      </w:r>
      <w:r w:rsidRPr="00C317BB" w:rsidR="006E39C8">
        <w:rPr>
          <w:rFonts w:cs="Times New Roman"/>
          <w:szCs w:val="24"/>
        </w:rPr>
        <w:t>production</w:t>
      </w:r>
      <w:r w:rsidR="005613B2">
        <w:rPr>
          <w:rFonts w:cs="Times New Roman"/>
          <w:szCs w:val="24"/>
        </w:rPr>
        <w:t xml:space="preserve"> </w:t>
      </w:r>
      <w:r w:rsidRPr="00C317BB" w:rsidR="006E39C8">
        <w:rPr>
          <w:rFonts w:cs="Times New Roman"/>
          <w:szCs w:val="24"/>
        </w:rPr>
        <w:t>and</w:t>
      </w:r>
      <w:r w:rsidR="005613B2">
        <w:rPr>
          <w:rFonts w:cs="Times New Roman"/>
          <w:szCs w:val="24"/>
        </w:rPr>
        <w:t xml:space="preserve"> </w:t>
      </w:r>
      <w:r w:rsidRPr="00C317BB" w:rsidR="006E39C8">
        <w:rPr>
          <w:rFonts w:cs="Times New Roman"/>
          <w:szCs w:val="24"/>
        </w:rPr>
        <w:t>one</w:t>
      </w:r>
      <w:r w:rsidR="005613B2">
        <w:rPr>
          <w:rFonts w:cs="Times New Roman"/>
          <w:szCs w:val="24"/>
        </w:rPr>
        <w:t xml:space="preserve"> </w:t>
      </w:r>
      <w:r w:rsidRPr="00C317BB" w:rsidR="006E39C8">
        <w:rPr>
          <w:rFonts w:cs="Times New Roman"/>
          <w:szCs w:val="24"/>
        </w:rPr>
        <w:t>imports</w:t>
      </w:r>
      <w:r w:rsidR="005613B2">
        <w:rPr>
          <w:rFonts w:cs="Times New Roman"/>
          <w:szCs w:val="24"/>
        </w:rPr>
        <w:t xml:space="preserve"> </w:t>
      </w:r>
      <w:r w:rsidRPr="00C317BB" w:rsidR="006E39C8">
        <w:rPr>
          <w:rFonts w:cs="Times New Roman"/>
          <w:szCs w:val="24"/>
        </w:rPr>
        <w:t>oilfield</w:t>
      </w:r>
      <w:r w:rsidR="005613B2">
        <w:rPr>
          <w:rFonts w:cs="Times New Roman"/>
          <w:szCs w:val="24"/>
        </w:rPr>
        <w:t xml:space="preserve"> </w:t>
      </w:r>
      <w:r w:rsidRPr="00C317BB" w:rsidR="006E39C8">
        <w:rPr>
          <w:rFonts w:cs="Times New Roman"/>
          <w:szCs w:val="24"/>
        </w:rPr>
        <w:t>brake</w:t>
      </w:r>
      <w:r w:rsidR="005613B2">
        <w:rPr>
          <w:rFonts w:cs="Times New Roman"/>
          <w:szCs w:val="24"/>
        </w:rPr>
        <w:t xml:space="preserve"> </w:t>
      </w:r>
      <w:r w:rsidRPr="00C317BB" w:rsidR="006E39C8">
        <w:rPr>
          <w:rFonts w:cs="Times New Roman"/>
          <w:szCs w:val="24"/>
        </w:rPr>
        <w:t>blocks.</w:t>
      </w:r>
      <w:r w:rsidR="005613B2">
        <w:rPr>
          <w:rFonts w:cs="Times New Roman"/>
          <w:szCs w:val="24"/>
        </w:rPr>
        <w:t xml:space="preserve"> </w:t>
      </w:r>
      <w:r w:rsidRPr="00C317BB" w:rsidR="00B7782D">
        <w:rPr>
          <w:rFonts w:cs="Times New Roman"/>
          <w:szCs w:val="24"/>
        </w:rPr>
        <w:t>EPA</w:t>
      </w:r>
      <w:r w:rsidR="005613B2">
        <w:rPr>
          <w:rFonts w:cs="Times New Roman"/>
          <w:szCs w:val="24"/>
        </w:rPr>
        <w:t xml:space="preserve"> </w:t>
      </w:r>
      <w:r w:rsidRPr="00C317BB" w:rsidR="00B7782D">
        <w:rPr>
          <w:rFonts w:cs="Times New Roman"/>
          <w:szCs w:val="24"/>
        </w:rPr>
        <w:t>did</w:t>
      </w:r>
      <w:r w:rsidR="005613B2">
        <w:rPr>
          <w:rFonts w:cs="Times New Roman"/>
          <w:szCs w:val="24"/>
        </w:rPr>
        <w:t xml:space="preserve"> </w:t>
      </w:r>
      <w:r w:rsidRPr="00C317BB" w:rsidR="00B7782D">
        <w:rPr>
          <w:rFonts w:cs="Times New Roman"/>
          <w:szCs w:val="24"/>
        </w:rPr>
        <w:t>not</w:t>
      </w:r>
      <w:r w:rsidR="005613B2">
        <w:rPr>
          <w:rFonts w:cs="Times New Roman"/>
          <w:szCs w:val="24"/>
        </w:rPr>
        <w:t xml:space="preserve"> </w:t>
      </w:r>
      <w:r w:rsidRPr="00C317BB" w:rsidR="00B7782D">
        <w:rPr>
          <w:rFonts w:cs="Times New Roman"/>
          <w:szCs w:val="24"/>
        </w:rPr>
        <w:t>have</w:t>
      </w:r>
      <w:r w:rsidR="005613B2">
        <w:rPr>
          <w:rFonts w:cs="Times New Roman"/>
          <w:szCs w:val="24"/>
        </w:rPr>
        <w:t xml:space="preserve"> </w:t>
      </w:r>
      <w:r w:rsidRPr="00C317BB" w:rsidR="00B7782D">
        <w:rPr>
          <w:rFonts w:cs="Times New Roman"/>
          <w:szCs w:val="24"/>
        </w:rPr>
        <w:t>the</w:t>
      </w:r>
      <w:r w:rsidR="005613B2">
        <w:rPr>
          <w:rFonts w:cs="Times New Roman"/>
          <w:szCs w:val="24"/>
        </w:rPr>
        <w:t xml:space="preserve"> </w:t>
      </w:r>
      <w:r w:rsidRPr="00C317BB" w:rsidR="00B7782D">
        <w:rPr>
          <w:rFonts w:cs="Times New Roman"/>
          <w:szCs w:val="24"/>
        </w:rPr>
        <w:t>information</w:t>
      </w:r>
      <w:r w:rsidR="005613B2">
        <w:rPr>
          <w:rFonts w:cs="Times New Roman"/>
          <w:szCs w:val="24"/>
        </w:rPr>
        <w:t xml:space="preserve"> </w:t>
      </w:r>
      <w:r w:rsidRPr="00C317BB" w:rsidR="00B7782D">
        <w:rPr>
          <w:rFonts w:cs="Times New Roman"/>
          <w:szCs w:val="24"/>
        </w:rPr>
        <w:t>necessary</w:t>
      </w:r>
      <w:r w:rsidR="005613B2">
        <w:rPr>
          <w:rFonts w:cs="Times New Roman"/>
          <w:szCs w:val="24"/>
        </w:rPr>
        <w:t xml:space="preserve"> </w:t>
      </w:r>
      <w:r w:rsidRPr="00C317BB" w:rsidR="00B7782D">
        <w:rPr>
          <w:rFonts w:cs="Times New Roman"/>
          <w:szCs w:val="24"/>
        </w:rPr>
        <w:t>to</w:t>
      </w:r>
      <w:r w:rsidR="005613B2">
        <w:rPr>
          <w:rFonts w:cs="Times New Roman"/>
          <w:szCs w:val="24"/>
        </w:rPr>
        <w:t xml:space="preserve"> </w:t>
      </w:r>
      <w:r w:rsidRPr="00C317BB" w:rsidR="00B7782D">
        <w:rPr>
          <w:rFonts w:cs="Times New Roman"/>
          <w:szCs w:val="24"/>
        </w:rPr>
        <w:t>estimate</w:t>
      </w:r>
      <w:r w:rsidR="005613B2">
        <w:rPr>
          <w:rFonts w:cs="Times New Roman"/>
          <w:szCs w:val="24"/>
        </w:rPr>
        <w:t xml:space="preserve"> </w:t>
      </w:r>
      <w:r w:rsidRPr="00C317BB" w:rsidR="00B7782D">
        <w:rPr>
          <w:rFonts w:cs="Times New Roman"/>
          <w:szCs w:val="24"/>
        </w:rPr>
        <w:t>the</w:t>
      </w:r>
      <w:r w:rsidR="005613B2">
        <w:rPr>
          <w:rFonts w:cs="Times New Roman"/>
          <w:szCs w:val="24"/>
        </w:rPr>
        <w:t xml:space="preserve"> </w:t>
      </w:r>
      <w:r w:rsidRPr="00C317BB" w:rsidR="00B7782D">
        <w:rPr>
          <w:rFonts w:cs="Times New Roman"/>
          <w:szCs w:val="24"/>
        </w:rPr>
        <w:t>cost</w:t>
      </w:r>
      <w:r w:rsidR="005613B2">
        <w:rPr>
          <w:rFonts w:cs="Times New Roman"/>
          <w:szCs w:val="24"/>
        </w:rPr>
        <w:t xml:space="preserve"> </w:t>
      </w:r>
      <w:r w:rsidRPr="00C317BB" w:rsidR="00B7782D">
        <w:rPr>
          <w:rFonts w:cs="Times New Roman"/>
          <w:szCs w:val="24"/>
        </w:rPr>
        <w:t>impacts</w:t>
      </w:r>
      <w:r w:rsidR="005613B2">
        <w:rPr>
          <w:rFonts w:cs="Times New Roman"/>
          <w:szCs w:val="24"/>
        </w:rPr>
        <w:t xml:space="preserve"> </w:t>
      </w:r>
      <w:r w:rsidRPr="00C317BB" w:rsidR="00B7782D">
        <w:rPr>
          <w:rFonts w:cs="Times New Roman"/>
          <w:szCs w:val="24"/>
        </w:rPr>
        <w:t>on</w:t>
      </w:r>
      <w:r w:rsidR="005613B2">
        <w:rPr>
          <w:rFonts w:cs="Times New Roman"/>
          <w:szCs w:val="24"/>
        </w:rPr>
        <w:t xml:space="preserve"> </w:t>
      </w:r>
      <w:r w:rsidRPr="00C317BB" w:rsidR="00B7782D">
        <w:rPr>
          <w:rFonts w:cs="Times New Roman"/>
          <w:szCs w:val="24"/>
        </w:rPr>
        <w:t>the</w:t>
      </w:r>
      <w:r w:rsidR="005613B2">
        <w:rPr>
          <w:rFonts w:cs="Times New Roman"/>
          <w:szCs w:val="24"/>
        </w:rPr>
        <w:t xml:space="preserve"> </w:t>
      </w:r>
      <w:r w:rsidRPr="00C317BB" w:rsidR="00B7782D">
        <w:rPr>
          <w:rFonts w:cs="Times New Roman"/>
          <w:szCs w:val="24"/>
        </w:rPr>
        <w:t>other</w:t>
      </w:r>
      <w:r w:rsidR="005613B2">
        <w:rPr>
          <w:rFonts w:cs="Times New Roman"/>
          <w:szCs w:val="24"/>
        </w:rPr>
        <w:t xml:space="preserve"> </w:t>
      </w:r>
      <w:r w:rsidRPr="00C317BB" w:rsidR="00B7782D">
        <w:rPr>
          <w:rFonts w:cs="Times New Roman"/>
          <w:szCs w:val="24"/>
        </w:rPr>
        <w:t>three</w:t>
      </w:r>
      <w:r w:rsidR="005613B2">
        <w:rPr>
          <w:rFonts w:cs="Times New Roman"/>
          <w:szCs w:val="24"/>
        </w:rPr>
        <w:t xml:space="preserve"> </w:t>
      </w:r>
      <w:r w:rsidRPr="00C317BB" w:rsidR="00B7782D">
        <w:rPr>
          <w:rFonts w:cs="Times New Roman"/>
          <w:szCs w:val="24"/>
        </w:rPr>
        <w:t>small</w:t>
      </w:r>
      <w:r w:rsidR="005613B2">
        <w:rPr>
          <w:rFonts w:cs="Times New Roman"/>
          <w:szCs w:val="24"/>
        </w:rPr>
        <w:t xml:space="preserve"> </w:t>
      </w:r>
      <w:r w:rsidRPr="00C317BB" w:rsidR="00B7782D">
        <w:rPr>
          <w:rFonts w:cs="Times New Roman"/>
          <w:szCs w:val="24"/>
        </w:rPr>
        <w:t>entities.</w:t>
      </w:r>
      <w:r w:rsidR="005613B2">
        <w:rPr>
          <w:rFonts w:cs="Times New Roman"/>
          <w:szCs w:val="24"/>
        </w:rPr>
        <w:t xml:space="preserve"> </w:t>
      </w:r>
      <w:r w:rsidRPr="00C317BB" w:rsidR="009F651C">
        <w:rPr>
          <w:rFonts w:cs="Times New Roman"/>
          <w:szCs w:val="24"/>
        </w:rPr>
        <w:t>The</w:t>
      </w:r>
      <w:r w:rsidR="005613B2">
        <w:rPr>
          <w:rFonts w:cs="Times New Roman"/>
          <w:szCs w:val="24"/>
        </w:rPr>
        <w:t xml:space="preserve"> </w:t>
      </w:r>
      <w:r w:rsidRPr="00C317BB" w:rsidR="009F651C">
        <w:rPr>
          <w:rFonts w:cs="Times New Roman"/>
          <w:szCs w:val="24"/>
        </w:rPr>
        <w:t>available</w:t>
      </w:r>
      <w:r w:rsidR="005613B2">
        <w:rPr>
          <w:rFonts w:cs="Times New Roman"/>
          <w:szCs w:val="24"/>
        </w:rPr>
        <w:t xml:space="preserve"> </w:t>
      </w:r>
      <w:r w:rsidRPr="00C317BB" w:rsidR="009F651C">
        <w:rPr>
          <w:rFonts w:cs="Times New Roman"/>
          <w:szCs w:val="24"/>
        </w:rPr>
        <w:t>information</w:t>
      </w:r>
      <w:r w:rsidR="005613B2">
        <w:rPr>
          <w:rFonts w:cs="Times New Roman"/>
          <w:szCs w:val="24"/>
        </w:rPr>
        <w:t xml:space="preserve"> </w:t>
      </w:r>
      <w:r w:rsidRPr="00C317BB" w:rsidR="009F651C">
        <w:rPr>
          <w:rFonts w:cs="Times New Roman"/>
          <w:szCs w:val="24"/>
        </w:rPr>
        <w:t>about</w:t>
      </w:r>
      <w:r w:rsidR="005613B2">
        <w:rPr>
          <w:rFonts w:cs="Times New Roman"/>
          <w:szCs w:val="24"/>
        </w:rPr>
        <w:t xml:space="preserve"> </w:t>
      </w:r>
      <w:r w:rsidRPr="00C317BB" w:rsidR="009F651C">
        <w:rPr>
          <w:rFonts w:cs="Times New Roman"/>
          <w:szCs w:val="24"/>
        </w:rPr>
        <w:t>the</w:t>
      </w:r>
      <w:r w:rsidR="005613B2">
        <w:rPr>
          <w:rFonts w:cs="Times New Roman"/>
          <w:szCs w:val="24"/>
        </w:rPr>
        <w:t xml:space="preserve"> </w:t>
      </w:r>
      <w:r w:rsidRPr="00C317BB" w:rsidR="009F651C">
        <w:rPr>
          <w:rFonts w:cs="Times New Roman"/>
          <w:szCs w:val="24"/>
        </w:rPr>
        <w:t>magnitude</w:t>
      </w:r>
      <w:r w:rsidR="005613B2">
        <w:rPr>
          <w:rFonts w:cs="Times New Roman"/>
          <w:szCs w:val="24"/>
        </w:rPr>
        <w:t xml:space="preserve"> </w:t>
      </w:r>
      <w:r w:rsidRPr="00C317BB" w:rsidR="009F651C">
        <w:rPr>
          <w:rFonts w:cs="Times New Roman"/>
          <w:szCs w:val="24"/>
        </w:rPr>
        <w:t>of</w:t>
      </w:r>
      <w:r w:rsidR="005613B2">
        <w:rPr>
          <w:rFonts w:cs="Times New Roman"/>
          <w:szCs w:val="24"/>
        </w:rPr>
        <w:t xml:space="preserve"> </w:t>
      </w:r>
      <w:r w:rsidRPr="00C317BB" w:rsidR="009F651C">
        <w:rPr>
          <w:rFonts w:cs="Times New Roman"/>
          <w:szCs w:val="24"/>
        </w:rPr>
        <w:t>the</w:t>
      </w:r>
      <w:r w:rsidR="005613B2">
        <w:rPr>
          <w:rFonts w:cs="Times New Roman"/>
          <w:szCs w:val="24"/>
        </w:rPr>
        <w:t xml:space="preserve"> </w:t>
      </w:r>
      <w:r w:rsidRPr="00C317BB" w:rsidR="009F651C">
        <w:rPr>
          <w:rFonts w:cs="Times New Roman"/>
          <w:szCs w:val="24"/>
        </w:rPr>
        <w:t>small</w:t>
      </w:r>
      <w:r w:rsidR="005613B2">
        <w:rPr>
          <w:rFonts w:cs="Times New Roman"/>
          <w:szCs w:val="24"/>
        </w:rPr>
        <w:t xml:space="preserve"> </w:t>
      </w:r>
      <w:r w:rsidRPr="00C317BB" w:rsidR="009F651C">
        <w:rPr>
          <w:rFonts w:cs="Times New Roman"/>
          <w:szCs w:val="24"/>
        </w:rPr>
        <w:t>entity</w:t>
      </w:r>
      <w:r w:rsidR="005613B2">
        <w:rPr>
          <w:rFonts w:cs="Times New Roman"/>
          <w:szCs w:val="24"/>
        </w:rPr>
        <w:t xml:space="preserve"> </w:t>
      </w:r>
      <w:r w:rsidRPr="00C317BB" w:rsidR="009F651C">
        <w:rPr>
          <w:rFonts w:cs="Times New Roman"/>
          <w:szCs w:val="24"/>
        </w:rPr>
        <w:t>impacts</w:t>
      </w:r>
      <w:r w:rsidR="005613B2">
        <w:rPr>
          <w:rFonts w:cs="Times New Roman"/>
          <w:szCs w:val="24"/>
        </w:rPr>
        <w:t xml:space="preserve"> </w:t>
      </w:r>
      <w:r w:rsidRPr="00C317BB" w:rsidR="009F651C">
        <w:rPr>
          <w:rFonts w:cs="Times New Roman"/>
          <w:szCs w:val="24"/>
        </w:rPr>
        <w:t>for</w:t>
      </w:r>
      <w:r w:rsidR="005613B2">
        <w:rPr>
          <w:rFonts w:cs="Times New Roman"/>
          <w:szCs w:val="24"/>
        </w:rPr>
        <w:t xml:space="preserve"> </w:t>
      </w:r>
      <w:r w:rsidRPr="00C317BB" w:rsidR="009F651C">
        <w:rPr>
          <w:rFonts w:cs="Times New Roman"/>
          <w:szCs w:val="24"/>
        </w:rPr>
        <w:t>each</w:t>
      </w:r>
      <w:r w:rsidR="005613B2">
        <w:rPr>
          <w:rFonts w:cs="Times New Roman"/>
          <w:szCs w:val="24"/>
        </w:rPr>
        <w:t xml:space="preserve"> </w:t>
      </w:r>
      <w:r w:rsidRPr="00C317BB" w:rsidR="000E587D">
        <w:rPr>
          <w:rFonts w:cs="Times New Roman"/>
          <w:szCs w:val="24"/>
        </w:rPr>
        <w:t>use</w:t>
      </w:r>
      <w:r w:rsidR="005613B2">
        <w:rPr>
          <w:rFonts w:cs="Times New Roman"/>
          <w:szCs w:val="24"/>
        </w:rPr>
        <w:t xml:space="preserve"> </w:t>
      </w:r>
      <w:r w:rsidRPr="00C317BB" w:rsidR="000E587D">
        <w:rPr>
          <w:rFonts w:cs="Times New Roman"/>
          <w:szCs w:val="24"/>
        </w:rPr>
        <w:t>category</w:t>
      </w:r>
      <w:r w:rsidR="005613B2">
        <w:rPr>
          <w:rFonts w:cs="Times New Roman"/>
          <w:szCs w:val="24"/>
        </w:rPr>
        <w:t xml:space="preserve"> </w:t>
      </w:r>
      <w:r w:rsidRPr="00C317BB" w:rsidR="009F651C">
        <w:rPr>
          <w:rFonts w:cs="Times New Roman"/>
          <w:szCs w:val="24"/>
        </w:rPr>
        <w:t>are</w:t>
      </w:r>
      <w:r w:rsidR="005613B2">
        <w:rPr>
          <w:rFonts w:cs="Times New Roman"/>
          <w:szCs w:val="24"/>
        </w:rPr>
        <w:t xml:space="preserve"> </w:t>
      </w:r>
      <w:r w:rsidRPr="00C317BB" w:rsidR="009F651C">
        <w:rPr>
          <w:rFonts w:cs="Times New Roman"/>
          <w:szCs w:val="24"/>
        </w:rPr>
        <w:t>summarized</w:t>
      </w:r>
      <w:r w:rsidR="005613B2">
        <w:rPr>
          <w:rFonts w:cs="Times New Roman"/>
          <w:szCs w:val="24"/>
        </w:rPr>
        <w:t xml:space="preserve"> </w:t>
      </w:r>
      <w:r w:rsidRPr="00C317BB" w:rsidR="009F651C">
        <w:rPr>
          <w:rFonts w:cs="Times New Roman"/>
          <w:szCs w:val="24"/>
        </w:rPr>
        <w:t>below:</w:t>
      </w:r>
      <w:r w:rsidR="005613B2">
        <w:rPr>
          <w:rFonts w:cs="Times New Roman"/>
          <w:szCs w:val="24"/>
        </w:rPr>
        <w:t xml:space="preserve"> </w:t>
      </w:r>
    </w:p>
    <w:p w:rsidRPr="00C317BB" w:rsidR="009F651C" w:rsidP="00F27167" w:rsidRDefault="009F651C" w14:paraId="3E30CC3C" w14:textId="021DDC16">
      <w:pPr>
        <w:shd w:val="clear" w:color="auto" w:fill="FFFFFF" w:themeFill="background1"/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i/>
          <w:color w:val="000000" w:themeColor="text1"/>
          <w:szCs w:val="24"/>
        </w:rPr>
        <w:t>Chlor-alkali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>
        <w:rPr>
          <w:rFonts w:cs="Times New Roman"/>
          <w:i/>
          <w:color w:val="000000" w:themeColor="text1"/>
          <w:szCs w:val="24"/>
        </w:rPr>
        <w:t>plants</w:t>
      </w:r>
      <w:r w:rsidRPr="00C317BB">
        <w:rPr>
          <w:rFonts w:cs="Times New Roman"/>
          <w:color w:val="000000" w:themeColor="text1"/>
          <w:szCs w:val="24"/>
        </w:rPr>
        <w:t>: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None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D6038">
        <w:rPr>
          <w:rFonts w:cs="Times New Roman"/>
          <w:color w:val="000000" w:themeColor="text1"/>
          <w:szCs w:val="24"/>
        </w:rPr>
        <w:t>three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affected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firms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small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businesses.</w:t>
      </w:r>
    </w:p>
    <w:p w:rsidRPr="00C317BB" w:rsidR="004B3DA2" w:rsidP="00F27167" w:rsidRDefault="004B3DA2" w14:paraId="4038AEF6" w14:textId="2E2C4E59">
      <w:pPr>
        <w:shd w:val="clear" w:color="auto" w:fill="FFFFFF" w:themeFill="background1"/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i/>
          <w:color w:val="000000" w:themeColor="text1"/>
          <w:szCs w:val="24"/>
        </w:rPr>
        <w:t>Sheet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>
        <w:rPr>
          <w:rFonts w:cs="Times New Roman"/>
          <w:i/>
          <w:color w:val="000000" w:themeColor="text1"/>
          <w:szCs w:val="24"/>
        </w:rPr>
        <w:t>gasket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>
        <w:rPr>
          <w:rFonts w:cs="Times New Roman"/>
          <w:i/>
          <w:color w:val="000000" w:themeColor="text1"/>
          <w:szCs w:val="24"/>
        </w:rPr>
        <w:t>manufacturing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>
        <w:rPr>
          <w:rFonts w:cs="Times New Roman"/>
          <w:i/>
          <w:color w:val="000000" w:themeColor="text1"/>
          <w:szCs w:val="24"/>
        </w:rPr>
        <w:t>for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>
        <w:rPr>
          <w:rFonts w:cs="Times New Roman"/>
          <w:i/>
          <w:color w:val="000000" w:themeColor="text1"/>
          <w:szCs w:val="24"/>
        </w:rPr>
        <w:t>chemical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>
        <w:rPr>
          <w:rFonts w:cs="Times New Roman"/>
          <w:i/>
          <w:color w:val="000000" w:themeColor="text1"/>
          <w:szCs w:val="24"/>
        </w:rPr>
        <w:t>production</w:t>
      </w:r>
      <w:r w:rsidRPr="00C317BB">
        <w:rPr>
          <w:rFonts w:cs="Times New Roman"/>
          <w:color w:val="000000" w:themeColor="text1"/>
          <w:szCs w:val="24"/>
        </w:rPr>
        <w:t>: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does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have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information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calculate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costs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rule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small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businesses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sector,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small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business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impacts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have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estimated.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requests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comment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costs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rule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firms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3E1B">
        <w:rPr>
          <w:rFonts w:cs="Times New Roman"/>
          <w:color w:val="000000" w:themeColor="text1"/>
          <w:szCs w:val="24"/>
        </w:rPr>
        <w:t>currently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manufacturing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D51C9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sheet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gaskets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chemical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production.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4B3DA2" w:rsidP="00F27167" w:rsidRDefault="004B3DA2" w14:paraId="599CF17A" w14:textId="1CA58556">
      <w:pPr>
        <w:shd w:val="clear" w:color="auto" w:fill="FFFFFF" w:themeFill="background1"/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aware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small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business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manufactures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sheet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gaskets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chemical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production,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Agency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assumes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second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small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business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engaged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activity.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While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lacks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information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estimate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compliance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resulting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impact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firms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sector,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firm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aware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sells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diverse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line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products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(including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non-asbestos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gaskets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many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products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gaskets)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serving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several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different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industries,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operates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several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sites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manufacture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gaskets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suggests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gaskets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primary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source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revenue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firm.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025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025B">
        <w:rPr>
          <w:rFonts w:cs="Times New Roman"/>
          <w:color w:val="000000" w:themeColor="text1"/>
          <w:szCs w:val="24"/>
        </w:rPr>
        <w:t>assumes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025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025B">
        <w:rPr>
          <w:rFonts w:cs="Times New Roman"/>
          <w:color w:val="000000" w:themeColor="text1"/>
          <w:szCs w:val="24"/>
        </w:rPr>
        <w:t>if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025B">
        <w:rPr>
          <w:rFonts w:cs="Times New Roman"/>
          <w:color w:val="000000" w:themeColor="text1"/>
          <w:szCs w:val="24"/>
        </w:rPr>
        <w:t>there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025B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025B">
        <w:rPr>
          <w:rFonts w:cs="Times New Roman"/>
          <w:color w:val="000000" w:themeColor="text1"/>
          <w:szCs w:val="24"/>
        </w:rPr>
        <w:t>another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025B">
        <w:rPr>
          <w:rFonts w:cs="Times New Roman"/>
          <w:color w:val="000000" w:themeColor="text1"/>
          <w:szCs w:val="24"/>
        </w:rPr>
        <w:t>manufacturer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025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025B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025B">
        <w:rPr>
          <w:rFonts w:cs="Times New Roman"/>
          <w:color w:val="000000" w:themeColor="text1"/>
          <w:szCs w:val="24"/>
        </w:rPr>
        <w:t>gaskets,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025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025B">
        <w:rPr>
          <w:rFonts w:cs="Times New Roman"/>
          <w:color w:val="000000" w:themeColor="text1"/>
          <w:szCs w:val="24"/>
        </w:rPr>
        <w:t>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025B">
        <w:rPr>
          <w:rFonts w:cs="Times New Roman"/>
          <w:color w:val="000000" w:themeColor="text1"/>
          <w:szCs w:val="24"/>
        </w:rPr>
        <w:t>also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025B">
        <w:rPr>
          <w:rFonts w:cs="Times New Roman"/>
          <w:color w:val="000000" w:themeColor="text1"/>
          <w:szCs w:val="24"/>
        </w:rPr>
        <w:t>sells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025B">
        <w:rPr>
          <w:rFonts w:cs="Times New Roman"/>
          <w:color w:val="000000" w:themeColor="text1"/>
          <w:szCs w:val="24"/>
        </w:rPr>
        <w:t>non-asbestos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025B">
        <w:rPr>
          <w:rFonts w:cs="Times New Roman"/>
          <w:color w:val="000000" w:themeColor="text1"/>
          <w:szCs w:val="24"/>
        </w:rPr>
        <w:t>gaskets.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025B">
        <w:rPr>
          <w:rFonts w:cs="Times New Roman"/>
          <w:color w:val="000000" w:themeColor="text1"/>
          <w:szCs w:val="24"/>
        </w:rPr>
        <w:t>Since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025B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025B">
        <w:rPr>
          <w:rFonts w:cs="Times New Roman"/>
          <w:color w:val="000000" w:themeColor="text1"/>
          <w:szCs w:val="24"/>
        </w:rPr>
        <w:t>gaskets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025B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025B">
        <w:rPr>
          <w:rFonts w:cs="Times New Roman"/>
          <w:color w:val="000000" w:themeColor="text1"/>
          <w:szCs w:val="24"/>
        </w:rPr>
        <w:t>such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025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025B">
        <w:rPr>
          <w:rFonts w:cs="Times New Roman"/>
          <w:color w:val="000000" w:themeColor="text1"/>
          <w:szCs w:val="24"/>
        </w:rPr>
        <w:t>niche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025B">
        <w:rPr>
          <w:rFonts w:cs="Times New Roman"/>
          <w:color w:val="000000" w:themeColor="text1"/>
          <w:szCs w:val="24"/>
        </w:rPr>
        <w:t>portion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025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025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025B">
        <w:rPr>
          <w:rFonts w:cs="Times New Roman"/>
          <w:color w:val="000000" w:themeColor="text1"/>
          <w:szCs w:val="24"/>
        </w:rPr>
        <w:t>gasket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025B">
        <w:rPr>
          <w:rFonts w:cs="Times New Roman"/>
          <w:color w:val="000000" w:themeColor="text1"/>
          <w:szCs w:val="24"/>
        </w:rPr>
        <w:t>industry,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025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025B">
        <w:rPr>
          <w:rFonts w:cs="Times New Roman"/>
          <w:color w:val="000000" w:themeColor="text1"/>
          <w:szCs w:val="24"/>
        </w:rPr>
        <w:t>believes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025B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025B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025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025B">
        <w:rPr>
          <w:rFonts w:cs="Times New Roman"/>
          <w:color w:val="000000" w:themeColor="text1"/>
          <w:szCs w:val="24"/>
        </w:rPr>
        <w:t>reasonable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025B">
        <w:rPr>
          <w:rFonts w:cs="Times New Roman"/>
          <w:color w:val="000000" w:themeColor="text1"/>
          <w:szCs w:val="24"/>
        </w:rPr>
        <w:t>assumption.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customers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gaskets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convert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entirely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asbestos-free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gaskets,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affected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gasket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manufacturers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likely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provide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substitute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products.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025B">
        <w:rPr>
          <w:rFonts w:cs="Times New Roman"/>
          <w:color w:val="000000" w:themeColor="text1"/>
          <w:szCs w:val="24"/>
        </w:rPr>
        <w:t>These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025B">
        <w:rPr>
          <w:rFonts w:cs="Times New Roman"/>
          <w:color w:val="000000" w:themeColor="text1"/>
          <w:szCs w:val="24"/>
        </w:rPr>
        <w:t>customers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025B">
        <w:rPr>
          <w:rFonts w:cs="Times New Roman"/>
          <w:color w:val="000000" w:themeColor="text1"/>
          <w:szCs w:val="24"/>
        </w:rPr>
        <w:t>consist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025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025B">
        <w:rPr>
          <w:rFonts w:cs="Times New Roman"/>
          <w:color w:val="000000" w:themeColor="text1"/>
          <w:szCs w:val="24"/>
        </w:rPr>
        <w:t>chemical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025B">
        <w:rPr>
          <w:rFonts w:cs="Times New Roman"/>
          <w:color w:val="000000" w:themeColor="text1"/>
          <w:szCs w:val="24"/>
        </w:rPr>
        <w:t>manufacturers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82849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025B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025B">
        <w:rPr>
          <w:rFonts w:cs="Times New Roman"/>
          <w:color w:val="000000" w:themeColor="text1"/>
          <w:szCs w:val="24"/>
        </w:rPr>
        <w:t>all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025B">
        <w:rPr>
          <w:rFonts w:cs="Times New Roman"/>
          <w:color w:val="000000" w:themeColor="text1"/>
          <w:szCs w:val="24"/>
        </w:rPr>
        <w:t>large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025B">
        <w:rPr>
          <w:rFonts w:cs="Times New Roman"/>
          <w:color w:val="000000" w:themeColor="text1"/>
          <w:szCs w:val="24"/>
        </w:rPr>
        <w:t>businesses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025B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025B">
        <w:rPr>
          <w:rFonts w:cs="Times New Roman"/>
          <w:color w:val="000000" w:themeColor="text1"/>
          <w:szCs w:val="24"/>
        </w:rPr>
        <w:t>far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025B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025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025B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025B">
        <w:rPr>
          <w:rFonts w:cs="Times New Roman"/>
          <w:color w:val="000000" w:themeColor="text1"/>
          <w:szCs w:val="24"/>
        </w:rPr>
        <w:t>aware.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extent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asbestos-free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gaskets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last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long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those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rule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increase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revenues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affected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gasket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manufacturers.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025B">
        <w:rPr>
          <w:rFonts w:cs="Times New Roman"/>
          <w:szCs w:val="24"/>
        </w:rPr>
        <w:t>A</w:t>
      </w:r>
      <w:r w:rsidR="005613B2">
        <w:rPr>
          <w:rFonts w:cs="Times New Roman"/>
          <w:szCs w:val="24"/>
        </w:rPr>
        <w:t xml:space="preserve"> </w:t>
      </w:r>
      <w:r w:rsidRPr="00C317BB" w:rsidR="0051025B">
        <w:rPr>
          <w:rFonts w:cs="Times New Roman"/>
          <w:szCs w:val="24"/>
        </w:rPr>
        <w:t>less</w:t>
      </w:r>
      <w:r w:rsidR="005613B2">
        <w:rPr>
          <w:rFonts w:cs="Times New Roman"/>
          <w:szCs w:val="24"/>
        </w:rPr>
        <w:t xml:space="preserve"> </w:t>
      </w:r>
      <w:r w:rsidRPr="00C317BB" w:rsidR="0051025B">
        <w:rPr>
          <w:rFonts w:cs="Times New Roman"/>
          <w:szCs w:val="24"/>
        </w:rPr>
        <w:t>durable</w:t>
      </w:r>
      <w:r w:rsidR="005613B2">
        <w:rPr>
          <w:rFonts w:cs="Times New Roman"/>
          <w:szCs w:val="24"/>
        </w:rPr>
        <w:t xml:space="preserve"> </w:t>
      </w:r>
      <w:r w:rsidRPr="00C317BB" w:rsidR="0051025B">
        <w:rPr>
          <w:rFonts w:cs="Times New Roman"/>
          <w:szCs w:val="24"/>
        </w:rPr>
        <w:t>product</w:t>
      </w:r>
      <w:r w:rsidR="005613B2">
        <w:rPr>
          <w:rFonts w:cs="Times New Roman"/>
          <w:szCs w:val="24"/>
        </w:rPr>
        <w:t xml:space="preserve"> </w:t>
      </w:r>
      <w:r w:rsidRPr="00C317BB" w:rsidR="0051025B">
        <w:rPr>
          <w:rFonts w:cs="Times New Roman"/>
          <w:szCs w:val="24"/>
        </w:rPr>
        <w:t>might</w:t>
      </w:r>
      <w:r w:rsidR="005613B2">
        <w:rPr>
          <w:rFonts w:cs="Times New Roman"/>
          <w:szCs w:val="24"/>
        </w:rPr>
        <w:t xml:space="preserve"> </w:t>
      </w:r>
      <w:r w:rsidRPr="00C317BB" w:rsidR="0051025B">
        <w:rPr>
          <w:rFonts w:cs="Times New Roman"/>
          <w:szCs w:val="24"/>
        </w:rPr>
        <w:t>be</w:t>
      </w:r>
      <w:r w:rsidR="005613B2">
        <w:rPr>
          <w:rFonts w:cs="Times New Roman"/>
          <w:szCs w:val="24"/>
        </w:rPr>
        <w:t xml:space="preserve"> </w:t>
      </w:r>
      <w:r w:rsidRPr="00C317BB" w:rsidR="0051025B">
        <w:rPr>
          <w:rFonts w:cs="Times New Roman"/>
          <w:szCs w:val="24"/>
        </w:rPr>
        <w:t>less</w:t>
      </w:r>
      <w:r w:rsidR="005613B2">
        <w:rPr>
          <w:rFonts w:cs="Times New Roman"/>
          <w:szCs w:val="24"/>
        </w:rPr>
        <w:t xml:space="preserve"> </w:t>
      </w:r>
      <w:r w:rsidRPr="00C317BB" w:rsidR="0051025B">
        <w:rPr>
          <w:rFonts w:cs="Times New Roman"/>
          <w:szCs w:val="24"/>
        </w:rPr>
        <w:t>profitable</w:t>
      </w:r>
      <w:r w:rsidR="005613B2">
        <w:rPr>
          <w:rFonts w:cs="Times New Roman"/>
          <w:szCs w:val="24"/>
        </w:rPr>
        <w:t xml:space="preserve"> </w:t>
      </w:r>
      <w:r w:rsidRPr="00C317BB" w:rsidR="0051025B">
        <w:rPr>
          <w:rFonts w:cs="Times New Roman"/>
          <w:szCs w:val="24"/>
        </w:rPr>
        <w:t>for</w:t>
      </w:r>
      <w:r w:rsidR="005613B2">
        <w:rPr>
          <w:rFonts w:cs="Times New Roman"/>
          <w:szCs w:val="24"/>
        </w:rPr>
        <w:t xml:space="preserve"> </w:t>
      </w:r>
      <w:r w:rsidRPr="00C317BB" w:rsidR="0051025B">
        <w:rPr>
          <w:rFonts w:cs="Times New Roman"/>
          <w:szCs w:val="24"/>
        </w:rPr>
        <w:t>the</w:t>
      </w:r>
      <w:r w:rsidR="005613B2">
        <w:rPr>
          <w:rFonts w:cs="Times New Roman"/>
          <w:szCs w:val="24"/>
        </w:rPr>
        <w:t xml:space="preserve"> </w:t>
      </w:r>
      <w:r w:rsidRPr="00C317BB" w:rsidR="0051025B">
        <w:rPr>
          <w:rFonts w:cs="Times New Roman"/>
          <w:szCs w:val="24"/>
        </w:rPr>
        <w:t>customers,</w:t>
      </w:r>
      <w:r w:rsidR="005613B2">
        <w:rPr>
          <w:rFonts w:cs="Times New Roman"/>
          <w:szCs w:val="24"/>
        </w:rPr>
        <w:t xml:space="preserve"> </w:t>
      </w:r>
      <w:r w:rsidRPr="00C317BB" w:rsidR="004D51C9">
        <w:rPr>
          <w:rFonts w:cs="Times New Roman"/>
          <w:szCs w:val="24"/>
        </w:rPr>
        <w:t>but</w:t>
      </w:r>
      <w:r w:rsidR="005613B2">
        <w:rPr>
          <w:rFonts w:cs="Times New Roman"/>
          <w:szCs w:val="24"/>
        </w:rPr>
        <w:t xml:space="preserve"> </w:t>
      </w:r>
      <w:r w:rsidRPr="00C317BB" w:rsidR="0051025B">
        <w:rPr>
          <w:rFonts w:cs="Times New Roman"/>
          <w:szCs w:val="24"/>
        </w:rPr>
        <w:t>selling</w:t>
      </w:r>
      <w:r w:rsidR="005613B2">
        <w:rPr>
          <w:rFonts w:cs="Times New Roman"/>
          <w:szCs w:val="24"/>
        </w:rPr>
        <w:t xml:space="preserve"> </w:t>
      </w:r>
      <w:r w:rsidRPr="00C317BB" w:rsidR="0051025B">
        <w:rPr>
          <w:rFonts w:cs="Times New Roman"/>
          <w:szCs w:val="24"/>
        </w:rPr>
        <w:t>a</w:t>
      </w:r>
      <w:r w:rsidR="005613B2">
        <w:rPr>
          <w:rFonts w:cs="Times New Roman"/>
          <w:szCs w:val="24"/>
        </w:rPr>
        <w:t xml:space="preserve"> </w:t>
      </w:r>
      <w:r w:rsidRPr="00C317BB" w:rsidR="0051025B">
        <w:rPr>
          <w:rFonts w:cs="Times New Roman"/>
          <w:szCs w:val="24"/>
        </w:rPr>
        <w:t>product</w:t>
      </w:r>
      <w:r w:rsidR="005613B2">
        <w:rPr>
          <w:rFonts w:cs="Times New Roman"/>
          <w:szCs w:val="24"/>
        </w:rPr>
        <w:t xml:space="preserve"> </w:t>
      </w:r>
      <w:r w:rsidRPr="00C317BB" w:rsidR="0051025B">
        <w:rPr>
          <w:rFonts w:cs="Times New Roman"/>
          <w:szCs w:val="24"/>
        </w:rPr>
        <w:t>that</w:t>
      </w:r>
      <w:r w:rsidR="005613B2">
        <w:rPr>
          <w:rFonts w:cs="Times New Roman"/>
          <w:szCs w:val="24"/>
        </w:rPr>
        <w:t xml:space="preserve"> </w:t>
      </w:r>
      <w:r w:rsidRPr="00C317BB" w:rsidR="0051025B">
        <w:rPr>
          <w:rFonts w:cs="Times New Roman"/>
          <w:szCs w:val="24"/>
        </w:rPr>
        <w:t>has</w:t>
      </w:r>
      <w:r w:rsidR="005613B2">
        <w:rPr>
          <w:rFonts w:cs="Times New Roman"/>
          <w:szCs w:val="24"/>
        </w:rPr>
        <w:t xml:space="preserve"> </w:t>
      </w:r>
      <w:r w:rsidRPr="00C317BB" w:rsidR="0051025B">
        <w:rPr>
          <w:rFonts w:cs="Times New Roman"/>
          <w:szCs w:val="24"/>
        </w:rPr>
        <w:t>to</w:t>
      </w:r>
      <w:r w:rsidR="005613B2">
        <w:rPr>
          <w:rFonts w:cs="Times New Roman"/>
          <w:szCs w:val="24"/>
        </w:rPr>
        <w:t xml:space="preserve"> </w:t>
      </w:r>
      <w:r w:rsidRPr="00C317BB" w:rsidR="0051025B">
        <w:rPr>
          <w:rFonts w:cs="Times New Roman"/>
          <w:szCs w:val="24"/>
        </w:rPr>
        <w:t>be</w:t>
      </w:r>
      <w:r w:rsidR="005613B2">
        <w:rPr>
          <w:rFonts w:cs="Times New Roman"/>
          <w:szCs w:val="24"/>
        </w:rPr>
        <w:t xml:space="preserve"> </w:t>
      </w:r>
      <w:r w:rsidRPr="00C317BB" w:rsidR="0051025B">
        <w:rPr>
          <w:rFonts w:cs="Times New Roman"/>
          <w:szCs w:val="24"/>
        </w:rPr>
        <w:t>replaced</w:t>
      </w:r>
      <w:r w:rsidR="005613B2">
        <w:rPr>
          <w:rFonts w:cs="Times New Roman"/>
          <w:szCs w:val="24"/>
        </w:rPr>
        <w:t xml:space="preserve"> </w:t>
      </w:r>
      <w:r w:rsidRPr="00C317BB" w:rsidR="0051025B">
        <w:rPr>
          <w:rFonts w:cs="Times New Roman"/>
          <w:szCs w:val="24"/>
        </w:rPr>
        <w:t>more</w:t>
      </w:r>
      <w:r w:rsidR="005613B2">
        <w:rPr>
          <w:rFonts w:cs="Times New Roman"/>
          <w:szCs w:val="24"/>
        </w:rPr>
        <w:t xml:space="preserve"> </w:t>
      </w:r>
      <w:r w:rsidRPr="00C317BB" w:rsidR="0051025B">
        <w:rPr>
          <w:rFonts w:cs="Times New Roman"/>
          <w:szCs w:val="24"/>
        </w:rPr>
        <w:t>often</w:t>
      </w:r>
      <w:r w:rsidR="005613B2">
        <w:rPr>
          <w:rFonts w:cs="Times New Roman"/>
          <w:szCs w:val="24"/>
        </w:rPr>
        <w:t xml:space="preserve"> </w:t>
      </w:r>
      <w:r w:rsidRPr="00C317BB" w:rsidR="0051025B">
        <w:rPr>
          <w:rFonts w:cs="Times New Roman"/>
          <w:szCs w:val="24"/>
        </w:rPr>
        <w:t>could</w:t>
      </w:r>
      <w:r w:rsidR="005613B2">
        <w:rPr>
          <w:rFonts w:cs="Times New Roman"/>
          <w:szCs w:val="24"/>
        </w:rPr>
        <w:t xml:space="preserve"> </w:t>
      </w:r>
      <w:r w:rsidRPr="00C317BB" w:rsidR="0051025B">
        <w:rPr>
          <w:rFonts w:cs="Times New Roman"/>
          <w:szCs w:val="24"/>
        </w:rPr>
        <w:t>increase</w:t>
      </w:r>
      <w:r w:rsidR="005613B2">
        <w:rPr>
          <w:rFonts w:cs="Times New Roman"/>
          <w:szCs w:val="24"/>
        </w:rPr>
        <w:t xml:space="preserve"> </w:t>
      </w:r>
      <w:r w:rsidRPr="00C317BB" w:rsidR="0051025B">
        <w:rPr>
          <w:rFonts w:cs="Times New Roman"/>
          <w:szCs w:val="24"/>
        </w:rPr>
        <w:t>revenues</w:t>
      </w:r>
      <w:r w:rsidR="005613B2">
        <w:rPr>
          <w:rFonts w:cs="Times New Roman"/>
          <w:szCs w:val="24"/>
        </w:rPr>
        <w:t xml:space="preserve"> </w:t>
      </w:r>
      <w:r w:rsidRPr="00C317BB" w:rsidR="0051025B">
        <w:rPr>
          <w:rFonts w:cs="Times New Roman"/>
          <w:szCs w:val="24"/>
        </w:rPr>
        <w:t>for</w:t>
      </w:r>
      <w:r w:rsidR="005613B2">
        <w:rPr>
          <w:rFonts w:cs="Times New Roman"/>
          <w:szCs w:val="24"/>
        </w:rPr>
        <w:t xml:space="preserve"> </w:t>
      </w:r>
      <w:r w:rsidRPr="00C317BB" w:rsidR="0051025B">
        <w:rPr>
          <w:rFonts w:cs="Times New Roman"/>
          <w:szCs w:val="24"/>
        </w:rPr>
        <w:t>the</w:t>
      </w:r>
      <w:r w:rsidR="005613B2">
        <w:rPr>
          <w:rFonts w:cs="Times New Roman"/>
          <w:szCs w:val="24"/>
        </w:rPr>
        <w:t xml:space="preserve"> </w:t>
      </w:r>
      <w:r w:rsidRPr="00C317BB" w:rsidR="0051025B">
        <w:rPr>
          <w:rFonts w:cs="Times New Roman"/>
          <w:szCs w:val="24"/>
        </w:rPr>
        <w:t>suppliers.</w:t>
      </w:r>
    </w:p>
    <w:p w:rsidRPr="00C317BB" w:rsidR="004B3DA2" w:rsidP="00F27167" w:rsidRDefault="004B3DA2" w14:paraId="74E8B48D" w14:textId="27DA3847">
      <w:pPr>
        <w:shd w:val="clear" w:color="auto" w:fill="FFFFFF" w:themeFill="background1"/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i/>
          <w:color w:val="000000" w:themeColor="text1"/>
          <w:szCs w:val="24"/>
        </w:rPr>
        <w:t>Sheet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>
        <w:rPr>
          <w:rFonts w:cs="Times New Roman"/>
          <w:i/>
          <w:color w:val="000000" w:themeColor="text1"/>
          <w:szCs w:val="24"/>
        </w:rPr>
        <w:t>gasket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>
        <w:rPr>
          <w:rFonts w:cs="Times New Roman"/>
          <w:i/>
          <w:color w:val="000000" w:themeColor="text1"/>
          <w:szCs w:val="24"/>
        </w:rPr>
        <w:t>end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>
        <w:rPr>
          <w:rFonts w:cs="Times New Roman"/>
          <w:i/>
          <w:color w:val="000000" w:themeColor="text1"/>
          <w:szCs w:val="24"/>
        </w:rPr>
        <w:t>users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>
        <w:rPr>
          <w:rFonts w:cs="Times New Roman"/>
          <w:i/>
          <w:color w:val="000000" w:themeColor="text1"/>
          <w:szCs w:val="24"/>
        </w:rPr>
        <w:t>(chemical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>
        <w:rPr>
          <w:rFonts w:cs="Times New Roman"/>
          <w:i/>
          <w:color w:val="000000" w:themeColor="text1"/>
          <w:szCs w:val="24"/>
        </w:rPr>
        <w:t>production)</w:t>
      </w:r>
      <w:r w:rsidRPr="00C317BB">
        <w:rPr>
          <w:rFonts w:cs="Times New Roman"/>
          <w:color w:val="000000" w:themeColor="text1"/>
          <w:szCs w:val="24"/>
        </w:rPr>
        <w:t>: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None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4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firms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known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affected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small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businesses.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025B">
        <w:rPr>
          <w:rFonts w:cs="Times New Roman"/>
          <w:color w:val="000000" w:themeColor="text1"/>
          <w:szCs w:val="24"/>
        </w:rPr>
        <w:t>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025B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025B">
        <w:rPr>
          <w:rFonts w:cs="Times New Roman"/>
          <w:color w:val="000000" w:themeColor="text1"/>
          <w:szCs w:val="24"/>
        </w:rPr>
        <w:t>possible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025B">
        <w:rPr>
          <w:rFonts w:cs="Times New Roman"/>
          <w:color w:val="000000" w:themeColor="text1"/>
          <w:szCs w:val="24"/>
        </w:rPr>
        <w:t>there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025B">
        <w:rPr>
          <w:rFonts w:cs="Times New Roman"/>
          <w:color w:val="000000" w:themeColor="text1"/>
          <w:szCs w:val="24"/>
        </w:rPr>
        <w:t>may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025B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025B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025B">
        <w:rPr>
          <w:rFonts w:cs="Times New Roman"/>
          <w:color w:val="000000" w:themeColor="text1"/>
          <w:szCs w:val="24"/>
        </w:rPr>
        <w:t>unknown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025B">
        <w:rPr>
          <w:rFonts w:cs="Times New Roman"/>
          <w:color w:val="000000" w:themeColor="text1"/>
          <w:szCs w:val="24"/>
        </w:rPr>
        <w:t>small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025B">
        <w:rPr>
          <w:rFonts w:cs="Times New Roman"/>
          <w:color w:val="000000" w:themeColor="text1"/>
          <w:szCs w:val="24"/>
        </w:rPr>
        <w:t>businesses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025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025B">
        <w:rPr>
          <w:rFonts w:cs="Times New Roman"/>
          <w:color w:val="000000" w:themeColor="text1"/>
          <w:szCs w:val="24"/>
        </w:rPr>
        <w:t>may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025B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025B">
        <w:rPr>
          <w:rFonts w:cs="Times New Roman"/>
          <w:color w:val="000000" w:themeColor="text1"/>
          <w:szCs w:val="24"/>
        </w:rPr>
        <w:t>affected.</w:t>
      </w:r>
    </w:p>
    <w:p w:rsidRPr="00C317BB" w:rsidR="004B3DA2" w:rsidP="00F27167" w:rsidRDefault="004B3DA2" w14:paraId="1E638042" w14:textId="2F762622">
      <w:pPr>
        <w:shd w:val="clear" w:color="auto" w:fill="FFFFFF" w:themeFill="background1"/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i/>
          <w:color w:val="000000" w:themeColor="text1"/>
          <w:szCs w:val="24"/>
        </w:rPr>
        <w:t>Oilfield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>
        <w:rPr>
          <w:rFonts w:cs="Times New Roman"/>
          <w:i/>
          <w:color w:val="000000" w:themeColor="text1"/>
          <w:szCs w:val="24"/>
        </w:rPr>
        <w:t>brake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>
        <w:rPr>
          <w:rFonts w:cs="Times New Roman"/>
          <w:i/>
          <w:color w:val="000000" w:themeColor="text1"/>
          <w:szCs w:val="24"/>
        </w:rPr>
        <w:t>block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>
        <w:rPr>
          <w:rFonts w:cs="Times New Roman"/>
          <w:i/>
          <w:color w:val="000000" w:themeColor="text1"/>
          <w:szCs w:val="24"/>
        </w:rPr>
        <w:t>importer</w:t>
      </w:r>
      <w:r w:rsidRPr="00C317BB">
        <w:rPr>
          <w:rFonts w:cs="Times New Roman"/>
          <w:color w:val="000000" w:themeColor="text1"/>
          <w:szCs w:val="24"/>
        </w:rPr>
        <w:t>: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does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have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information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calculate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costs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rule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small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businesses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sector,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small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business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impacts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have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estimated.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requests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comment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costs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rule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firms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supplying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oilfield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brake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blocks.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4B3DA2" w:rsidP="00F27167" w:rsidRDefault="004B3DA2" w14:paraId="6A3C2157" w14:textId="0B867541">
      <w:pPr>
        <w:shd w:val="clear" w:color="auto" w:fill="FFFFFF" w:themeFill="background1"/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There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firm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known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import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distribute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oilfield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brake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blocks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small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business.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While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estimate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compliance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impact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firm,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customers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C2014">
        <w:rPr>
          <w:rFonts w:cs="Times New Roman"/>
          <w:color w:val="000000" w:themeColor="text1"/>
          <w:szCs w:val="24"/>
        </w:rPr>
        <w:t>(</w:t>
      </w:r>
      <w:r w:rsidRPr="00C317BB" w:rsidR="0078204A">
        <w:rPr>
          <w:rFonts w:cs="Times New Roman"/>
          <w:color w:val="000000" w:themeColor="text1"/>
          <w:szCs w:val="24"/>
        </w:rPr>
        <w:t>which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204A">
        <w:rPr>
          <w:rFonts w:cs="Times New Roman"/>
          <w:color w:val="000000" w:themeColor="text1"/>
          <w:szCs w:val="24"/>
        </w:rPr>
        <w:t>may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204A">
        <w:rPr>
          <w:rFonts w:cs="Times New Roman"/>
          <w:color w:val="000000" w:themeColor="text1"/>
          <w:szCs w:val="24"/>
        </w:rPr>
        <w:t>include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204A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204A">
        <w:rPr>
          <w:rFonts w:cs="Times New Roman"/>
          <w:color w:val="000000" w:themeColor="text1"/>
          <w:szCs w:val="24"/>
        </w:rPr>
        <w:t>small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8204A">
        <w:rPr>
          <w:rFonts w:cs="Times New Roman"/>
          <w:color w:val="000000" w:themeColor="text1"/>
          <w:szCs w:val="24"/>
        </w:rPr>
        <w:t>businesses</w:t>
      </w:r>
      <w:r w:rsidRPr="00C317BB" w:rsidR="00CC2014">
        <w:rPr>
          <w:rFonts w:cs="Times New Roman"/>
          <w:color w:val="000000" w:themeColor="text1"/>
          <w:szCs w:val="24"/>
        </w:rPr>
        <w:t>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older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drilling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rigs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currently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brake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blocks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continue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those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rigs,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importer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likely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provide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asbestos-free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brake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blocks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substitutes.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C2014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C2014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C2014">
        <w:rPr>
          <w:rFonts w:cs="Times New Roman"/>
          <w:color w:val="000000" w:themeColor="text1"/>
          <w:szCs w:val="24"/>
        </w:rPr>
        <w:t>extent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C2014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C2014">
        <w:rPr>
          <w:rFonts w:cs="Times New Roman"/>
          <w:color w:val="000000" w:themeColor="text1"/>
          <w:szCs w:val="24"/>
        </w:rPr>
        <w:t>asbestos-free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C2014">
        <w:rPr>
          <w:rFonts w:cs="Times New Roman"/>
          <w:color w:val="000000" w:themeColor="text1"/>
          <w:szCs w:val="24"/>
        </w:rPr>
        <w:t>brake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C2014">
        <w:rPr>
          <w:rFonts w:cs="Times New Roman"/>
          <w:color w:val="000000" w:themeColor="text1"/>
          <w:szCs w:val="24"/>
        </w:rPr>
        <w:t>blocks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C2014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C2014">
        <w:rPr>
          <w:rFonts w:cs="Times New Roman"/>
          <w:color w:val="000000" w:themeColor="text1"/>
          <w:szCs w:val="24"/>
        </w:rPr>
        <w:t>more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C2014">
        <w:rPr>
          <w:rFonts w:cs="Times New Roman"/>
          <w:color w:val="000000" w:themeColor="text1"/>
          <w:szCs w:val="24"/>
        </w:rPr>
        <w:t>expensive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C2014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C2014">
        <w:rPr>
          <w:rFonts w:cs="Times New Roman"/>
          <w:color w:val="000000" w:themeColor="text1"/>
          <w:szCs w:val="24"/>
        </w:rPr>
        <w:t>do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C2014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C2014">
        <w:rPr>
          <w:rFonts w:cs="Times New Roman"/>
          <w:color w:val="000000" w:themeColor="text1"/>
          <w:szCs w:val="24"/>
        </w:rPr>
        <w:t>last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C2014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C2014">
        <w:rPr>
          <w:rFonts w:cs="Times New Roman"/>
          <w:color w:val="000000" w:themeColor="text1"/>
          <w:szCs w:val="24"/>
        </w:rPr>
        <w:t>long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C2014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C2014">
        <w:rPr>
          <w:rFonts w:cs="Times New Roman"/>
          <w:color w:val="000000" w:themeColor="text1"/>
          <w:szCs w:val="24"/>
        </w:rPr>
        <w:t>those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C2014">
        <w:rPr>
          <w:rFonts w:cs="Times New Roman"/>
          <w:color w:val="000000" w:themeColor="text1"/>
          <w:szCs w:val="24"/>
        </w:rPr>
        <w:t>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C2014">
        <w:rPr>
          <w:rFonts w:cs="Times New Roman"/>
          <w:color w:val="000000" w:themeColor="text1"/>
          <w:szCs w:val="24"/>
        </w:rPr>
        <w:t>asbestos,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C2014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C2014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C2014">
        <w:rPr>
          <w:rFonts w:cs="Times New Roman"/>
          <w:color w:val="000000" w:themeColor="text1"/>
          <w:szCs w:val="24"/>
        </w:rPr>
        <w:t>rule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C2014">
        <w:rPr>
          <w:rFonts w:cs="Times New Roman"/>
          <w:color w:val="000000" w:themeColor="text1"/>
          <w:szCs w:val="24"/>
        </w:rPr>
        <w:t>could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C2014">
        <w:rPr>
          <w:rFonts w:cs="Times New Roman"/>
          <w:color w:val="000000" w:themeColor="text1"/>
          <w:szCs w:val="24"/>
        </w:rPr>
        <w:t>increase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C2014">
        <w:rPr>
          <w:rFonts w:cs="Times New Roman"/>
          <w:color w:val="000000" w:themeColor="text1"/>
          <w:szCs w:val="24"/>
        </w:rPr>
        <w:t>revenues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C2014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C2014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C2014">
        <w:rPr>
          <w:rFonts w:cs="Times New Roman"/>
          <w:color w:val="000000" w:themeColor="text1"/>
          <w:szCs w:val="24"/>
        </w:rPr>
        <w:t>affected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C2014">
        <w:rPr>
          <w:rFonts w:cs="Times New Roman"/>
          <w:color w:val="000000" w:themeColor="text1"/>
          <w:szCs w:val="24"/>
        </w:rPr>
        <w:t>brake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C2014">
        <w:rPr>
          <w:rFonts w:cs="Times New Roman"/>
          <w:color w:val="000000" w:themeColor="text1"/>
          <w:szCs w:val="24"/>
        </w:rPr>
        <w:t>block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C2014">
        <w:rPr>
          <w:rFonts w:cs="Times New Roman"/>
          <w:color w:val="000000" w:themeColor="text1"/>
          <w:szCs w:val="24"/>
        </w:rPr>
        <w:t>importer.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C2014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C2014">
        <w:rPr>
          <w:rFonts w:cs="Times New Roman"/>
          <w:color w:val="000000" w:themeColor="text1"/>
          <w:szCs w:val="24"/>
        </w:rPr>
        <w:t>less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C2014">
        <w:rPr>
          <w:rFonts w:cs="Times New Roman"/>
          <w:color w:val="000000" w:themeColor="text1"/>
          <w:szCs w:val="24"/>
        </w:rPr>
        <w:t>durable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C2014">
        <w:rPr>
          <w:rFonts w:cs="Times New Roman"/>
          <w:color w:val="000000" w:themeColor="text1"/>
          <w:szCs w:val="24"/>
        </w:rPr>
        <w:t>product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C2014">
        <w:rPr>
          <w:rFonts w:cs="Times New Roman"/>
          <w:color w:val="000000" w:themeColor="text1"/>
          <w:szCs w:val="24"/>
        </w:rPr>
        <w:t>might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C2014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C2014">
        <w:rPr>
          <w:rFonts w:cs="Times New Roman"/>
          <w:color w:val="000000" w:themeColor="text1"/>
          <w:szCs w:val="24"/>
        </w:rPr>
        <w:t>less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C2014">
        <w:rPr>
          <w:rFonts w:cs="Times New Roman"/>
          <w:color w:val="000000" w:themeColor="text1"/>
          <w:szCs w:val="24"/>
        </w:rPr>
        <w:t>profitable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C2014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C2014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C2014">
        <w:rPr>
          <w:rFonts w:cs="Times New Roman"/>
          <w:color w:val="000000" w:themeColor="text1"/>
          <w:szCs w:val="24"/>
        </w:rPr>
        <w:t>customers,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C2014">
        <w:rPr>
          <w:rFonts w:cs="Times New Roman"/>
          <w:color w:val="000000" w:themeColor="text1"/>
          <w:szCs w:val="24"/>
        </w:rPr>
        <w:t>but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C2014">
        <w:rPr>
          <w:rFonts w:cs="Times New Roman"/>
          <w:color w:val="000000" w:themeColor="text1"/>
          <w:szCs w:val="24"/>
        </w:rPr>
        <w:t>selling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C2014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C2014">
        <w:rPr>
          <w:rFonts w:cs="Times New Roman"/>
          <w:color w:val="000000" w:themeColor="text1"/>
          <w:szCs w:val="24"/>
        </w:rPr>
        <w:t>product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C2014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C2014">
        <w:rPr>
          <w:rFonts w:cs="Times New Roman"/>
          <w:color w:val="000000" w:themeColor="text1"/>
          <w:szCs w:val="24"/>
        </w:rPr>
        <w:t>has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C2014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C2014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C2014">
        <w:rPr>
          <w:rFonts w:cs="Times New Roman"/>
          <w:color w:val="000000" w:themeColor="text1"/>
          <w:szCs w:val="24"/>
        </w:rPr>
        <w:t>replaced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C2014">
        <w:rPr>
          <w:rFonts w:cs="Times New Roman"/>
          <w:color w:val="000000" w:themeColor="text1"/>
          <w:szCs w:val="24"/>
        </w:rPr>
        <w:t>more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C2014">
        <w:rPr>
          <w:rFonts w:cs="Times New Roman"/>
          <w:color w:val="000000" w:themeColor="text1"/>
          <w:szCs w:val="24"/>
        </w:rPr>
        <w:t>often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C2014">
        <w:rPr>
          <w:rFonts w:cs="Times New Roman"/>
          <w:color w:val="000000" w:themeColor="text1"/>
          <w:szCs w:val="24"/>
        </w:rPr>
        <w:t>could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C2014">
        <w:rPr>
          <w:rFonts w:cs="Times New Roman"/>
          <w:color w:val="000000" w:themeColor="text1"/>
          <w:szCs w:val="24"/>
        </w:rPr>
        <w:t>increase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C2014">
        <w:rPr>
          <w:rFonts w:cs="Times New Roman"/>
          <w:color w:val="000000" w:themeColor="text1"/>
          <w:szCs w:val="24"/>
        </w:rPr>
        <w:t>revenues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C2014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C2014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C2014">
        <w:rPr>
          <w:rFonts w:cs="Times New Roman"/>
          <w:color w:val="000000" w:themeColor="text1"/>
          <w:szCs w:val="24"/>
        </w:rPr>
        <w:t>importer.</w:t>
      </w:r>
    </w:p>
    <w:p w:rsidRPr="00C317BB" w:rsidR="004B3DA2" w:rsidP="00F27167" w:rsidRDefault="004B3DA2" w14:paraId="1FD7FDBE" w14:textId="65433341">
      <w:pPr>
        <w:shd w:val="clear" w:color="auto" w:fill="FFFFFF" w:themeFill="background1"/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i/>
          <w:color w:val="000000" w:themeColor="text1"/>
          <w:szCs w:val="24"/>
        </w:rPr>
        <w:t>Oilfield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>
        <w:rPr>
          <w:rFonts w:cs="Times New Roman"/>
          <w:i/>
          <w:color w:val="000000" w:themeColor="text1"/>
          <w:szCs w:val="24"/>
        </w:rPr>
        <w:t>brake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>
        <w:rPr>
          <w:rFonts w:cs="Times New Roman"/>
          <w:i/>
          <w:color w:val="000000" w:themeColor="text1"/>
          <w:szCs w:val="24"/>
        </w:rPr>
        <w:t>block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>
        <w:rPr>
          <w:rFonts w:cs="Times New Roman"/>
          <w:i/>
          <w:color w:val="000000" w:themeColor="text1"/>
          <w:szCs w:val="24"/>
        </w:rPr>
        <w:t>–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>
        <w:rPr>
          <w:rFonts w:cs="Times New Roman"/>
          <w:i/>
          <w:color w:val="000000" w:themeColor="text1"/>
          <w:szCs w:val="24"/>
        </w:rPr>
        <w:t>end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>
        <w:rPr>
          <w:rFonts w:cs="Times New Roman"/>
          <w:i/>
          <w:color w:val="000000" w:themeColor="text1"/>
          <w:szCs w:val="24"/>
        </w:rPr>
        <w:t>users</w:t>
      </w:r>
      <w:r w:rsidRPr="00C317BB">
        <w:rPr>
          <w:rFonts w:cs="Times New Roman"/>
          <w:color w:val="000000" w:themeColor="text1"/>
          <w:szCs w:val="24"/>
        </w:rPr>
        <w:t>: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identified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small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businesses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oilfield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brake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blocks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such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small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businesses,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does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have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information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needed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calculate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costs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rule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them.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requests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comment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whether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small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businesses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oilfield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brake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blocks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so,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costs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rule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Industry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sources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have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indicated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brake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blocks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declined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over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time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because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type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drilling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rigs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have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replaced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equipment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does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require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brake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blocks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brake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blocks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all.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Since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only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known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importer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small,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likely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few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companies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still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brake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blocks.</w:t>
      </w:r>
    </w:p>
    <w:p w:rsidRPr="00C317BB" w:rsidR="009F651C" w:rsidP="00F27167" w:rsidRDefault="009F651C" w14:paraId="20C72CFE" w14:textId="70E56E0B">
      <w:pPr>
        <w:shd w:val="clear" w:color="auto" w:fill="FFFFFF" w:themeFill="background1"/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i/>
          <w:color w:val="000000" w:themeColor="text1"/>
          <w:szCs w:val="24"/>
        </w:rPr>
        <w:t>Aftermarket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>
        <w:rPr>
          <w:rFonts w:cs="Times New Roman"/>
          <w:i/>
          <w:color w:val="000000" w:themeColor="text1"/>
          <w:szCs w:val="24"/>
        </w:rPr>
        <w:t>auto</w:t>
      </w:r>
      <w:r w:rsidRPr="00C317BB" w:rsidR="001D2C1B">
        <w:rPr>
          <w:rFonts w:cs="Times New Roman"/>
          <w:i/>
          <w:color w:val="000000" w:themeColor="text1"/>
          <w:szCs w:val="24"/>
        </w:rPr>
        <w:t>motive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>
        <w:rPr>
          <w:rFonts w:cs="Times New Roman"/>
          <w:i/>
          <w:color w:val="000000" w:themeColor="text1"/>
          <w:szCs w:val="24"/>
        </w:rPr>
        <w:t>brakes</w:t>
      </w:r>
      <w:r w:rsidRPr="00C317BB">
        <w:rPr>
          <w:rFonts w:cs="Times New Roman"/>
          <w:color w:val="000000" w:themeColor="text1"/>
          <w:szCs w:val="24"/>
        </w:rPr>
        <w:t>: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35FD6">
        <w:rPr>
          <w:rFonts w:cs="Times New Roman"/>
          <w:color w:val="000000" w:themeColor="text1"/>
          <w:szCs w:val="24"/>
        </w:rPr>
        <w:t>Twelve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E1AE9">
        <w:rPr>
          <w:rFonts w:cs="Times New Roman"/>
          <w:color w:val="000000" w:themeColor="text1"/>
          <w:szCs w:val="24"/>
        </w:rPr>
        <w:t>firms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E1AE9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E1AE9">
        <w:rPr>
          <w:rFonts w:cs="Times New Roman"/>
          <w:color w:val="000000" w:themeColor="text1"/>
          <w:szCs w:val="24"/>
        </w:rPr>
        <w:t>estimated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E1AE9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E1AE9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E1AE9">
        <w:rPr>
          <w:rFonts w:cs="Times New Roman"/>
          <w:color w:val="000000" w:themeColor="text1"/>
          <w:szCs w:val="24"/>
        </w:rPr>
        <w:t>affected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E1AE9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E1AE9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E1AE9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E1AE9">
        <w:rPr>
          <w:rFonts w:cs="Times New Roman"/>
          <w:color w:val="000000" w:themeColor="text1"/>
          <w:szCs w:val="24"/>
        </w:rPr>
        <w:t>rule</w:t>
      </w:r>
      <w:r w:rsidRPr="00C317BB" w:rsidR="00ED6038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D6038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D6038">
        <w:rPr>
          <w:rFonts w:cs="Times New Roman"/>
          <w:color w:val="000000" w:themeColor="text1"/>
          <w:szCs w:val="24"/>
        </w:rPr>
        <w:t>all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D6038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D6038">
        <w:rPr>
          <w:rFonts w:cs="Times New Roman"/>
          <w:color w:val="000000" w:themeColor="text1"/>
          <w:szCs w:val="24"/>
        </w:rPr>
        <w:t>them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D6038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D6038">
        <w:rPr>
          <w:rFonts w:cs="Times New Roman"/>
          <w:color w:val="000000" w:themeColor="text1"/>
          <w:szCs w:val="24"/>
        </w:rPr>
        <w:t>assumed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D6038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D6038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D6038">
        <w:rPr>
          <w:rFonts w:cs="Times New Roman"/>
          <w:color w:val="000000" w:themeColor="text1"/>
          <w:szCs w:val="24"/>
        </w:rPr>
        <w:t>small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D6038">
        <w:rPr>
          <w:rFonts w:cs="Times New Roman"/>
          <w:color w:val="000000" w:themeColor="text1"/>
          <w:szCs w:val="24"/>
        </w:rPr>
        <w:t>businesses</w:t>
      </w:r>
      <w:bookmarkStart w:name="_Hlk98245716" w:id="50"/>
      <w:r w:rsidRPr="00C317BB" w:rsidR="003E1AE9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4226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4226">
        <w:rPr>
          <w:rFonts w:cs="Times New Roman"/>
          <w:color w:val="000000" w:themeColor="text1"/>
          <w:szCs w:val="24"/>
        </w:rPr>
        <w:t>described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4226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4226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4226">
        <w:rPr>
          <w:rFonts w:cs="Times New Roman"/>
          <w:color w:val="000000" w:themeColor="text1"/>
          <w:szCs w:val="24"/>
        </w:rPr>
        <w:t>Economic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4226">
        <w:rPr>
          <w:rFonts w:cs="Times New Roman"/>
          <w:color w:val="000000" w:themeColor="text1"/>
          <w:szCs w:val="24"/>
        </w:rPr>
        <w:t>Analysis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4226">
        <w:rPr>
          <w:rFonts w:cs="Times New Roman"/>
          <w:color w:val="000000" w:themeColor="text1"/>
          <w:szCs w:val="24"/>
        </w:rPr>
        <w:t>(Ref.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4226">
        <w:rPr>
          <w:rFonts w:cs="Times New Roman"/>
          <w:color w:val="000000" w:themeColor="text1"/>
          <w:szCs w:val="24"/>
        </w:rPr>
        <w:t>2),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4226">
        <w:rPr>
          <w:rFonts w:cs="Times New Roman"/>
          <w:color w:val="000000" w:themeColor="text1"/>
          <w:szCs w:val="24"/>
        </w:rPr>
        <w:t>b</w:t>
      </w:r>
      <w:r w:rsidRPr="00C317BB">
        <w:rPr>
          <w:rFonts w:cs="Times New Roman"/>
          <w:color w:val="000000" w:themeColor="text1"/>
          <w:szCs w:val="24"/>
        </w:rPr>
        <w:t>rakes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estimated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have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very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small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share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73FB1">
        <w:rPr>
          <w:rFonts w:cs="Times New Roman"/>
          <w:color w:val="000000" w:themeColor="text1"/>
          <w:szCs w:val="24"/>
        </w:rPr>
        <w:t>(0.002%)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total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market,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impact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rule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modest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(estimated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range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between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$</w:t>
      </w:r>
      <w:r w:rsidRPr="00C317BB" w:rsidR="003E314F">
        <w:rPr>
          <w:rFonts w:cs="Times New Roman"/>
          <w:color w:val="000000" w:themeColor="text1"/>
          <w:szCs w:val="24"/>
        </w:rPr>
        <w:t>8</w:t>
      </w:r>
      <w:r w:rsidRPr="00C317BB" w:rsidR="00CA6F8D">
        <w:rPr>
          <w:rFonts w:cs="Times New Roman"/>
          <w:color w:val="000000" w:themeColor="text1"/>
          <w:szCs w:val="24"/>
        </w:rPr>
        <w:t>00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$</w:t>
      </w:r>
      <w:r w:rsidRPr="00C317BB" w:rsidR="00CA6F8D">
        <w:rPr>
          <w:rFonts w:cs="Times New Roman"/>
          <w:color w:val="000000" w:themeColor="text1"/>
          <w:szCs w:val="24"/>
        </w:rPr>
        <w:t>12,000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establishment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based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incremental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$4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brake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annual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recordkeeping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costs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approximately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$178).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bookmarkEnd w:id="50"/>
      <w:r w:rsidRPr="00C317BB">
        <w:rPr>
          <w:rFonts w:cs="Times New Roman"/>
          <w:color w:val="000000" w:themeColor="text1"/>
          <w:szCs w:val="24"/>
        </w:rPr>
        <w:t>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expected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affected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firms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pass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higher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non-asbestos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brakes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their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customers</w:t>
      </w:r>
      <w:r w:rsidRPr="00C317BB" w:rsidR="00A73FB1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73FB1">
        <w:rPr>
          <w:rFonts w:cs="Times New Roman"/>
          <w:color w:val="000000" w:themeColor="text1"/>
          <w:szCs w:val="24"/>
        </w:rPr>
        <w:t>who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73FB1">
        <w:rPr>
          <w:rFonts w:cs="Times New Roman"/>
          <w:color w:val="000000" w:themeColor="text1"/>
          <w:szCs w:val="24"/>
        </w:rPr>
        <w:t>may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73FB1">
        <w:rPr>
          <w:rFonts w:cs="Times New Roman"/>
          <w:color w:val="000000" w:themeColor="text1"/>
          <w:szCs w:val="24"/>
        </w:rPr>
        <w:t>include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A7579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73FB1">
        <w:rPr>
          <w:rFonts w:cs="Times New Roman"/>
          <w:color w:val="000000" w:themeColor="text1"/>
          <w:szCs w:val="24"/>
        </w:rPr>
        <w:t>small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73FB1">
        <w:rPr>
          <w:rFonts w:cs="Times New Roman"/>
          <w:color w:val="000000" w:themeColor="text1"/>
          <w:szCs w:val="24"/>
        </w:rPr>
        <w:t>businesses</w:t>
      </w:r>
      <w:r w:rsidRPr="00C317BB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73FB1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73FB1">
        <w:rPr>
          <w:rFonts w:cs="Times New Roman"/>
          <w:color w:val="000000" w:themeColor="text1"/>
          <w:szCs w:val="24"/>
        </w:rPr>
        <w:t>did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73FB1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73FB1">
        <w:rPr>
          <w:rFonts w:cs="Times New Roman"/>
          <w:color w:val="000000" w:themeColor="text1"/>
          <w:szCs w:val="24"/>
        </w:rPr>
        <w:t>estimate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73FB1">
        <w:rPr>
          <w:rFonts w:cs="Times New Roman"/>
          <w:color w:val="000000" w:themeColor="text1"/>
          <w:szCs w:val="24"/>
        </w:rPr>
        <w:t>any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73FB1">
        <w:rPr>
          <w:rFonts w:cs="Times New Roman"/>
          <w:color w:val="000000" w:themeColor="text1"/>
          <w:szCs w:val="24"/>
        </w:rPr>
        <w:t>costs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4226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4226">
        <w:rPr>
          <w:rFonts w:cs="Times New Roman"/>
          <w:color w:val="000000" w:themeColor="text1"/>
          <w:szCs w:val="24"/>
        </w:rPr>
        <w:t>these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4226">
        <w:rPr>
          <w:rFonts w:cs="Times New Roman"/>
          <w:color w:val="000000" w:themeColor="text1"/>
          <w:szCs w:val="24"/>
        </w:rPr>
        <w:t>businesses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73FB1">
        <w:rPr>
          <w:rFonts w:cs="Times New Roman"/>
          <w:color w:val="000000" w:themeColor="text1"/>
          <w:szCs w:val="24"/>
        </w:rPr>
        <w:t>associated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73FB1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73FB1">
        <w:rPr>
          <w:rFonts w:cs="Times New Roman"/>
          <w:color w:val="000000" w:themeColor="text1"/>
          <w:szCs w:val="24"/>
        </w:rPr>
        <w:t>finding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4226">
        <w:rPr>
          <w:rFonts w:cs="Times New Roman"/>
          <w:color w:val="000000" w:themeColor="text1"/>
          <w:szCs w:val="24"/>
        </w:rPr>
        <w:t>suppliers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F4226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73FB1">
        <w:rPr>
          <w:rFonts w:cs="Times New Roman"/>
          <w:color w:val="000000" w:themeColor="text1"/>
          <w:szCs w:val="24"/>
        </w:rPr>
        <w:t>non-asbestos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73FB1">
        <w:rPr>
          <w:rFonts w:cs="Times New Roman"/>
          <w:color w:val="000000" w:themeColor="text1"/>
          <w:szCs w:val="24"/>
        </w:rPr>
        <w:t>brakes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73FB1">
        <w:rPr>
          <w:rFonts w:cs="Times New Roman"/>
          <w:color w:val="000000" w:themeColor="text1"/>
          <w:szCs w:val="24"/>
        </w:rPr>
        <w:t>because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73FB1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73FB1">
        <w:rPr>
          <w:rFonts w:cs="Times New Roman"/>
          <w:color w:val="000000" w:themeColor="text1"/>
          <w:szCs w:val="24"/>
        </w:rPr>
        <w:t>assumes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73FB1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73FB1">
        <w:rPr>
          <w:rFonts w:cs="Times New Roman"/>
          <w:color w:val="000000" w:themeColor="text1"/>
          <w:szCs w:val="24"/>
        </w:rPr>
        <w:t>these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73FB1">
        <w:rPr>
          <w:rFonts w:cs="Times New Roman"/>
          <w:color w:val="000000" w:themeColor="text1"/>
          <w:szCs w:val="24"/>
        </w:rPr>
        <w:t>businesses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73FB1">
        <w:rPr>
          <w:rFonts w:cs="Times New Roman"/>
          <w:color w:val="000000" w:themeColor="text1"/>
          <w:szCs w:val="24"/>
        </w:rPr>
        <w:t>already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73FB1">
        <w:rPr>
          <w:rFonts w:cs="Times New Roman"/>
          <w:color w:val="000000" w:themeColor="text1"/>
          <w:szCs w:val="24"/>
        </w:rPr>
        <w:t>sell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73FB1">
        <w:rPr>
          <w:rFonts w:cs="Times New Roman"/>
          <w:color w:val="000000" w:themeColor="text1"/>
          <w:szCs w:val="24"/>
        </w:rPr>
        <w:t>non-asbestos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73FB1">
        <w:rPr>
          <w:rFonts w:cs="Times New Roman"/>
          <w:color w:val="000000" w:themeColor="text1"/>
          <w:szCs w:val="24"/>
        </w:rPr>
        <w:t>brakes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73FB1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73FB1">
        <w:rPr>
          <w:rFonts w:cs="Times New Roman"/>
          <w:color w:val="000000" w:themeColor="text1"/>
          <w:szCs w:val="24"/>
        </w:rPr>
        <w:t>well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73FB1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73FB1">
        <w:rPr>
          <w:rFonts w:cs="Times New Roman"/>
          <w:color w:val="000000" w:themeColor="text1"/>
          <w:szCs w:val="24"/>
        </w:rPr>
        <w:t>brakes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73FB1">
        <w:rPr>
          <w:rFonts w:cs="Times New Roman"/>
          <w:color w:val="000000" w:themeColor="text1"/>
          <w:szCs w:val="24"/>
        </w:rPr>
        <w:t>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73FB1">
        <w:rPr>
          <w:rFonts w:cs="Times New Roman"/>
          <w:color w:val="000000" w:themeColor="text1"/>
          <w:szCs w:val="24"/>
        </w:rPr>
        <w:t>asbestos</w:t>
      </w:r>
      <w:r w:rsidRPr="00C317BB" w:rsidR="000F4226">
        <w:rPr>
          <w:rFonts w:cs="Times New Roman"/>
          <w:color w:val="000000" w:themeColor="text1"/>
          <w:szCs w:val="24"/>
        </w:rPr>
        <w:t>.</w:t>
      </w:r>
    </w:p>
    <w:p w:rsidRPr="00C317BB" w:rsidR="009F651C" w:rsidP="00F27167" w:rsidRDefault="009F651C" w14:paraId="1415D435" w14:textId="65B2870C">
      <w:pPr>
        <w:shd w:val="clear" w:color="auto" w:fill="FFFFFF" w:themeFill="background1"/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i/>
          <w:color w:val="000000" w:themeColor="text1"/>
          <w:szCs w:val="24"/>
        </w:rPr>
        <w:t>Other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>
        <w:rPr>
          <w:rFonts w:cs="Times New Roman"/>
          <w:i/>
          <w:color w:val="000000" w:themeColor="text1"/>
          <w:szCs w:val="24"/>
        </w:rPr>
        <w:t>gaskets: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aware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firms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affected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769B1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769B1">
        <w:rPr>
          <w:rFonts w:cs="Times New Roman"/>
          <w:color w:val="000000" w:themeColor="text1"/>
          <w:szCs w:val="24"/>
        </w:rPr>
        <w:t>category</w:t>
      </w:r>
      <w:r w:rsidRPr="00C317BB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since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firm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previously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indicated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</w:t>
      </w:r>
      <w:r w:rsidRPr="00C317BB" w:rsidR="00DE7CE2">
        <w:rPr>
          <w:rFonts w:cs="Times New Roman"/>
          <w:color w:val="000000" w:themeColor="text1"/>
          <w:szCs w:val="24"/>
        </w:rPr>
        <w:t>ese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products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subsequently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stated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does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so.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Therefore,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impacts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predicted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769B1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769B1">
        <w:rPr>
          <w:rFonts w:cs="Times New Roman"/>
          <w:color w:val="000000" w:themeColor="text1"/>
          <w:szCs w:val="24"/>
        </w:rPr>
        <w:t>category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result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rule.</w:t>
      </w:r>
    </w:p>
    <w:p w:rsidRPr="00C317BB" w:rsidR="00156419" w:rsidP="00F27167" w:rsidRDefault="009F651C" w14:paraId="359FD0D7" w14:textId="47D4D602">
      <w:pPr>
        <w:shd w:val="clear" w:color="auto" w:fill="FFFFFF" w:themeFill="background1"/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i/>
          <w:color w:val="000000" w:themeColor="text1"/>
          <w:szCs w:val="24"/>
        </w:rPr>
        <w:t>Other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1D2C1B">
        <w:rPr>
          <w:rFonts w:cs="Times New Roman"/>
          <w:i/>
          <w:color w:val="000000" w:themeColor="text1"/>
          <w:szCs w:val="24"/>
        </w:rPr>
        <w:t>vehicle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>
        <w:rPr>
          <w:rFonts w:cs="Times New Roman"/>
          <w:i/>
          <w:color w:val="000000" w:themeColor="text1"/>
          <w:szCs w:val="24"/>
        </w:rPr>
        <w:t>friction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>
        <w:rPr>
          <w:rFonts w:cs="Times New Roman"/>
          <w:i/>
          <w:color w:val="000000" w:themeColor="text1"/>
          <w:szCs w:val="24"/>
        </w:rPr>
        <w:t>products</w:t>
      </w:r>
      <w:r w:rsidRPr="00C317BB">
        <w:rPr>
          <w:rFonts w:cs="Times New Roman"/>
          <w:color w:val="000000" w:themeColor="text1"/>
          <w:szCs w:val="24"/>
        </w:rPr>
        <w:t>: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aware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E7CE2">
        <w:rPr>
          <w:rFonts w:cs="Times New Roman"/>
          <w:color w:val="000000" w:themeColor="text1"/>
          <w:szCs w:val="24"/>
        </w:rPr>
        <w:t>o</w:t>
      </w:r>
      <w:r w:rsidRPr="00C317BB">
        <w:rPr>
          <w:rFonts w:cs="Times New Roman"/>
          <w:color w:val="000000" w:themeColor="text1"/>
          <w:szCs w:val="24"/>
        </w:rPr>
        <w:t>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firms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E7CE2">
        <w:rPr>
          <w:rFonts w:cs="Times New Roman"/>
          <w:color w:val="000000" w:themeColor="text1"/>
          <w:szCs w:val="24"/>
        </w:rPr>
        <w:t>impacted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E7CE2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D282B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D282B">
        <w:rPr>
          <w:rFonts w:cs="Times New Roman"/>
          <w:color w:val="000000" w:themeColor="text1"/>
          <w:szCs w:val="24"/>
        </w:rPr>
        <w:t>category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E7CE2">
        <w:rPr>
          <w:rFonts w:cs="Times New Roman"/>
          <w:color w:val="000000" w:themeColor="text1"/>
          <w:szCs w:val="24"/>
        </w:rPr>
        <w:t>because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firm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previously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indicated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products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D282B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D282B">
        <w:rPr>
          <w:rFonts w:cs="Times New Roman"/>
          <w:color w:val="000000" w:themeColor="text1"/>
          <w:szCs w:val="24"/>
        </w:rPr>
        <w:t>category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subsequently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stated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does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so.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Therefore,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impacts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predicted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D282B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D282B">
        <w:rPr>
          <w:rFonts w:cs="Times New Roman"/>
          <w:color w:val="000000" w:themeColor="text1"/>
          <w:szCs w:val="24"/>
        </w:rPr>
        <w:t>category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result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rule.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extent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ongoing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uses,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likely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effects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rule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similar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those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aftermarket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auto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brakes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(a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few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firms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facing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small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cost-increase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asbestos-free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products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probably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93709">
        <w:rPr>
          <w:rFonts w:cs="Times New Roman"/>
          <w:color w:val="000000" w:themeColor="text1"/>
          <w:szCs w:val="24"/>
        </w:rPr>
        <w:t>can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passed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consumers).</w:t>
      </w:r>
    </w:p>
    <w:p w:rsidRPr="00C317BB" w:rsidR="004B3DA2" w:rsidP="00F27167" w:rsidRDefault="004B3DA2" w14:paraId="11C95B0C" w14:textId="391E6E3E">
      <w:pPr>
        <w:shd w:val="clear" w:color="auto" w:fill="FFFFFF" w:themeFill="background1"/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Details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analysis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presented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Economic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Analysis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(Ref.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2).</w:t>
      </w:r>
    </w:p>
    <w:p w:rsidRPr="00C317BB" w:rsidR="004B3DA2" w:rsidP="00F27167" w:rsidRDefault="004B3DA2" w14:paraId="74B6A71C" w14:textId="77777777">
      <w:pPr>
        <w:shd w:val="clear" w:color="auto" w:fill="FFFFFF" w:themeFill="background1"/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requests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public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comments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regarding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number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small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businesses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subject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rule,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including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categories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which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identify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affected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small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businesses,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potential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impacts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rule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small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businesses.</w:t>
      </w:r>
    </w:p>
    <w:p w:rsidRPr="00C317BB" w:rsidR="00EA31AD" w:rsidP="00F27167" w:rsidRDefault="00EA31AD" w14:paraId="2C3311FC" w14:textId="77777777">
      <w:pPr>
        <w:shd w:val="clear" w:color="auto" w:fill="FFFFFF" w:themeFill="background1"/>
        <w:rPr>
          <w:rFonts w:cs="Times New Roman"/>
          <w:i/>
          <w:color w:val="000000" w:themeColor="text1"/>
          <w:szCs w:val="24"/>
        </w:rPr>
      </w:pPr>
      <w:r w:rsidRPr="00C317BB">
        <w:rPr>
          <w:rFonts w:cs="Times New Roman"/>
          <w:i/>
          <w:color w:val="000000" w:themeColor="text1"/>
          <w:szCs w:val="24"/>
        </w:rPr>
        <w:t>D.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>
        <w:rPr>
          <w:rFonts w:cs="Times New Roman"/>
          <w:i/>
          <w:color w:val="000000" w:themeColor="text1"/>
          <w:szCs w:val="24"/>
        </w:rPr>
        <w:t>Unfunded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>
        <w:rPr>
          <w:rFonts w:cs="Times New Roman"/>
          <w:i/>
          <w:color w:val="000000" w:themeColor="text1"/>
          <w:szCs w:val="24"/>
        </w:rPr>
        <w:t>Mandates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>
        <w:rPr>
          <w:rFonts w:cs="Times New Roman"/>
          <w:i/>
          <w:color w:val="000000" w:themeColor="text1"/>
          <w:szCs w:val="24"/>
        </w:rPr>
        <w:t>Reform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>
        <w:rPr>
          <w:rFonts w:cs="Times New Roman"/>
          <w:i/>
          <w:color w:val="000000" w:themeColor="text1"/>
          <w:szCs w:val="24"/>
        </w:rPr>
        <w:t>Act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>
        <w:rPr>
          <w:rFonts w:cs="Times New Roman"/>
          <w:i/>
          <w:color w:val="000000" w:themeColor="text1"/>
          <w:szCs w:val="24"/>
        </w:rPr>
        <w:t>(UMRA)</w:t>
      </w:r>
    </w:p>
    <w:p w:rsidRPr="00C317BB" w:rsidR="00911652" w:rsidP="00F27167" w:rsidRDefault="005613B2" w14:paraId="1E81D714" w14:textId="54A14702">
      <w:pPr>
        <w:ind w:firstLine="720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 </w:t>
      </w:r>
      <w:r w:rsidRPr="00C317BB" w:rsidR="00911652">
        <w:rPr>
          <w:rFonts w:cs="Times New Roman"/>
          <w:color w:val="000000" w:themeColor="text1"/>
          <w:szCs w:val="24"/>
        </w:rPr>
        <w:t>This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911652">
        <w:rPr>
          <w:rFonts w:cs="Times New Roman"/>
          <w:color w:val="000000" w:themeColor="text1"/>
          <w:szCs w:val="24"/>
        </w:rPr>
        <w:t>action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911652">
        <w:rPr>
          <w:rFonts w:cs="Times New Roman"/>
          <w:color w:val="000000" w:themeColor="text1"/>
          <w:szCs w:val="24"/>
        </w:rPr>
        <w:t>contains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911652">
        <w:rPr>
          <w:rFonts w:cs="Times New Roman"/>
          <w:color w:val="000000" w:themeColor="text1"/>
          <w:szCs w:val="24"/>
        </w:rPr>
        <w:t>a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911652">
        <w:rPr>
          <w:rFonts w:cs="Times New Roman"/>
          <w:color w:val="000000" w:themeColor="text1"/>
          <w:szCs w:val="24"/>
        </w:rPr>
        <w:t>federal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911652">
        <w:rPr>
          <w:rFonts w:cs="Times New Roman"/>
          <w:color w:val="000000" w:themeColor="text1"/>
          <w:szCs w:val="24"/>
        </w:rPr>
        <w:t>mandate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911652">
        <w:rPr>
          <w:rFonts w:cs="Times New Roman"/>
          <w:color w:val="000000" w:themeColor="text1"/>
          <w:szCs w:val="24"/>
        </w:rPr>
        <w:t>under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911652">
        <w:rPr>
          <w:rFonts w:cs="Times New Roman"/>
          <w:color w:val="000000" w:themeColor="text1"/>
          <w:szCs w:val="24"/>
        </w:rPr>
        <w:t>UMRA,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911652">
        <w:rPr>
          <w:rFonts w:cs="Times New Roman"/>
          <w:color w:val="000000" w:themeColor="text1"/>
          <w:szCs w:val="24"/>
        </w:rPr>
        <w:t>2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911652">
        <w:rPr>
          <w:rFonts w:cs="Times New Roman"/>
          <w:color w:val="000000" w:themeColor="text1"/>
          <w:szCs w:val="24"/>
        </w:rPr>
        <w:t>U.S.C.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911652">
        <w:rPr>
          <w:rFonts w:cs="Times New Roman"/>
          <w:color w:val="000000" w:themeColor="text1"/>
          <w:szCs w:val="24"/>
        </w:rPr>
        <w:t>1531–1538,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911652">
        <w:rPr>
          <w:rFonts w:cs="Times New Roman"/>
          <w:color w:val="000000" w:themeColor="text1"/>
          <w:szCs w:val="24"/>
        </w:rPr>
        <w:t>that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911652">
        <w:rPr>
          <w:rFonts w:cs="Times New Roman"/>
          <w:color w:val="000000" w:themeColor="text1"/>
          <w:szCs w:val="24"/>
        </w:rPr>
        <w:t>may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911652">
        <w:rPr>
          <w:rFonts w:cs="Times New Roman"/>
          <w:color w:val="000000" w:themeColor="text1"/>
          <w:szCs w:val="24"/>
        </w:rPr>
        <w:t>result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911652">
        <w:rPr>
          <w:rFonts w:cs="Times New Roman"/>
          <w:color w:val="000000" w:themeColor="text1"/>
          <w:szCs w:val="24"/>
        </w:rPr>
        <w:t>in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911652">
        <w:rPr>
          <w:rFonts w:cs="Times New Roman"/>
          <w:color w:val="000000" w:themeColor="text1"/>
          <w:szCs w:val="24"/>
        </w:rPr>
        <w:t>expenditures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911652">
        <w:rPr>
          <w:rFonts w:cs="Times New Roman"/>
          <w:color w:val="000000" w:themeColor="text1"/>
          <w:szCs w:val="24"/>
        </w:rPr>
        <w:t>of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911652">
        <w:rPr>
          <w:rFonts w:cs="Times New Roman"/>
          <w:color w:val="000000" w:themeColor="text1"/>
          <w:szCs w:val="24"/>
        </w:rPr>
        <w:t>$100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911652">
        <w:rPr>
          <w:rFonts w:cs="Times New Roman"/>
          <w:color w:val="000000" w:themeColor="text1"/>
          <w:szCs w:val="24"/>
        </w:rPr>
        <w:t>million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911652">
        <w:rPr>
          <w:rFonts w:cs="Times New Roman"/>
          <w:color w:val="000000" w:themeColor="text1"/>
          <w:szCs w:val="24"/>
        </w:rPr>
        <w:t>or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911652">
        <w:rPr>
          <w:rFonts w:cs="Times New Roman"/>
          <w:color w:val="000000" w:themeColor="text1"/>
          <w:szCs w:val="24"/>
        </w:rPr>
        <w:t>more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911652">
        <w:rPr>
          <w:rFonts w:cs="Times New Roman"/>
          <w:color w:val="000000" w:themeColor="text1"/>
          <w:szCs w:val="24"/>
        </w:rPr>
        <w:t>for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911652">
        <w:rPr>
          <w:rFonts w:cs="Times New Roman"/>
          <w:color w:val="000000" w:themeColor="text1"/>
          <w:szCs w:val="24"/>
        </w:rPr>
        <w:t>state,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911652">
        <w:rPr>
          <w:rFonts w:cs="Times New Roman"/>
          <w:color w:val="000000" w:themeColor="text1"/>
          <w:szCs w:val="24"/>
        </w:rPr>
        <w:t>local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911652">
        <w:rPr>
          <w:rFonts w:cs="Times New Roman"/>
          <w:color w:val="000000" w:themeColor="text1"/>
          <w:szCs w:val="24"/>
        </w:rPr>
        <w:t>and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911652">
        <w:rPr>
          <w:rFonts w:cs="Times New Roman"/>
          <w:color w:val="000000" w:themeColor="text1"/>
          <w:szCs w:val="24"/>
        </w:rPr>
        <w:t>tribal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911652">
        <w:rPr>
          <w:rFonts w:cs="Times New Roman"/>
          <w:color w:val="000000" w:themeColor="text1"/>
          <w:szCs w:val="24"/>
        </w:rPr>
        <w:t>governments,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911652">
        <w:rPr>
          <w:rFonts w:cs="Times New Roman"/>
          <w:color w:val="000000" w:themeColor="text1"/>
          <w:szCs w:val="24"/>
        </w:rPr>
        <w:t>in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911652">
        <w:rPr>
          <w:rFonts w:cs="Times New Roman"/>
          <w:color w:val="000000" w:themeColor="text1"/>
          <w:szCs w:val="24"/>
        </w:rPr>
        <w:t>the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911652">
        <w:rPr>
          <w:rFonts w:cs="Times New Roman"/>
          <w:color w:val="000000" w:themeColor="text1"/>
          <w:szCs w:val="24"/>
        </w:rPr>
        <w:t>aggregate,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911652">
        <w:rPr>
          <w:rFonts w:cs="Times New Roman"/>
          <w:color w:val="000000" w:themeColor="text1"/>
          <w:szCs w:val="24"/>
        </w:rPr>
        <w:t>or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911652">
        <w:rPr>
          <w:rFonts w:cs="Times New Roman"/>
          <w:color w:val="000000" w:themeColor="text1"/>
          <w:szCs w:val="24"/>
        </w:rPr>
        <w:t>the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911652">
        <w:rPr>
          <w:rFonts w:cs="Times New Roman"/>
          <w:color w:val="000000" w:themeColor="text1"/>
          <w:szCs w:val="24"/>
        </w:rPr>
        <w:t>private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911652">
        <w:rPr>
          <w:rFonts w:cs="Times New Roman"/>
          <w:color w:val="000000" w:themeColor="text1"/>
          <w:szCs w:val="24"/>
        </w:rPr>
        <w:t>sector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911652">
        <w:rPr>
          <w:rFonts w:cs="Times New Roman"/>
          <w:color w:val="000000" w:themeColor="text1"/>
          <w:szCs w:val="24"/>
        </w:rPr>
        <w:t>in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911652">
        <w:rPr>
          <w:rFonts w:cs="Times New Roman"/>
          <w:color w:val="000000" w:themeColor="text1"/>
          <w:szCs w:val="24"/>
        </w:rPr>
        <w:t>any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911652">
        <w:rPr>
          <w:rFonts w:cs="Times New Roman"/>
          <w:color w:val="000000" w:themeColor="text1"/>
          <w:szCs w:val="24"/>
        </w:rPr>
        <w:t>one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911652">
        <w:rPr>
          <w:rFonts w:cs="Times New Roman"/>
          <w:color w:val="000000" w:themeColor="text1"/>
          <w:szCs w:val="24"/>
        </w:rPr>
        <w:t>year.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911652">
        <w:rPr>
          <w:rFonts w:cs="Times New Roman"/>
          <w:color w:val="000000" w:themeColor="text1"/>
          <w:szCs w:val="24"/>
        </w:rPr>
        <w:t>Accordingly,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911652">
        <w:rPr>
          <w:rFonts w:cs="Times New Roman"/>
          <w:color w:val="000000" w:themeColor="text1"/>
          <w:szCs w:val="24"/>
        </w:rPr>
        <w:t>the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911652">
        <w:rPr>
          <w:rFonts w:cs="Times New Roman"/>
          <w:color w:val="000000" w:themeColor="text1"/>
          <w:szCs w:val="24"/>
        </w:rPr>
        <w:t>EPA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911652">
        <w:rPr>
          <w:rFonts w:cs="Times New Roman"/>
          <w:color w:val="000000" w:themeColor="text1"/>
          <w:szCs w:val="24"/>
        </w:rPr>
        <w:t>has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911652">
        <w:rPr>
          <w:rFonts w:cs="Times New Roman"/>
          <w:color w:val="000000" w:themeColor="text1"/>
          <w:szCs w:val="24"/>
        </w:rPr>
        <w:t>prepared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911652">
        <w:rPr>
          <w:rFonts w:cs="Times New Roman"/>
          <w:color w:val="000000" w:themeColor="text1"/>
          <w:szCs w:val="24"/>
        </w:rPr>
        <w:t>a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911652">
        <w:rPr>
          <w:rFonts w:cs="Times New Roman"/>
          <w:color w:val="000000" w:themeColor="text1"/>
          <w:szCs w:val="24"/>
        </w:rPr>
        <w:t>written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911652">
        <w:rPr>
          <w:rFonts w:cs="Times New Roman"/>
          <w:color w:val="000000" w:themeColor="text1"/>
          <w:szCs w:val="24"/>
        </w:rPr>
        <w:t>statement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911652">
        <w:rPr>
          <w:rFonts w:cs="Times New Roman"/>
          <w:color w:val="000000" w:themeColor="text1"/>
          <w:szCs w:val="24"/>
        </w:rPr>
        <w:t>required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911652">
        <w:rPr>
          <w:rFonts w:cs="Times New Roman"/>
          <w:color w:val="000000" w:themeColor="text1"/>
          <w:szCs w:val="24"/>
        </w:rPr>
        <w:t>under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911652">
        <w:rPr>
          <w:rFonts w:cs="Times New Roman"/>
          <w:color w:val="000000" w:themeColor="text1"/>
          <w:szCs w:val="24"/>
        </w:rPr>
        <w:t>section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911652">
        <w:rPr>
          <w:rFonts w:cs="Times New Roman"/>
          <w:color w:val="000000" w:themeColor="text1"/>
          <w:szCs w:val="24"/>
        </w:rPr>
        <w:t>202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911652">
        <w:rPr>
          <w:rFonts w:cs="Times New Roman"/>
          <w:color w:val="000000" w:themeColor="text1"/>
          <w:szCs w:val="24"/>
        </w:rPr>
        <w:t>of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911652">
        <w:rPr>
          <w:rFonts w:cs="Times New Roman"/>
          <w:color w:val="000000" w:themeColor="text1"/>
          <w:szCs w:val="24"/>
        </w:rPr>
        <w:t>UMRA.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911652">
        <w:rPr>
          <w:rFonts w:cs="Times New Roman"/>
          <w:color w:val="000000" w:themeColor="text1"/>
          <w:szCs w:val="24"/>
        </w:rPr>
        <w:t>The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911652">
        <w:rPr>
          <w:rFonts w:cs="Times New Roman"/>
          <w:color w:val="000000" w:themeColor="text1"/>
          <w:szCs w:val="24"/>
        </w:rPr>
        <w:t>statement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911652">
        <w:rPr>
          <w:rFonts w:cs="Times New Roman"/>
          <w:color w:val="000000" w:themeColor="text1"/>
          <w:szCs w:val="24"/>
        </w:rPr>
        <w:t>is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911652">
        <w:rPr>
          <w:rFonts w:cs="Times New Roman"/>
          <w:color w:val="000000" w:themeColor="text1"/>
          <w:szCs w:val="24"/>
        </w:rPr>
        <w:t>included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911652">
        <w:rPr>
          <w:rFonts w:cs="Times New Roman"/>
          <w:color w:val="000000" w:themeColor="text1"/>
          <w:szCs w:val="24"/>
        </w:rPr>
        <w:t>in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911652">
        <w:rPr>
          <w:rFonts w:cs="Times New Roman"/>
          <w:color w:val="000000" w:themeColor="text1"/>
          <w:szCs w:val="24"/>
        </w:rPr>
        <w:t>the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911652">
        <w:rPr>
          <w:rFonts w:cs="Times New Roman"/>
          <w:color w:val="000000" w:themeColor="text1"/>
          <w:szCs w:val="24"/>
        </w:rPr>
        <w:t>docket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911652">
        <w:rPr>
          <w:rFonts w:cs="Times New Roman"/>
          <w:color w:val="000000" w:themeColor="text1"/>
          <w:szCs w:val="24"/>
        </w:rPr>
        <w:t>for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911652">
        <w:rPr>
          <w:rFonts w:cs="Times New Roman"/>
          <w:color w:val="000000" w:themeColor="text1"/>
          <w:szCs w:val="24"/>
        </w:rPr>
        <w:t>this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911652">
        <w:rPr>
          <w:rFonts w:cs="Times New Roman"/>
          <w:color w:val="000000" w:themeColor="text1"/>
          <w:szCs w:val="24"/>
        </w:rPr>
        <w:t>action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911652">
        <w:rPr>
          <w:rFonts w:cs="Times New Roman"/>
          <w:color w:val="000000" w:themeColor="text1"/>
          <w:szCs w:val="24"/>
        </w:rPr>
        <w:t>and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911652">
        <w:rPr>
          <w:rFonts w:cs="Times New Roman"/>
          <w:color w:val="000000" w:themeColor="text1"/>
          <w:szCs w:val="24"/>
        </w:rPr>
        <w:t>briefly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911652">
        <w:rPr>
          <w:rFonts w:cs="Times New Roman"/>
          <w:color w:val="000000" w:themeColor="text1"/>
          <w:szCs w:val="24"/>
        </w:rPr>
        <w:t>summarized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911652">
        <w:rPr>
          <w:rFonts w:cs="Times New Roman"/>
          <w:color w:val="000000" w:themeColor="text1"/>
          <w:szCs w:val="24"/>
        </w:rPr>
        <w:t>here.</w:t>
      </w:r>
      <w:r>
        <w:rPr>
          <w:rFonts w:cs="Times New Roman"/>
          <w:color w:val="000000" w:themeColor="text1"/>
          <w:szCs w:val="24"/>
        </w:rPr>
        <w:t xml:space="preserve"> </w:t>
      </w:r>
    </w:p>
    <w:p w:rsidRPr="00C317BB" w:rsidR="00D57FC2" w:rsidP="00F27167" w:rsidRDefault="00D57FC2" w14:paraId="4182BF34" w14:textId="28B76B61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Total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estimated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compliance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costs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rule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estimated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approximately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$</w:t>
      </w:r>
      <w:r w:rsidRPr="00C317BB" w:rsidR="003E314F">
        <w:rPr>
          <w:rFonts w:cs="Times New Roman"/>
          <w:color w:val="000000" w:themeColor="text1"/>
          <w:szCs w:val="24"/>
        </w:rPr>
        <w:t>909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million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year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first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two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years,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including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costs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sheet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gaskets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chemical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production,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brake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blocks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oil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industry,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vehicle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friction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products,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gaskets.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Thus,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rule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private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sector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exceeds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inflation-adjusted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UMRA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threshold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$100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million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year.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When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longer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term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savings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chlor-alkali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industry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accounted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over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20</w:t>
      </w:r>
      <w:r w:rsidR="005212B8">
        <w:rPr>
          <w:rFonts w:cs="Times New Roman"/>
          <w:color w:val="000000" w:themeColor="text1"/>
          <w:szCs w:val="24"/>
        </w:rPr>
        <w:t>-</w:t>
      </w:r>
      <w:r w:rsidRPr="00C317BB">
        <w:rPr>
          <w:rFonts w:cs="Times New Roman"/>
          <w:color w:val="000000" w:themeColor="text1"/>
          <w:szCs w:val="24"/>
        </w:rPr>
        <w:t>year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period,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quantified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effects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rule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range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Pr="00C317BB" w:rsidR="00B84962">
        <w:rPr>
          <w:rFonts w:cs="Times New Roman"/>
          <w:color w:val="000000" w:themeColor="text1"/>
          <w:szCs w:val="24"/>
        </w:rPr>
        <w:t>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84962">
        <w:rPr>
          <w:rFonts w:cs="Times New Roman"/>
          <w:color w:val="000000" w:themeColor="text1"/>
          <w:szCs w:val="24"/>
        </w:rPr>
        <w:t>incremental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$</w:t>
      </w:r>
      <w:r w:rsidRPr="00C317BB" w:rsidR="003E314F">
        <w:rPr>
          <w:rFonts w:cs="Times New Roman"/>
          <w:color w:val="000000" w:themeColor="text1"/>
          <w:szCs w:val="24"/>
        </w:rPr>
        <w:t>49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million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year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Pr="00C317BB" w:rsidR="00833151">
        <w:rPr>
          <w:rFonts w:cs="Times New Roman"/>
          <w:color w:val="000000" w:themeColor="text1"/>
          <w:szCs w:val="24"/>
        </w:rPr>
        <w:t>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33151">
        <w:rPr>
          <w:rFonts w:cs="Times New Roman"/>
          <w:color w:val="000000" w:themeColor="text1"/>
          <w:szCs w:val="24"/>
        </w:rPr>
        <w:t>incremental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savings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$</w:t>
      </w:r>
      <w:r w:rsidRPr="00C317BB" w:rsidR="003E314F">
        <w:rPr>
          <w:rFonts w:cs="Times New Roman"/>
          <w:color w:val="000000" w:themeColor="text1"/>
          <w:szCs w:val="24"/>
        </w:rPr>
        <w:t>35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million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year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3%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discount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rate.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7%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discount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rate,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01258">
        <w:rPr>
          <w:rFonts w:cs="Times New Roman"/>
          <w:color w:val="000000" w:themeColor="text1"/>
          <w:szCs w:val="24"/>
        </w:rPr>
        <w:t>incremental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effects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range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90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million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year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savings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$300,000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year.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D57FC2" w:rsidP="00F27167" w:rsidRDefault="00D57FC2" w14:paraId="799FE31F" w14:textId="30CC742F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Most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estimated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compliance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costs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incurred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chlor-alkali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industry.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E314F">
        <w:rPr>
          <w:rFonts w:cs="Times New Roman"/>
          <w:color w:val="000000" w:themeColor="text1"/>
          <w:szCs w:val="24"/>
        </w:rPr>
        <w:t>nine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chlor-alkali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plants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affected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rule,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seven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Louisiana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Texas.</w:t>
      </w:r>
    </w:p>
    <w:p w:rsidRPr="00C317BB" w:rsidR="00D57FC2" w:rsidP="00F27167" w:rsidRDefault="000D20A3" w14:paraId="71CD3983" w14:textId="1F9F321F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economic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impact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regulation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national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economy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generally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considered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measurable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only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if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economic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impact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regulation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reaches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0.25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percent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0.5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percent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Gross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Domestic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Product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(GDP)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(Ref.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2</w:t>
      </w:r>
      <w:r w:rsidRPr="00C317BB" w:rsidR="00D238A4">
        <w:rPr>
          <w:rFonts w:cs="Times New Roman"/>
          <w:color w:val="000000" w:themeColor="text1"/>
          <w:szCs w:val="24"/>
        </w:rPr>
        <w:t>6</w:t>
      </w:r>
      <w:r w:rsidRPr="00C317BB">
        <w:rPr>
          <w:rFonts w:cs="Times New Roman"/>
          <w:color w:val="000000" w:themeColor="text1"/>
          <w:szCs w:val="24"/>
        </w:rPr>
        <w:t>)</w:t>
      </w:r>
      <w:r w:rsidRPr="00C317BB" w:rsidR="00D57FC2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Given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current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GDP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71F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71FB">
        <w:rPr>
          <w:rFonts w:cs="Times New Roman"/>
          <w:color w:val="000000" w:themeColor="text1"/>
          <w:szCs w:val="24"/>
        </w:rPr>
        <w:t>$23.17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071FB">
        <w:rPr>
          <w:rFonts w:cs="Times New Roman"/>
          <w:color w:val="000000" w:themeColor="text1"/>
          <w:szCs w:val="24"/>
        </w:rPr>
        <w:t>trillion</w:t>
      </w:r>
      <w:r w:rsidRPr="00C317BB" w:rsidR="00D57FC2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equivalent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cost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$58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billion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$116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billion.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Therefore,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has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concluded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rule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highly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unlikely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have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any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measurable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effect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national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57FC2">
        <w:rPr>
          <w:rFonts w:cs="Times New Roman"/>
          <w:color w:val="000000" w:themeColor="text1"/>
          <w:szCs w:val="24"/>
        </w:rPr>
        <w:t>economy.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D57FC2" w:rsidP="00F27167" w:rsidRDefault="00D57FC2" w14:paraId="332DCF64" w14:textId="4EEC6F0D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quantified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benefits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avoided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cancer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incidence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due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requirements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chlor-alkali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plants,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sheet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gaskets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chemical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production,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aftermarket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automobile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brakes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total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approximately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$</w:t>
      </w:r>
      <w:r w:rsidRPr="00C317BB" w:rsidR="003E314F">
        <w:rPr>
          <w:rFonts w:cs="Times New Roman"/>
          <w:color w:val="000000" w:themeColor="text1"/>
          <w:szCs w:val="24"/>
        </w:rPr>
        <w:t>3,000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year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3%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discount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$</w:t>
      </w:r>
      <w:r w:rsidRPr="00C317BB" w:rsidR="003E314F">
        <w:rPr>
          <w:rFonts w:cs="Times New Roman"/>
          <w:color w:val="000000" w:themeColor="text1"/>
          <w:szCs w:val="24"/>
        </w:rPr>
        <w:t>1,200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year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7%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discount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rate.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additional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unquantified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benefits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reducing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exposures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associated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asbestos,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avoided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cases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non-cancer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health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outcomes.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also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significant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benefits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due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reduction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pollutants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generated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electric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utilities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supply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power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chlor-alkali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plants</w:t>
      </w:r>
    </w:p>
    <w:p w:rsidRPr="00C317BB" w:rsidR="00D57FC2" w:rsidP="00F27167" w:rsidRDefault="00D57FC2" w14:paraId="4D429F88" w14:textId="1D075CDE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Additional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information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EPA’s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estimates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benefits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costs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provided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Units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I.E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V.F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004F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004F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004F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004F">
        <w:rPr>
          <w:rFonts w:cs="Times New Roman"/>
          <w:color w:val="000000" w:themeColor="text1"/>
          <w:szCs w:val="24"/>
        </w:rPr>
        <w:t>Economic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004F">
        <w:rPr>
          <w:rFonts w:cs="Times New Roman"/>
          <w:color w:val="000000" w:themeColor="text1"/>
          <w:szCs w:val="24"/>
        </w:rPr>
        <w:t>Analysis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004F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004F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004F">
        <w:rPr>
          <w:rFonts w:cs="Times New Roman"/>
          <w:color w:val="000000" w:themeColor="text1"/>
          <w:szCs w:val="24"/>
        </w:rPr>
        <w:t>action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004F">
        <w:rPr>
          <w:rFonts w:cs="Times New Roman"/>
          <w:color w:val="000000" w:themeColor="text1"/>
          <w:szCs w:val="24"/>
        </w:rPr>
        <w:t>(Ref.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6004F">
        <w:rPr>
          <w:rFonts w:cs="Times New Roman"/>
          <w:color w:val="000000" w:themeColor="text1"/>
          <w:szCs w:val="24"/>
        </w:rPr>
        <w:t>2)</w:t>
      </w:r>
      <w:r w:rsidRPr="00C317BB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Information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authorizing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legislation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provided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I.B.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Information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prior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consultations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affected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State,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local,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Tribal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governments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provided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Units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VIII.E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VIII.F.</w:t>
      </w:r>
    </w:p>
    <w:p w:rsidRPr="00C317BB" w:rsidR="00911652" w:rsidP="00F27167" w:rsidRDefault="00911652" w14:paraId="7624CA11" w14:textId="02CBD0DD">
      <w:pPr>
        <w:ind w:firstLine="720"/>
        <w:rPr>
          <w:rFonts w:cs="Times New Roman"/>
          <w:i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subject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requirements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203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UMRA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because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contains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regulatory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requirements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might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significantly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uniquely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affect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small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governments.</w:t>
      </w:r>
    </w:p>
    <w:p w:rsidRPr="00C317BB" w:rsidR="00EA31AD" w:rsidP="00F27167" w:rsidRDefault="00EA31AD" w14:paraId="02FD4771" w14:textId="77777777">
      <w:pPr>
        <w:pStyle w:val="Heading2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E.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Executive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13132: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Federalism</w:t>
      </w:r>
    </w:p>
    <w:p w:rsidRPr="00C317BB" w:rsidR="00EA31AD" w:rsidP="00F27167" w:rsidRDefault="00EA31AD" w14:paraId="3E1D47CA" w14:textId="10440A80">
      <w:pPr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ab/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concluded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federalism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implications,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specified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Executive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13132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(64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43255,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August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10,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1999),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because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regulation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F4750">
        <w:rPr>
          <w:rFonts w:cs="Times New Roman"/>
          <w:color w:val="000000" w:themeColor="text1"/>
          <w:szCs w:val="24"/>
        </w:rPr>
        <w:t>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6(a)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preempt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state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law.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provides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following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preliminary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federalism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summary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impact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statement.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Agency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consulted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state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local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officials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early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process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developing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C265F">
        <w:rPr>
          <w:rFonts w:cs="Times New Roman"/>
          <w:color w:val="000000" w:themeColor="text1"/>
          <w:szCs w:val="24"/>
        </w:rPr>
        <w:t>facilitate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C265F">
        <w:rPr>
          <w:rFonts w:cs="Times New Roman"/>
          <w:color w:val="000000" w:themeColor="text1"/>
          <w:szCs w:val="24"/>
        </w:rPr>
        <w:t>their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meaningful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timely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input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development.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invited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following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national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organizations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representing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state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local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elected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officials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meeting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bookmarkStart w:name="_Hlk89950319" w:id="51"/>
      <w:r w:rsidRPr="00C317BB" w:rsidR="00A31952">
        <w:rPr>
          <w:rFonts w:cs="Times New Roman"/>
          <w:color w:val="000000" w:themeColor="text1"/>
          <w:szCs w:val="24"/>
        </w:rPr>
        <w:t>May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31952">
        <w:rPr>
          <w:rFonts w:cs="Times New Roman"/>
          <w:color w:val="000000" w:themeColor="text1"/>
          <w:szCs w:val="24"/>
        </w:rPr>
        <w:t>13,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31952">
        <w:rPr>
          <w:rFonts w:cs="Times New Roman"/>
          <w:color w:val="000000" w:themeColor="text1"/>
          <w:szCs w:val="24"/>
        </w:rPr>
        <w:t>2021</w:t>
      </w:r>
      <w:bookmarkEnd w:id="51"/>
      <w:r w:rsidRPr="00C317BB" w:rsidR="0012714D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Washington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DC: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National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Governors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Association;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National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Conference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State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Legislatures,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Council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State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Governments,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National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League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Cities,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U.S.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Conference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Mayors,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National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Association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Counties,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International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City/County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Management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Association,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National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Association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Towns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Townships,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County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Executives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America,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Environmental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Council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States.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summary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meeting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organizations,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including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views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expressed,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available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docket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(Ref.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75D82">
        <w:rPr>
          <w:rFonts w:cs="Times New Roman"/>
          <w:color w:val="000000" w:themeColor="text1"/>
          <w:szCs w:val="24"/>
        </w:rPr>
        <w:t>7</w:t>
      </w:r>
      <w:r w:rsidRPr="00C317BB">
        <w:rPr>
          <w:rFonts w:cs="Times New Roman"/>
          <w:color w:val="000000" w:themeColor="text1"/>
          <w:szCs w:val="24"/>
        </w:rPr>
        <w:t>).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provided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opportunity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60784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60784">
        <w:rPr>
          <w:rFonts w:cs="Times New Roman"/>
          <w:color w:val="000000" w:themeColor="text1"/>
          <w:szCs w:val="24"/>
        </w:rPr>
        <w:t>these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60784">
        <w:rPr>
          <w:rFonts w:cs="Times New Roman"/>
          <w:color w:val="000000" w:themeColor="text1"/>
          <w:szCs w:val="24"/>
        </w:rPr>
        <w:t>organizations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provide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follow-up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comments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writing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60784">
        <w:rPr>
          <w:rFonts w:cs="Times New Roman"/>
          <w:color w:val="000000" w:themeColor="text1"/>
          <w:szCs w:val="24"/>
        </w:rPr>
        <w:t>but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60784">
        <w:rPr>
          <w:rFonts w:cs="Times New Roman"/>
          <w:color w:val="000000" w:themeColor="text1"/>
          <w:szCs w:val="24"/>
        </w:rPr>
        <w:t>did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60784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60784">
        <w:rPr>
          <w:rFonts w:cs="Times New Roman"/>
          <w:color w:val="000000" w:themeColor="text1"/>
          <w:szCs w:val="24"/>
        </w:rPr>
        <w:t>receive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60784">
        <w:rPr>
          <w:rFonts w:cs="Times New Roman"/>
          <w:color w:val="000000" w:themeColor="text1"/>
          <w:szCs w:val="24"/>
        </w:rPr>
        <w:t>any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60784">
        <w:rPr>
          <w:rFonts w:cs="Times New Roman"/>
          <w:color w:val="000000" w:themeColor="text1"/>
          <w:szCs w:val="24"/>
        </w:rPr>
        <w:t>such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60784">
        <w:rPr>
          <w:rFonts w:cs="Times New Roman"/>
          <w:color w:val="000000" w:themeColor="text1"/>
          <w:szCs w:val="24"/>
        </w:rPr>
        <w:t>comments</w:t>
      </w:r>
      <w:r w:rsidRPr="00C317BB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EA31AD" w:rsidP="00F27167" w:rsidRDefault="00EA31AD" w14:paraId="2131D78C" w14:textId="77777777">
      <w:pPr>
        <w:pStyle w:val="Heading2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F.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Executive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13175: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Consultation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Coordination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Indian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Tribal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Governments</w:t>
      </w:r>
    </w:p>
    <w:p w:rsidRPr="00C317BB" w:rsidR="00EA31AD" w:rsidP="00F27167" w:rsidRDefault="00EA31AD" w14:paraId="63B46B40" w14:textId="15C62D67">
      <w:pPr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ab/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does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have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tribal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implications,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specified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Executive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13175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(65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67249,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November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9,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2000).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rulemaking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have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substantial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direct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effects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tribal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government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because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7404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7404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manufactured,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processed,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distributed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commerce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tribes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7404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impose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substantial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direct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compliance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costs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tribal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governments.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Thus,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13175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does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apply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action.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nevertheless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consulted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tribal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officials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during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development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action,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consistent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Policy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Consultation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Coordination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Indian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Tribes.</w:t>
      </w:r>
    </w:p>
    <w:p w:rsidRPr="00C317BB" w:rsidR="00600C36" w:rsidP="00F27167" w:rsidRDefault="00EA31AD" w14:paraId="27594CA2" w14:textId="552AE999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tribal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officials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2126E">
        <w:rPr>
          <w:rFonts w:cs="Times New Roman"/>
          <w:color w:val="000000" w:themeColor="text1"/>
          <w:szCs w:val="24"/>
        </w:rPr>
        <w:t>via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2126E">
        <w:rPr>
          <w:rFonts w:cs="Times New Roman"/>
          <w:color w:val="000000" w:themeColor="text1"/>
          <w:szCs w:val="24"/>
        </w:rPr>
        <w:t>teleconferences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2126E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31952">
        <w:rPr>
          <w:rFonts w:cs="Times New Roman"/>
          <w:color w:val="000000" w:themeColor="text1"/>
          <w:szCs w:val="24"/>
        </w:rPr>
        <w:t>May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31952">
        <w:rPr>
          <w:rFonts w:cs="Times New Roman"/>
          <w:color w:val="000000" w:themeColor="text1"/>
          <w:szCs w:val="24"/>
        </w:rPr>
        <w:t>24,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37FE2">
        <w:rPr>
          <w:rFonts w:cs="Times New Roman"/>
          <w:color w:val="000000" w:themeColor="text1"/>
          <w:szCs w:val="24"/>
        </w:rPr>
        <w:t>2021,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31952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31952">
        <w:rPr>
          <w:rFonts w:cs="Times New Roman"/>
          <w:color w:val="000000" w:themeColor="text1"/>
          <w:szCs w:val="24"/>
        </w:rPr>
        <w:t>June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31952">
        <w:rPr>
          <w:rFonts w:cs="Times New Roman"/>
          <w:color w:val="000000" w:themeColor="text1"/>
          <w:szCs w:val="24"/>
        </w:rPr>
        <w:t>3,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31952">
        <w:rPr>
          <w:rFonts w:cs="Times New Roman"/>
          <w:color w:val="000000" w:themeColor="text1"/>
          <w:szCs w:val="24"/>
        </w:rPr>
        <w:t>2021</w:t>
      </w:r>
      <w:r w:rsidRPr="00C317BB" w:rsidR="0012714D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concerning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prospective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regulation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7404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87404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F4750">
        <w:rPr>
          <w:rFonts w:cs="Times New Roman"/>
          <w:color w:val="000000" w:themeColor="text1"/>
          <w:szCs w:val="24"/>
        </w:rPr>
        <w:t>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6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E24C9">
        <w:rPr>
          <w:rFonts w:cs="Times New Roman"/>
          <w:color w:val="000000" w:themeColor="text1"/>
          <w:szCs w:val="24"/>
        </w:rPr>
        <w:t>(Ref.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258A9">
        <w:rPr>
          <w:rFonts w:cs="Times New Roman"/>
          <w:color w:val="000000" w:themeColor="text1"/>
          <w:szCs w:val="24"/>
        </w:rPr>
        <w:t>8</w:t>
      </w:r>
      <w:r w:rsidRPr="00C317BB" w:rsidR="005E24C9">
        <w:rPr>
          <w:rFonts w:cs="Times New Roman"/>
          <w:color w:val="000000" w:themeColor="text1"/>
          <w:szCs w:val="24"/>
        </w:rPr>
        <w:t>)</w:t>
      </w:r>
      <w:r w:rsidRPr="00C317BB" w:rsidR="006F1F7B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00C36">
        <w:rPr>
          <w:rFonts w:cs="Times New Roman"/>
          <w:color w:val="000000" w:themeColor="text1"/>
          <w:szCs w:val="24"/>
        </w:rPr>
        <w:t>Tribal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00C36">
        <w:rPr>
          <w:rFonts w:cs="Times New Roman"/>
          <w:color w:val="000000" w:themeColor="text1"/>
          <w:szCs w:val="24"/>
        </w:rPr>
        <w:t>officials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00C36">
        <w:rPr>
          <w:rFonts w:cs="Times New Roman"/>
          <w:color w:val="000000" w:themeColor="text1"/>
          <w:szCs w:val="24"/>
        </w:rPr>
        <w:t>were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00C36">
        <w:rPr>
          <w:rFonts w:cs="Times New Roman"/>
          <w:color w:val="000000" w:themeColor="text1"/>
          <w:szCs w:val="24"/>
        </w:rPr>
        <w:t>given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00C36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00C36">
        <w:rPr>
          <w:rFonts w:cs="Times New Roman"/>
          <w:color w:val="000000" w:themeColor="text1"/>
          <w:szCs w:val="24"/>
        </w:rPr>
        <w:t>opportunity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00C36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00C36">
        <w:rPr>
          <w:rFonts w:cs="Times New Roman"/>
          <w:color w:val="000000" w:themeColor="text1"/>
          <w:szCs w:val="24"/>
        </w:rPr>
        <w:t>meaningfully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00C36">
        <w:rPr>
          <w:rFonts w:cs="Times New Roman"/>
          <w:color w:val="000000" w:themeColor="text1"/>
          <w:szCs w:val="24"/>
        </w:rPr>
        <w:t>interact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00C36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00C36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00C36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00C36">
        <w:rPr>
          <w:rFonts w:cs="Times New Roman"/>
          <w:color w:val="000000" w:themeColor="text1"/>
          <w:szCs w:val="24"/>
        </w:rPr>
        <w:t>managers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00C36">
        <w:rPr>
          <w:rFonts w:cs="Times New Roman"/>
          <w:color w:val="000000" w:themeColor="text1"/>
          <w:szCs w:val="24"/>
        </w:rPr>
        <w:t>concerning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00C36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00C36">
        <w:rPr>
          <w:rFonts w:cs="Times New Roman"/>
          <w:color w:val="000000" w:themeColor="text1"/>
          <w:szCs w:val="24"/>
        </w:rPr>
        <w:t>current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00C36">
        <w:rPr>
          <w:rFonts w:cs="Times New Roman"/>
          <w:color w:val="000000" w:themeColor="text1"/>
          <w:szCs w:val="24"/>
        </w:rPr>
        <w:t>status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00C36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00C36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00C36">
        <w:rPr>
          <w:rFonts w:cs="Times New Roman"/>
          <w:color w:val="000000" w:themeColor="text1"/>
          <w:szCs w:val="24"/>
        </w:rPr>
        <w:t>management.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00C36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00C36">
        <w:rPr>
          <w:rFonts w:cs="Times New Roman"/>
          <w:color w:val="000000" w:themeColor="text1"/>
          <w:szCs w:val="24"/>
        </w:rPr>
        <w:t>received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00C36">
        <w:rPr>
          <w:rFonts w:cs="Times New Roman"/>
          <w:color w:val="000000" w:themeColor="text1"/>
          <w:szCs w:val="24"/>
        </w:rPr>
        <w:t>questions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00C36">
        <w:rPr>
          <w:rFonts w:cs="Times New Roman"/>
          <w:color w:val="000000" w:themeColor="text1"/>
          <w:szCs w:val="24"/>
        </w:rPr>
        <w:t>during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00C36">
        <w:rPr>
          <w:rFonts w:cs="Times New Roman"/>
          <w:color w:val="000000" w:themeColor="text1"/>
          <w:szCs w:val="24"/>
        </w:rPr>
        <w:t>both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00C36">
        <w:rPr>
          <w:rFonts w:cs="Times New Roman"/>
          <w:color w:val="000000" w:themeColor="text1"/>
          <w:szCs w:val="24"/>
        </w:rPr>
        <w:t>meetings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00C36">
        <w:rPr>
          <w:rFonts w:cs="Times New Roman"/>
          <w:color w:val="000000" w:themeColor="text1"/>
          <w:szCs w:val="24"/>
        </w:rPr>
        <w:t>held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00C36">
        <w:rPr>
          <w:rFonts w:cs="Times New Roman"/>
          <w:color w:val="000000" w:themeColor="text1"/>
          <w:szCs w:val="24"/>
        </w:rPr>
        <w:t>during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00C36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00C36">
        <w:rPr>
          <w:rFonts w:cs="Times New Roman"/>
          <w:color w:val="000000" w:themeColor="text1"/>
          <w:szCs w:val="24"/>
        </w:rPr>
        <w:t>consultation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00C36">
        <w:rPr>
          <w:rFonts w:cs="Times New Roman"/>
          <w:color w:val="000000" w:themeColor="text1"/>
          <w:szCs w:val="24"/>
        </w:rPr>
        <w:t>period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00C36">
        <w:rPr>
          <w:rFonts w:cs="Times New Roman"/>
          <w:color w:val="000000" w:themeColor="text1"/>
          <w:szCs w:val="24"/>
        </w:rPr>
        <w:t>concerning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00C36">
        <w:rPr>
          <w:rFonts w:cs="Times New Roman"/>
          <w:color w:val="000000" w:themeColor="text1"/>
          <w:szCs w:val="24"/>
        </w:rPr>
        <w:t>potential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00C36">
        <w:rPr>
          <w:rFonts w:cs="Times New Roman"/>
          <w:color w:val="000000" w:themeColor="text1"/>
          <w:szCs w:val="24"/>
        </w:rPr>
        <w:t>risks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00C36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00C36">
        <w:rPr>
          <w:rFonts w:cs="Times New Roman"/>
          <w:color w:val="000000" w:themeColor="text1"/>
          <w:szCs w:val="24"/>
        </w:rPr>
        <w:t>workers,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00C36">
        <w:rPr>
          <w:rFonts w:cs="Times New Roman"/>
          <w:color w:val="000000" w:themeColor="text1"/>
          <w:szCs w:val="24"/>
        </w:rPr>
        <w:t>consumers,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00C36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00C36">
        <w:rPr>
          <w:rFonts w:cs="Times New Roman"/>
          <w:color w:val="000000" w:themeColor="text1"/>
          <w:szCs w:val="24"/>
        </w:rPr>
        <w:t>general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00C36">
        <w:rPr>
          <w:rFonts w:cs="Times New Roman"/>
          <w:color w:val="000000" w:themeColor="text1"/>
          <w:szCs w:val="24"/>
        </w:rPr>
        <w:t>population</w:t>
      </w:r>
      <w:r w:rsidRPr="00C317BB" w:rsidR="008C56A6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03A42">
        <w:rPr>
          <w:rFonts w:cs="Times New Roman"/>
          <w:color w:val="000000" w:themeColor="text1"/>
          <w:szCs w:val="24"/>
        </w:rPr>
        <w:t>P</w:t>
      </w:r>
      <w:r w:rsidRPr="00C317BB" w:rsidR="00B911D4">
        <w:rPr>
          <w:rFonts w:cs="Times New Roman"/>
          <w:color w:val="000000" w:themeColor="text1"/>
          <w:szCs w:val="24"/>
        </w:rPr>
        <w:t>articipants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911D4">
        <w:rPr>
          <w:rFonts w:cs="Times New Roman"/>
          <w:color w:val="000000" w:themeColor="text1"/>
          <w:szCs w:val="24"/>
        </w:rPr>
        <w:t>i</w:t>
      </w:r>
      <w:r w:rsidRPr="00C317BB" w:rsidR="00A556AF">
        <w:rPr>
          <w:rFonts w:cs="Times New Roman"/>
          <w:color w:val="000000" w:themeColor="text1"/>
          <w:szCs w:val="24"/>
        </w:rPr>
        <w:t>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556AF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556AF">
        <w:rPr>
          <w:rFonts w:cs="Times New Roman"/>
          <w:color w:val="000000" w:themeColor="text1"/>
          <w:szCs w:val="24"/>
        </w:rPr>
        <w:t>consultations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556AF">
        <w:rPr>
          <w:rFonts w:cs="Times New Roman"/>
          <w:color w:val="000000" w:themeColor="text1"/>
          <w:szCs w:val="24"/>
        </w:rPr>
        <w:t>expressed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556AF">
        <w:rPr>
          <w:rFonts w:cs="Times New Roman"/>
          <w:color w:val="000000" w:themeColor="text1"/>
          <w:szCs w:val="24"/>
        </w:rPr>
        <w:t>interest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556AF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556AF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F3477">
        <w:rPr>
          <w:rFonts w:cs="Times New Roman"/>
          <w:color w:val="000000" w:themeColor="text1"/>
          <w:szCs w:val="24"/>
        </w:rPr>
        <w:t>conditions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F3477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F3477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C03CD">
        <w:rPr>
          <w:rFonts w:cs="Times New Roman"/>
          <w:color w:val="000000" w:themeColor="text1"/>
          <w:szCs w:val="24"/>
        </w:rPr>
        <w:t>where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F3FCF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F3FCF">
        <w:rPr>
          <w:rFonts w:cs="Times New Roman"/>
          <w:color w:val="000000" w:themeColor="text1"/>
          <w:szCs w:val="24"/>
        </w:rPr>
        <w:t>found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F3FCF">
        <w:rPr>
          <w:rFonts w:cs="Times New Roman"/>
          <w:color w:val="000000" w:themeColor="text1"/>
          <w:szCs w:val="24"/>
        </w:rPr>
        <w:t>unreasonabl</w:t>
      </w:r>
      <w:r w:rsidRPr="00C317BB" w:rsidR="00BC03CD">
        <w:rPr>
          <w:rFonts w:cs="Times New Roman"/>
          <w:color w:val="000000" w:themeColor="text1"/>
          <w:szCs w:val="24"/>
        </w:rPr>
        <w:t>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C03CD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556AF">
        <w:rPr>
          <w:rFonts w:cs="Times New Roman"/>
          <w:color w:val="000000" w:themeColor="text1"/>
          <w:szCs w:val="24"/>
        </w:rPr>
        <w:t>an</w:t>
      </w:r>
      <w:r w:rsidRPr="00C317BB" w:rsidR="00FE6652">
        <w:rPr>
          <w:rFonts w:cs="Times New Roman"/>
          <w:color w:val="000000" w:themeColor="text1"/>
          <w:szCs w:val="24"/>
        </w:rPr>
        <w:t>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556AF">
        <w:rPr>
          <w:rFonts w:cs="Times New Roman"/>
          <w:color w:val="000000" w:themeColor="text1"/>
          <w:szCs w:val="24"/>
        </w:rPr>
        <w:t>how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556AF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56664">
        <w:rPr>
          <w:rFonts w:cs="Times New Roman"/>
          <w:color w:val="000000" w:themeColor="text1"/>
          <w:szCs w:val="24"/>
        </w:rPr>
        <w:t>would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0C5A">
        <w:rPr>
          <w:rFonts w:cs="Times New Roman"/>
          <w:color w:val="000000" w:themeColor="text1"/>
          <w:szCs w:val="24"/>
        </w:rPr>
        <w:t>address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0C5A">
        <w:rPr>
          <w:rFonts w:cs="Times New Roman"/>
          <w:color w:val="000000" w:themeColor="text1"/>
          <w:szCs w:val="24"/>
        </w:rPr>
        <w:t>th</w:t>
      </w:r>
      <w:r w:rsidRPr="00C317BB" w:rsidR="0085631A">
        <w:rPr>
          <w:rFonts w:cs="Times New Roman"/>
          <w:color w:val="000000" w:themeColor="text1"/>
          <w:szCs w:val="24"/>
        </w:rPr>
        <w:t>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7B7E">
        <w:rPr>
          <w:rFonts w:cs="Times New Roman"/>
          <w:color w:val="000000" w:themeColor="text1"/>
          <w:szCs w:val="24"/>
        </w:rPr>
        <w:t>unreasonable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D39F8">
        <w:rPr>
          <w:rFonts w:cs="Times New Roman"/>
          <w:color w:val="000000" w:themeColor="text1"/>
          <w:szCs w:val="24"/>
        </w:rPr>
        <w:t>risk</w:t>
      </w:r>
      <w:r w:rsidRPr="00C317BB" w:rsidR="00BC03CD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C03CD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C03CD">
        <w:rPr>
          <w:rFonts w:cs="Times New Roman"/>
          <w:color w:val="000000" w:themeColor="text1"/>
          <w:szCs w:val="24"/>
        </w:rPr>
        <w:t>responded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7B7E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7B7E">
        <w:rPr>
          <w:rFonts w:cs="Times New Roman"/>
          <w:color w:val="000000" w:themeColor="text1"/>
          <w:szCs w:val="24"/>
        </w:rPr>
        <w:t>providing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7B7E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7B7E">
        <w:rPr>
          <w:rFonts w:cs="Times New Roman"/>
          <w:color w:val="000000" w:themeColor="text1"/>
          <w:szCs w:val="24"/>
        </w:rPr>
        <w:t>suite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7B7E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7B7E">
        <w:rPr>
          <w:rFonts w:cs="Times New Roman"/>
          <w:color w:val="000000" w:themeColor="text1"/>
          <w:szCs w:val="24"/>
        </w:rPr>
        <w:t>options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7B7E">
        <w:rPr>
          <w:rFonts w:cs="Times New Roman"/>
          <w:color w:val="000000" w:themeColor="text1"/>
          <w:szCs w:val="24"/>
        </w:rPr>
        <w:t>provided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7B7E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7B7E">
        <w:rPr>
          <w:rFonts w:cs="Times New Roman"/>
          <w:color w:val="000000" w:themeColor="text1"/>
          <w:szCs w:val="24"/>
        </w:rPr>
        <w:t>agency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7B7E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7B7E">
        <w:rPr>
          <w:rFonts w:cs="Times New Roman"/>
          <w:color w:val="000000" w:themeColor="text1"/>
          <w:szCs w:val="24"/>
        </w:rPr>
        <w:t>TSCA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D7B7E">
        <w:rPr>
          <w:rFonts w:cs="Times New Roman"/>
          <w:color w:val="000000" w:themeColor="text1"/>
          <w:szCs w:val="24"/>
        </w:rPr>
        <w:t>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C10FB">
        <w:rPr>
          <w:rFonts w:cs="Times New Roman"/>
          <w:color w:val="000000" w:themeColor="text1"/>
          <w:szCs w:val="24"/>
        </w:rPr>
        <w:t>6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C10F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C10FB">
        <w:rPr>
          <w:rFonts w:cs="Times New Roman"/>
          <w:color w:val="000000" w:themeColor="text1"/>
          <w:szCs w:val="24"/>
        </w:rPr>
        <w:t>address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C10F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C10FB">
        <w:rPr>
          <w:rFonts w:cs="Times New Roman"/>
          <w:color w:val="000000" w:themeColor="text1"/>
          <w:szCs w:val="24"/>
        </w:rPr>
        <w:t>unreasonable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C10FB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00C36">
        <w:rPr>
          <w:rFonts w:cs="Times New Roman"/>
          <w:color w:val="000000" w:themeColor="text1"/>
          <w:szCs w:val="24"/>
        </w:rPr>
        <w:t>(Ref.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00C36">
        <w:rPr>
          <w:rFonts w:cs="Times New Roman"/>
          <w:color w:val="000000" w:themeColor="text1"/>
          <w:szCs w:val="24"/>
        </w:rPr>
        <w:t>8).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EA31AD" w:rsidP="00F27167" w:rsidRDefault="00EA31AD" w14:paraId="0619F2BA" w14:textId="24D31838">
      <w:pPr>
        <w:pStyle w:val="Heading2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G.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Executive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13045: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Protection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Children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Environmental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Health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Risks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Safety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Risks</w:t>
      </w:r>
    </w:p>
    <w:p w:rsidRPr="00C317BB" w:rsidR="00C67271" w:rsidP="00F27167" w:rsidRDefault="00444D6B" w14:paraId="6CD6A7BA" w14:textId="0A7E58EC">
      <w:pPr>
        <w:ind w:firstLine="720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subject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Executive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13045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because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economically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significant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regulatory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defined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Executive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12866,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EPA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believes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environmental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health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safety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addressed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disproportionate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effect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children</w:t>
      </w:r>
      <w:r w:rsidRPr="00C317BB" w:rsidR="00BA6901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7331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7331">
        <w:rPr>
          <w:rFonts w:cs="Times New Roman"/>
          <w:color w:val="000000" w:themeColor="text1"/>
          <w:szCs w:val="24"/>
        </w:rPr>
        <w:t>health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7331">
        <w:rPr>
          <w:rFonts w:cs="Times New Roman"/>
          <w:color w:val="000000" w:themeColor="text1"/>
          <w:szCs w:val="24"/>
        </w:rPr>
        <w:t>effect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7331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7331">
        <w:rPr>
          <w:rFonts w:cs="Times New Roman"/>
          <w:color w:val="000000" w:themeColor="text1"/>
          <w:szCs w:val="24"/>
        </w:rPr>
        <w:t>concern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7331">
        <w:rPr>
          <w:rFonts w:cs="Times New Roman"/>
          <w:color w:val="000000" w:themeColor="text1"/>
          <w:szCs w:val="24"/>
        </w:rPr>
        <w:t>related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7331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7331">
        <w:rPr>
          <w:rFonts w:cs="Times New Roman"/>
          <w:color w:val="000000" w:themeColor="text1"/>
          <w:szCs w:val="24"/>
        </w:rPr>
        <w:t>exposures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7331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7331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7331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7331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7331">
        <w:rPr>
          <w:rFonts w:cs="Times New Roman"/>
          <w:color w:val="000000" w:themeColor="text1"/>
          <w:szCs w:val="24"/>
        </w:rPr>
        <w:t>mesothelioma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7331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7331">
        <w:rPr>
          <w:rFonts w:cs="Times New Roman"/>
          <w:color w:val="000000" w:themeColor="text1"/>
          <w:szCs w:val="24"/>
        </w:rPr>
        <w:t>lung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7331">
        <w:rPr>
          <w:rFonts w:cs="Times New Roman"/>
          <w:color w:val="000000" w:themeColor="text1"/>
          <w:szCs w:val="24"/>
        </w:rPr>
        <w:t>cancer,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7331">
        <w:rPr>
          <w:rFonts w:cs="Times New Roman"/>
          <w:color w:val="000000" w:themeColor="text1"/>
          <w:szCs w:val="24"/>
        </w:rPr>
        <w:t>both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7331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7331">
        <w:rPr>
          <w:rFonts w:cs="Times New Roman"/>
          <w:color w:val="000000" w:themeColor="text1"/>
          <w:szCs w:val="24"/>
        </w:rPr>
        <w:t>which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7331">
        <w:rPr>
          <w:rFonts w:cs="Times New Roman"/>
          <w:color w:val="000000" w:themeColor="text1"/>
          <w:szCs w:val="24"/>
        </w:rPr>
        <w:t>have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7331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7331">
        <w:rPr>
          <w:rFonts w:cs="Times New Roman"/>
          <w:color w:val="000000" w:themeColor="text1"/>
          <w:szCs w:val="24"/>
        </w:rPr>
        <w:t>long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7331">
        <w:rPr>
          <w:rFonts w:cs="Times New Roman"/>
          <w:color w:val="000000" w:themeColor="text1"/>
          <w:szCs w:val="24"/>
        </w:rPr>
        <w:t>latency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7331">
        <w:rPr>
          <w:rFonts w:cs="Times New Roman"/>
          <w:color w:val="000000" w:themeColor="text1"/>
          <w:szCs w:val="24"/>
        </w:rPr>
        <w:t>periods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7331">
        <w:rPr>
          <w:rFonts w:cs="Times New Roman"/>
          <w:color w:val="000000" w:themeColor="text1"/>
          <w:szCs w:val="24"/>
        </w:rPr>
        <w:t>following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7331">
        <w:rPr>
          <w:rFonts w:cs="Times New Roman"/>
          <w:color w:val="000000" w:themeColor="text1"/>
          <w:szCs w:val="24"/>
        </w:rPr>
        <w:t>exposure.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7331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7331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7331">
        <w:rPr>
          <w:rFonts w:cs="Times New Roman"/>
          <w:color w:val="000000" w:themeColor="text1"/>
          <w:szCs w:val="24"/>
        </w:rPr>
        <w:t>evaluation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7331">
        <w:rPr>
          <w:rFonts w:cs="Times New Roman"/>
          <w:color w:val="000000" w:themeColor="text1"/>
          <w:szCs w:val="24"/>
        </w:rPr>
        <w:t>demonstrated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7331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7331">
        <w:rPr>
          <w:rFonts w:cs="Times New Roman"/>
          <w:color w:val="000000" w:themeColor="text1"/>
          <w:szCs w:val="24"/>
        </w:rPr>
        <w:t>sensitivity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7331">
        <w:rPr>
          <w:rFonts w:cs="Times New Roman"/>
          <w:color w:val="000000" w:themeColor="text1"/>
          <w:szCs w:val="24"/>
        </w:rPr>
        <w:t>analyses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7331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7331">
        <w:rPr>
          <w:rFonts w:cs="Times New Roman"/>
          <w:color w:val="000000" w:themeColor="text1"/>
          <w:szCs w:val="24"/>
        </w:rPr>
        <w:t>age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7331">
        <w:rPr>
          <w:rFonts w:cs="Times New Roman"/>
          <w:color w:val="000000" w:themeColor="text1"/>
          <w:szCs w:val="24"/>
        </w:rPr>
        <w:t>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7331">
        <w:rPr>
          <w:rFonts w:cs="Times New Roman"/>
          <w:color w:val="000000" w:themeColor="text1"/>
          <w:szCs w:val="24"/>
        </w:rPr>
        <w:t>first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7331">
        <w:rPr>
          <w:rFonts w:cs="Times New Roman"/>
          <w:color w:val="000000" w:themeColor="text1"/>
          <w:szCs w:val="24"/>
        </w:rPr>
        <w:t>exposure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7331">
        <w:rPr>
          <w:rFonts w:cs="Times New Roman"/>
          <w:color w:val="000000" w:themeColor="text1"/>
          <w:szCs w:val="24"/>
        </w:rPr>
        <w:t>affected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7331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7331">
        <w:rPr>
          <w:rFonts w:cs="Times New Roman"/>
          <w:color w:val="000000" w:themeColor="text1"/>
          <w:szCs w:val="24"/>
        </w:rPr>
        <w:t>estimates,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7331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7331">
        <w:rPr>
          <w:rFonts w:cs="Times New Roman"/>
          <w:color w:val="000000" w:themeColor="text1"/>
          <w:szCs w:val="24"/>
        </w:rPr>
        <w:t>earlier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7331">
        <w:rPr>
          <w:rFonts w:cs="Times New Roman"/>
          <w:color w:val="000000" w:themeColor="text1"/>
          <w:szCs w:val="24"/>
        </w:rPr>
        <w:t>exposures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7331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7331">
        <w:rPr>
          <w:rFonts w:cs="Times New Roman"/>
          <w:color w:val="000000" w:themeColor="text1"/>
          <w:szCs w:val="24"/>
        </w:rPr>
        <w:t>life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7331">
        <w:rPr>
          <w:rFonts w:cs="Times New Roman"/>
          <w:color w:val="000000" w:themeColor="text1"/>
          <w:szCs w:val="24"/>
        </w:rPr>
        <w:t>resulting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7331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7331">
        <w:rPr>
          <w:rFonts w:cs="Times New Roman"/>
          <w:color w:val="000000" w:themeColor="text1"/>
          <w:szCs w:val="24"/>
        </w:rPr>
        <w:t>greater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7331">
        <w:rPr>
          <w:rFonts w:cs="Times New Roman"/>
          <w:color w:val="000000" w:themeColor="text1"/>
          <w:szCs w:val="24"/>
        </w:rPr>
        <w:t>risk.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7331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7331">
        <w:rPr>
          <w:rFonts w:cs="Times New Roman"/>
          <w:color w:val="000000" w:themeColor="text1"/>
          <w:szCs w:val="24"/>
        </w:rPr>
        <w:t>children,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7331">
        <w:rPr>
          <w:rFonts w:cs="Times New Roman"/>
          <w:color w:val="000000" w:themeColor="text1"/>
          <w:szCs w:val="24"/>
        </w:rPr>
        <w:t>exposures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7331">
        <w:rPr>
          <w:rFonts w:cs="Times New Roman"/>
          <w:color w:val="000000" w:themeColor="text1"/>
          <w:szCs w:val="24"/>
        </w:rPr>
        <w:t>can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7331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7331">
        <w:rPr>
          <w:rFonts w:cs="Times New Roman"/>
          <w:color w:val="000000" w:themeColor="text1"/>
          <w:szCs w:val="24"/>
        </w:rPr>
        <w:t>anticipated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7331">
        <w:rPr>
          <w:rFonts w:cs="Times New Roman"/>
          <w:color w:val="000000" w:themeColor="text1"/>
          <w:szCs w:val="24"/>
        </w:rPr>
        <w:t>(1)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7331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7331">
        <w:rPr>
          <w:rFonts w:cs="Times New Roman"/>
          <w:color w:val="000000" w:themeColor="text1"/>
          <w:szCs w:val="24"/>
        </w:rPr>
        <w:t>bystanders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7331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7331">
        <w:rPr>
          <w:rFonts w:cs="Times New Roman"/>
          <w:color w:val="000000" w:themeColor="text1"/>
          <w:szCs w:val="24"/>
        </w:rPr>
        <w:t>consumer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7331">
        <w:rPr>
          <w:rFonts w:cs="Times New Roman"/>
          <w:color w:val="000000" w:themeColor="text1"/>
          <w:szCs w:val="24"/>
        </w:rPr>
        <w:t>uses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7331">
        <w:rPr>
          <w:rFonts w:cs="Times New Roman"/>
          <w:color w:val="000000" w:themeColor="text1"/>
          <w:szCs w:val="24"/>
        </w:rPr>
        <w:t>such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7331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7331">
        <w:rPr>
          <w:rFonts w:cs="Times New Roman"/>
          <w:color w:val="000000" w:themeColor="text1"/>
          <w:szCs w:val="24"/>
        </w:rPr>
        <w:t>aftermarket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7331">
        <w:rPr>
          <w:rFonts w:cs="Times New Roman"/>
          <w:color w:val="000000" w:themeColor="text1"/>
          <w:szCs w:val="24"/>
        </w:rPr>
        <w:t>brakes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7331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7331">
        <w:rPr>
          <w:rFonts w:cs="Times New Roman"/>
          <w:color w:val="000000" w:themeColor="text1"/>
          <w:szCs w:val="24"/>
        </w:rPr>
        <w:t>(2)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7331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7331">
        <w:rPr>
          <w:rFonts w:cs="Times New Roman"/>
          <w:color w:val="000000" w:themeColor="text1"/>
          <w:szCs w:val="24"/>
        </w:rPr>
        <w:t>consumer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7331">
        <w:rPr>
          <w:rFonts w:cs="Times New Roman"/>
          <w:color w:val="000000" w:themeColor="text1"/>
          <w:szCs w:val="24"/>
        </w:rPr>
        <w:t>uses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7331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7331">
        <w:rPr>
          <w:rFonts w:cs="Times New Roman"/>
          <w:color w:val="000000" w:themeColor="text1"/>
          <w:szCs w:val="24"/>
        </w:rPr>
        <w:t>occupational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7331">
        <w:rPr>
          <w:rFonts w:cs="Times New Roman"/>
          <w:color w:val="000000" w:themeColor="text1"/>
          <w:szCs w:val="24"/>
        </w:rPr>
        <w:t>uses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7331">
        <w:rPr>
          <w:rFonts w:cs="Times New Roman"/>
          <w:color w:val="000000" w:themeColor="text1"/>
          <w:szCs w:val="24"/>
        </w:rPr>
        <w:t>given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7331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7331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7331">
        <w:rPr>
          <w:rFonts w:cs="Times New Roman"/>
          <w:color w:val="000000" w:themeColor="text1"/>
          <w:szCs w:val="24"/>
        </w:rPr>
        <w:t>risk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7331">
        <w:rPr>
          <w:rFonts w:cs="Times New Roman"/>
          <w:color w:val="000000" w:themeColor="text1"/>
          <w:szCs w:val="24"/>
        </w:rPr>
        <w:t>evaluation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7331">
        <w:rPr>
          <w:rFonts w:cs="Times New Roman"/>
          <w:color w:val="000000" w:themeColor="text1"/>
          <w:szCs w:val="24"/>
        </w:rPr>
        <w:t>presented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7331">
        <w:rPr>
          <w:rFonts w:cs="Times New Roman"/>
          <w:color w:val="000000" w:themeColor="text1"/>
          <w:szCs w:val="24"/>
        </w:rPr>
        <w:t>information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7331">
        <w:rPr>
          <w:rFonts w:cs="Times New Roman"/>
          <w:color w:val="000000" w:themeColor="text1"/>
          <w:szCs w:val="24"/>
        </w:rPr>
        <w:t>indicating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7331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7331">
        <w:rPr>
          <w:rFonts w:cs="Times New Roman"/>
          <w:color w:val="000000" w:themeColor="text1"/>
          <w:szCs w:val="24"/>
        </w:rPr>
        <w:t>children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7331">
        <w:rPr>
          <w:rFonts w:cs="Times New Roman"/>
          <w:color w:val="000000" w:themeColor="text1"/>
          <w:szCs w:val="24"/>
        </w:rPr>
        <w:t>16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7331">
        <w:rPr>
          <w:rFonts w:cs="Times New Roman"/>
          <w:color w:val="000000" w:themeColor="text1"/>
          <w:szCs w:val="24"/>
        </w:rPr>
        <w:t>years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7331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7331">
        <w:rPr>
          <w:rFonts w:cs="Times New Roman"/>
          <w:color w:val="000000" w:themeColor="text1"/>
          <w:szCs w:val="24"/>
        </w:rPr>
        <w:t>age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7331">
        <w:rPr>
          <w:rFonts w:cs="Times New Roman"/>
          <w:color w:val="000000" w:themeColor="text1"/>
          <w:szCs w:val="24"/>
        </w:rPr>
        <w:t>may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7331">
        <w:rPr>
          <w:rFonts w:cs="Times New Roman"/>
          <w:color w:val="000000" w:themeColor="text1"/>
          <w:szCs w:val="24"/>
        </w:rPr>
        <w:t>engage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7331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7331">
        <w:rPr>
          <w:rFonts w:cs="Times New Roman"/>
          <w:color w:val="000000" w:themeColor="text1"/>
          <w:szCs w:val="24"/>
        </w:rPr>
        <w:t>these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7331">
        <w:rPr>
          <w:rFonts w:cs="Times New Roman"/>
          <w:color w:val="000000" w:themeColor="text1"/>
          <w:szCs w:val="24"/>
        </w:rPr>
        <w:t>activities.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results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evaluation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67271">
        <w:rPr>
          <w:rFonts w:cs="Times New Roman"/>
          <w:color w:val="000000" w:themeColor="text1"/>
          <w:szCs w:val="24"/>
        </w:rPr>
        <w:t>discussed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67271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67271">
        <w:rPr>
          <w:rFonts w:cs="Times New Roman"/>
          <w:color w:val="000000" w:themeColor="text1"/>
          <w:szCs w:val="24"/>
        </w:rPr>
        <w:t>Units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67271">
        <w:rPr>
          <w:rFonts w:cs="Times New Roman"/>
          <w:color w:val="000000" w:themeColor="text1"/>
          <w:szCs w:val="24"/>
        </w:rPr>
        <w:t>II.</w:t>
      </w:r>
      <w:r w:rsidRPr="00C317BB" w:rsidR="0026527F">
        <w:rPr>
          <w:rFonts w:cs="Times New Roman"/>
          <w:color w:val="000000" w:themeColor="text1"/>
          <w:szCs w:val="24"/>
        </w:rPr>
        <w:t>A.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6527F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67271">
        <w:rPr>
          <w:rFonts w:cs="Times New Roman"/>
          <w:color w:val="000000" w:themeColor="text1"/>
          <w:szCs w:val="24"/>
        </w:rPr>
        <w:t>V.</w:t>
      </w:r>
      <w:r w:rsidRPr="00C317BB" w:rsidR="0026527F">
        <w:rPr>
          <w:rFonts w:cs="Times New Roman"/>
          <w:color w:val="000000" w:themeColor="text1"/>
          <w:szCs w:val="24"/>
        </w:rPr>
        <w:t>A</w:t>
      </w:r>
      <w:r w:rsidRPr="00C317BB" w:rsidR="005B7331">
        <w:rPr>
          <w:rFonts w:cs="Times New Roman"/>
          <w:color w:val="000000" w:themeColor="text1"/>
          <w:szCs w:val="24"/>
        </w:rPr>
        <w:t>.</w:t>
      </w:r>
    </w:p>
    <w:p w:rsidRPr="00C317BB" w:rsidR="00EA31AD" w:rsidP="00F27167" w:rsidRDefault="00EA31AD" w14:paraId="49EBC2DE" w14:textId="77777777">
      <w:pPr>
        <w:pStyle w:val="Heading2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H.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Executive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13211: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Actions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Concerning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Regulations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Significantly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Affect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Energy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Supply,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Distribution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Commerce,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Use</w:t>
      </w:r>
    </w:p>
    <w:p w:rsidRPr="00C317BB" w:rsidR="00EA31AD" w:rsidP="00F27167" w:rsidRDefault="00EA31AD" w14:paraId="7CDF009F" w14:textId="3952867C">
      <w:pPr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ab/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3960">
        <w:rPr>
          <w:rFonts w:cs="Times New Roman"/>
          <w:color w:val="000000" w:themeColor="text1"/>
          <w:szCs w:val="24"/>
        </w:rPr>
        <w:t>action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3960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3960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3960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3960">
        <w:rPr>
          <w:rFonts w:cs="Times New Roman"/>
          <w:color w:val="000000" w:themeColor="text1"/>
          <w:szCs w:val="24"/>
        </w:rPr>
        <w:t>“significant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3960">
        <w:rPr>
          <w:rFonts w:cs="Times New Roman"/>
          <w:color w:val="000000" w:themeColor="text1"/>
          <w:szCs w:val="24"/>
        </w:rPr>
        <w:t>energy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C3960">
        <w:rPr>
          <w:rFonts w:cs="Times New Roman"/>
          <w:color w:val="000000" w:themeColor="text1"/>
          <w:szCs w:val="24"/>
        </w:rPr>
        <w:t>action”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C489E">
        <w:rPr>
          <w:rFonts w:cs="Times New Roman"/>
          <w:color w:val="000000" w:themeColor="text1"/>
          <w:szCs w:val="24"/>
        </w:rPr>
        <w:t>under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Executive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13211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(66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28355,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May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22,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2001)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C489E">
        <w:rPr>
          <w:rFonts w:cs="Times New Roman"/>
          <w:color w:val="000000" w:themeColor="text1"/>
          <w:szCs w:val="24"/>
        </w:rPr>
        <w:t>because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C489E">
        <w:rPr>
          <w:rFonts w:cs="Times New Roman"/>
          <w:color w:val="000000" w:themeColor="text1"/>
          <w:szCs w:val="24"/>
        </w:rPr>
        <w:t>it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C489E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C489E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C489E">
        <w:rPr>
          <w:rFonts w:cs="Times New Roman"/>
          <w:color w:val="000000" w:themeColor="text1"/>
          <w:szCs w:val="24"/>
        </w:rPr>
        <w:t>likely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C489E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C489E">
        <w:rPr>
          <w:rFonts w:cs="Times New Roman"/>
          <w:color w:val="000000" w:themeColor="text1"/>
          <w:szCs w:val="24"/>
        </w:rPr>
        <w:t>have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C489E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C489E">
        <w:rPr>
          <w:rFonts w:cs="Times New Roman"/>
          <w:color w:val="000000" w:themeColor="text1"/>
          <w:szCs w:val="24"/>
        </w:rPr>
        <w:t>significant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C489E">
        <w:rPr>
          <w:rFonts w:cs="Times New Roman"/>
          <w:color w:val="000000" w:themeColor="text1"/>
          <w:szCs w:val="24"/>
        </w:rPr>
        <w:t>adverse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C489E">
        <w:rPr>
          <w:rFonts w:cs="Times New Roman"/>
          <w:color w:val="000000" w:themeColor="text1"/>
          <w:szCs w:val="24"/>
        </w:rPr>
        <w:t>effect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C489E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C489E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C489E">
        <w:rPr>
          <w:rFonts w:cs="Times New Roman"/>
          <w:color w:val="000000" w:themeColor="text1"/>
          <w:szCs w:val="24"/>
        </w:rPr>
        <w:t>supply,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C489E">
        <w:rPr>
          <w:rFonts w:cs="Times New Roman"/>
          <w:color w:val="000000" w:themeColor="text1"/>
          <w:szCs w:val="24"/>
        </w:rPr>
        <w:t>distribution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C489E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C489E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C489E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C489E">
        <w:rPr>
          <w:rFonts w:cs="Times New Roman"/>
          <w:color w:val="000000" w:themeColor="text1"/>
          <w:szCs w:val="24"/>
        </w:rPr>
        <w:t>energy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60784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60784">
        <w:rPr>
          <w:rFonts w:cs="Times New Roman"/>
          <w:color w:val="000000" w:themeColor="text1"/>
          <w:szCs w:val="24"/>
        </w:rPr>
        <w:t>has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60784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60784">
        <w:rPr>
          <w:rFonts w:cs="Times New Roman"/>
          <w:color w:val="000000" w:themeColor="text1"/>
          <w:szCs w:val="24"/>
        </w:rPr>
        <w:t>otherwise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60784">
        <w:rPr>
          <w:rFonts w:cs="Times New Roman"/>
          <w:color w:val="000000" w:themeColor="text1"/>
          <w:szCs w:val="24"/>
        </w:rPr>
        <w:t>been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60784">
        <w:rPr>
          <w:rFonts w:cs="Times New Roman"/>
          <w:color w:val="000000" w:themeColor="text1"/>
          <w:szCs w:val="24"/>
        </w:rPr>
        <w:t>designated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60784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60784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60784">
        <w:rPr>
          <w:rFonts w:cs="Times New Roman"/>
          <w:color w:val="000000" w:themeColor="text1"/>
          <w:szCs w:val="24"/>
        </w:rPr>
        <w:t>Administrator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60784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60784">
        <w:rPr>
          <w:rFonts w:cs="Times New Roman"/>
          <w:color w:val="000000" w:themeColor="text1"/>
          <w:szCs w:val="24"/>
        </w:rPr>
        <w:t>OMB's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60784">
        <w:rPr>
          <w:rFonts w:cs="Times New Roman"/>
          <w:color w:val="000000" w:themeColor="text1"/>
          <w:szCs w:val="24"/>
        </w:rPr>
        <w:t>Office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60784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60784">
        <w:rPr>
          <w:rFonts w:cs="Times New Roman"/>
          <w:color w:val="000000" w:themeColor="text1"/>
          <w:szCs w:val="24"/>
        </w:rPr>
        <w:t>Information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60784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60784">
        <w:rPr>
          <w:rFonts w:cs="Times New Roman"/>
          <w:color w:val="000000" w:themeColor="text1"/>
          <w:szCs w:val="24"/>
        </w:rPr>
        <w:t>Regulatory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60784">
        <w:rPr>
          <w:rFonts w:cs="Times New Roman"/>
          <w:color w:val="000000" w:themeColor="text1"/>
          <w:szCs w:val="24"/>
        </w:rPr>
        <w:t>Affairs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60784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60784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60784">
        <w:rPr>
          <w:rFonts w:cs="Times New Roman"/>
          <w:color w:val="000000" w:themeColor="text1"/>
          <w:szCs w:val="24"/>
        </w:rPr>
        <w:t>“significant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60784">
        <w:rPr>
          <w:rFonts w:cs="Times New Roman"/>
          <w:color w:val="000000" w:themeColor="text1"/>
          <w:szCs w:val="24"/>
        </w:rPr>
        <w:t>energy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60784">
        <w:rPr>
          <w:rFonts w:cs="Times New Roman"/>
          <w:color w:val="000000" w:themeColor="text1"/>
          <w:szCs w:val="24"/>
        </w:rPr>
        <w:t>action.”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A18C4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A18C4">
        <w:rPr>
          <w:rFonts w:cs="Times New Roman"/>
          <w:color w:val="000000" w:themeColor="text1"/>
          <w:szCs w:val="24"/>
        </w:rPr>
        <w:t>action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A18C4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A18C4">
        <w:rPr>
          <w:rFonts w:cs="Times New Roman"/>
          <w:color w:val="000000" w:themeColor="text1"/>
          <w:szCs w:val="24"/>
        </w:rPr>
        <w:t>predicted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A18C4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A18C4">
        <w:rPr>
          <w:rFonts w:cs="Times New Roman"/>
          <w:color w:val="000000" w:themeColor="text1"/>
          <w:szCs w:val="24"/>
        </w:rPr>
        <w:t>reduce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A18C4">
        <w:rPr>
          <w:rFonts w:cs="Times New Roman"/>
          <w:color w:val="000000" w:themeColor="text1"/>
          <w:szCs w:val="24"/>
        </w:rPr>
        <w:t>energy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A18C4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D0096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D0096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D0096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D0096">
        <w:rPr>
          <w:rFonts w:cs="Times New Roman"/>
          <w:color w:val="000000" w:themeColor="text1"/>
          <w:szCs w:val="24"/>
        </w:rPr>
        <w:t>expected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D0096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305A3">
        <w:rPr>
          <w:rFonts w:cs="Times New Roman"/>
          <w:color w:val="000000" w:themeColor="text1"/>
          <w:szCs w:val="24"/>
        </w:rPr>
        <w:t>reduce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305A3">
        <w:rPr>
          <w:rFonts w:cs="Times New Roman"/>
          <w:color w:val="000000" w:themeColor="text1"/>
          <w:szCs w:val="24"/>
        </w:rPr>
        <w:t>energy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305A3">
        <w:rPr>
          <w:rFonts w:cs="Times New Roman"/>
          <w:color w:val="000000" w:themeColor="text1"/>
          <w:szCs w:val="24"/>
        </w:rPr>
        <w:t>supply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305A3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305A3">
        <w:rPr>
          <w:rFonts w:cs="Times New Roman"/>
          <w:color w:val="000000" w:themeColor="text1"/>
          <w:szCs w:val="24"/>
        </w:rPr>
        <w:t>increase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305A3">
        <w:rPr>
          <w:rFonts w:cs="Times New Roman"/>
          <w:color w:val="000000" w:themeColor="text1"/>
          <w:szCs w:val="24"/>
        </w:rPr>
        <w:t>energy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305A3">
        <w:rPr>
          <w:rFonts w:cs="Times New Roman"/>
          <w:color w:val="000000" w:themeColor="text1"/>
          <w:szCs w:val="24"/>
        </w:rPr>
        <w:t>prices</w:t>
      </w:r>
      <w:r w:rsidRPr="00C317BB" w:rsidR="000F2969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EA31AD" w:rsidP="00F27167" w:rsidRDefault="00EA31AD" w14:paraId="4821EBC1" w14:textId="77777777">
      <w:pPr>
        <w:pStyle w:val="Heading2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I.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National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Technology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Transfer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Advancement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(NTTAA)</w:t>
      </w:r>
    </w:p>
    <w:p w:rsidRPr="00C317BB" w:rsidR="00EA31AD" w:rsidP="00F27167" w:rsidRDefault="00EA31AD" w14:paraId="1D1CD644" w14:textId="0669DBD7">
      <w:pPr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ab/>
      </w:r>
      <w:r w:rsidRPr="00C317BB" w:rsidR="000E4366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4366">
        <w:rPr>
          <w:rFonts w:cs="Times New Roman"/>
          <w:color w:val="000000" w:themeColor="text1"/>
          <w:szCs w:val="24"/>
        </w:rPr>
        <w:t>proposed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4366">
        <w:rPr>
          <w:rFonts w:cs="Times New Roman"/>
          <w:color w:val="000000" w:themeColor="text1"/>
          <w:szCs w:val="24"/>
        </w:rPr>
        <w:t>rulemaking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4366">
        <w:rPr>
          <w:rFonts w:cs="Times New Roman"/>
          <w:color w:val="000000" w:themeColor="text1"/>
          <w:szCs w:val="24"/>
        </w:rPr>
        <w:t>does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4366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4366">
        <w:rPr>
          <w:rFonts w:cs="Times New Roman"/>
          <w:color w:val="000000" w:themeColor="text1"/>
          <w:szCs w:val="24"/>
        </w:rPr>
        <w:t>involve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4366">
        <w:rPr>
          <w:rFonts w:cs="Times New Roman"/>
          <w:color w:val="000000" w:themeColor="text1"/>
          <w:szCs w:val="24"/>
        </w:rPr>
        <w:t>technical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0E4366">
        <w:rPr>
          <w:rFonts w:cs="Times New Roman"/>
          <w:color w:val="000000" w:themeColor="text1"/>
          <w:szCs w:val="24"/>
        </w:rPr>
        <w:t>standards.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052C5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052C5">
        <w:rPr>
          <w:rFonts w:cs="Times New Roman"/>
          <w:color w:val="000000" w:themeColor="text1"/>
          <w:szCs w:val="24"/>
        </w:rPr>
        <w:t>such,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052C5">
        <w:rPr>
          <w:rFonts w:cs="Times New Roman"/>
          <w:color w:val="000000" w:themeColor="text1"/>
          <w:szCs w:val="24"/>
        </w:rPr>
        <w:t>NTTAA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052C5">
        <w:rPr>
          <w:rFonts w:cs="Times New Roman"/>
          <w:color w:val="000000" w:themeColor="text1"/>
          <w:szCs w:val="24"/>
        </w:rPr>
        <w:t>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052C5">
        <w:rPr>
          <w:rFonts w:cs="Times New Roman"/>
          <w:color w:val="000000" w:themeColor="text1"/>
          <w:szCs w:val="24"/>
        </w:rPr>
        <w:t>12(d),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052C5">
        <w:rPr>
          <w:rFonts w:cs="Times New Roman"/>
          <w:color w:val="000000" w:themeColor="text1"/>
          <w:szCs w:val="24"/>
        </w:rPr>
        <w:t>15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052C5">
        <w:rPr>
          <w:rFonts w:cs="Times New Roman"/>
          <w:color w:val="000000" w:themeColor="text1"/>
          <w:szCs w:val="24"/>
        </w:rPr>
        <w:t>U.S.C.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052C5">
        <w:rPr>
          <w:rFonts w:cs="Times New Roman"/>
          <w:color w:val="000000" w:themeColor="text1"/>
          <w:szCs w:val="24"/>
        </w:rPr>
        <w:t>272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052C5">
        <w:rPr>
          <w:rFonts w:cs="Times New Roman"/>
          <w:color w:val="000000" w:themeColor="text1"/>
          <w:szCs w:val="24"/>
        </w:rPr>
        <w:t>note,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052C5">
        <w:rPr>
          <w:rFonts w:cs="Times New Roman"/>
          <w:color w:val="000000" w:themeColor="text1"/>
          <w:szCs w:val="24"/>
        </w:rPr>
        <w:t>does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052C5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052C5">
        <w:rPr>
          <w:rFonts w:cs="Times New Roman"/>
          <w:color w:val="000000" w:themeColor="text1"/>
          <w:szCs w:val="24"/>
        </w:rPr>
        <w:t>apply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052C5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052C5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052C5">
        <w:rPr>
          <w:rFonts w:cs="Times New Roman"/>
          <w:color w:val="000000" w:themeColor="text1"/>
          <w:szCs w:val="24"/>
        </w:rPr>
        <w:t>action.</w:t>
      </w:r>
    </w:p>
    <w:p w:rsidRPr="00C317BB" w:rsidR="00EA31AD" w:rsidP="00F27167" w:rsidRDefault="00EA31AD" w14:paraId="1DA4BF18" w14:textId="25CCDBF7">
      <w:pPr>
        <w:pStyle w:val="Heading2"/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J.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Executive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12898: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Federal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Actions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Address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Environmental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Justice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Minority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Populations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Low-Income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Populations</w:t>
      </w:r>
    </w:p>
    <w:p w:rsidR="003819A2" w:rsidP="00D20970" w:rsidRDefault="005520D1" w14:paraId="375DCB18" w14:textId="17E64B62">
      <w:pPr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does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have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disproportionately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high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adverse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human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health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environmental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effects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minority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populations,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low-income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populations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and/or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indigenous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peoples,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specified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Executive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Order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12898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(59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7629,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February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16,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1994).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A31AD">
        <w:rPr>
          <w:rFonts w:cs="Times New Roman"/>
          <w:color w:val="000000" w:themeColor="text1"/>
          <w:szCs w:val="24"/>
        </w:rPr>
        <w:t>Executive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A31AD">
        <w:rPr>
          <w:rFonts w:cs="Times New Roman"/>
          <w:color w:val="000000" w:themeColor="text1"/>
          <w:szCs w:val="24"/>
        </w:rPr>
        <w:t>Order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A31AD">
        <w:rPr>
          <w:rFonts w:cs="Times New Roman"/>
          <w:color w:val="000000" w:themeColor="text1"/>
          <w:szCs w:val="24"/>
        </w:rPr>
        <w:t>12898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A31AD">
        <w:rPr>
          <w:rFonts w:cs="Times New Roman"/>
          <w:color w:val="000000" w:themeColor="text1"/>
          <w:szCs w:val="24"/>
        </w:rPr>
        <w:t>establishes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A31AD">
        <w:rPr>
          <w:rFonts w:cs="Times New Roman"/>
          <w:color w:val="000000" w:themeColor="text1"/>
          <w:szCs w:val="24"/>
        </w:rPr>
        <w:t>federal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A31AD">
        <w:rPr>
          <w:rFonts w:cs="Times New Roman"/>
          <w:color w:val="000000" w:themeColor="text1"/>
          <w:szCs w:val="24"/>
        </w:rPr>
        <w:t>executive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A31AD">
        <w:rPr>
          <w:rFonts w:cs="Times New Roman"/>
          <w:color w:val="000000" w:themeColor="text1"/>
          <w:szCs w:val="24"/>
        </w:rPr>
        <w:t>policy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A31AD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A31AD">
        <w:rPr>
          <w:rFonts w:cs="Times New Roman"/>
          <w:color w:val="000000" w:themeColor="text1"/>
          <w:szCs w:val="24"/>
        </w:rPr>
        <w:t>environmental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A31AD">
        <w:rPr>
          <w:rFonts w:cs="Times New Roman"/>
          <w:color w:val="000000" w:themeColor="text1"/>
          <w:szCs w:val="24"/>
        </w:rPr>
        <w:t>justice.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A31AD">
        <w:rPr>
          <w:rFonts w:cs="Times New Roman"/>
          <w:color w:val="000000" w:themeColor="text1"/>
          <w:szCs w:val="24"/>
        </w:rPr>
        <w:t>Its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A31AD">
        <w:rPr>
          <w:rFonts w:cs="Times New Roman"/>
          <w:color w:val="000000" w:themeColor="text1"/>
          <w:szCs w:val="24"/>
        </w:rPr>
        <w:t>main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A31AD">
        <w:rPr>
          <w:rFonts w:cs="Times New Roman"/>
          <w:color w:val="000000" w:themeColor="text1"/>
          <w:szCs w:val="24"/>
        </w:rPr>
        <w:t>provision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A31AD">
        <w:rPr>
          <w:rFonts w:cs="Times New Roman"/>
          <w:color w:val="000000" w:themeColor="text1"/>
          <w:szCs w:val="24"/>
        </w:rPr>
        <w:t>directs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A31AD">
        <w:rPr>
          <w:rFonts w:cs="Times New Roman"/>
          <w:color w:val="000000" w:themeColor="text1"/>
          <w:szCs w:val="24"/>
        </w:rPr>
        <w:t>federal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A31AD">
        <w:rPr>
          <w:rFonts w:cs="Times New Roman"/>
          <w:color w:val="000000" w:themeColor="text1"/>
          <w:szCs w:val="24"/>
        </w:rPr>
        <w:t>agencies,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A31AD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A31AD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A31AD">
        <w:rPr>
          <w:rFonts w:cs="Times New Roman"/>
          <w:color w:val="000000" w:themeColor="text1"/>
          <w:szCs w:val="24"/>
        </w:rPr>
        <w:t>greatest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A31AD">
        <w:rPr>
          <w:rFonts w:cs="Times New Roman"/>
          <w:color w:val="000000" w:themeColor="text1"/>
          <w:szCs w:val="24"/>
        </w:rPr>
        <w:t>extent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A31AD">
        <w:rPr>
          <w:rFonts w:cs="Times New Roman"/>
          <w:color w:val="000000" w:themeColor="text1"/>
          <w:szCs w:val="24"/>
        </w:rPr>
        <w:t>practicable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A31AD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A31AD">
        <w:rPr>
          <w:rFonts w:cs="Times New Roman"/>
          <w:color w:val="000000" w:themeColor="text1"/>
          <w:szCs w:val="24"/>
        </w:rPr>
        <w:t>permitted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A31AD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A31AD">
        <w:rPr>
          <w:rFonts w:cs="Times New Roman"/>
          <w:color w:val="000000" w:themeColor="text1"/>
          <w:szCs w:val="24"/>
        </w:rPr>
        <w:t>law,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A31AD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A31AD">
        <w:rPr>
          <w:rFonts w:cs="Times New Roman"/>
          <w:color w:val="000000" w:themeColor="text1"/>
          <w:szCs w:val="24"/>
        </w:rPr>
        <w:t>make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A31AD">
        <w:rPr>
          <w:rFonts w:cs="Times New Roman"/>
          <w:color w:val="000000" w:themeColor="text1"/>
          <w:szCs w:val="24"/>
        </w:rPr>
        <w:t>environmental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A31AD">
        <w:rPr>
          <w:rFonts w:cs="Times New Roman"/>
          <w:color w:val="000000" w:themeColor="text1"/>
          <w:szCs w:val="24"/>
        </w:rPr>
        <w:t>justice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A31AD">
        <w:rPr>
          <w:rFonts w:cs="Times New Roman"/>
          <w:color w:val="000000" w:themeColor="text1"/>
          <w:szCs w:val="24"/>
        </w:rPr>
        <w:t>part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A31AD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A31AD">
        <w:rPr>
          <w:rFonts w:cs="Times New Roman"/>
          <w:color w:val="000000" w:themeColor="text1"/>
          <w:szCs w:val="24"/>
        </w:rPr>
        <w:t>their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A31AD">
        <w:rPr>
          <w:rFonts w:cs="Times New Roman"/>
          <w:color w:val="000000" w:themeColor="text1"/>
          <w:szCs w:val="24"/>
        </w:rPr>
        <w:t>mission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A31AD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A31AD">
        <w:rPr>
          <w:rFonts w:cs="Times New Roman"/>
          <w:color w:val="000000" w:themeColor="text1"/>
          <w:szCs w:val="24"/>
        </w:rPr>
        <w:t>identifying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A31AD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A31AD">
        <w:rPr>
          <w:rFonts w:cs="Times New Roman"/>
          <w:color w:val="000000" w:themeColor="text1"/>
          <w:szCs w:val="24"/>
        </w:rPr>
        <w:t>addressing,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A31AD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A31AD">
        <w:rPr>
          <w:rFonts w:cs="Times New Roman"/>
          <w:color w:val="000000" w:themeColor="text1"/>
          <w:szCs w:val="24"/>
        </w:rPr>
        <w:t>appropriate,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A31AD">
        <w:rPr>
          <w:rFonts w:cs="Times New Roman"/>
          <w:color w:val="000000" w:themeColor="text1"/>
          <w:szCs w:val="24"/>
        </w:rPr>
        <w:t>disproportionately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A31AD">
        <w:rPr>
          <w:rFonts w:cs="Times New Roman"/>
          <w:color w:val="000000" w:themeColor="text1"/>
          <w:szCs w:val="24"/>
        </w:rPr>
        <w:t>high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A31AD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A31AD">
        <w:rPr>
          <w:rFonts w:cs="Times New Roman"/>
          <w:color w:val="000000" w:themeColor="text1"/>
          <w:szCs w:val="24"/>
        </w:rPr>
        <w:t>adverse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A31AD">
        <w:rPr>
          <w:rFonts w:cs="Times New Roman"/>
          <w:color w:val="000000" w:themeColor="text1"/>
          <w:szCs w:val="24"/>
        </w:rPr>
        <w:t>health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A31AD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A31AD">
        <w:rPr>
          <w:rFonts w:cs="Times New Roman"/>
          <w:color w:val="000000" w:themeColor="text1"/>
          <w:szCs w:val="24"/>
        </w:rPr>
        <w:t>environmental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A31AD">
        <w:rPr>
          <w:rFonts w:cs="Times New Roman"/>
          <w:color w:val="000000" w:themeColor="text1"/>
          <w:szCs w:val="24"/>
        </w:rPr>
        <w:t>effects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A31AD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A31AD">
        <w:rPr>
          <w:rFonts w:cs="Times New Roman"/>
          <w:color w:val="000000" w:themeColor="text1"/>
          <w:szCs w:val="24"/>
        </w:rPr>
        <w:t>their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A31AD">
        <w:rPr>
          <w:rFonts w:cs="Times New Roman"/>
          <w:color w:val="000000" w:themeColor="text1"/>
          <w:szCs w:val="24"/>
        </w:rPr>
        <w:t>programs,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A31AD">
        <w:rPr>
          <w:rFonts w:cs="Times New Roman"/>
          <w:color w:val="000000" w:themeColor="text1"/>
          <w:szCs w:val="24"/>
        </w:rPr>
        <w:t>policies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A31AD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A31AD">
        <w:rPr>
          <w:rFonts w:cs="Times New Roman"/>
          <w:color w:val="000000" w:themeColor="text1"/>
          <w:szCs w:val="24"/>
        </w:rPr>
        <w:t>activities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A31AD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A31AD">
        <w:rPr>
          <w:rFonts w:cs="Times New Roman"/>
          <w:color w:val="000000" w:themeColor="text1"/>
          <w:szCs w:val="24"/>
        </w:rPr>
        <w:t>minority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A31AD">
        <w:rPr>
          <w:rFonts w:cs="Times New Roman"/>
          <w:color w:val="000000" w:themeColor="text1"/>
          <w:szCs w:val="24"/>
        </w:rPr>
        <w:t>populations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A31AD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A31AD">
        <w:rPr>
          <w:rFonts w:cs="Times New Roman"/>
          <w:color w:val="000000" w:themeColor="text1"/>
          <w:szCs w:val="24"/>
        </w:rPr>
        <w:t>low-income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A31AD">
        <w:rPr>
          <w:rFonts w:cs="Times New Roman"/>
          <w:color w:val="000000" w:themeColor="text1"/>
          <w:szCs w:val="24"/>
        </w:rPr>
        <w:t>populations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A31AD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A31AD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A31AD">
        <w:rPr>
          <w:rFonts w:cs="Times New Roman"/>
          <w:color w:val="000000" w:themeColor="text1"/>
          <w:szCs w:val="24"/>
        </w:rPr>
        <w:t>U.S.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27ED1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27ED1">
        <w:rPr>
          <w:rFonts w:cs="Times New Roman"/>
          <w:color w:val="000000" w:themeColor="text1"/>
          <w:szCs w:val="24"/>
        </w:rPr>
        <w:t>rule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27ED1">
        <w:rPr>
          <w:rFonts w:cs="Times New Roman"/>
          <w:color w:val="000000" w:themeColor="text1"/>
          <w:szCs w:val="24"/>
        </w:rPr>
        <w:t>would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27ED1">
        <w:rPr>
          <w:rFonts w:cs="Times New Roman"/>
          <w:color w:val="000000" w:themeColor="text1"/>
          <w:szCs w:val="24"/>
        </w:rPr>
        <w:t>increase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27ED1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27ED1">
        <w:rPr>
          <w:rFonts w:cs="Times New Roman"/>
          <w:color w:val="000000" w:themeColor="text1"/>
          <w:szCs w:val="24"/>
        </w:rPr>
        <w:t>level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27ED1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27ED1">
        <w:rPr>
          <w:rFonts w:cs="Times New Roman"/>
          <w:color w:val="000000" w:themeColor="text1"/>
          <w:szCs w:val="24"/>
        </w:rPr>
        <w:t>environmental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27ED1">
        <w:rPr>
          <w:rFonts w:cs="Times New Roman"/>
          <w:color w:val="000000" w:themeColor="text1"/>
          <w:szCs w:val="24"/>
        </w:rPr>
        <w:t>protection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27ED1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27ED1">
        <w:rPr>
          <w:rFonts w:cs="Times New Roman"/>
          <w:color w:val="000000" w:themeColor="text1"/>
          <w:szCs w:val="24"/>
        </w:rPr>
        <w:t>all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27ED1">
        <w:rPr>
          <w:rFonts w:cs="Times New Roman"/>
          <w:color w:val="000000" w:themeColor="text1"/>
          <w:szCs w:val="24"/>
        </w:rPr>
        <w:t>affected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27ED1">
        <w:rPr>
          <w:rFonts w:cs="Times New Roman"/>
          <w:color w:val="000000" w:themeColor="text1"/>
          <w:szCs w:val="24"/>
        </w:rPr>
        <w:t>populations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27ED1">
        <w:rPr>
          <w:rFonts w:cs="Times New Roman"/>
          <w:color w:val="000000" w:themeColor="text1"/>
          <w:szCs w:val="24"/>
        </w:rPr>
        <w:t>without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27ED1">
        <w:rPr>
          <w:rFonts w:cs="Times New Roman"/>
          <w:color w:val="000000" w:themeColor="text1"/>
          <w:szCs w:val="24"/>
        </w:rPr>
        <w:t>having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27ED1">
        <w:rPr>
          <w:rFonts w:cs="Times New Roman"/>
          <w:color w:val="000000" w:themeColor="text1"/>
          <w:szCs w:val="24"/>
        </w:rPr>
        <w:t>any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27ED1">
        <w:rPr>
          <w:rFonts w:cs="Times New Roman"/>
          <w:color w:val="000000" w:themeColor="text1"/>
          <w:szCs w:val="24"/>
        </w:rPr>
        <w:t>disproportionately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27ED1">
        <w:rPr>
          <w:rFonts w:cs="Times New Roman"/>
          <w:color w:val="000000" w:themeColor="text1"/>
          <w:szCs w:val="24"/>
        </w:rPr>
        <w:t>high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27ED1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27ED1">
        <w:rPr>
          <w:rFonts w:cs="Times New Roman"/>
          <w:color w:val="000000" w:themeColor="text1"/>
          <w:szCs w:val="24"/>
        </w:rPr>
        <w:t>adverse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27ED1">
        <w:rPr>
          <w:rFonts w:cs="Times New Roman"/>
          <w:color w:val="000000" w:themeColor="text1"/>
          <w:szCs w:val="24"/>
        </w:rPr>
        <w:t>health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27ED1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27ED1">
        <w:rPr>
          <w:rFonts w:cs="Times New Roman"/>
          <w:color w:val="000000" w:themeColor="text1"/>
          <w:szCs w:val="24"/>
        </w:rPr>
        <w:t>environmental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27ED1">
        <w:rPr>
          <w:rFonts w:cs="Times New Roman"/>
          <w:color w:val="000000" w:themeColor="text1"/>
          <w:szCs w:val="24"/>
        </w:rPr>
        <w:t>effects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27ED1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27ED1">
        <w:rPr>
          <w:rFonts w:cs="Times New Roman"/>
          <w:color w:val="000000" w:themeColor="text1"/>
          <w:szCs w:val="24"/>
        </w:rPr>
        <w:t>any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27ED1">
        <w:rPr>
          <w:rFonts w:cs="Times New Roman"/>
          <w:color w:val="000000" w:themeColor="text1"/>
          <w:szCs w:val="24"/>
        </w:rPr>
        <w:t>population,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27ED1">
        <w:rPr>
          <w:rFonts w:cs="Times New Roman"/>
          <w:color w:val="000000" w:themeColor="text1"/>
          <w:szCs w:val="24"/>
        </w:rPr>
        <w:t>including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any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minority,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or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low-income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population.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EPA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also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conducted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outreach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to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advocates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of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communities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that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might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be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subject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to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disproportionate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exposure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to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chrysotile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asbestos,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such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as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minority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populations,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low-income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populations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and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indigenous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peoples.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EPA’s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EJ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consultation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occurred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from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June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1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through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August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13,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2021.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On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June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1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and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9,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2021,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EPA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held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public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meetings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as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part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of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this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consultation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(Ref.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24).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See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also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Unit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III.A.1.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These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meetings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were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held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pursuant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to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and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in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compliance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with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Executive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Order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12898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and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Executive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Order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14008,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i/>
          <w:color w:val="000000" w:themeColor="text1"/>
          <w:szCs w:val="24"/>
        </w:rPr>
        <w:t>Tackling</w:t>
      </w:r>
      <w:r w:rsidR="00D20970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i/>
          <w:color w:val="000000" w:themeColor="text1"/>
          <w:szCs w:val="24"/>
        </w:rPr>
        <w:t>the</w:t>
      </w:r>
      <w:r w:rsidR="00D20970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i/>
          <w:color w:val="000000" w:themeColor="text1"/>
          <w:szCs w:val="24"/>
        </w:rPr>
        <w:t>Climate</w:t>
      </w:r>
      <w:r w:rsidR="00D20970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i/>
          <w:color w:val="000000" w:themeColor="text1"/>
          <w:szCs w:val="24"/>
        </w:rPr>
        <w:t>Crisis</w:t>
      </w:r>
      <w:r w:rsidR="00D20970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i/>
          <w:color w:val="000000" w:themeColor="text1"/>
          <w:szCs w:val="24"/>
        </w:rPr>
        <w:t>at</w:t>
      </w:r>
      <w:r w:rsidR="00D20970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i/>
          <w:color w:val="000000" w:themeColor="text1"/>
          <w:szCs w:val="24"/>
        </w:rPr>
        <w:t>Home</w:t>
      </w:r>
      <w:r w:rsidR="00D20970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i/>
          <w:color w:val="000000" w:themeColor="text1"/>
          <w:szCs w:val="24"/>
        </w:rPr>
        <w:t>and</w:t>
      </w:r>
      <w:r w:rsidR="00D20970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i/>
          <w:color w:val="000000" w:themeColor="text1"/>
          <w:szCs w:val="24"/>
        </w:rPr>
        <w:t>Abroad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(86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FR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7619,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February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1,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2021).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EPA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received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several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comments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following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the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EJ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meetings.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Commenters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expressed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concerns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that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consumers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who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live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near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chlor-alkali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facilities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and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Do-It-Yourself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(DIY)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auto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workers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could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be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exposed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unless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chrysotile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asbestos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is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banned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(Ref.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9).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EPA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also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acknowledges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that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there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are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pre-existing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environmental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justice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concerns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in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communities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surrounding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some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of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the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affected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chlor-alkali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facilities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and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one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other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chemical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manufacturer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in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Louisiana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and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Texas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due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high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levels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of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polluting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industrial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activities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and</w:t>
      </w:r>
      <w:r w:rsidR="00D20970">
        <w:rPr>
          <w:rFonts w:cs="Times New Roman"/>
          <w:color w:val="000000" w:themeColor="text1"/>
          <w:szCs w:val="24"/>
        </w:rPr>
        <w:t xml:space="preserve"> </w:t>
      </w:r>
      <w:r w:rsidRPr="00C317BB" w:rsidR="00D20970">
        <w:rPr>
          <w:rFonts w:cs="Times New Roman"/>
          <w:color w:val="000000" w:themeColor="text1"/>
          <w:szCs w:val="24"/>
        </w:rPr>
        <w:t>high</w:t>
      </w:r>
      <w:r w:rsidR="00D20970">
        <w:rPr>
          <w:rFonts w:cs="Times New Roman"/>
          <w:color w:val="000000" w:themeColor="text1"/>
          <w:szCs w:val="24"/>
        </w:rPr>
        <w:t xml:space="preserve"> </w:t>
      </w:r>
    </w:p>
    <w:p w:rsidR="00D20970" w:rsidP="00F27167" w:rsidRDefault="00D20970" w14:paraId="70325EF9" w14:textId="7211FE83">
      <w:pPr>
        <w:ind w:firstLine="720"/>
        <w:rPr>
          <w:rFonts w:cs="Times New Roman"/>
          <w:color w:val="000000" w:themeColor="text1"/>
          <w:szCs w:val="24"/>
        </w:rPr>
        <w:sectPr w:rsidR="00D20970" w:rsidSect="00A805EF">
          <w:headerReference w:type="even" r:id="rId12"/>
          <w:headerReference w:type="default" r:id="rId13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Pr="00C317BB" w:rsidR="005E24C9" w:rsidP="003819A2" w:rsidRDefault="009C4283" w14:paraId="096449BD" w14:textId="2F9C0BAD">
      <w:pPr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>proportions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minority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residents.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rule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expected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affect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these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pre-existing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environmental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justice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>
        <w:rPr>
          <w:rFonts w:cs="Times New Roman"/>
          <w:color w:val="000000" w:themeColor="text1"/>
          <w:szCs w:val="24"/>
        </w:rPr>
        <w:t>concerns.</w:t>
      </w:r>
    </w:p>
    <w:p w:rsidRPr="00C317BB" w:rsidR="00C57FEA" w:rsidP="00F27167" w:rsidRDefault="00C57FEA" w14:paraId="69481B8E" w14:textId="416CE399">
      <w:pPr>
        <w:rPr>
          <w:rFonts w:cs="Times New Roman"/>
          <w:b/>
          <w:color w:val="000000" w:themeColor="text1"/>
          <w:szCs w:val="24"/>
        </w:rPr>
      </w:pPr>
      <w:r w:rsidRPr="00C317BB">
        <w:rPr>
          <w:rFonts w:cs="Times New Roman"/>
          <w:b/>
          <w:color w:val="000000" w:themeColor="text1"/>
          <w:szCs w:val="24"/>
        </w:rPr>
        <w:t>List</w:t>
      </w:r>
      <w:r w:rsidR="005613B2">
        <w:rPr>
          <w:rFonts w:cs="Times New Roman"/>
          <w:b/>
          <w:color w:val="000000" w:themeColor="text1"/>
          <w:szCs w:val="24"/>
        </w:rPr>
        <w:t xml:space="preserve"> </w:t>
      </w:r>
      <w:r w:rsidRPr="00C317BB">
        <w:rPr>
          <w:rFonts w:cs="Times New Roman"/>
          <w:b/>
          <w:color w:val="000000" w:themeColor="text1"/>
          <w:szCs w:val="24"/>
        </w:rPr>
        <w:t>of</w:t>
      </w:r>
      <w:r w:rsidR="005613B2">
        <w:rPr>
          <w:rFonts w:cs="Times New Roman"/>
          <w:b/>
          <w:color w:val="000000" w:themeColor="text1"/>
          <w:szCs w:val="24"/>
        </w:rPr>
        <w:t xml:space="preserve"> </w:t>
      </w:r>
      <w:r w:rsidRPr="00C317BB">
        <w:rPr>
          <w:rFonts w:cs="Times New Roman"/>
          <w:b/>
          <w:color w:val="000000" w:themeColor="text1"/>
          <w:szCs w:val="24"/>
        </w:rPr>
        <w:t>Subjects</w:t>
      </w:r>
      <w:r w:rsidR="005613B2">
        <w:rPr>
          <w:rFonts w:cs="Times New Roman"/>
          <w:b/>
          <w:color w:val="000000" w:themeColor="text1"/>
          <w:szCs w:val="24"/>
        </w:rPr>
        <w:t xml:space="preserve"> </w:t>
      </w:r>
      <w:r w:rsidRPr="00C317BB">
        <w:rPr>
          <w:rFonts w:cs="Times New Roman"/>
          <w:b/>
          <w:color w:val="000000" w:themeColor="text1"/>
          <w:szCs w:val="24"/>
        </w:rPr>
        <w:t>in</w:t>
      </w:r>
      <w:r w:rsidR="005613B2">
        <w:rPr>
          <w:rFonts w:cs="Times New Roman"/>
          <w:b/>
          <w:color w:val="000000" w:themeColor="text1"/>
          <w:szCs w:val="24"/>
        </w:rPr>
        <w:t xml:space="preserve"> </w:t>
      </w:r>
      <w:r w:rsidRPr="00C317BB">
        <w:rPr>
          <w:rFonts w:cs="Times New Roman"/>
          <w:b/>
          <w:color w:val="000000" w:themeColor="text1"/>
          <w:szCs w:val="24"/>
        </w:rPr>
        <w:t>40</w:t>
      </w:r>
      <w:r w:rsidR="005613B2">
        <w:rPr>
          <w:rFonts w:cs="Times New Roman"/>
          <w:b/>
          <w:color w:val="000000" w:themeColor="text1"/>
          <w:szCs w:val="24"/>
        </w:rPr>
        <w:t xml:space="preserve"> </w:t>
      </w:r>
      <w:r w:rsidRPr="00C317BB">
        <w:rPr>
          <w:rFonts w:cs="Times New Roman"/>
          <w:b/>
          <w:color w:val="000000" w:themeColor="text1"/>
          <w:szCs w:val="24"/>
        </w:rPr>
        <w:t>CFR</w:t>
      </w:r>
      <w:r w:rsidR="005613B2">
        <w:rPr>
          <w:rFonts w:cs="Times New Roman"/>
          <w:b/>
          <w:color w:val="000000" w:themeColor="text1"/>
          <w:szCs w:val="24"/>
        </w:rPr>
        <w:t xml:space="preserve"> </w:t>
      </w:r>
      <w:r w:rsidRPr="00C317BB">
        <w:rPr>
          <w:rFonts w:cs="Times New Roman"/>
          <w:b/>
          <w:color w:val="000000" w:themeColor="text1"/>
          <w:szCs w:val="24"/>
        </w:rPr>
        <w:t>Part</w:t>
      </w:r>
      <w:r w:rsidR="005613B2">
        <w:rPr>
          <w:rFonts w:cs="Times New Roman"/>
          <w:b/>
          <w:color w:val="000000" w:themeColor="text1"/>
          <w:szCs w:val="24"/>
        </w:rPr>
        <w:t xml:space="preserve"> </w:t>
      </w:r>
      <w:r w:rsidRPr="00C317BB" w:rsidR="005F04C2">
        <w:rPr>
          <w:rFonts w:cs="Times New Roman"/>
          <w:b/>
          <w:color w:val="000000" w:themeColor="text1"/>
          <w:szCs w:val="24"/>
        </w:rPr>
        <w:t>7</w:t>
      </w:r>
      <w:r w:rsidRPr="00C317BB" w:rsidR="001A1E8B">
        <w:rPr>
          <w:rFonts w:cs="Times New Roman"/>
          <w:b/>
          <w:color w:val="000000" w:themeColor="text1"/>
          <w:szCs w:val="24"/>
        </w:rPr>
        <w:t>51</w:t>
      </w:r>
    </w:p>
    <w:p w:rsidRPr="00C317BB" w:rsidR="00C57FEA" w:rsidP="00F27167" w:rsidRDefault="00765719" w14:paraId="330FEFAA" w14:textId="3FCE1405">
      <w:pPr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ab/>
      </w:r>
      <w:r w:rsidRPr="00C317BB" w:rsidR="001113FB">
        <w:rPr>
          <w:rFonts w:cs="Times New Roman"/>
          <w:color w:val="000000" w:themeColor="text1"/>
          <w:szCs w:val="24"/>
        </w:rPr>
        <w:t>Environmental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113FB">
        <w:rPr>
          <w:rFonts w:cs="Times New Roman"/>
          <w:color w:val="000000" w:themeColor="text1"/>
          <w:szCs w:val="24"/>
        </w:rPr>
        <w:t>protection,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F04C2">
        <w:rPr>
          <w:rFonts w:cs="Times New Roman"/>
          <w:color w:val="000000" w:themeColor="text1"/>
          <w:szCs w:val="24"/>
        </w:rPr>
        <w:t>Chemicals,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5A98">
        <w:rPr>
          <w:rFonts w:cs="Times New Roman"/>
          <w:color w:val="000000" w:themeColor="text1"/>
          <w:szCs w:val="24"/>
        </w:rPr>
        <w:t>Export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5A98">
        <w:rPr>
          <w:rFonts w:cs="Times New Roman"/>
          <w:color w:val="000000" w:themeColor="text1"/>
          <w:szCs w:val="24"/>
        </w:rPr>
        <w:t>certification,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113FB">
        <w:rPr>
          <w:rFonts w:cs="Times New Roman"/>
          <w:color w:val="000000" w:themeColor="text1"/>
          <w:szCs w:val="24"/>
        </w:rPr>
        <w:t>Hazardous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113FB">
        <w:rPr>
          <w:rFonts w:cs="Times New Roman"/>
          <w:color w:val="000000" w:themeColor="text1"/>
          <w:szCs w:val="24"/>
        </w:rPr>
        <w:t>substances,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5A98">
        <w:rPr>
          <w:rFonts w:cs="Times New Roman"/>
          <w:color w:val="000000" w:themeColor="text1"/>
          <w:szCs w:val="24"/>
        </w:rPr>
        <w:t>Import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B5A98">
        <w:rPr>
          <w:rFonts w:cs="Times New Roman"/>
          <w:color w:val="000000" w:themeColor="text1"/>
          <w:szCs w:val="24"/>
        </w:rPr>
        <w:t>certification,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113FB">
        <w:rPr>
          <w:rFonts w:cs="Times New Roman"/>
          <w:color w:val="000000" w:themeColor="text1"/>
          <w:szCs w:val="24"/>
        </w:rPr>
        <w:t>Recordkeeping</w:t>
      </w:r>
      <w:r w:rsidRPr="00C317BB" w:rsidR="002829E0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443DD2" w:rsidR="003819A2" w:rsidP="003819A2" w:rsidRDefault="003819A2" w14:paraId="02876558" w14:textId="77777777">
      <w:bookmarkStart w:name="_Hlk76487768" w:id="52"/>
      <w:r w:rsidRPr="00443DD2">
        <w:t>Dated:</w:t>
      </w:r>
      <w:r w:rsidR="005613B2">
        <w:t xml:space="preserve"> </w:t>
      </w:r>
      <w:sdt>
        <w:sdtPr>
          <w:alias w:val="Signor selects date BEFORE signing"/>
          <w:tag w:val="Select date BEFORE signing"/>
          <w:id w:val="-1631781054"/>
          <w:placeholder>
            <w:docPart w:val="BEAFBA95B0044E7796C50FD68D70148C"/>
          </w:placeholder>
          <w:temporary/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Pr="00443DD2">
            <w:rPr>
              <w:rStyle w:val="PlaceholderText"/>
            </w:rPr>
            <w:t>Click or tap to enter eSignature date</w:t>
          </w:r>
        </w:sdtContent>
      </w:sdt>
      <w:r w:rsidRPr="00443DD2">
        <w:t>.</w:t>
      </w:r>
    </w:p>
    <w:bookmarkEnd w:id="52"/>
    <w:p w:rsidRPr="00443DD2" w:rsidR="003819A2" w:rsidP="003819A2" w:rsidRDefault="003819A2" w14:paraId="1F47A468" w14:textId="77777777">
      <w:pPr>
        <w:pStyle w:val="Heading1"/>
      </w:pPr>
      <w:r w:rsidRPr="00443DD2">
        <w:t>Michael</w:t>
      </w:r>
      <w:r w:rsidR="005613B2">
        <w:t xml:space="preserve"> </w:t>
      </w:r>
      <w:r w:rsidRPr="00443DD2">
        <w:t>S.</w:t>
      </w:r>
      <w:r w:rsidR="005613B2">
        <w:t xml:space="preserve"> </w:t>
      </w:r>
      <w:r w:rsidRPr="00443DD2">
        <w:t>Regan,</w:t>
      </w:r>
    </w:p>
    <w:p w:rsidR="003819A2" w:rsidP="003819A2" w:rsidRDefault="003819A2" w14:paraId="6F34197A" w14:textId="15AF7AD9">
      <w:pPr>
        <w:pStyle w:val="Heading2"/>
      </w:pPr>
      <w:r w:rsidRPr="00443DD2">
        <w:t>Administrator.</w:t>
      </w:r>
      <w:r>
        <w:br w:type="page"/>
      </w:r>
    </w:p>
    <w:p w:rsidR="009B241C" w:rsidP="005613B2" w:rsidRDefault="005613B2" w14:paraId="24379EF7" w14:textId="718FD78B">
      <w:pPr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ab/>
      </w:r>
      <w:r w:rsidRPr="00C317BB" w:rsidR="004C3D2B">
        <w:rPr>
          <w:rFonts w:cs="Times New Roman"/>
          <w:color w:val="000000" w:themeColor="text1"/>
          <w:szCs w:val="24"/>
        </w:rPr>
        <w:t>Therefore,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3011AC">
        <w:rPr>
          <w:rFonts w:cs="Times New Roman"/>
          <w:szCs w:val="24"/>
        </w:rPr>
        <w:t>for</w:t>
      </w:r>
      <w:r>
        <w:rPr>
          <w:rFonts w:cs="Times New Roman"/>
          <w:szCs w:val="24"/>
        </w:rPr>
        <w:t xml:space="preserve"> </w:t>
      </w:r>
      <w:r w:rsidRPr="00C317BB" w:rsidR="003011AC">
        <w:rPr>
          <w:rFonts w:cs="Times New Roman"/>
          <w:szCs w:val="24"/>
        </w:rPr>
        <w:t>the</w:t>
      </w:r>
      <w:r>
        <w:rPr>
          <w:rFonts w:cs="Times New Roman"/>
          <w:szCs w:val="24"/>
        </w:rPr>
        <w:t xml:space="preserve"> </w:t>
      </w:r>
      <w:r w:rsidRPr="00C317BB" w:rsidR="003011AC">
        <w:rPr>
          <w:rFonts w:cs="Times New Roman"/>
          <w:szCs w:val="24"/>
        </w:rPr>
        <w:t>reasons</w:t>
      </w:r>
      <w:r>
        <w:rPr>
          <w:rFonts w:cs="Times New Roman"/>
          <w:szCs w:val="24"/>
        </w:rPr>
        <w:t xml:space="preserve"> </w:t>
      </w:r>
      <w:r w:rsidRPr="00C317BB" w:rsidR="003011AC">
        <w:rPr>
          <w:rFonts w:cs="Times New Roman"/>
          <w:szCs w:val="24"/>
        </w:rPr>
        <w:t>stated</w:t>
      </w:r>
      <w:r>
        <w:rPr>
          <w:rFonts w:cs="Times New Roman"/>
          <w:szCs w:val="24"/>
        </w:rPr>
        <w:t xml:space="preserve"> </w:t>
      </w:r>
      <w:r w:rsidRPr="00C317BB" w:rsidR="003011AC">
        <w:rPr>
          <w:rFonts w:cs="Times New Roman"/>
          <w:szCs w:val="24"/>
        </w:rPr>
        <w:t>in</w:t>
      </w:r>
      <w:r>
        <w:rPr>
          <w:rFonts w:cs="Times New Roman"/>
          <w:szCs w:val="24"/>
        </w:rPr>
        <w:t xml:space="preserve"> </w:t>
      </w:r>
      <w:r w:rsidRPr="00C317BB" w:rsidR="003011AC">
        <w:rPr>
          <w:rFonts w:cs="Times New Roman"/>
          <w:szCs w:val="24"/>
        </w:rPr>
        <w:t>the</w:t>
      </w:r>
      <w:r>
        <w:rPr>
          <w:rFonts w:cs="Times New Roman"/>
          <w:szCs w:val="24"/>
        </w:rPr>
        <w:t xml:space="preserve"> </w:t>
      </w:r>
      <w:r w:rsidRPr="00C317BB" w:rsidR="003011AC">
        <w:rPr>
          <w:rFonts w:cs="Times New Roman"/>
          <w:szCs w:val="24"/>
        </w:rPr>
        <w:t>preamble,</w:t>
      </w:r>
      <w:r>
        <w:rPr>
          <w:rFonts w:cs="Times New Roman"/>
          <w:szCs w:val="24"/>
        </w:rPr>
        <w:t xml:space="preserve"> </w:t>
      </w:r>
      <w:r w:rsidRPr="00C317BB" w:rsidR="003011AC">
        <w:rPr>
          <w:rFonts w:cs="Times New Roman"/>
          <w:szCs w:val="24"/>
        </w:rPr>
        <w:t>EPA</w:t>
      </w:r>
      <w:r>
        <w:rPr>
          <w:rFonts w:cs="Times New Roman"/>
          <w:szCs w:val="24"/>
        </w:rPr>
        <w:t xml:space="preserve"> </w:t>
      </w:r>
      <w:r w:rsidRPr="00C317BB" w:rsidR="003011AC">
        <w:rPr>
          <w:rFonts w:cs="Times New Roman"/>
          <w:szCs w:val="24"/>
        </w:rPr>
        <w:t>proposes</w:t>
      </w:r>
      <w:r>
        <w:rPr>
          <w:rFonts w:cs="Times New Roman"/>
          <w:szCs w:val="24"/>
        </w:rPr>
        <w:t xml:space="preserve"> </w:t>
      </w:r>
      <w:r w:rsidRPr="00C317BB" w:rsidR="003011AC">
        <w:rPr>
          <w:rFonts w:cs="Times New Roman"/>
          <w:szCs w:val="24"/>
        </w:rPr>
        <w:t>to</w:t>
      </w:r>
      <w:r>
        <w:rPr>
          <w:rFonts w:cs="Times New Roman"/>
          <w:szCs w:val="24"/>
        </w:rPr>
        <w:t xml:space="preserve"> </w:t>
      </w:r>
      <w:r w:rsidRPr="00C317BB" w:rsidR="003011AC">
        <w:rPr>
          <w:rFonts w:cs="Times New Roman"/>
          <w:szCs w:val="24"/>
        </w:rPr>
        <w:t>amend</w:t>
      </w:r>
      <w:r>
        <w:rPr>
          <w:rFonts w:cs="Times New Roman"/>
          <w:szCs w:val="24"/>
        </w:rPr>
        <w:t xml:space="preserve"> </w:t>
      </w:r>
      <w:r w:rsidRPr="00C317BB" w:rsidR="009B241C">
        <w:rPr>
          <w:rFonts w:cs="Times New Roman"/>
          <w:color w:val="000000" w:themeColor="text1"/>
          <w:szCs w:val="24"/>
        </w:rPr>
        <w:t>40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9B241C">
        <w:rPr>
          <w:rFonts w:cs="Times New Roman"/>
          <w:color w:val="000000" w:themeColor="text1"/>
          <w:szCs w:val="24"/>
        </w:rPr>
        <w:t>CFR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9B241C">
        <w:rPr>
          <w:rFonts w:cs="Times New Roman"/>
          <w:color w:val="000000" w:themeColor="text1"/>
          <w:szCs w:val="24"/>
        </w:rPr>
        <w:t>part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9B241C">
        <w:rPr>
          <w:rFonts w:cs="Times New Roman"/>
          <w:color w:val="000000" w:themeColor="text1"/>
          <w:szCs w:val="24"/>
        </w:rPr>
        <w:t>751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9B241C">
        <w:rPr>
          <w:rFonts w:cs="Times New Roman"/>
          <w:color w:val="000000" w:themeColor="text1"/>
          <w:szCs w:val="24"/>
        </w:rPr>
        <w:t>as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9B241C">
        <w:rPr>
          <w:rFonts w:cs="Times New Roman"/>
          <w:color w:val="000000" w:themeColor="text1"/>
          <w:szCs w:val="24"/>
        </w:rPr>
        <w:t>follows:</w:t>
      </w:r>
    </w:p>
    <w:p w:rsidRPr="00C317BB" w:rsidR="005A5393" w:rsidP="004B5B61" w:rsidRDefault="005A5393" w14:paraId="364CD7B9" w14:textId="3834ACDA">
      <w:pPr>
        <w:pStyle w:val="Heading1"/>
        <w:rPr>
          <w:rFonts w:cs="Times New Roman"/>
          <w:color w:val="000000" w:themeColor="text1"/>
          <w:szCs w:val="24"/>
        </w:rPr>
      </w:pPr>
      <w:r>
        <w:t>PART 751 - REGULATION OF CERTAIN CHEMICAL SUBSTANCES AND MIXTURES UNDER SECTION 6 OF THE TOXIC SUBSTANCES CONTROL ACT</w:t>
      </w:r>
    </w:p>
    <w:p w:rsidRPr="00C317BB" w:rsidR="009B241C" w:rsidP="005613B2" w:rsidRDefault="005613B2" w14:paraId="21A8B16A" w14:textId="52FB660C">
      <w:pPr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ab/>
      </w:r>
      <w:r w:rsidRPr="00C317BB" w:rsidR="009B241C">
        <w:rPr>
          <w:rFonts w:cs="Times New Roman"/>
          <w:color w:val="000000" w:themeColor="text1"/>
          <w:szCs w:val="24"/>
        </w:rPr>
        <w:t>1.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9B241C">
        <w:rPr>
          <w:rFonts w:cs="Times New Roman"/>
          <w:color w:val="000000" w:themeColor="text1"/>
          <w:szCs w:val="24"/>
        </w:rPr>
        <w:t>The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9B241C">
        <w:rPr>
          <w:rFonts w:cs="Times New Roman"/>
          <w:color w:val="000000" w:themeColor="text1"/>
          <w:szCs w:val="24"/>
        </w:rPr>
        <w:t>authority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9B241C">
        <w:rPr>
          <w:rFonts w:cs="Times New Roman"/>
          <w:color w:val="000000" w:themeColor="text1"/>
          <w:szCs w:val="24"/>
        </w:rPr>
        <w:t>citation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9B241C">
        <w:rPr>
          <w:rFonts w:cs="Times New Roman"/>
          <w:color w:val="000000" w:themeColor="text1"/>
          <w:szCs w:val="24"/>
        </w:rPr>
        <w:t>for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9B241C">
        <w:rPr>
          <w:rFonts w:cs="Times New Roman"/>
          <w:color w:val="000000" w:themeColor="text1"/>
          <w:szCs w:val="24"/>
        </w:rPr>
        <w:t>part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9B241C">
        <w:rPr>
          <w:rFonts w:cs="Times New Roman"/>
          <w:color w:val="000000" w:themeColor="text1"/>
          <w:szCs w:val="24"/>
        </w:rPr>
        <w:t>751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9B241C">
        <w:rPr>
          <w:rFonts w:cs="Times New Roman"/>
          <w:color w:val="000000" w:themeColor="text1"/>
          <w:szCs w:val="24"/>
        </w:rPr>
        <w:t>continues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9B241C">
        <w:rPr>
          <w:rFonts w:cs="Times New Roman"/>
          <w:color w:val="000000" w:themeColor="text1"/>
          <w:szCs w:val="24"/>
        </w:rPr>
        <w:t>to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9B241C">
        <w:rPr>
          <w:rFonts w:cs="Times New Roman"/>
          <w:color w:val="000000" w:themeColor="text1"/>
          <w:szCs w:val="24"/>
        </w:rPr>
        <w:t>read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9B241C">
        <w:rPr>
          <w:rFonts w:cs="Times New Roman"/>
          <w:color w:val="000000" w:themeColor="text1"/>
          <w:szCs w:val="24"/>
        </w:rPr>
        <w:t>as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9B241C">
        <w:rPr>
          <w:rFonts w:cs="Times New Roman"/>
          <w:color w:val="000000" w:themeColor="text1"/>
          <w:szCs w:val="24"/>
        </w:rPr>
        <w:t>follows:</w:t>
      </w:r>
    </w:p>
    <w:p w:rsidRPr="00C317BB" w:rsidR="004C3D2B" w:rsidP="005613B2" w:rsidRDefault="005613B2" w14:paraId="7A70AA73" w14:textId="1186AF42">
      <w:pPr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ab/>
      </w:r>
      <w:r w:rsidRPr="00C317BB" w:rsidR="004C3D2B">
        <w:rPr>
          <w:rFonts w:cs="Times New Roman"/>
          <w:b/>
          <w:color w:val="000000" w:themeColor="text1"/>
          <w:szCs w:val="24"/>
        </w:rPr>
        <w:t>Authority:</w:t>
      </w:r>
      <w:r>
        <w:rPr>
          <w:rFonts w:cs="Times New Roman"/>
          <w:b/>
          <w:color w:val="000000" w:themeColor="text1"/>
          <w:szCs w:val="24"/>
        </w:rPr>
        <w:t xml:space="preserve"> </w:t>
      </w:r>
      <w:r w:rsidRPr="00C317BB" w:rsidR="004C3D2B">
        <w:rPr>
          <w:rFonts w:cs="Times New Roman"/>
          <w:color w:val="000000" w:themeColor="text1"/>
          <w:szCs w:val="24"/>
        </w:rPr>
        <w:t>15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4C3D2B">
        <w:rPr>
          <w:rFonts w:cs="Times New Roman"/>
          <w:color w:val="000000" w:themeColor="text1"/>
          <w:szCs w:val="24"/>
        </w:rPr>
        <w:t>U.S.C.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60784">
        <w:rPr>
          <w:rFonts w:cs="Times New Roman"/>
          <w:color w:val="000000" w:themeColor="text1"/>
          <w:szCs w:val="24"/>
        </w:rPr>
        <w:t>2605,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60784">
        <w:rPr>
          <w:rFonts w:cs="Times New Roman"/>
          <w:color w:val="000000" w:themeColor="text1"/>
          <w:szCs w:val="24"/>
        </w:rPr>
        <w:t>15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60784">
        <w:rPr>
          <w:rFonts w:cs="Times New Roman"/>
          <w:color w:val="000000" w:themeColor="text1"/>
          <w:szCs w:val="24"/>
        </w:rPr>
        <w:t>U.S.C.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R="00560784">
        <w:rPr>
          <w:rFonts w:cs="Times New Roman"/>
          <w:color w:val="000000" w:themeColor="text1"/>
          <w:szCs w:val="24"/>
        </w:rPr>
        <w:t>2625(l)(4).</w:t>
      </w:r>
    </w:p>
    <w:p w:rsidRPr="00C317BB" w:rsidR="00800903" w:rsidP="00F27167" w:rsidRDefault="000030A0" w14:paraId="0A78559A" w14:textId="075E5334">
      <w:pPr>
        <w:rPr>
          <w:rFonts w:cs="Times New Roman"/>
          <w:color w:val="000000" w:themeColor="text1"/>
          <w:szCs w:val="24"/>
        </w:rPr>
      </w:pPr>
      <w:r w:rsidRPr="00C317BB">
        <w:rPr>
          <w:rFonts w:cs="Times New Roman"/>
          <w:color w:val="000000" w:themeColor="text1"/>
          <w:szCs w:val="24"/>
        </w:rPr>
        <w:tab/>
      </w:r>
      <w:r w:rsidRPr="00C317BB" w:rsidR="00DB0D8A">
        <w:rPr>
          <w:rFonts w:cs="Times New Roman"/>
          <w:color w:val="000000" w:themeColor="text1"/>
          <w:szCs w:val="24"/>
        </w:rPr>
        <w:t>2</w:t>
      </w:r>
      <w:r w:rsidRPr="00C317BB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30344">
        <w:rPr>
          <w:rFonts w:cs="Times New Roman"/>
          <w:color w:val="000000" w:themeColor="text1"/>
          <w:szCs w:val="24"/>
        </w:rPr>
        <w:t>Add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="005A5393">
        <w:rPr>
          <w:rFonts w:cs="Times New Roman"/>
          <w:color w:val="000000" w:themeColor="text1"/>
          <w:szCs w:val="24"/>
        </w:rPr>
        <w:t xml:space="preserve">a new </w:t>
      </w:r>
      <w:r w:rsidRPr="00C317BB" w:rsidR="00130344">
        <w:rPr>
          <w:rFonts w:cs="Times New Roman"/>
          <w:color w:val="000000" w:themeColor="text1"/>
          <w:szCs w:val="24"/>
        </w:rPr>
        <w:t>Subpart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="005A5393">
        <w:rPr>
          <w:rFonts w:cs="Times New Roman"/>
          <w:color w:val="000000" w:themeColor="text1"/>
          <w:szCs w:val="24"/>
        </w:rPr>
        <w:t>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30344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30344">
        <w:rPr>
          <w:rFonts w:cs="Times New Roman"/>
          <w:color w:val="000000" w:themeColor="text1"/>
          <w:szCs w:val="24"/>
        </w:rPr>
        <w:t>read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30344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30344">
        <w:rPr>
          <w:rFonts w:cs="Times New Roman"/>
          <w:color w:val="000000" w:themeColor="text1"/>
          <w:szCs w:val="24"/>
        </w:rPr>
        <w:t>follows:</w:t>
      </w:r>
    </w:p>
    <w:p w:rsidRPr="00C317BB" w:rsidR="003011AC" w:rsidP="005A5393" w:rsidRDefault="003011AC" w14:paraId="1D1DFA5F" w14:textId="54CDA1DF">
      <w:pPr>
        <w:pStyle w:val="Heading1"/>
      </w:pPr>
      <w:r w:rsidRPr="00C317BB">
        <w:t>Subpart</w:t>
      </w:r>
      <w:r w:rsidR="005613B2">
        <w:t xml:space="preserve"> </w:t>
      </w:r>
      <w:r w:rsidR="005A5393">
        <w:t>F</w:t>
      </w:r>
      <w:r w:rsidRPr="00C317BB">
        <w:t>—Chrysotile</w:t>
      </w:r>
      <w:r w:rsidR="005613B2">
        <w:t xml:space="preserve"> </w:t>
      </w:r>
      <w:r w:rsidRPr="00C317BB">
        <w:t>Asbestos</w:t>
      </w:r>
    </w:p>
    <w:p w:rsidRPr="00C317BB" w:rsidR="00A83407" w:rsidP="00F27167" w:rsidRDefault="00A83407" w14:paraId="181B6CE2" w14:textId="482C7CFF">
      <w:pPr>
        <w:rPr>
          <w:rFonts w:cs="Times New Roman"/>
          <w:b/>
          <w:color w:val="000000" w:themeColor="text1"/>
          <w:szCs w:val="24"/>
        </w:rPr>
      </w:pPr>
      <w:r w:rsidRPr="00C317BB">
        <w:rPr>
          <w:rFonts w:cs="Times New Roman"/>
          <w:b/>
          <w:color w:val="000000" w:themeColor="text1"/>
          <w:szCs w:val="24"/>
        </w:rPr>
        <w:t>Sec.</w:t>
      </w:r>
    </w:p>
    <w:p w:rsidRPr="00C317BB" w:rsidR="00A83407" w:rsidP="004B5B61" w:rsidRDefault="00A83407" w14:paraId="6F2CD119" w14:textId="77777777">
      <w:pPr>
        <w:spacing w:line="240" w:lineRule="auto"/>
        <w:rPr>
          <w:rFonts w:cs="Times New Roman"/>
          <w:b/>
          <w:color w:val="000000" w:themeColor="text1"/>
          <w:szCs w:val="24"/>
        </w:rPr>
      </w:pPr>
      <w:r w:rsidRPr="00C317BB">
        <w:rPr>
          <w:rFonts w:cs="Times New Roman"/>
          <w:b/>
          <w:color w:val="000000" w:themeColor="text1"/>
          <w:szCs w:val="24"/>
        </w:rPr>
        <w:t>751.X01</w:t>
      </w:r>
      <w:r w:rsidR="005613B2">
        <w:rPr>
          <w:rFonts w:cs="Times New Roman"/>
          <w:b/>
          <w:color w:val="000000" w:themeColor="text1"/>
          <w:szCs w:val="24"/>
        </w:rPr>
        <w:t xml:space="preserve"> </w:t>
      </w:r>
      <w:r w:rsidRPr="00C317BB">
        <w:rPr>
          <w:rFonts w:cs="Times New Roman"/>
          <w:b/>
          <w:color w:val="000000" w:themeColor="text1"/>
          <w:szCs w:val="24"/>
        </w:rPr>
        <w:t>General.</w:t>
      </w:r>
    </w:p>
    <w:p w:rsidRPr="00C317BB" w:rsidR="00A83407" w:rsidP="004B5B61" w:rsidRDefault="00A83407" w14:paraId="255E925C" w14:textId="77777777">
      <w:pPr>
        <w:spacing w:line="240" w:lineRule="auto"/>
        <w:rPr>
          <w:rFonts w:cs="Times New Roman"/>
          <w:b/>
          <w:color w:val="000000" w:themeColor="text1"/>
          <w:szCs w:val="24"/>
        </w:rPr>
      </w:pPr>
      <w:r w:rsidRPr="00C317BB">
        <w:rPr>
          <w:rFonts w:cs="Times New Roman"/>
          <w:b/>
          <w:color w:val="000000" w:themeColor="text1"/>
          <w:szCs w:val="24"/>
        </w:rPr>
        <w:t>751.X03</w:t>
      </w:r>
      <w:r w:rsidR="005613B2">
        <w:rPr>
          <w:rFonts w:cs="Times New Roman"/>
          <w:b/>
          <w:color w:val="000000" w:themeColor="text1"/>
          <w:szCs w:val="24"/>
        </w:rPr>
        <w:t xml:space="preserve"> </w:t>
      </w:r>
      <w:r w:rsidRPr="00C317BB">
        <w:rPr>
          <w:rFonts w:cs="Times New Roman"/>
          <w:b/>
          <w:color w:val="000000" w:themeColor="text1"/>
          <w:szCs w:val="24"/>
        </w:rPr>
        <w:t>Definitions.</w:t>
      </w:r>
    </w:p>
    <w:p w:rsidRPr="00C317BB" w:rsidR="00A83407" w:rsidP="004B5B61" w:rsidRDefault="00A83407" w14:paraId="3821AB04" w14:textId="77777777">
      <w:pPr>
        <w:spacing w:line="240" w:lineRule="auto"/>
        <w:rPr>
          <w:rFonts w:cs="Times New Roman"/>
          <w:b/>
          <w:color w:val="000000" w:themeColor="text1"/>
          <w:szCs w:val="24"/>
        </w:rPr>
      </w:pPr>
      <w:r w:rsidRPr="00C317BB">
        <w:rPr>
          <w:rFonts w:cs="Times New Roman"/>
          <w:b/>
          <w:color w:val="000000" w:themeColor="text1"/>
          <w:szCs w:val="24"/>
        </w:rPr>
        <w:t>751.X05</w:t>
      </w:r>
      <w:r w:rsidR="005613B2">
        <w:rPr>
          <w:rFonts w:cs="Times New Roman"/>
          <w:b/>
          <w:color w:val="000000" w:themeColor="text1"/>
          <w:szCs w:val="24"/>
        </w:rPr>
        <w:t xml:space="preserve"> </w:t>
      </w:r>
      <w:r w:rsidRPr="00C317BB">
        <w:rPr>
          <w:rStyle w:val="Strong"/>
          <w:rFonts w:cs="Times New Roman"/>
          <w:color w:val="000000" w:themeColor="text1"/>
          <w:szCs w:val="24"/>
        </w:rPr>
        <w:t>Restrictions</w:t>
      </w:r>
      <w:r w:rsidR="005613B2">
        <w:rPr>
          <w:rStyle w:val="Strong"/>
          <w:rFonts w:cs="Times New Roman"/>
          <w:color w:val="000000" w:themeColor="text1"/>
          <w:szCs w:val="24"/>
        </w:rPr>
        <w:t xml:space="preserve"> </w:t>
      </w:r>
      <w:r w:rsidRPr="00C317BB">
        <w:rPr>
          <w:rStyle w:val="Strong"/>
          <w:rFonts w:cs="Times New Roman"/>
          <w:color w:val="000000" w:themeColor="text1"/>
          <w:szCs w:val="24"/>
        </w:rPr>
        <w:t>on</w:t>
      </w:r>
      <w:r w:rsidR="005613B2">
        <w:rPr>
          <w:rStyle w:val="Strong"/>
          <w:rFonts w:cs="Times New Roman"/>
          <w:color w:val="000000" w:themeColor="text1"/>
          <w:szCs w:val="24"/>
        </w:rPr>
        <w:t xml:space="preserve"> </w:t>
      </w:r>
      <w:r w:rsidRPr="00C317BB">
        <w:rPr>
          <w:rStyle w:val="Strong"/>
          <w:rFonts w:cs="Times New Roman"/>
          <w:color w:val="000000" w:themeColor="text1"/>
          <w:szCs w:val="24"/>
        </w:rPr>
        <w:t>Conditions</w:t>
      </w:r>
      <w:r w:rsidR="005613B2">
        <w:rPr>
          <w:rStyle w:val="Strong"/>
          <w:rFonts w:cs="Times New Roman"/>
          <w:color w:val="000000" w:themeColor="text1"/>
          <w:szCs w:val="24"/>
        </w:rPr>
        <w:t xml:space="preserve"> </w:t>
      </w:r>
      <w:r w:rsidRPr="00C317BB">
        <w:rPr>
          <w:rStyle w:val="Strong"/>
          <w:rFonts w:cs="Times New Roman"/>
          <w:color w:val="000000" w:themeColor="text1"/>
          <w:szCs w:val="24"/>
        </w:rPr>
        <w:t>of</w:t>
      </w:r>
      <w:r w:rsidR="005613B2">
        <w:rPr>
          <w:rStyle w:val="Strong"/>
          <w:rFonts w:cs="Times New Roman"/>
          <w:color w:val="000000" w:themeColor="text1"/>
          <w:szCs w:val="24"/>
        </w:rPr>
        <w:t xml:space="preserve"> </w:t>
      </w:r>
      <w:r w:rsidRPr="00C317BB">
        <w:rPr>
          <w:rStyle w:val="Strong"/>
          <w:rFonts w:cs="Times New Roman"/>
          <w:color w:val="000000" w:themeColor="text1"/>
          <w:szCs w:val="24"/>
        </w:rPr>
        <w:t>Use</w:t>
      </w:r>
      <w:r w:rsidRPr="00C317BB">
        <w:rPr>
          <w:rFonts w:cs="Times New Roman"/>
          <w:b/>
          <w:color w:val="000000" w:themeColor="text1"/>
          <w:szCs w:val="24"/>
        </w:rPr>
        <w:t>.</w:t>
      </w:r>
    </w:p>
    <w:p w:rsidRPr="00C317BB" w:rsidR="00A83407" w:rsidP="004B5B61" w:rsidRDefault="00A83407" w14:paraId="7EAA78E3" w14:textId="77777777">
      <w:pPr>
        <w:spacing w:line="240" w:lineRule="auto"/>
        <w:rPr>
          <w:rFonts w:cs="Times New Roman"/>
          <w:b/>
          <w:color w:val="000000" w:themeColor="text1"/>
          <w:szCs w:val="24"/>
        </w:rPr>
      </w:pPr>
      <w:r w:rsidRPr="00C317BB">
        <w:rPr>
          <w:rFonts w:cs="Times New Roman"/>
          <w:b/>
          <w:color w:val="000000" w:themeColor="text1"/>
          <w:szCs w:val="24"/>
        </w:rPr>
        <w:t>751.X07</w:t>
      </w:r>
      <w:r w:rsidR="005613B2">
        <w:rPr>
          <w:rFonts w:cs="Times New Roman"/>
          <w:b/>
          <w:color w:val="000000" w:themeColor="text1"/>
          <w:szCs w:val="24"/>
        </w:rPr>
        <w:t xml:space="preserve"> </w:t>
      </w:r>
      <w:r w:rsidRPr="00C317BB">
        <w:rPr>
          <w:rFonts w:cs="Times New Roman"/>
          <w:b/>
          <w:color w:val="000000" w:themeColor="text1"/>
          <w:szCs w:val="24"/>
        </w:rPr>
        <w:t>[Reserved]</w:t>
      </w:r>
    </w:p>
    <w:p w:rsidRPr="00C317BB" w:rsidR="00A83407" w:rsidP="004B5B61" w:rsidRDefault="00A83407" w14:paraId="6CECA4C2" w14:textId="77777777">
      <w:pPr>
        <w:spacing w:line="240" w:lineRule="auto"/>
        <w:rPr>
          <w:rFonts w:cs="Times New Roman"/>
          <w:b/>
          <w:color w:val="000000" w:themeColor="text1"/>
          <w:szCs w:val="24"/>
        </w:rPr>
      </w:pPr>
      <w:r w:rsidRPr="00C317BB">
        <w:rPr>
          <w:rFonts w:cs="Times New Roman"/>
          <w:b/>
          <w:color w:val="000000" w:themeColor="text1"/>
          <w:szCs w:val="24"/>
        </w:rPr>
        <w:t>751.X09</w:t>
      </w:r>
      <w:r w:rsidR="005613B2">
        <w:rPr>
          <w:rFonts w:cs="Times New Roman"/>
          <w:b/>
          <w:color w:val="000000" w:themeColor="text1"/>
          <w:szCs w:val="24"/>
        </w:rPr>
        <w:t xml:space="preserve"> </w:t>
      </w:r>
      <w:r w:rsidRPr="00C317BB">
        <w:rPr>
          <w:rFonts w:cs="Times New Roman"/>
          <w:b/>
          <w:color w:val="000000" w:themeColor="text1"/>
          <w:szCs w:val="24"/>
        </w:rPr>
        <w:t>Disposal.</w:t>
      </w:r>
    </w:p>
    <w:p w:rsidR="00A83407" w:rsidP="004B5B61" w:rsidRDefault="00A83407" w14:paraId="4D798FE6" w14:textId="4D63E560">
      <w:pPr>
        <w:spacing w:line="240" w:lineRule="auto"/>
        <w:rPr>
          <w:rFonts w:cs="Times New Roman"/>
          <w:b/>
          <w:color w:val="000000" w:themeColor="text1"/>
          <w:szCs w:val="24"/>
        </w:rPr>
      </w:pPr>
      <w:r w:rsidRPr="00C317BB">
        <w:rPr>
          <w:rFonts w:cs="Times New Roman"/>
          <w:b/>
          <w:color w:val="000000" w:themeColor="text1"/>
          <w:szCs w:val="24"/>
        </w:rPr>
        <w:t>751.X11</w:t>
      </w:r>
      <w:r w:rsidR="005613B2">
        <w:rPr>
          <w:rFonts w:cs="Times New Roman"/>
          <w:b/>
          <w:color w:val="000000" w:themeColor="text1"/>
          <w:szCs w:val="24"/>
        </w:rPr>
        <w:t xml:space="preserve"> </w:t>
      </w:r>
      <w:r w:rsidRPr="00C317BB">
        <w:rPr>
          <w:rFonts w:cs="Times New Roman"/>
          <w:b/>
          <w:color w:val="000000" w:themeColor="text1"/>
          <w:szCs w:val="24"/>
        </w:rPr>
        <w:t>Recordkeeping.</w:t>
      </w:r>
    </w:p>
    <w:p w:rsidRPr="00C317BB" w:rsidR="004B5B61" w:rsidP="004B5B61" w:rsidRDefault="004B5B61" w14:paraId="0C63750F" w14:textId="77777777">
      <w:pPr>
        <w:spacing w:line="240" w:lineRule="auto"/>
        <w:rPr>
          <w:rFonts w:cs="Times New Roman"/>
          <w:b/>
          <w:color w:val="000000" w:themeColor="text1"/>
          <w:szCs w:val="24"/>
        </w:rPr>
      </w:pPr>
    </w:p>
    <w:p w:rsidRPr="00C317BB" w:rsidR="004C3D2B" w:rsidP="00F27167" w:rsidRDefault="004C3D2B" w14:paraId="3994E0ED" w14:textId="09B09C90">
      <w:pPr>
        <w:pStyle w:val="Heading2"/>
        <w:rPr>
          <w:rStyle w:val="Strong"/>
          <w:rFonts w:cs="Times New Roman"/>
          <w:b w:val="0"/>
          <w:color w:val="000000" w:themeColor="text1"/>
          <w:kern w:val="32"/>
          <w:szCs w:val="24"/>
        </w:rPr>
      </w:pPr>
      <w:r w:rsidRPr="00C317BB">
        <w:rPr>
          <w:rStyle w:val="Strong"/>
          <w:rFonts w:cs="Times New Roman"/>
          <w:i w:val="0"/>
          <w:color w:val="000000" w:themeColor="text1"/>
          <w:szCs w:val="24"/>
        </w:rPr>
        <w:t>§</w:t>
      </w:r>
      <w:r w:rsidR="005613B2">
        <w:rPr>
          <w:rStyle w:val="Strong"/>
          <w:rFonts w:cs="Times New Roman"/>
          <w:i w:val="0"/>
          <w:color w:val="000000" w:themeColor="text1"/>
          <w:szCs w:val="24"/>
        </w:rPr>
        <w:t xml:space="preserve"> </w:t>
      </w:r>
      <w:r w:rsidRPr="00C317BB">
        <w:rPr>
          <w:rStyle w:val="Strong"/>
          <w:rFonts w:cs="Times New Roman"/>
          <w:i w:val="0"/>
          <w:color w:val="000000" w:themeColor="text1"/>
          <w:szCs w:val="24"/>
        </w:rPr>
        <w:t>751.</w:t>
      </w:r>
      <w:r w:rsidRPr="00C317BB" w:rsidR="00130344">
        <w:rPr>
          <w:rStyle w:val="Strong"/>
          <w:rFonts w:cs="Times New Roman"/>
          <w:i w:val="0"/>
          <w:color w:val="000000" w:themeColor="text1"/>
          <w:szCs w:val="24"/>
        </w:rPr>
        <w:t>X</w:t>
      </w:r>
      <w:r w:rsidRPr="00C317BB" w:rsidR="00D91D6E">
        <w:rPr>
          <w:rStyle w:val="Strong"/>
          <w:rFonts w:cs="Times New Roman"/>
          <w:i w:val="0"/>
          <w:color w:val="000000" w:themeColor="text1"/>
          <w:szCs w:val="24"/>
        </w:rPr>
        <w:t>01</w:t>
      </w:r>
      <w:r w:rsidR="005613B2">
        <w:rPr>
          <w:rStyle w:val="Strong"/>
          <w:rFonts w:cs="Times New Roman"/>
          <w:i w:val="0"/>
          <w:color w:val="000000" w:themeColor="text1"/>
          <w:szCs w:val="24"/>
        </w:rPr>
        <w:t xml:space="preserve"> </w:t>
      </w:r>
      <w:r w:rsidRPr="00C317BB" w:rsidR="00130344">
        <w:rPr>
          <w:rStyle w:val="Strong"/>
          <w:rFonts w:cs="Times New Roman"/>
          <w:i w:val="0"/>
          <w:color w:val="000000" w:themeColor="text1"/>
          <w:szCs w:val="24"/>
        </w:rPr>
        <w:t>General</w:t>
      </w:r>
      <w:r w:rsidRPr="00C317BB">
        <w:rPr>
          <w:rStyle w:val="Strong"/>
          <w:rFonts w:cs="Times New Roman"/>
          <w:i w:val="0"/>
          <w:color w:val="000000" w:themeColor="text1"/>
          <w:szCs w:val="24"/>
        </w:rPr>
        <w:t>.</w:t>
      </w:r>
    </w:p>
    <w:p w:rsidRPr="00C317BB" w:rsidR="00130344" w:rsidP="00F27167" w:rsidRDefault="00130344" w14:paraId="37F31306" w14:textId="6DC40D1D">
      <w:pPr>
        <w:rPr>
          <w:rStyle w:val="Strong"/>
          <w:rFonts w:cs="Times New Roman"/>
          <w:b w:val="0"/>
          <w:bCs w:val="0"/>
          <w:color w:val="000000" w:themeColor="text1"/>
          <w:szCs w:val="24"/>
        </w:rPr>
      </w:pPr>
      <w:r w:rsidRPr="00C317BB">
        <w:rPr>
          <w:rStyle w:val="Strong"/>
          <w:rFonts w:cs="Times New Roman"/>
          <w:color w:val="000000" w:themeColor="text1"/>
          <w:szCs w:val="24"/>
        </w:rPr>
        <w:tab/>
      </w:r>
      <w:r w:rsidRPr="00C317BB">
        <w:rPr>
          <w:rStyle w:val="Strong"/>
          <w:rFonts w:cs="Times New Roman"/>
          <w:b w:val="0"/>
          <w:color w:val="000000" w:themeColor="text1"/>
          <w:szCs w:val="24"/>
        </w:rPr>
        <w:t>This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>
        <w:rPr>
          <w:rStyle w:val="Strong"/>
          <w:rFonts w:cs="Times New Roman"/>
          <w:b w:val="0"/>
          <w:color w:val="000000" w:themeColor="text1"/>
          <w:szCs w:val="24"/>
        </w:rPr>
        <w:t>subpart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>
        <w:rPr>
          <w:rStyle w:val="Strong"/>
          <w:rFonts w:cs="Times New Roman"/>
          <w:b w:val="0"/>
          <w:color w:val="000000" w:themeColor="text1"/>
          <w:szCs w:val="24"/>
        </w:rPr>
        <w:t>sets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>
        <w:rPr>
          <w:rStyle w:val="Strong"/>
          <w:rFonts w:cs="Times New Roman"/>
          <w:b w:val="0"/>
          <w:color w:val="000000" w:themeColor="text1"/>
          <w:szCs w:val="24"/>
        </w:rPr>
        <w:t>certain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>
        <w:rPr>
          <w:rStyle w:val="Strong"/>
          <w:rFonts w:cs="Times New Roman"/>
          <w:b w:val="0"/>
          <w:color w:val="000000" w:themeColor="text1"/>
          <w:szCs w:val="24"/>
        </w:rPr>
        <w:t>restrictions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>
        <w:rPr>
          <w:rStyle w:val="Strong"/>
          <w:rFonts w:cs="Times New Roman"/>
          <w:b w:val="0"/>
          <w:color w:val="000000" w:themeColor="text1"/>
          <w:szCs w:val="24"/>
        </w:rPr>
        <w:t>on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>
        <w:rPr>
          <w:rStyle w:val="Strong"/>
          <w:rFonts w:cs="Times New Roman"/>
          <w:b w:val="0"/>
          <w:color w:val="000000" w:themeColor="text1"/>
          <w:szCs w:val="24"/>
        </w:rPr>
        <w:t>the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>
        <w:rPr>
          <w:rStyle w:val="Strong"/>
          <w:rFonts w:cs="Times New Roman"/>
          <w:b w:val="0"/>
          <w:color w:val="000000" w:themeColor="text1"/>
          <w:szCs w:val="24"/>
        </w:rPr>
        <w:t>manufactur</w:t>
      </w:r>
      <w:r w:rsidRPr="00C317BB" w:rsidR="002169C9">
        <w:rPr>
          <w:rStyle w:val="Strong"/>
          <w:rFonts w:cs="Times New Roman"/>
          <w:b w:val="0"/>
          <w:color w:val="000000" w:themeColor="text1"/>
          <w:szCs w:val="24"/>
        </w:rPr>
        <w:t>e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>
        <w:rPr>
          <w:rStyle w:val="Strong"/>
          <w:rFonts w:cs="Times New Roman"/>
          <w:b w:val="0"/>
          <w:color w:val="000000" w:themeColor="text1"/>
          <w:szCs w:val="24"/>
        </w:rPr>
        <w:t>(including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>
        <w:rPr>
          <w:rStyle w:val="Strong"/>
          <w:rFonts w:cs="Times New Roman"/>
          <w:b w:val="0"/>
          <w:color w:val="000000" w:themeColor="text1"/>
          <w:szCs w:val="24"/>
        </w:rPr>
        <w:t>import),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>
        <w:rPr>
          <w:rStyle w:val="Strong"/>
          <w:rFonts w:cs="Times New Roman"/>
          <w:b w:val="0"/>
          <w:color w:val="000000" w:themeColor="text1"/>
          <w:szCs w:val="24"/>
        </w:rPr>
        <w:t>processing,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>
        <w:rPr>
          <w:rStyle w:val="Strong"/>
          <w:rFonts w:cs="Times New Roman"/>
          <w:b w:val="0"/>
          <w:color w:val="000000" w:themeColor="text1"/>
          <w:szCs w:val="24"/>
        </w:rPr>
        <w:t>distribution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>
        <w:rPr>
          <w:rStyle w:val="Strong"/>
          <w:rFonts w:cs="Times New Roman"/>
          <w:b w:val="0"/>
          <w:color w:val="000000" w:themeColor="text1"/>
          <w:szCs w:val="24"/>
        </w:rPr>
        <w:t>in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B72335">
        <w:rPr>
          <w:rStyle w:val="Strong"/>
          <w:rFonts w:cs="Times New Roman"/>
          <w:b w:val="0"/>
          <w:color w:val="000000" w:themeColor="text1"/>
          <w:szCs w:val="24"/>
        </w:rPr>
        <w:t>commerce</w:t>
      </w:r>
      <w:r w:rsidRPr="00C317BB" w:rsidR="00060D81">
        <w:rPr>
          <w:rStyle w:val="Strong"/>
          <w:rFonts w:cs="Times New Roman"/>
          <w:b w:val="0"/>
          <w:color w:val="000000" w:themeColor="text1"/>
          <w:szCs w:val="24"/>
        </w:rPr>
        <w:t>,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010DE4">
        <w:rPr>
          <w:rStyle w:val="Strong"/>
          <w:rFonts w:cs="Times New Roman"/>
          <w:b w:val="0"/>
          <w:color w:val="000000" w:themeColor="text1"/>
          <w:szCs w:val="24"/>
        </w:rPr>
        <w:t>and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4E20A4">
        <w:rPr>
          <w:rStyle w:val="Strong"/>
          <w:rFonts w:cs="Times New Roman"/>
          <w:b w:val="0"/>
          <w:color w:val="000000" w:themeColor="text1"/>
          <w:szCs w:val="24"/>
        </w:rPr>
        <w:t>commercial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010DE4">
        <w:rPr>
          <w:rStyle w:val="Strong"/>
          <w:rFonts w:cs="Times New Roman"/>
          <w:b w:val="0"/>
          <w:color w:val="000000" w:themeColor="text1"/>
          <w:szCs w:val="24"/>
        </w:rPr>
        <w:t>use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48671F">
        <w:rPr>
          <w:rStyle w:val="Strong"/>
          <w:rFonts w:cs="Times New Roman"/>
          <w:b w:val="0"/>
          <w:color w:val="000000" w:themeColor="text1"/>
          <w:szCs w:val="24"/>
        </w:rPr>
        <w:t>and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48671F">
        <w:rPr>
          <w:rStyle w:val="Strong"/>
          <w:rFonts w:cs="Times New Roman"/>
          <w:b w:val="0"/>
          <w:color w:val="000000" w:themeColor="text1"/>
          <w:szCs w:val="24"/>
        </w:rPr>
        <w:t>disposal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B72335">
        <w:rPr>
          <w:rStyle w:val="Strong"/>
          <w:rFonts w:cs="Times New Roman"/>
          <w:b w:val="0"/>
          <w:color w:val="000000" w:themeColor="text1"/>
          <w:szCs w:val="24"/>
        </w:rPr>
        <w:t>of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447B18">
        <w:rPr>
          <w:rStyle w:val="Strong"/>
          <w:rFonts w:cs="Times New Roman"/>
          <w:b w:val="0"/>
          <w:color w:val="000000" w:themeColor="text1"/>
          <w:szCs w:val="24"/>
        </w:rPr>
        <w:t>chr</w:t>
      </w:r>
      <w:r w:rsidRPr="00C317BB" w:rsidR="00F51776">
        <w:rPr>
          <w:rStyle w:val="Strong"/>
          <w:rFonts w:cs="Times New Roman"/>
          <w:b w:val="0"/>
          <w:color w:val="000000" w:themeColor="text1"/>
          <w:szCs w:val="24"/>
        </w:rPr>
        <w:t>y</w:t>
      </w:r>
      <w:r w:rsidRPr="00C317BB" w:rsidR="00F55C64">
        <w:rPr>
          <w:rStyle w:val="Strong"/>
          <w:rFonts w:cs="Times New Roman"/>
          <w:b w:val="0"/>
          <w:color w:val="000000" w:themeColor="text1"/>
          <w:szCs w:val="24"/>
        </w:rPr>
        <w:t>sotile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901627">
        <w:rPr>
          <w:rStyle w:val="Strong"/>
          <w:rFonts w:cs="Times New Roman"/>
          <w:b w:val="0"/>
          <w:color w:val="000000" w:themeColor="text1"/>
          <w:szCs w:val="24"/>
        </w:rPr>
        <w:t>asbestos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B72335">
        <w:rPr>
          <w:rStyle w:val="Strong"/>
          <w:rFonts w:cs="Times New Roman"/>
          <w:b w:val="0"/>
          <w:color w:val="000000" w:themeColor="text1"/>
          <w:szCs w:val="24"/>
        </w:rPr>
        <w:t>to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B72335">
        <w:rPr>
          <w:rStyle w:val="Strong"/>
          <w:rFonts w:cs="Times New Roman"/>
          <w:b w:val="0"/>
          <w:color w:val="000000" w:themeColor="text1"/>
          <w:szCs w:val="24"/>
        </w:rPr>
        <w:t>prevent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B72335">
        <w:rPr>
          <w:rStyle w:val="Strong"/>
          <w:rFonts w:cs="Times New Roman"/>
          <w:b w:val="0"/>
          <w:color w:val="000000" w:themeColor="text1"/>
          <w:szCs w:val="24"/>
        </w:rPr>
        <w:t>unreasonable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B72335">
        <w:rPr>
          <w:rStyle w:val="Strong"/>
          <w:rFonts w:cs="Times New Roman"/>
          <w:b w:val="0"/>
          <w:color w:val="000000" w:themeColor="text1"/>
          <w:szCs w:val="24"/>
        </w:rPr>
        <w:t>risk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B72335">
        <w:rPr>
          <w:rStyle w:val="Strong"/>
          <w:rFonts w:cs="Times New Roman"/>
          <w:b w:val="0"/>
          <w:color w:val="000000" w:themeColor="text1"/>
          <w:szCs w:val="24"/>
        </w:rPr>
        <w:t>of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B72335">
        <w:rPr>
          <w:rStyle w:val="Strong"/>
          <w:rFonts w:cs="Times New Roman"/>
          <w:b w:val="0"/>
          <w:color w:val="000000" w:themeColor="text1"/>
          <w:szCs w:val="24"/>
        </w:rPr>
        <w:t>injury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B72335">
        <w:rPr>
          <w:rStyle w:val="Strong"/>
          <w:rFonts w:cs="Times New Roman"/>
          <w:b w:val="0"/>
          <w:color w:val="000000" w:themeColor="text1"/>
          <w:szCs w:val="24"/>
        </w:rPr>
        <w:t>to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B72335">
        <w:rPr>
          <w:rStyle w:val="Strong"/>
          <w:rFonts w:cs="Times New Roman"/>
          <w:b w:val="0"/>
          <w:color w:val="000000" w:themeColor="text1"/>
          <w:szCs w:val="24"/>
        </w:rPr>
        <w:t>health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2011D7">
        <w:rPr>
          <w:rStyle w:val="Strong"/>
          <w:rFonts w:cs="Times New Roman"/>
          <w:b w:val="0"/>
          <w:color w:val="000000" w:themeColor="text1"/>
          <w:szCs w:val="24"/>
        </w:rPr>
        <w:t>in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2011D7">
        <w:rPr>
          <w:rStyle w:val="Strong"/>
          <w:rFonts w:cs="Times New Roman"/>
          <w:b w:val="0"/>
          <w:color w:val="000000" w:themeColor="text1"/>
          <w:szCs w:val="24"/>
        </w:rPr>
        <w:t>accordance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2011D7">
        <w:rPr>
          <w:rStyle w:val="Strong"/>
          <w:rFonts w:cs="Times New Roman"/>
          <w:b w:val="0"/>
          <w:color w:val="000000" w:themeColor="text1"/>
          <w:szCs w:val="24"/>
        </w:rPr>
        <w:t>with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2011D7">
        <w:rPr>
          <w:rStyle w:val="Strong"/>
          <w:rFonts w:cs="Times New Roman"/>
          <w:b w:val="0"/>
          <w:color w:val="000000" w:themeColor="text1"/>
          <w:szCs w:val="24"/>
        </w:rPr>
        <w:t>TSCA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2011D7">
        <w:rPr>
          <w:rStyle w:val="Strong"/>
          <w:rFonts w:cs="Times New Roman"/>
          <w:b w:val="0"/>
          <w:color w:val="000000" w:themeColor="text1"/>
          <w:szCs w:val="24"/>
        </w:rPr>
        <w:t>section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2011D7">
        <w:rPr>
          <w:rStyle w:val="Strong"/>
          <w:rFonts w:cs="Times New Roman"/>
          <w:b w:val="0"/>
          <w:color w:val="000000" w:themeColor="text1"/>
          <w:szCs w:val="24"/>
        </w:rPr>
        <w:t>6(a),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2011D7">
        <w:rPr>
          <w:rStyle w:val="Strong"/>
          <w:rFonts w:cs="Times New Roman"/>
          <w:b w:val="0"/>
          <w:color w:val="000000" w:themeColor="text1"/>
          <w:szCs w:val="24"/>
        </w:rPr>
        <w:t>15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2011D7">
        <w:rPr>
          <w:rStyle w:val="Strong"/>
          <w:rFonts w:cs="Times New Roman"/>
          <w:b w:val="0"/>
          <w:color w:val="000000" w:themeColor="text1"/>
          <w:szCs w:val="24"/>
        </w:rPr>
        <w:t>U.S.C.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7F0AEB">
        <w:rPr>
          <w:rStyle w:val="Strong"/>
          <w:rFonts w:cs="Times New Roman"/>
          <w:b w:val="0"/>
          <w:color w:val="000000" w:themeColor="text1"/>
          <w:szCs w:val="24"/>
        </w:rPr>
        <w:t>2605(a)</w:t>
      </w:r>
      <w:r w:rsidRPr="00C317BB" w:rsidR="00B72335">
        <w:rPr>
          <w:rStyle w:val="Strong"/>
          <w:rFonts w:cs="Times New Roman"/>
          <w:b w:val="0"/>
          <w:color w:val="000000" w:themeColor="text1"/>
          <w:szCs w:val="24"/>
        </w:rPr>
        <w:t>.</w:t>
      </w:r>
    </w:p>
    <w:p w:rsidRPr="00C317BB" w:rsidR="00B72335" w:rsidP="00F27167" w:rsidRDefault="00B72335" w14:paraId="67ED03EF" w14:textId="3F021B62">
      <w:pPr>
        <w:pStyle w:val="Heading2"/>
        <w:rPr>
          <w:rStyle w:val="Strong"/>
          <w:rFonts w:cs="Times New Roman"/>
          <w:color w:val="000000" w:themeColor="text1"/>
          <w:szCs w:val="24"/>
        </w:rPr>
      </w:pPr>
      <w:r w:rsidRPr="00C317BB">
        <w:rPr>
          <w:rStyle w:val="Strong"/>
          <w:rFonts w:cs="Times New Roman"/>
          <w:i w:val="0"/>
          <w:color w:val="000000" w:themeColor="text1"/>
          <w:szCs w:val="24"/>
        </w:rPr>
        <w:t>§</w:t>
      </w:r>
      <w:r w:rsidR="005613B2">
        <w:rPr>
          <w:rStyle w:val="Strong"/>
          <w:rFonts w:cs="Times New Roman"/>
          <w:i w:val="0"/>
          <w:color w:val="000000" w:themeColor="text1"/>
          <w:szCs w:val="24"/>
        </w:rPr>
        <w:t xml:space="preserve"> </w:t>
      </w:r>
      <w:r w:rsidRPr="00C317BB">
        <w:rPr>
          <w:rStyle w:val="Strong"/>
          <w:rFonts w:cs="Times New Roman"/>
          <w:i w:val="0"/>
          <w:color w:val="000000" w:themeColor="text1"/>
          <w:szCs w:val="24"/>
        </w:rPr>
        <w:t>751.X</w:t>
      </w:r>
      <w:r w:rsidRPr="00C317BB" w:rsidR="00D91D6E">
        <w:rPr>
          <w:rStyle w:val="Strong"/>
          <w:rFonts w:cs="Times New Roman"/>
          <w:i w:val="0"/>
          <w:color w:val="000000" w:themeColor="text1"/>
          <w:szCs w:val="24"/>
        </w:rPr>
        <w:t>03</w:t>
      </w:r>
      <w:r w:rsidR="005613B2">
        <w:rPr>
          <w:rStyle w:val="Strong"/>
          <w:rFonts w:cs="Times New Roman"/>
          <w:i w:val="0"/>
          <w:color w:val="000000" w:themeColor="text1"/>
          <w:szCs w:val="24"/>
        </w:rPr>
        <w:t xml:space="preserve"> </w:t>
      </w:r>
      <w:r w:rsidRPr="00C317BB">
        <w:rPr>
          <w:rStyle w:val="Strong"/>
          <w:rFonts w:cs="Times New Roman"/>
          <w:i w:val="0"/>
          <w:color w:val="000000" w:themeColor="text1"/>
          <w:szCs w:val="24"/>
        </w:rPr>
        <w:t>Definitions.</w:t>
      </w:r>
      <w:r w:rsidR="005613B2">
        <w:rPr>
          <w:rStyle w:val="Strong"/>
          <w:rFonts w:cs="Times New Roman"/>
          <w:i w:val="0"/>
          <w:color w:val="000000" w:themeColor="text1"/>
          <w:szCs w:val="24"/>
        </w:rPr>
        <w:t xml:space="preserve"> </w:t>
      </w:r>
    </w:p>
    <w:p w:rsidRPr="00C317BB" w:rsidR="00B72335" w:rsidP="00F27167" w:rsidRDefault="00B72335" w14:paraId="77518E7A" w14:textId="371E7671">
      <w:pPr>
        <w:rPr>
          <w:rStyle w:val="Strong"/>
          <w:rFonts w:cs="Times New Roman"/>
          <w:b w:val="0"/>
          <w:bCs w:val="0"/>
          <w:color w:val="000000" w:themeColor="text1"/>
          <w:szCs w:val="24"/>
        </w:rPr>
      </w:pPr>
      <w:r w:rsidRPr="00C317BB">
        <w:rPr>
          <w:rStyle w:val="Strong"/>
          <w:rFonts w:cs="Times New Roman"/>
          <w:b w:val="0"/>
          <w:color w:val="000000" w:themeColor="text1"/>
          <w:szCs w:val="24"/>
        </w:rPr>
        <w:tab/>
        <w:t>The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>
        <w:rPr>
          <w:rStyle w:val="Strong"/>
          <w:rFonts w:cs="Times New Roman"/>
          <w:b w:val="0"/>
          <w:color w:val="000000" w:themeColor="text1"/>
          <w:szCs w:val="24"/>
        </w:rPr>
        <w:t>definitions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>
        <w:rPr>
          <w:rStyle w:val="Strong"/>
          <w:rFonts w:cs="Times New Roman"/>
          <w:b w:val="0"/>
          <w:color w:val="000000" w:themeColor="text1"/>
          <w:szCs w:val="24"/>
        </w:rPr>
        <w:t>in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>
        <w:rPr>
          <w:rStyle w:val="Strong"/>
          <w:rFonts w:cs="Times New Roman"/>
          <w:b w:val="0"/>
          <w:color w:val="000000" w:themeColor="text1"/>
          <w:szCs w:val="24"/>
        </w:rPr>
        <w:t>subpart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5A4937">
        <w:rPr>
          <w:rStyle w:val="Strong"/>
          <w:rFonts w:cs="Times New Roman"/>
          <w:b w:val="0"/>
          <w:color w:val="000000" w:themeColor="text1"/>
          <w:szCs w:val="24"/>
        </w:rPr>
        <w:t>A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>
        <w:rPr>
          <w:rStyle w:val="Strong"/>
          <w:rFonts w:cs="Times New Roman"/>
          <w:b w:val="0"/>
          <w:color w:val="000000" w:themeColor="text1"/>
          <w:szCs w:val="24"/>
        </w:rPr>
        <w:t>of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>
        <w:rPr>
          <w:rStyle w:val="Strong"/>
          <w:rFonts w:cs="Times New Roman"/>
          <w:b w:val="0"/>
          <w:color w:val="000000" w:themeColor="text1"/>
          <w:szCs w:val="24"/>
        </w:rPr>
        <w:t>this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>
        <w:rPr>
          <w:rStyle w:val="Strong"/>
          <w:rFonts w:cs="Times New Roman"/>
          <w:b w:val="0"/>
          <w:color w:val="000000" w:themeColor="text1"/>
          <w:szCs w:val="24"/>
        </w:rPr>
        <w:t>part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>
        <w:rPr>
          <w:rStyle w:val="Strong"/>
          <w:rFonts w:cs="Times New Roman"/>
          <w:b w:val="0"/>
          <w:color w:val="000000" w:themeColor="text1"/>
          <w:szCs w:val="24"/>
        </w:rPr>
        <w:t>apply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>
        <w:rPr>
          <w:rStyle w:val="Strong"/>
          <w:rFonts w:cs="Times New Roman"/>
          <w:b w:val="0"/>
          <w:color w:val="000000" w:themeColor="text1"/>
          <w:szCs w:val="24"/>
        </w:rPr>
        <w:t>to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>
        <w:rPr>
          <w:rStyle w:val="Strong"/>
          <w:rFonts w:cs="Times New Roman"/>
          <w:b w:val="0"/>
          <w:color w:val="000000" w:themeColor="text1"/>
          <w:szCs w:val="24"/>
        </w:rPr>
        <w:t>this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>
        <w:rPr>
          <w:rStyle w:val="Strong"/>
          <w:rFonts w:cs="Times New Roman"/>
          <w:b w:val="0"/>
          <w:color w:val="000000" w:themeColor="text1"/>
          <w:szCs w:val="24"/>
        </w:rPr>
        <w:t>subpart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>
        <w:rPr>
          <w:rStyle w:val="Strong"/>
          <w:rFonts w:cs="Times New Roman"/>
          <w:b w:val="0"/>
          <w:color w:val="000000" w:themeColor="text1"/>
          <w:szCs w:val="24"/>
        </w:rPr>
        <w:t>unless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>
        <w:rPr>
          <w:rStyle w:val="Strong"/>
          <w:rFonts w:cs="Times New Roman"/>
          <w:b w:val="0"/>
          <w:color w:val="000000" w:themeColor="text1"/>
          <w:szCs w:val="24"/>
        </w:rPr>
        <w:t>otherwise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>
        <w:rPr>
          <w:rStyle w:val="Strong"/>
          <w:rFonts w:cs="Times New Roman"/>
          <w:b w:val="0"/>
          <w:color w:val="000000" w:themeColor="text1"/>
          <w:szCs w:val="24"/>
        </w:rPr>
        <w:t>specified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>
        <w:rPr>
          <w:rStyle w:val="Strong"/>
          <w:rFonts w:cs="Times New Roman"/>
          <w:b w:val="0"/>
          <w:color w:val="000000" w:themeColor="text1"/>
          <w:szCs w:val="24"/>
        </w:rPr>
        <w:t>in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>
        <w:rPr>
          <w:rStyle w:val="Strong"/>
          <w:rFonts w:cs="Times New Roman"/>
          <w:b w:val="0"/>
          <w:color w:val="000000" w:themeColor="text1"/>
          <w:szCs w:val="24"/>
        </w:rPr>
        <w:t>this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>
        <w:rPr>
          <w:rStyle w:val="Strong"/>
          <w:rFonts w:cs="Times New Roman"/>
          <w:b w:val="0"/>
          <w:color w:val="000000" w:themeColor="text1"/>
          <w:szCs w:val="24"/>
        </w:rPr>
        <w:t>section.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>
        <w:rPr>
          <w:rStyle w:val="Strong"/>
          <w:rFonts w:cs="Times New Roman"/>
          <w:b w:val="0"/>
          <w:color w:val="000000" w:themeColor="text1"/>
          <w:szCs w:val="24"/>
        </w:rPr>
        <w:t>In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>
        <w:rPr>
          <w:rStyle w:val="Strong"/>
          <w:rFonts w:cs="Times New Roman"/>
          <w:b w:val="0"/>
          <w:color w:val="000000" w:themeColor="text1"/>
          <w:szCs w:val="24"/>
        </w:rPr>
        <w:t>addition,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>
        <w:rPr>
          <w:rStyle w:val="Strong"/>
          <w:rFonts w:cs="Times New Roman"/>
          <w:b w:val="0"/>
          <w:color w:val="000000" w:themeColor="text1"/>
          <w:szCs w:val="24"/>
        </w:rPr>
        <w:t>the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>
        <w:rPr>
          <w:rStyle w:val="Strong"/>
          <w:rFonts w:cs="Times New Roman"/>
          <w:b w:val="0"/>
          <w:color w:val="000000" w:themeColor="text1"/>
          <w:szCs w:val="24"/>
        </w:rPr>
        <w:t>following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>
        <w:rPr>
          <w:rStyle w:val="Strong"/>
          <w:rFonts w:cs="Times New Roman"/>
          <w:b w:val="0"/>
          <w:color w:val="000000" w:themeColor="text1"/>
          <w:szCs w:val="24"/>
        </w:rPr>
        <w:t>definitions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>
        <w:rPr>
          <w:rStyle w:val="Strong"/>
          <w:rFonts w:cs="Times New Roman"/>
          <w:b w:val="0"/>
          <w:color w:val="000000" w:themeColor="text1"/>
          <w:szCs w:val="24"/>
        </w:rPr>
        <w:t>apply:</w:t>
      </w:r>
    </w:p>
    <w:p w:rsidRPr="00C317BB" w:rsidR="00A81A20" w:rsidP="004B5B61" w:rsidRDefault="004B5B61" w14:paraId="665BE650" w14:textId="06E10C0D">
      <w:pPr>
        <w:rPr>
          <w:rFonts w:cs="Times New Roman"/>
          <w:color w:val="000000" w:themeColor="text1"/>
          <w:szCs w:val="24"/>
        </w:rPr>
      </w:pPr>
      <w:r w:rsidRPr="00C317BB">
        <w:rPr>
          <w:rStyle w:val="Strong"/>
          <w:rFonts w:cs="Times New Roman"/>
          <w:color w:val="000000" w:themeColor="text1"/>
          <w:szCs w:val="24"/>
        </w:rPr>
        <w:tab/>
      </w:r>
      <w:r w:rsidRPr="00C317BB" w:rsidR="00A81A20">
        <w:rPr>
          <w:rFonts w:cs="Times New Roman"/>
          <w:i/>
          <w:color w:val="000000" w:themeColor="text1"/>
          <w:szCs w:val="24"/>
        </w:rPr>
        <w:t>Aftermarket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A81A20">
        <w:rPr>
          <w:rFonts w:cs="Times New Roman"/>
          <w:i/>
          <w:color w:val="000000" w:themeColor="text1"/>
          <w:szCs w:val="24"/>
        </w:rPr>
        <w:t>Automotive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844C62">
        <w:rPr>
          <w:rFonts w:cs="Times New Roman"/>
          <w:i/>
          <w:color w:val="000000" w:themeColor="text1"/>
          <w:szCs w:val="24"/>
        </w:rPr>
        <w:t>B</w:t>
      </w:r>
      <w:r w:rsidRPr="00C317BB" w:rsidR="00A81A20">
        <w:rPr>
          <w:rFonts w:cs="Times New Roman"/>
          <w:i/>
          <w:color w:val="000000" w:themeColor="text1"/>
          <w:szCs w:val="24"/>
        </w:rPr>
        <w:t>rakes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A81A20">
        <w:rPr>
          <w:rFonts w:cs="Times New Roman"/>
          <w:i/>
          <w:color w:val="000000" w:themeColor="text1"/>
          <w:szCs w:val="24"/>
        </w:rPr>
        <w:t>and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844C62">
        <w:rPr>
          <w:rFonts w:cs="Times New Roman"/>
          <w:i/>
          <w:color w:val="000000" w:themeColor="text1"/>
          <w:szCs w:val="24"/>
        </w:rPr>
        <w:t>L</w:t>
      </w:r>
      <w:r w:rsidRPr="00C317BB" w:rsidR="00A81A20">
        <w:rPr>
          <w:rFonts w:cs="Times New Roman"/>
          <w:i/>
          <w:color w:val="000000" w:themeColor="text1"/>
          <w:szCs w:val="24"/>
        </w:rPr>
        <w:t>inings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1A20">
        <w:rPr>
          <w:rFonts w:cs="Times New Roman"/>
          <w:color w:val="000000" w:themeColor="text1"/>
          <w:szCs w:val="24"/>
        </w:rPr>
        <w:t>mean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1A20">
        <w:rPr>
          <w:rFonts w:cs="Times New Roman"/>
          <w:color w:val="000000" w:themeColor="text1"/>
          <w:szCs w:val="24"/>
        </w:rPr>
        <w:t>any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1A20">
        <w:rPr>
          <w:rFonts w:cs="Times New Roman"/>
          <w:color w:val="000000" w:themeColor="text1"/>
          <w:szCs w:val="24"/>
        </w:rPr>
        <w:t>automotive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1A20">
        <w:rPr>
          <w:rFonts w:cs="Times New Roman"/>
          <w:color w:val="000000" w:themeColor="text1"/>
          <w:szCs w:val="24"/>
        </w:rPr>
        <w:t>friction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39F7">
        <w:rPr>
          <w:rFonts w:cs="Times New Roman"/>
          <w:color w:val="000000" w:themeColor="text1"/>
          <w:szCs w:val="24"/>
        </w:rPr>
        <w:t>brake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13E97">
        <w:rPr>
          <w:rFonts w:cs="Times New Roman"/>
          <w:color w:val="000000" w:themeColor="text1"/>
          <w:szCs w:val="24"/>
        </w:rPr>
        <w:t>articles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1A20">
        <w:rPr>
          <w:rFonts w:cs="Times New Roman"/>
          <w:color w:val="000000" w:themeColor="text1"/>
          <w:szCs w:val="24"/>
        </w:rPr>
        <w:t>sold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1A20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1A20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1A20">
        <w:rPr>
          <w:rFonts w:cs="Times New Roman"/>
          <w:color w:val="000000" w:themeColor="text1"/>
          <w:szCs w:val="24"/>
        </w:rPr>
        <w:t>secondary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1A20">
        <w:rPr>
          <w:rFonts w:cs="Times New Roman"/>
          <w:color w:val="000000" w:themeColor="text1"/>
          <w:szCs w:val="24"/>
        </w:rPr>
        <w:t>market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39F7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39F7">
        <w:rPr>
          <w:rFonts w:cs="Times New Roman"/>
          <w:color w:val="000000" w:themeColor="text1"/>
          <w:szCs w:val="24"/>
        </w:rPr>
        <w:t>replacement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39F7">
        <w:rPr>
          <w:rFonts w:cs="Times New Roman"/>
          <w:color w:val="000000" w:themeColor="text1"/>
          <w:szCs w:val="24"/>
        </w:rPr>
        <w:t>parts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17DB">
        <w:rPr>
          <w:rFonts w:cs="Times New Roman"/>
          <w:color w:val="000000" w:themeColor="text1"/>
          <w:szCs w:val="24"/>
        </w:rPr>
        <w:t>(</w:t>
      </w:r>
      <w:r w:rsidRPr="00C317BB" w:rsidR="001539F7">
        <w:rPr>
          <w:rFonts w:cs="Times New Roman"/>
          <w:color w:val="000000" w:themeColor="text1"/>
          <w:szCs w:val="24"/>
        </w:rPr>
        <w:t>e.g.,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39F7">
        <w:rPr>
          <w:rFonts w:cs="Times New Roman"/>
          <w:color w:val="000000" w:themeColor="text1"/>
          <w:szCs w:val="24"/>
        </w:rPr>
        <w:t>brake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39F7">
        <w:rPr>
          <w:rFonts w:cs="Times New Roman"/>
          <w:color w:val="000000" w:themeColor="text1"/>
          <w:szCs w:val="24"/>
        </w:rPr>
        <w:t>pads,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39F7">
        <w:rPr>
          <w:rFonts w:cs="Times New Roman"/>
          <w:color w:val="000000" w:themeColor="text1"/>
          <w:szCs w:val="24"/>
        </w:rPr>
        <w:t>linings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39F7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39F7">
        <w:rPr>
          <w:rFonts w:cs="Times New Roman"/>
          <w:color w:val="000000" w:themeColor="text1"/>
          <w:szCs w:val="24"/>
        </w:rPr>
        <w:t>shoes</w:t>
      </w:r>
      <w:r w:rsidRPr="00C317BB" w:rsidR="003C17DB">
        <w:rPr>
          <w:rFonts w:cs="Times New Roman"/>
          <w:color w:val="000000" w:themeColor="text1"/>
          <w:szCs w:val="24"/>
        </w:rPr>
        <w:t>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39F7">
        <w:rPr>
          <w:rFonts w:cs="Times New Roman"/>
          <w:color w:val="000000" w:themeColor="text1"/>
          <w:szCs w:val="24"/>
        </w:rPr>
        <w:t>used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39F7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39F7">
        <w:rPr>
          <w:rFonts w:cs="Times New Roman"/>
          <w:color w:val="000000" w:themeColor="text1"/>
          <w:szCs w:val="24"/>
        </w:rPr>
        <w:t>disc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39F7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39F7">
        <w:rPr>
          <w:rFonts w:cs="Times New Roman"/>
          <w:color w:val="000000" w:themeColor="text1"/>
          <w:szCs w:val="24"/>
        </w:rPr>
        <w:t>drum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39F7">
        <w:rPr>
          <w:rFonts w:cs="Times New Roman"/>
          <w:color w:val="000000" w:themeColor="text1"/>
          <w:szCs w:val="24"/>
        </w:rPr>
        <w:t>brake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39F7">
        <w:rPr>
          <w:rFonts w:cs="Times New Roman"/>
          <w:color w:val="000000" w:themeColor="text1"/>
          <w:szCs w:val="24"/>
        </w:rPr>
        <w:t>systems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39F7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39F7">
        <w:rPr>
          <w:rFonts w:cs="Times New Roman"/>
          <w:color w:val="000000" w:themeColor="text1"/>
          <w:szCs w:val="24"/>
        </w:rPr>
        <w:t>automobiles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39F7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39F7">
        <w:rPr>
          <w:rFonts w:cs="Times New Roman"/>
          <w:color w:val="000000" w:themeColor="text1"/>
          <w:szCs w:val="24"/>
        </w:rPr>
        <w:t>trucks</w:t>
      </w:r>
      <w:r w:rsidRPr="00C317BB" w:rsidR="00A81A20">
        <w:rPr>
          <w:rFonts w:cs="Times New Roman"/>
          <w:color w:val="000000" w:themeColor="text1"/>
          <w:szCs w:val="24"/>
        </w:rPr>
        <w:t>.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551FE9" w:rsidP="004B5B61" w:rsidRDefault="004B5B61" w14:paraId="4120C380" w14:textId="0297F444">
      <w:pPr>
        <w:rPr>
          <w:rFonts w:cs="Times New Roman"/>
          <w:color w:val="000000" w:themeColor="text1"/>
          <w:szCs w:val="24"/>
        </w:rPr>
      </w:pPr>
      <w:r w:rsidRPr="00C317BB">
        <w:rPr>
          <w:rStyle w:val="Strong"/>
          <w:rFonts w:cs="Times New Roman"/>
          <w:color w:val="000000" w:themeColor="text1"/>
          <w:szCs w:val="24"/>
        </w:rPr>
        <w:tab/>
      </w:r>
      <w:r w:rsidRPr="00C317BB" w:rsidR="00551FE9">
        <w:rPr>
          <w:rFonts w:cs="Times New Roman"/>
          <w:i/>
          <w:color w:val="000000" w:themeColor="text1"/>
          <w:szCs w:val="24"/>
        </w:rPr>
        <w:t>Article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1FE9">
        <w:rPr>
          <w:rFonts w:cs="Times New Roman"/>
          <w:color w:val="000000" w:themeColor="text1"/>
          <w:szCs w:val="24"/>
        </w:rPr>
        <w:t>means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1FE9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1FE9">
        <w:rPr>
          <w:rFonts w:cs="Times New Roman"/>
          <w:color w:val="000000" w:themeColor="text1"/>
          <w:szCs w:val="24"/>
        </w:rPr>
        <w:t>manufactured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1FE9">
        <w:rPr>
          <w:rFonts w:cs="Times New Roman"/>
          <w:color w:val="000000" w:themeColor="text1"/>
          <w:szCs w:val="24"/>
        </w:rPr>
        <w:t>item: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1FE9">
        <w:rPr>
          <w:rFonts w:cs="Times New Roman"/>
          <w:color w:val="000000" w:themeColor="text1"/>
          <w:szCs w:val="24"/>
        </w:rPr>
        <w:t>(1)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1FE9">
        <w:rPr>
          <w:rFonts w:cs="Times New Roman"/>
          <w:color w:val="000000" w:themeColor="text1"/>
          <w:szCs w:val="24"/>
        </w:rPr>
        <w:t>Which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1FE9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1FE9">
        <w:rPr>
          <w:rFonts w:cs="Times New Roman"/>
          <w:color w:val="000000" w:themeColor="text1"/>
          <w:szCs w:val="24"/>
        </w:rPr>
        <w:t>formed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1FE9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1FE9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1FE9">
        <w:rPr>
          <w:rFonts w:cs="Times New Roman"/>
          <w:color w:val="000000" w:themeColor="text1"/>
          <w:szCs w:val="24"/>
        </w:rPr>
        <w:t>specific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1FE9">
        <w:rPr>
          <w:rFonts w:cs="Times New Roman"/>
          <w:color w:val="000000" w:themeColor="text1"/>
          <w:szCs w:val="24"/>
        </w:rPr>
        <w:t>shape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1FE9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1FE9">
        <w:rPr>
          <w:rFonts w:cs="Times New Roman"/>
          <w:color w:val="000000" w:themeColor="text1"/>
          <w:szCs w:val="24"/>
        </w:rPr>
        <w:t>design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1FE9">
        <w:rPr>
          <w:rFonts w:cs="Times New Roman"/>
          <w:color w:val="000000" w:themeColor="text1"/>
          <w:szCs w:val="24"/>
        </w:rPr>
        <w:t>during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1FE9">
        <w:rPr>
          <w:rFonts w:cs="Times New Roman"/>
          <w:color w:val="000000" w:themeColor="text1"/>
          <w:szCs w:val="24"/>
        </w:rPr>
        <w:t>manufacture,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1FE9">
        <w:rPr>
          <w:rFonts w:cs="Times New Roman"/>
          <w:color w:val="000000" w:themeColor="text1"/>
          <w:szCs w:val="24"/>
        </w:rPr>
        <w:t>(2)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1FE9">
        <w:rPr>
          <w:rFonts w:cs="Times New Roman"/>
          <w:color w:val="000000" w:themeColor="text1"/>
          <w:szCs w:val="24"/>
        </w:rPr>
        <w:t>Which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1FE9">
        <w:rPr>
          <w:rFonts w:cs="Times New Roman"/>
          <w:color w:val="000000" w:themeColor="text1"/>
          <w:szCs w:val="24"/>
        </w:rPr>
        <w:t>has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1FE9">
        <w:rPr>
          <w:rFonts w:cs="Times New Roman"/>
          <w:color w:val="000000" w:themeColor="text1"/>
          <w:szCs w:val="24"/>
        </w:rPr>
        <w:t>end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1FE9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1FE9">
        <w:rPr>
          <w:rFonts w:cs="Times New Roman"/>
          <w:color w:val="000000" w:themeColor="text1"/>
          <w:szCs w:val="24"/>
        </w:rPr>
        <w:t>function(s)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1FE9">
        <w:rPr>
          <w:rFonts w:cs="Times New Roman"/>
          <w:color w:val="000000" w:themeColor="text1"/>
          <w:szCs w:val="24"/>
        </w:rPr>
        <w:t>dependent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1FE9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1FE9">
        <w:rPr>
          <w:rFonts w:cs="Times New Roman"/>
          <w:color w:val="000000" w:themeColor="text1"/>
          <w:szCs w:val="24"/>
        </w:rPr>
        <w:t>whole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1FE9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1FE9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1FE9">
        <w:rPr>
          <w:rFonts w:cs="Times New Roman"/>
          <w:color w:val="000000" w:themeColor="text1"/>
          <w:szCs w:val="24"/>
        </w:rPr>
        <w:t>part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1FE9">
        <w:rPr>
          <w:rFonts w:cs="Times New Roman"/>
          <w:color w:val="000000" w:themeColor="text1"/>
          <w:szCs w:val="24"/>
        </w:rPr>
        <w:t>upon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1FE9">
        <w:rPr>
          <w:rFonts w:cs="Times New Roman"/>
          <w:color w:val="000000" w:themeColor="text1"/>
          <w:szCs w:val="24"/>
        </w:rPr>
        <w:t>its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1FE9">
        <w:rPr>
          <w:rFonts w:cs="Times New Roman"/>
          <w:color w:val="000000" w:themeColor="text1"/>
          <w:szCs w:val="24"/>
        </w:rPr>
        <w:t>shape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1FE9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1FE9">
        <w:rPr>
          <w:rFonts w:cs="Times New Roman"/>
          <w:color w:val="000000" w:themeColor="text1"/>
          <w:szCs w:val="24"/>
        </w:rPr>
        <w:t>design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1FE9">
        <w:rPr>
          <w:rFonts w:cs="Times New Roman"/>
          <w:color w:val="000000" w:themeColor="text1"/>
          <w:szCs w:val="24"/>
        </w:rPr>
        <w:t>during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1FE9">
        <w:rPr>
          <w:rFonts w:cs="Times New Roman"/>
          <w:color w:val="000000" w:themeColor="text1"/>
          <w:szCs w:val="24"/>
        </w:rPr>
        <w:t>end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1FE9">
        <w:rPr>
          <w:rFonts w:cs="Times New Roman"/>
          <w:color w:val="000000" w:themeColor="text1"/>
          <w:szCs w:val="24"/>
        </w:rPr>
        <w:t>use,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1FE9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1FE9">
        <w:rPr>
          <w:rFonts w:cs="Times New Roman"/>
          <w:color w:val="000000" w:themeColor="text1"/>
          <w:szCs w:val="24"/>
        </w:rPr>
        <w:t>(3)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1FE9">
        <w:rPr>
          <w:rFonts w:cs="Times New Roman"/>
          <w:color w:val="000000" w:themeColor="text1"/>
          <w:szCs w:val="24"/>
        </w:rPr>
        <w:t>Whi</w:t>
      </w:r>
      <w:r w:rsidRPr="00C317BB" w:rsidR="00991BD4">
        <w:rPr>
          <w:rFonts w:cs="Times New Roman"/>
          <w:color w:val="000000" w:themeColor="text1"/>
          <w:szCs w:val="24"/>
        </w:rPr>
        <w:t>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1FE9">
        <w:rPr>
          <w:rFonts w:cs="Times New Roman"/>
          <w:color w:val="000000" w:themeColor="text1"/>
          <w:szCs w:val="24"/>
        </w:rPr>
        <w:t>has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1FE9">
        <w:rPr>
          <w:rFonts w:cs="Times New Roman"/>
          <w:color w:val="000000" w:themeColor="text1"/>
          <w:szCs w:val="24"/>
        </w:rPr>
        <w:t>either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1FE9">
        <w:rPr>
          <w:rFonts w:cs="Times New Roman"/>
          <w:color w:val="000000" w:themeColor="text1"/>
          <w:szCs w:val="24"/>
        </w:rPr>
        <w:t>no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1FE9">
        <w:rPr>
          <w:rFonts w:cs="Times New Roman"/>
          <w:color w:val="000000" w:themeColor="text1"/>
          <w:szCs w:val="24"/>
        </w:rPr>
        <w:t>change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1FE9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1FE9">
        <w:rPr>
          <w:rFonts w:cs="Times New Roman"/>
          <w:color w:val="000000" w:themeColor="text1"/>
          <w:szCs w:val="24"/>
        </w:rPr>
        <w:t>chemical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1FE9">
        <w:rPr>
          <w:rFonts w:cs="Times New Roman"/>
          <w:color w:val="000000" w:themeColor="text1"/>
          <w:szCs w:val="24"/>
        </w:rPr>
        <w:t>composition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1FE9">
        <w:rPr>
          <w:rFonts w:cs="Times New Roman"/>
          <w:color w:val="000000" w:themeColor="text1"/>
          <w:szCs w:val="24"/>
        </w:rPr>
        <w:t>during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1FE9">
        <w:rPr>
          <w:rFonts w:cs="Times New Roman"/>
          <w:color w:val="000000" w:themeColor="text1"/>
          <w:szCs w:val="24"/>
        </w:rPr>
        <w:t>its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1FE9">
        <w:rPr>
          <w:rFonts w:cs="Times New Roman"/>
          <w:color w:val="000000" w:themeColor="text1"/>
          <w:szCs w:val="24"/>
        </w:rPr>
        <w:t>end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1FE9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1FE9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1FE9">
        <w:rPr>
          <w:rFonts w:cs="Times New Roman"/>
          <w:color w:val="000000" w:themeColor="text1"/>
          <w:szCs w:val="24"/>
        </w:rPr>
        <w:t>only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1FE9">
        <w:rPr>
          <w:rFonts w:cs="Times New Roman"/>
          <w:color w:val="000000" w:themeColor="text1"/>
          <w:szCs w:val="24"/>
        </w:rPr>
        <w:t>those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1FE9">
        <w:rPr>
          <w:rFonts w:cs="Times New Roman"/>
          <w:color w:val="000000" w:themeColor="text1"/>
          <w:szCs w:val="24"/>
        </w:rPr>
        <w:t>changes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1FE9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1FE9">
        <w:rPr>
          <w:rFonts w:cs="Times New Roman"/>
          <w:color w:val="000000" w:themeColor="text1"/>
          <w:szCs w:val="24"/>
        </w:rPr>
        <w:t>composition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1FE9">
        <w:rPr>
          <w:rFonts w:cs="Times New Roman"/>
          <w:color w:val="000000" w:themeColor="text1"/>
          <w:szCs w:val="24"/>
        </w:rPr>
        <w:t>which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1FE9">
        <w:rPr>
          <w:rFonts w:cs="Times New Roman"/>
          <w:color w:val="000000" w:themeColor="text1"/>
          <w:szCs w:val="24"/>
        </w:rPr>
        <w:t>have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1FE9">
        <w:rPr>
          <w:rFonts w:cs="Times New Roman"/>
          <w:color w:val="000000" w:themeColor="text1"/>
          <w:szCs w:val="24"/>
        </w:rPr>
        <w:t>no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1FE9">
        <w:rPr>
          <w:rFonts w:cs="Times New Roman"/>
          <w:color w:val="000000" w:themeColor="text1"/>
          <w:szCs w:val="24"/>
        </w:rPr>
        <w:t>commercial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1FE9">
        <w:rPr>
          <w:rFonts w:cs="Times New Roman"/>
          <w:color w:val="000000" w:themeColor="text1"/>
          <w:szCs w:val="24"/>
        </w:rPr>
        <w:t>purpose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1FE9">
        <w:rPr>
          <w:rFonts w:cs="Times New Roman"/>
          <w:color w:val="000000" w:themeColor="text1"/>
          <w:szCs w:val="24"/>
        </w:rPr>
        <w:t>separate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1FE9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1FE9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1FE9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1FE9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1FE9">
        <w:rPr>
          <w:rFonts w:cs="Times New Roman"/>
          <w:color w:val="000000" w:themeColor="text1"/>
          <w:szCs w:val="24"/>
        </w:rPr>
        <w:t>article,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1FE9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1FE9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1FE9">
        <w:rPr>
          <w:rFonts w:cs="Times New Roman"/>
          <w:color w:val="000000" w:themeColor="text1"/>
          <w:szCs w:val="24"/>
        </w:rPr>
        <w:t>result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1FE9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1FE9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1FE9">
        <w:rPr>
          <w:rFonts w:cs="Times New Roman"/>
          <w:color w:val="000000" w:themeColor="text1"/>
          <w:szCs w:val="24"/>
        </w:rPr>
        <w:t>chemical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1FE9">
        <w:rPr>
          <w:rFonts w:cs="Times New Roman"/>
          <w:color w:val="000000" w:themeColor="text1"/>
          <w:szCs w:val="24"/>
        </w:rPr>
        <w:t>reaction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1FE9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1FE9">
        <w:rPr>
          <w:rFonts w:cs="Times New Roman"/>
          <w:color w:val="000000" w:themeColor="text1"/>
          <w:szCs w:val="24"/>
        </w:rPr>
        <w:t>occurs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1FE9">
        <w:rPr>
          <w:rFonts w:cs="Times New Roman"/>
          <w:color w:val="000000" w:themeColor="text1"/>
          <w:szCs w:val="24"/>
        </w:rPr>
        <w:t>upon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1FE9">
        <w:rPr>
          <w:rFonts w:cs="Times New Roman"/>
          <w:color w:val="000000" w:themeColor="text1"/>
          <w:szCs w:val="24"/>
        </w:rPr>
        <w:t>end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1FE9">
        <w:rPr>
          <w:rFonts w:cs="Times New Roman"/>
          <w:color w:val="000000" w:themeColor="text1"/>
          <w:szCs w:val="24"/>
        </w:rPr>
        <w:t>use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1FE9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1FE9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1FE9">
        <w:rPr>
          <w:rFonts w:cs="Times New Roman"/>
          <w:color w:val="000000" w:themeColor="text1"/>
          <w:szCs w:val="24"/>
        </w:rPr>
        <w:t>chemical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1FE9">
        <w:rPr>
          <w:rFonts w:cs="Times New Roman"/>
          <w:color w:val="000000" w:themeColor="text1"/>
          <w:szCs w:val="24"/>
        </w:rPr>
        <w:t>substances,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1FE9">
        <w:rPr>
          <w:rFonts w:cs="Times New Roman"/>
          <w:color w:val="000000" w:themeColor="text1"/>
          <w:szCs w:val="24"/>
        </w:rPr>
        <w:t>mixtures,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1FE9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1FE9">
        <w:rPr>
          <w:rFonts w:cs="Times New Roman"/>
          <w:color w:val="000000" w:themeColor="text1"/>
          <w:szCs w:val="24"/>
        </w:rPr>
        <w:t>articles;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1FE9">
        <w:rPr>
          <w:rFonts w:cs="Times New Roman"/>
          <w:color w:val="000000" w:themeColor="text1"/>
          <w:szCs w:val="24"/>
        </w:rPr>
        <w:t>except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1FE9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1FE9">
        <w:rPr>
          <w:rFonts w:cs="Times New Roman"/>
          <w:color w:val="000000" w:themeColor="text1"/>
          <w:szCs w:val="24"/>
        </w:rPr>
        <w:t>fluids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1FE9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1FE9">
        <w:rPr>
          <w:rFonts w:cs="Times New Roman"/>
          <w:color w:val="000000" w:themeColor="text1"/>
          <w:szCs w:val="24"/>
        </w:rPr>
        <w:t>particles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1FE9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1FE9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1FE9">
        <w:rPr>
          <w:rFonts w:cs="Times New Roman"/>
          <w:color w:val="000000" w:themeColor="text1"/>
          <w:szCs w:val="24"/>
        </w:rPr>
        <w:t>considered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1FE9">
        <w:rPr>
          <w:rFonts w:cs="Times New Roman"/>
          <w:color w:val="000000" w:themeColor="text1"/>
          <w:szCs w:val="24"/>
        </w:rPr>
        <w:t>articles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1FE9">
        <w:rPr>
          <w:rFonts w:cs="Times New Roman"/>
          <w:color w:val="000000" w:themeColor="text1"/>
          <w:szCs w:val="24"/>
        </w:rPr>
        <w:t>regardless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1FE9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1FE9">
        <w:rPr>
          <w:rFonts w:cs="Times New Roman"/>
          <w:color w:val="000000" w:themeColor="text1"/>
          <w:szCs w:val="24"/>
        </w:rPr>
        <w:t>shape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1FE9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51FE9">
        <w:rPr>
          <w:rFonts w:cs="Times New Roman"/>
          <w:color w:val="000000" w:themeColor="text1"/>
          <w:szCs w:val="24"/>
        </w:rPr>
        <w:t>design.</w:t>
      </w:r>
    </w:p>
    <w:p w:rsidRPr="00C317BB" w:rsidR="00010DE4" w:rsidP="004B5B61" w:rsidRDefault="004B5B61" w14:paraId="00B233F9" w14:textId="1A828842">
      <w:pPr>
        <w:rPr>
          <w:rFonts w:cs="Times New Roman"/>
          <w:color w:val="000000" w:themeColor="text1"/>
          <w:szCs w:val="24"/>
        </w:rPr>
      </w:pPr>
      <w:r w:rsidRPr="00C317BB">
        <w:rPr>
          <w:rStyle w:val="Strong"/>
          <w:rFonts w:cs="Times New Roman"/>
          <w:color w:val="000000" w:themeColor="text1"/>
          <w:szCs w:val="24"/>
        </w:rPr>
        <w:tab/>
      </w:r>
      <w:r w:rsidRPr="00C317BB" w:rsidR="00163408">
        <w:rPr>
          <w:rFonts w:cs="Times New Roman"/>
          <w:i/>
          <w:color w:val="000000" w:themeColor="text1"/>
          <w:szCs w:val="24"/>
        </w:rPr>
        <w:t>Chrysotile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163408">
        <w:rPr>
          <w:rFonts w:cs="Times New Roman"/>
          <w:i/>
          <w:color w:val="000000" w:themeColor="text1"/>
          <w:szCs w:val="24"/>
        </w:rPr>
        <w:t>asbestos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AA59CD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47C56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47C56">
        <w:rPr>
          <w:rFonts w:cs="Times New Roman"/>
          <w:color w:val="000000" w:themeColor="text1"/>
          <w:szCs w:val="24"/>
        </w:rPr>
        <w:t>asbestiform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47C56">
        <w:rPr>
          <w:rFonts w:cs="Times New Roman"/>
          <w:color w:val="000000" w:themeColor="text1"/>
          <w:szCs w:val="24"/>
        </w:rPr>
        <w:t>variety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47C56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02746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575DD">
        <w:rPr>
          <w:rFonts w:cs="Times New Roman"/>
          <w:color w:val="000000" w:themeColor="text1"/>
          <w:szCs w:val="24"/>
        </w:rPr>
        <w:t>hydrated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575DD">
        <w:rPr>
          <w:rFonts w:cs="Times New Roman"/>
          <w:color w:val="000000" w:themeColor="text1"/>
          <w:szCs w:val="24"/>
        </w:rPr>
        <w:t>magnesium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575DD">
        <w:rPr>
          <w:rFonts w:cs="Times New Roman"/>
          <w:color w:val="000000" w:themeColor="text1"/>
          <w:szCs w:val="24"/>
        </w:rPr>
        <w:t>silicate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02746">
        <w:rPr>
          <w:rFonts w:cs="Times New Roman"/>
          <w:color w:val="000000" w:themeColor="text1"/>
          <w:szCs w:val="24"/>
        </w:rPr>
        <w:t>mineral</w:t>
      </w:r>
      <w:r w:rsidRPr="00C317BB" w:rsidR="006575DD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575DD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575DD">
        <w:rPr>
          <w:rFonts w:cs="Times New Roman"/>
          <w:color w:val="000000" w:themeColor="text1"/>
          <w:szCs w:val="24"/>
        </w:rPr>
        <w:t>relatively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575DD">
        <w:rPr>
          <w:rFonts w:cs="Times New Roman"/>
          <w:color w:val="000000" w:themeColor="text1"/>
          <w:szCs w:val="24"/>
        </w:rPr>
        <w:t>long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575DD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575DD">
        <w:rPr>
          <w:rFonts w:cs="Times New Roman"/>
          <w:color w:val="000000" w:themeColor="text1"/>
          <w:szCs w:val="24"/>
        </w:rPr>
        <w:t>flexible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575DD">
        <w:rPr>
          <w:rFonts w:cs="Times New Roman"/>
          <w:color w:val="000000" w:themeColor="text1"/>
          <w:szCs w:val="24"/>
        </w:rPr>
        <w:t>crystalline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575DD">
        <w:rPr>
          <w:rFonts w:cs="Times New Roman"/>
          <w:color w:val="000000" w:themeColor="text1"/>
          <w:szCs w:val="24"/>
        </w:rPr>
        <w:t>fibers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575DD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575DD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575DD">
        <w:rPr>
          <w:rFonts w:cs="Times New Roman"/>
          <w:color w:val="000000" w:themeColor="text1"/>
          <w:szCs w:val="24"/>
        </w:rPr>
        <w:t>capable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575DD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575DD">
        <w:rPr>
          <w:rFonts w:cs="Times New Roman"/>
          <w:color w:val="000000" w:themeColor="text1"/>
          <w:szCs w:val="24"/>
        </w:rPr>
        <w:t>being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575DD">
        <w:rPr>
          <w:rFonts w:cs="Times New Roman"/>
          <w:color w:val="000000" w:themeColor="text1"/>
          <w:szCs w:val="24"/>
        </w:rPr>
        <w:t>woven.</w:t>
      </w:r>
    </w:p>
    <w:p w:rsidRPr="00C317BB" w:rsidR="00B33C8E" w:rsidP="004B5B61" w:rsidRDefault="004B5B61" w14:paraId="76AE2861" w14:textId="1CB1FE42">
      <w:pPr>
        <w:rPr>
          <w:rFonts w:cs="Times New Roman"/>
          <w:color w:val="000000" w:themeColor="text1"/>
          <w:szCs w:val="24"/>
        </w:rPr>
      </w:pPr>
      <w:r w:rsidRPr="00C317BB">
        <w:rPr>
          <w:rStyle w:val="Strong"/>
          <w:rFonts w:cs="Times New Roman"/>
          <w:color w:val="000000" w:themeColor="text1"/>
          <w:szCs w:val="24"/>
        </w:rPr>
        <w:tab/>
      </w:r>
      <w:r w:rsidRPr="00C317BB" w:rsidR="00B33C8E">
        <w:rPr>
          <w:rFonts w:cs="Times New Roman"/>
          <w:i/>
          <w:color w:val="000000" w:themeColor="text1"/>
          <w:szCs w:val="24"/>
        </w:rPr>
        <w:t>Disposal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33C8E">
        <w:rPr>
          <w:rFonts w:cs="Times New Roman"/>
          <w:color w:val="000000" w:themeColor="text1"/>
          <w:szCs w:val="24"/>
        </w:rPr>
        <w:t>means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33C8E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33C8E">
        <w:rPr>
          <w:rFonts w:cs="Times New Roman"/>
          <w:color w:val="000000" w:themeColor="text1"/>
          <w:szCs w:val="24"/>
        </w:rPr>
        <w:t>discard,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33C8E">
        <w:rPr>
          <w:rFonts w:cs="Times New Roman"/>
          <w:color w:val="000000" w:themeColor="text1"/>
          <w:szCs w:val="24"/>
        </w:rPr>
        <w:t>throw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33C8E">
        <w:rPr>
          <w:rFonts w:cs="Times New Roman"/>
          <w:color w:val="000000" w:themeColor="text1"/>
          <w:szCs w:val="24"/>
        </w:rPr>
        <w:t>away,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33C8E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33C8E">
        <w:rPr>
          <w:rFonts w:cs="Times New Roman"/>
          <w:color w:val="000000" w:themeColor="text1"/>
          <w:szCs w:val="24"/>
        </w:rPr>
        <w:t>otherwise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33C8E">
        <w:rPr>
          <w:rFonts w:cs="Times New Roman"/>
          <w:color w:val="000000" w:themeColor="text1"/>
          <w:szCs w:val="24"/>
        </w:rPr>
        <w:t>complete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33C8E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33C8E">
        <w:rPr>
          <w:rFonts w:cs="Times New Roman"/>
          <w:color w:val="000000" w:themeColor="text1"/>
          <w:szCs w:val="24"/>
        </w:rPr>
        <w:t>terminate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33C8E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33C8E">
        <w:rPr>
          <w:rFonts w:cs="Times New Roman"/>
          <w:color w:val="000000" w:themeColor="text1"/>
          <w:szCs w:val="24"/>
        </w:rPr>
        <w:t>useful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33C8E">
        <w:rPr>
          <w:rFonts w:cs="Times New Roman"/>
          <w:color w:val="000000" w:themeColor="text1"/>
          <w:szCs w:val="24"/>
        </w:rPr>
        <w:t>life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33C8E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33C8E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33C8E">
        <w:rPr>
          <w:rFonts w:cs="Times New Roman"/>
          <w:color w:val="000000" w:themeColor="text1"/>
          <w:szCs w:val="24"/>
        </w:rPr>
        <w:t>asbestos,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33C8E">
        <w:rPr>
          <w:rFonts w:cs="Times New Roman"/>
          <w:color w:val="000000" w:themeColor="text1"/>
          <w:szCs w:val="24"/>
        </w:rPr>
        <w:t>including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33C8E">
        <w:rPr>
          <w:rFonts w:cs="Times New Roman"/>
          <w:color w:val="000000" w:themeColor="text1"/>
          <w:szCs w:val="24"/>
        </w:rPr>
        <w:t>any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33C8E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33C8E">
        <w:rPr>
          <w:rFonts w:cs="Times New Roman"/>
          <w:color w:val="000000" w:themeColor="text1"/>
          <w:szCs w:val="24"/>
        </w:rPr>
        <w:t>asbestos-containing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33C8E">
        <w:rPr>
          <w:rFonts w:cs="Times New Roman"/>
          <w:color w:val="000000" w:themeColor="text1"/>
          <w:szCs w:val="24"/>
        </w:rPr>
        <w:t>products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33C8E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33C8E">
        <w:rPr>
          <w:rFonts w:cs="Times New Roman"/>
          <w:color w:val="000000" w:themeColor="text1"/>
          <w:szCs w:val="24"/>
        </w:rPr>
        <w:t>articles.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5354F5" w:rsidP="004B5B61" w:rsidRDefault="004B5B61" w14:paraId="36E23AB6" w14:textId="7373EFE2">
      <w:pPr>
        <w:rPr>
          <w:rFonts w:cs="Times New Roman"/>
          <w:color w:val="000000" w:themeColor="text1"/>
          <w:szCs w:val="24"/>
        </w:rPr>
      </w:pPr>
      <w:r w:rsidRPr="00C317BB">
        <w:rPr>
          <w:rStyle w:val="Strong"/>
          <w:rFonts w:cs="Times New Roman"/>
          <w:color w:val="000000" w:themeColor="text1"/>
          <w:szCs w:val="24"/>
        </w:rPr>
        <w:tab/>
      </w:r>
      <w:r w:rsidRPr="00C317BB" w:rsidR="005354F5">
        <w:rPr>
          <w:rFonts w:cs="Times New Roman"/>
          <w:i/>
          <w:color w:val="000000" w:themeColor="text1"/>
          <w:szCs w:val="24"/>
        </w:rPr>
        <w:t>Distribution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5354F5">
        <w:rPr>
          <w:rFonts w:cs="Times New Roman"/>
          <w:i/>
          <w:color w:val="000000" w:themeColor="text1"/>
          <w:szCs w:val="24"/>
        </w:rPr>
        <w:t>in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5354F5">
        <w:rPr>
          <w:rFonts w:cs="Times New Roman"/>
          <w:i/>
          <w:color w:val="000000" w:themeColor="text1"/>
          <w:szCs w:val="24"/>
        </w:rPr>
        <w:t>commerce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354F5">
        <w:rPr>
          <w:rFonts w:cs="Times New Roman"/>
          <w:color w:val="000000" w:themeColor="text1"/>
          <w:szCs w:val="24"/>
        </w:rPr>
        <w:t>has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354F5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354F5">
        <w:rPr>
          <w:rFonts w:cs="Times New Roman"/>
          <w:color w:val="000000" w:themeColor="text1"/>
          <w:szCs w:val="24"/>
        </w:rPr>
        <w:t>same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354F5">
        <w:rPr>
          <w:rFonts w:cs="Times New Roman"/>
          <w:color w:val="000000" w:themeColor="text1"/>
          <w:szCs w:val="24"/>
        </w:rPr>
        <w:t>meaning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354F5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354F5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354F5">
        <w:rPr>
          <w:rFonts w:cs="Times New Roman"/>
          <w:color w:val="000000" w:themeColor="text1"/>
          <w:szCs w:val="24"/>
        </w:rPr>
        <w:t>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354F5">
        <w:rPr>
          <w:rFonts w:cs="Times New Roman"/>
          <w:color w:val="000000" w:themeColor="text1"/>
          <w:szCs w:val="24"/>
        </w:rPr>
        <w:t>3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354F5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354F5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354F5">
        <w:rPr>
          <w:rFonts w:cs="Times New Roman"/>
          <w:color w:val="000000" w:themeColor="text1"/>
          <w:szCs w:val="24"/>
        </w:rPr>
        <w:t>Act,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354F5">
        <w:rPr>
          <w:rFonts w:cs="Times New Roman"/>
          <w:color w:val="000000" w:themeColor="text1"/>
          <w:szCs w:val="24"/>
        </w:rPr>
        <w:t>but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354F5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354F5">
        <w:rPr>
          <w:rFonts w:cs="Times New Roman"/>
          <w:color w:val="000000" w:themeColor="text1"/>
          <w:szCs w:val="24"/>
        </w:rPr>
        <w:t>term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354F5">
        <w:rPr>
          <w:rFonts w:cs="Times New Roman"/>
          <w:color w:val="000000" w:themeColor="text1"/>
          <w:szCs w:val="24"/>
        </w:rPr>
        <w:t>does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354F5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354F5">
        <w:rPr>
          <w:rFonts w:cs="Times New Roman"/>
          <w:color w:val="000000" w:themeColor="text1"/>
          <w:szCs w:val="24"/>
        </w:rPr>
        <w:t>include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354F5">
        <w:rPr>
          <w:rFonts w:cs="Times New Roman"/>
          <w:color w:val="000000" w:themeColor="text1"/>
          <w:szCs w:val="24"/>
        </w:rPr>
        <w:t>distribution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354F5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354F5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354F5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354F5">
        <w:rPr>
          <w:rFonts w:cs="Times New Roman"/>
          <w:color w:val="000000" w:themeColor="text1"/>
          <w:szCs w:val="24"/>
        </w:rPr>
        <w:t>waste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354F5">
        <w:rPr>
          <w:rFonts w:cs="Times New Roman"/>
          <w:color w:val="000000" w:themeColor="text1"/>
          <w:szCs w:val="24"/>
        </w:rPr>
        <w:t>solely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354F5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354F5">
        <w:rPr>
          <w:rFonts w:cs="Times New Roman"/>
          <w:color w:val="000000" w:themeColor="text1"/>
          <w:szCs w:val="24"/>
        </w:rPr>
        <w:t>purposes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354F5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354F5">
        <w:rPr>
          <w:rFonts w:cs="Times New Roman"/>
          <w:color w:val="000000" w:themeColor="text1"/>
          <w:szCs w:val="24"/>
        </w:rPr>
        <w:t>disposal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354F5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354F5">
        <w:rPr>
          <w:rFonts w:cs="Times New Roman"/>
          <w:color w:val="000000" w:themeColor="text1"/>
          <w:szCs w:val="24"/>
        </w:rPr>
        <w:t>accordance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354F5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354F5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354F5">
        <w:rPr>
          <w:rFonts w:cs="Times New Roman"/>
          <w:color w:val="000000" w:themeColor="text1"/>
          <w:szCs w:val="24"/>
        </w:rPr>
        <w:t>Subpart.</w:t>
      </w:r>
    </w:p>
    <w:p w:rsidRPr="00C317BB" w:rsidR="00346E5C" w:rsidP="004B5B61" w:rsidRDefault="004B5B61" w14:paraId="38EEBFC1" w14:textId="41C69D00">
      <w:pPr>
        <w:rPr>
          <w:rFonts w:cs="Times New Roman"/>
          <w:color w:val="000000" w:themeColor="text1"/>
          <w:szCs w:val="24"/>
        </w:rPr>
      </w:pPr>
      <w:r w:rsidRPr="00C317BB">
        <w:rPr>
          <w:rStyle w:val="Strong"/>
          <w:rFonts w:cs="Times New Roman"/>
          <w:color w:val="000000" w:themeColor="text1"/>
          <w:szCs w:val="24"/>
        </w:rPr>
        <w:tab/>
      </w:r>
      <w:r w:rsidRPr="00C317BB" w:rsidR="00407D25">
        <w:rPr>
          <w:rFonts w:cs="Times New Roman"/>
          <w:i/>
          <w:color w:val="000000" w:themeColor="text1"/>
          <w:szCs w:val="24"/>
        </w:rPr>
        <w:t>D</w:t>
      </w:r>
      <w:r w:rsidRPr="00C317BB" w:rsidR="001E5848">
        <w:rPr>
          <w:rFonts w:cs="Times New Roman"/>
          <w:i/>
          <w:color w:val="000000" w:themeColor="text1"/>
          <w:szCs w:val="24"/>
        </w:rPr>
        <w:t>iaphragms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1E5848">
        <w:rPr>
          <w:rFonts w:cs="Times New Roman"/>
          <w:color w:val="000000" w:themeColor="text1"/>
          <w:szCs w:val="24"/>
        </w:rPr>
        <w:t>me</w:t>
      </w:r>
      <w:r w:rsidRPr="00C317BB" w:rsidR="00AC369F">
        <w:rPr>
          <w:rFonts w:cs="Times New Roman"/>
          <w:color w:val="000000" w:themeColor="text1"/>
          <w:szCs w:val="24"/>
        </w:rPr>
        <w:t>ans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36A88">
        <w:rPr>
          <w:rFonts w:cs="Times New Roman"/>
          <w:color w:val="000000" w:themeColor="text1"/>
          <w:szCs w:val="24"/>
        </w:rPr>
        <w:t>semipermeable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36A88">
        <w:rPr>
          <w:rFonts w:cs="Times New Roman"/>
          <w:color w:val="000000" w:themeColor="text1"/>
          <w:szCs w:val="24"/>
        </w:rPr>
        <w:t>diaphragms,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36A88">
        <w:rPr>
          <w:rFonts w:cs="Times New Roman"/>
          <w:color w:val="000000" w:themeColor="text1"/>
          <w:szCs w:val="24"/>
        </w:rPr>
        <w:t>which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36A88">
        <w:rPr>
          <w:rFonts w:cs="Times New Roman"/>
          <w:color w:val="000000" w:themeColor="text1"/>
          <w:szCs w:val="24"/>
        </w:rPr>
        <w:t>separate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36A88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36A88">
        <w:rPr>
          <w:rFonts w:cs="Times New Roman"/>
          <w:color w:val="000000" w:themeColor="text1"/>
          <w:szCs w:val="24"/>
        </w:rPr>
        <w:t>anode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36A88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36A88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36A88">
        <w:rPr>
          <w:rFonts w:cs="Times New Roman"/>
          <w:color w:val="000000" w:themeColor="text1"/>
          <w:szCs w:val="24"/>
        </w:rPr>
        <w:t>cathode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36A88">
        <w:rPr>
          <w:rFonts w:cs="Times New Roman"/>
          <w:color w:val="000000" w:themeColor="text1"/>
          <w:szCs w:val="24"/>
        </w:rPr>
        <w:t>chemicals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35FF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35FF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35FFB">
        <w:rPr>
          <w:rFonts w:cs="Times New Roman"/>
          <w:color w:val="000000" w:themeColor="text1"/>
          <w:szCs w:val="24"/>
        </w:rPr>
        <w:t>production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35FF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35FFB">
        <w:rPr>
          <w:rFonts w:cs="Times New Roman"/>
          <w:color w:val="000000" w:themeColor="text1"/>
          <w:szCs w:val="24"/>
        </w:rPr>
        <w:t>chlorine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35FF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35FFB">
        <w:rPr>
          <w:rFonts w:cs="Times New Roman"/>
          <w:color w:val="000000" w:themeColor="text1"/>
          <w:szCs w:val="24"/>
        </w:rPr>
        <w:t>sodium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35FFB">
        <w:rPr>
          <w:rFonts w:cs="Times New Roman"/>
          <w:color w:val="000000" w:themeColor="text1"/>
          <w:szCs w:val="24"/>
        </w:rPr>
        <w:t>hydroxide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35FFB">
        <w:rPr>
          <w:rFonts w:cs="Times New Roman"/>
          <w:color w:val="000000" w:themeColor="text1"/>
          <w:szCs w:val="24"/>
        </w:rPr>
        <w:t>(caustic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35FFB">
        <w:rPr>
          <w:rFonts w:cs="Times New Roman"/>
          <w:color w:val="000000" w:themeColor="text1"/>
          <w:szCs w:val="24"/>
        </w:rPr>
        <w:t>soda).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A81A20" w:rsidP="004B5B61" w:rsidRDefault="004B5B61" w14:paraId="374DA557" w14:textId="7B81D20D">
      <w:pPr>
        <w:rPr>
          <w:rFonts w:cs="Times New Roman"/>
          <w:color w:val="000000" w:themeColor="text1"/>
          <w:szCs w:val="24"/>
        </w:rPr>
      </w:pPr>
      <w:r w:rsidRPr="00C317BB">
        <w:rPr>
          <w:rStyle w:val="Strong"/>
          <w:rFonts w:cs="Times New Roman"/>
          <w:color w:val="000000" w:themeColor="text1"/>
          <w:szCs w:val="24"/>
        </w:rPr>
        <w:tab/>
      </w:r>
      <w:r w:rsidRPr="00C317BB" w:rsidR="00A81A20">
        <w:rPr>
          <w:rFonts w:cs="Times New Roman"/>
          <w:i/>
          <w:color w:val="000000" w:themeColor="text1"/>
          <w:szCs w:val="24"/>
        </w:rPr>
        <w:t>Gasket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A81A20">
        <w:rPr>
          <w:rFonts w:cs="Times New Roman"/>
          <w:color w:val="000000" w:themeColor="text1"/>
          <w:szCs w:val="24"/>
        </w:rPr>
        <w:t>means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1A20">
        <w:rPr>
          <w:rFonts w:cs="Times New Roman"/>
          <w:color w:val="000000" w:themeColor="text1"/>
          <w:szCs w:val="24"/>
        </w:rPr>
        <w:t>a</w:t>
      </w:r>
      <w:r w:rsidRPr="00C317BB" w:rsidR="0015329B">
        <w:rPr>
          <w:rFonts w:cs="Times New Roman"/>
          <w:color w:val="000000" w:themeColor="text1"/>
          <w:szCs w:val="24"/>
        </w:rPr>
        <w:t>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15329B">
        <w:rPr>
          <w:rFonts w:cs="Times New Roman"/>
          <w:color w:val="000000" w:themeColor="text1"/>
          <w:szCs w:val="24"/>
        </w:rPr>
        <w:t>article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1A20">
        <w:rPr>
          <w:rFonts w:cs="Times New Roman"/>
          <w:color w:val="000000" w:themeColor="text1"/>
          <w:szCs w:val="24"/>
        </w:rPr>
        <w:t>used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1A20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1A20">
        <w:rPr>
          <w:rFonts w:cs="Times New Roman"/>
          <w:color w:val="000000" w:themeColor="text1"/>
          <w:szCs w:val="24"/>
        </w:rPr>
        <w:t>form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1A20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1A20">
        <w:rPr>
          <w:rFonts w:cs="Times New Roman"/>
          <w:color w:val="000000" w:themeColor="text1"/>
          <w:szCs w:val="24"/>
        </w:rPr>
        <w:t>leakproof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1A20">
        <w:rPr>
          <w:rFonts w:cs="Times New Roman"/>
          <w:color w:val="000000" w:themeColor="text1"/>
          <w:szCs w:val="24"/>
        </w:rPr>
        <w:t>seal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1A20">
        <w:rPr>
          <w:rFonts w:cs="Times New Roman"/>
          <w:color w:val="000000" w:themeColor="text1"/>
          <w:szCs w:val="24"/>
        </w:rPr>
        <w:t>between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1A20">
        <w:rPr>
          <w:rFonts w:cs="Times New Roman"/>
          <w:color w:val="000000" w:themeColor="text1"/>
          <w:szCs w:val="24"/>
        </w:rPr>
        <w:t>fixed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81A20">
        <w:rPr>
          <w:rFonts w:cs="Times New Roman"/>
          <w:color w:val="000000" w:themeColor="text1"/>
          <w:szCs w:val="24"/>
        </w:rPr>
        <w:t>components.</w:t>
      </w:r>
    </w:p>
    <w:p w:rsidRPr="00C317BB" w:rsidR="00222C2E" w:rsidP="004B5B61" w:rsidRDefault="004B5B61" w14:paraId="08787CA3" w14:textId="3E6440BF">
      <w:pPr>
        <w:rPr>
          <w:rFonts w:cs="Times New Roman"/>
          <w:color w:val="000000" w:themeColor="text1"/>
          <w:szCs w:val="24"/>
        </w:rPr>
      </w:pPr>
      <w:r w:rsidRPr="00C317BB">
        <w:rPr>
          <w:rStyle w:val="Strong"/>
          <w:rFonts w:cs="Times New Roman"/>
          <w:color w:val="000000" w:themeColor="text1"/>
          <w:szCs w:val="24"/>
        </w:rPr>
        <w:tab/>
      </w:r>
      <w:r w:rsidRPr="00C317BB" w:rsidR="00222C2E">
        <w:rPr>
          <w:rFonts w:cs="Times New Roman"/>
          <w:i/>
          <w:color w:val="000000" w:themeColor="text1"/>
          <w:szCs w:val="24"/>
        </w:rPr>
        <w:t>Oilfield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222C2E">
        <w:rPr>
          <w:rFonts w:cs="Times New Roman"/>
          <w:i/>
          <w:color w:val="000000" w:themeColor="text1"/>
          <w:szCs w:val="24"/>
        </w:rPr>
        <w:t>Brake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222C2E">
        <w:rPr>
          <w:rFonts w:cs="Times New Roman"/>
          <w:i/>
          <w:color w:val="000000" w:themeColor="text1"/>
          <w:szCs w:val="24"/>
        </w:rPr>
        <w:t>Blocks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22C2E">
        <w:rPr>
          <w:rFonts w:cs="Times New Roman"/>
          <w:color w:val="000000" w:themeColor="text1"/>
          <w:szCs w:val="24"/>
        </w:rPr>
        <w:t>means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22C2E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22C2E">
        <w:rPr>
          <w:rFonts w:cs="Times New Roman"/>
          <w:color w:val="000000" w:themeColor="text1"/>
          <w:szCs w:val="24"/>
        </w:rPr>
        <w:t>friction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22C2E">
        <w:rPr>
          <w:rFonts w:cs="Times New Roman"/>
          <w:color w:val="000000" w:themeColor="text1"/>
          <w:szCs w:val="24"/>
        </w:rPr>
        <w:t>brake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22C2E">
        <w:rPr>
          <w:rFonts w:cs="Times New Roman"/>
          <w:color w:val="000000" w:themeColor="text1"/>
          <w:szCs w:val="24"/>
        </w:rPr>
        <w:t>blocks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22C2E">
        <w:rPr>
          <w:rFonts w:cs="Times New Roman"/>
          <w:color w:val="000000" w:themeColor="text1"/>
          <w:szCs w:val="24"/>
        </w:rPr>
        <w:t>component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22C2E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C317BB" w:rsidR="00222C2E">
        <w:rPr>
          <w:rFonts w:cs="Times New Roman"/>
          <w:color w:val="000000" w:themeColor="text1"/>
          <w:szCs w:val="24"/>
        </w:rPr>
        <w:t>drawworks</w:t>
      </w:r>
      <w:proofErr w:type="spellEnd"/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22C2E">
        <w:rPr>
          <w:rFonts w:cs="Times New Roman"/>
          <w:color w:val="000000" w:themeColor="text1"/>
          <w:szCs w:val="24"/>
        </w:rPr>
        <w:t>used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22C2E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22C2E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22C2E">
        <w:rPr>
          <w:rFonts w:cs="Times New Roman"/>
          <w:color w:val="000000" w:themeColor="text1"/>
          <w:szCs w:val="24"/>
        </w:rPr>
        <w:t>hoisting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22C2E">
        <w:rPr>
          <w:rFonts w:cs="Times New Roman"/>
          <w:color w:val="000000" w:themeColor="text1"/>
          <w:szCs w:val="24"/>
        </w:rPr>
        <w:t>mechanism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22C2E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22C2E">
        <w:rPr>
          <w:rFonts w:cs="Times New Roman"/>
          <w:color w:val="000000" w:themeColor="text1"/>
          <w:szCs w:val="24"/>
        </w:rPr>
        <w:t>oil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22C2E">
        <w:rPr>
          <w:rFonts w:cs="Times New Roman"/>
          <w:color w:val="000000" w:themeColor="text1"/>
          <w:szCs w:val="24"/>
        </w:rPr>
        <w:t>well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22C2E">
        <w:rPr>
          <w:rFonts w:cs="Times New Roman"/>
          <w:color w:val="000000" w:themeColor="text1"/>
          <w:szCs w:val="24"/>
        </w:rPr>
        <w:t>drilling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22C2E">
        <w:rPr>
          <w:rFonts w:cs="Times New Roman"/>
          <w:color w:val="000000" w:themeColor="text1"/>
          <w:szCs w:val="24"/>
        </w:rPr>
        <w:t>rigs.</w:t>
      </w:r>
    </w:p>
    <w:p w:rsidRPr="00C317BB" w:rsidR="00DF1399" w:rsidP="004B5B61" w:rsidRDefault="004B5B61" w14:paraId="52509350" w14:textId="2714BB53">
      <w:pPr>
        <w:rPr>
          <w:rFonts w:cs="Times New Roman"/>
          <w:color w:val="000000" w:themeColor="text1"/>
          <w:szCs w:val="24"/>
        </w:rPr>
      </w:pPr>
      <w:r w:rsidRPr="00C317BB">
        <w:rPr>
          <w:rStyle w:val="Strong"/>
          <w:rFonts w:cs="Times New Roman"/>
          <w:color w:val="000000" w:themeColor="text1"/>
          <w:szCs w:val="24"/>
        </w:rPr>
        <w:tab/>
      </w:r>
      <w:r w:rsidRPr="00C317BB" w:rsidR="00DF1399">
        <w:rPr>
          <w:rFonts w:cs="Times New Roman"/>
          <w:i/>
          <w:color w:val="000000" w:themeColor="text1"/>
          <w:szCs w:val="24"/>
        </w:rPr>
        <w:t>Other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DF1399">
        <w:rPr>
          <w:rFonts w:cs="Times New Roman"/>
          <w:i/>
          <w:color w:val="000000" w:themeColor="text1"/>
          <w:szCs w:val="24"/>
        </w:rPr>
        <w:t>Gaskets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F1399">
        <w:rPr>
          <w:rFonts w:cs="Times New Roman"/>
          <w:color w:val="000000" w:themeColor="text1"/>
          <w:szCs w:val="24"/>
        </w:rPr>
        <w:t>means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F1399">
        <w:rPr>
          <w:rFonts w:cs="Times New Roman"/>
          <w:color w:val="000000" w:themeColor="text1"/>
          <w:szCs w:val="24"/>
        </w:rPr>
        <w:t>gaskets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F1399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F1399">
        <w:rPr>
          <w:rFonts w:cs="Times New Roman"/>
          <w:color w:val="000000" w:themeColor="text1"/>
          <w:szCs w:val="24"/>
        </w:rPr>
        <w:t>than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F1399">
        <w:rPr>
          <w:rFonts w:cs="Times New Roman"/>
          <w:i/>
          <w:color w:val="000000" w:themeColor="text1"/>
          <w:szCs w:val="24"/>
        </w:rPr>
        <w:t>sheet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DF1399">
        <w:rPr>
          <w:rFonts w:cs="Times New Roman"/>
          <w:i/>
          <w:color w:val="000000" w:themeColor="text1"/>
          <w:szCs w:val="24"/>
        </w:rPr>
        <w:t>gaskets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DF1399">
        <w:rPr>
          <w:rFonts w:cs="Times New Roman"/>
          <w:i/>
          <w:color w:val="000000" w:themeColor="text1"/>
          <w:szCs w:val="24"/>
        </w:rPr>
        <w:t>in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DF1399">
        <w:rPr>
          <w:rFonts w:cs="Times New Roman"/>
          <w:i/>
          <w:color w:val="000000" w:themeColor="text1"/>
          <w:szCs w:val="24"/>
        </w:rPr>
        <w:t>chemical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DF1399">
        <w:rPr>
          <w:rFonts w:cs="Times New Roman"/>
          <w:i/>
          <w:color w:val="000000" w:themeColor="text1"/>
          <w:szCs w:val="24"/>
        </w:rPr>
        <w:t>production</w:t>
      </w:r>
      <w:r w:rsidRPr="00C317BB" w:rsidR="00DF1399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F1399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F1399">
        <w:rPr>
          <w:rFonts w:cs="Times New Roman"/>
          <w:color w:val="000000" w:themeColor="text1"/>
          <w:szCs w:val="24"/>
        </w:rPr>
        <w:t>include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F1399">
        <w:rPr>
          <w:rFonts w:cs="Times New Roman"/>
          <w:color w:val="000000" w:themeColor="text1"/>
          <w:szCs w:val="24"/>
        </w:rPr>
        <w:t>gaskets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F1399">
        <w:rPr>
          <w:rFonts w:cs="Times New Roman"/>
          <w:color w:val="000000" w:themeColor="text1"/>
          <w:szCs w:val="24"/>
        </w:rPr>
        <w:t>used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F1399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F1399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F1399">
        <w:rPr>
          <w:rFonts w:cs="Times New Roman"/>
          <w:color w:val="000000" w:themeColor="text1"/>
          <w:szCs w:val="24"/>
        </w:rPr>
        <w:t>exhaust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F1399">
        <w:rPr>
          <w:rFonts w:cs="Times New Roman"/>
          <w:color w:val="000000" w:themeColor="text1"/>
          <w:szCs w:val="24"/>
        </w:rPr>
        <w:t>systems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F1399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F1399">
        <w:rPr>
          <w:rFonts w:cs="Times New Roman"/>
          <w:color w:val="000000" w:themeColor="text1"/>
          <w:szCs w:val="24"/>
        </w:rPr>
        <w:t>utility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F1399">
        <w:rPr>
          <w:rFonts w:cs="Times New Roman"/>
          <w:color w:val="000000" w:themeColor="text1"/>
          <w:szCs w:val="24"/>
        </w:rPr>
        <w:t>vehicles.</w:t>
      </w:r>
    </w:p>
    <w:p w:rsidRPr="00C317BB" w:rsidR="003413CB" w:rsidP="004B5B61" w:rsidRDefault="004B5B61" w14:paraId="152FFE28" w14:textId="6163341F">
      <w:pPr>
        <w:rPr>
          <w:rFonts w:cs="Times New Roman"/>
          <w:color w:val="000000" w:themeColor="text1"/>
          <w:szCs w:val="24"/>
        </w:rPr>
      </w:pPr>
      <w:r w:rsidRPr="00C317BB">
        <w:rPr>
          <w:rStyle w:val="Strong"/>
          <w:rFonts w:cs="Times New Roman"/>
          <w:color w:val="000000" w:themeColor="text1"/>
          <w:szCs w:val="24"/>
        </w:rPr>
        <w:tab/>
      </w:r>
      <w:r w:rsidRPr="00C317BB" w:rsidR="00DF1399">
        <w:rPr>
          <w:rFonts w:cs="Times New Roman"/>
          <w:i/>
          <w:color w:val="000000" w:themeColor="text1"/>
          <w:szCs w:val="24"/>
        </w:rPr>
        <w:t>Other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DF1399">
        <w:rPr>
          <w:rFonts w:cs="Times New Roman"/>
          <w:i/>
          <w:color w:val="000000" w:themeColor="text1"/>
          <w:szCs w:val="24"/>
        </w:rPr>
        <w:t>Vehicle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DF1399">
        <w:rPr>
          <w:rFonts w:cs="Times New Roman"/>
          <w:i/>
          <w:color w:val="000000" w:themeColor="text1"/>
          <w:szCs w:val="24"/>
        </w:rPr>
        <w:t>Friction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DF1399">
        <w:rPr>
          <w:rFonts w:cs="Times New Roman"/>
          <w:i/>
          <w:color w:val="000000" w:themeColor="text1"/>
          <w:szCs w:val="24"/>
        </w:rPr>
        <w:t>Products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F1399">
        <w:rPr>
          <w:rFonts w:cs="Times New Roman"/>
          <w:color w:val="000000" w:themeColor="text1"/>
          <w:szCs w:val="24"/>
        </w:rPr>
        <w:t>means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F1399">
        <w:rPr>
          <w:rFonts w:cs="Times New Roman"/>
          <w:color w:val="000000" w:themeColor="text1"/>
          <w:szCs w:val="24"/>
        </w:rPr>
        <w:t>friction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443FAA">
        <w:rPr>
          <w:rFonts w:cs="Times New Roman"/>
          <w:color w:val="000000" w:themeColor="text1"/>
          <w:szCs w:val="24"/>
        </w:rPr>
        <w:t>articles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F1399">
        <w:rPr>
          <w:rFonts w:cs="Times New Roman"/>
          <w:color w:val="000000" w:themeColor="text1"/>
          <w:szCs w:val="24"/>
        </w:rPr>
        <w:t>such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F1399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F1399">
        <w:rPr>
          <w:rFonts w:cs="Times New Roman"/>
          <w:color w:val="000000" w:themeColor="text1"/>
          <w:szCs w:val="24"/>
        </w:rPr>
        <w:t>brakes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F1399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F1399">
        <w:rPr>
          <w:rFonts w:cs="Times New Roman"/>
          <w:color w:val="000000" w:themeColor="text1"/>
          <w:szCs w:val="24"/>
        </w:rPr>
        <w:t>clutches,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F1399">
        <w:rPr>
          <w:rFonts w:cs="Times New Roman"/>
          <w:color w:val="000000" w:themeColor="text1"/>
          <w:szCs w:val="24"/>
        </w:rPr>
        <w:t>other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F1399">
        <w:rPr>
          <w:rFonts w:cs="Times New Roman"/>
          <w:color w:val="000000" w:themeColor="text1"/>
          <w:szCs w:val="24"/>
        </w:rPr>
        <w:t>than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F1399">
        <w:rPr>
          <w:rFonts w:cs="Times New Roman"/>
          <w:i/>
          <w:color w:val="000000" w:themeColor="text1"/>
          <w:szCs w:val="24"/>
        </w:rPr>
        <w:t>aftermarket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DF1399">
        <w:rPr>
          <w:rFonts w:cs="Times New Roman"/>
          <w:i/>
          <w:color w:val="000000" w:themeColor="text1"/>
          <w:szCs w:val="24"/>
        </w:rPr>
        <w:t>automotive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DF1399">
        <w:rPr>
          <w:rFonts w:cs="Times New Roman"/>
          <w:i/>
          <w:color w:val="000000" w:themeColor="text1"/>
          <w:szCs w:val="24"/>
        </w:rPr>
        <w:t>brakes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DF1399">
        <w:rPr>
          <w:rFonts w:cs="Times New Roman"/>
          <w:i/>
          <w:color w:val="000000" w:themeColor="text1"/>
          <w:szCs w:val="24"/>
        </w:rPr>
        <w:t>and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DF1399">
        <w:rPr>
          <w:rFonts w:cs="Times New Roman"/>
          <w:i/>
          <w:color w:val="000000" w:themeColor="text1"/>
          <w:szCs w:val="24"/>
        </w:rPr>
        <w:t>linings</w:t>
      </w:r>
      <w:r w:rsidRPr="00C317BB" w:rsidR="00DF1399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F1399">
        <w:rPr>
          <w:rFonts w:cs="Times New Roman"/>
          <w:color w:val="000000" w:themeColor="text1"/>
          <w:szCs w:val="24"/>
        </w:rPr>
        <w:t>installed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F1399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F1399">
        <w:rPr>
          <w:rFonts w:cs="Times New Roman"/>
          <w:color w:val="000000" w:themeColor="text1"/>
          <w:szCs w:val="24"/>
        </w:rPr>
        <w:t>any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F1399">
        <w:rPr>
          <w:rFonts w:cs="Times New Roman"/>
          <w:color w:val="000000" w:themeColor="text1"/>
          <w:szCs w:val="24"/>
        </w:rPr>
        <w:t>vehicle,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F1399">
        <w:rPr>
          <w:rFonts w:cs="Times New Roman"/>
          <w:color w:val="000000" w:themeColor="text1"/>
          <w:szCs w:val="24"/>
        </w:rPr>
        <w:t>including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F1399">
        <w:rPr>
          <w:rFonts w:cs="Times New Roman"/>
          <w:color w:val="000000" w:themeColor="text1"/>
          <w:szCs w:val="24"/>
        </w:rPr>
        <w:t>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F1399">
        <w:rPr>
          <w:rFonts w:cs="Times New Roman"/>
          <w:color w:val="000000" w:themeColor="text1"/>
          <w:szCs w:val="24"/>
        </w:rPr>
        <w:t>off-road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F1399">
        <w:rPr>
          <w:rFonts w:cs="Times New Roman"/>
          <w:color w:val="000000" w:themeColor="text1"/>
          <w:szCs w:val="24"/>
        </w:rPr>
        <w:t>vehicles,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F1399">
        <w:rPr>
          <w:rFonts w:cs="Times New Roman"/>
          <w:color w:val="000000" w:themeColor="text1"/>
          <w:szCs w:val="24"/>
        </w:rPr>
        <w:t>trains,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F1399">
        <w:rPr>
          <w:rFonts w:cs="Times New Roman"/>
          <w:color w:val="000000" w:themeColor="text1"/>
          <w:szCs w:val="24"/>
        </w:rPr>
        <w:t>planes,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F1399">
        <w:rPr>
          <w:rFonts w:cs="Times New Roman"/>
          <w:color w:val="000000" w:themeColor="text1"/>
          <w:szCs w:val="24"/>
        </w:rPr>
        <w:t>etc.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413CB">
        <w:rPr>
          <w:rFonts w:cs="Times New Roman"/>
          <w:color w:val="000000" w:themeColor="text1"/>
          <w:szCs w:val="24"/>
        </w:rPr>
        <w:t>Vehicle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413CB">
        <w:rPr>
          <w:rFonts w:cs="Times New Roman"/>
          <w:color w:val="000000" w:themeColor="text1"/>
          <w:szCs w:val="24"/>
        </w:rPr>
        <w:t>Friction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413CB">
        <w:rPr>
          <w:rFonts w:cs="Times New Roman"/>
          <w:color w:val="000000" w:themeColor="text1"/>
          <w:szCs w:val="24"/>
        </w:rPr>
        <w:t>Products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413CB">
        <w:rPr>
          <w:rFonts w:cs="Times New Roman"/>
          <w:color w:val="000000" w:themeColor="text1"/>
          <w:szCs w:val="24"/>
        </w:rPr>
        <w:t>do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413CB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413CB">
        <w:rPr>
          <w:rFonts w:cs="Times New Roman"/>
          <w:color w:val="000000" w:themeColor="text1"/>
          <w:szCs w:val="24"/>
        </w:rPr>
        <w:t>include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274B2">
        <w:rPr>
          <w:rFonts w:cs="Times New Roman"/>
          <w:color w:val="000000" w:themeColor="text1"/>
          <w:szCs w:val="24"/>
        </w:rPr>
        <w:t>articles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413CB">
        <w:rPr>
          <w:rFonts w:cs="Times New Roman"/>
          <w:color w:val="000000" w:themeColor="text1"/>
          <w:szCs w:val="24"/>
        </w:rPr>
        <w:t>use</w:t>
      </w:r>
      <w:r w:rsidRPr="00C317BB" w:rsidR="00A274B2">
        <w:rPr>
          <w:rFonts w:cs="Times New Roman"/>
          <w:color w:val="000000" w:themeColor="text1"/>
          <w:szCs w:val="24"/>
        </w:rPr>
        <w:t>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413C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413C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413CB">
        <w:rPr>
          <w:rFonts w:cs="Times New Roman"/>
          <w:color w:val="000000" w:themeColor="text1"/>
          <w:szCs w:val="24"/>
        </w:rPr>
        <w:t>NASA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413CB">
        <w:rPr>
          <w:rFonts w:cs="Times New Roman"/>
          <w:color w:val="000000" w:themeColor="text1"/>
          <w:szCs w:val="24"/>
        </w:rPr>
        <w:t>Super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413CB">
        <w:rPr>
          <w:rFonts w:cs="Times New Roman"/>
          <w:color w:val="000000" w:themeColor="text1"/>
          <w:szCs w:val="24"/>
        </w:rPr>
        <w:t>Guppy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413CB">
        <w:rPr>
          <w:rFonts w:cs="Times New Roman"/>
          <w:color w:val="000000" w:themeColor="text1"/>
          <w:szCs w:val="24"/>
        </w:rPr>
        <w:t>Turbine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413CB">
        <w:rPr>
          <w:rFonts w:cs="Times New Roman"/>
          <w:color w:val="000000" w:themeColor="text1"/>
          <w:szCs w:val="24"/>
        </w:rPr>
        <w:t>aircraft,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413CB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413CB">
        <w:rPr>
          <w:rFonts w:cs="Times New Roman"/>
          <w:color w:val="000000" w:themeColor="text1"/>
          <w:szCs w:val="24"/>
        </w:rPr>
        <w:t>specialty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413CB">
        <w:rPr>
          <w:rFonts w:cs="Times New Roman"/>
          <w:color w:val="000000" w:themeColor="text1"/>
          <w:szCs w:val="24"/>
        </w:rPr>
        <w:t>cargo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413CB">
        <w:rPr>
          <w:rFonts w:cs="Times New Roman"/>
          <w:color w:val="000000" w:themeColor="text1"/>
          <w:szCs w:val="24"/>
        </w:rPr>
        <w:t>plane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413CB">
        <w:rPr>
          <w:rFonts w:cs="Times New Roman"/>
          <w:color w:val="000000" w:themeColor="text1"/>
          <w:szCs w:val="24"/>
        </w:rPr>
        <w:t>used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413C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413C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413CB">
        <w:rPr>
          <w:rFonts w:cs="Times New Roman"/>
          <w:color w:val="000000" w:themeColor="text1"/>
          <w:szCs w:val="24"/>
        </w:rPr>
        <w:t>transportation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413C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413CB">
        <w:rPr>
          <w:rFonts w:cs="Times New Roman"/>
          <w:color w:val="000000" w:themeColor="text1"/>
          <w:szCs w:val="24"/>
        </w:rPr>
        <w:t>oversized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413CB">
        <w:rPr>
          <w:rFonts w:cs="Times New Roman"/>
          <w:color w:val="000000" w:themeColor="text1"/>
          <w:szCs w:val="24"/>
        </w:rPr>
        <w:t>equipment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413CB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413CB">
        <w:rPr>
          <w:rFonts w:cs="Times New Roman"/>
          <w:color w:val="000000" w:themeColor="text1"/>
          <w:szCs w:val="24"/>
        </w:rPr>
        <w:t>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413CB">
        <w:rPr>
          <w:rFonts w:cs="Times New Roman"/>
          <w:color w:val="000000" w:themeColor="text1"/>
          <w:szCs w:val="24"/>
        </w:rPr>
        <w:t>owned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413C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413CB">
        <w:rPr>
          <w:rFonts w:cs="Times New Roman"/>
          <w:color w:val="000000" w:themeColor="text1"/>
          <w:szCs w:val="24"/>
        </w:rPr>
        <w:t>operated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413CB">
        <w:rPr>
          <w:rFonts w:cs="Times New Roman"/>
          <w:color w:val="000000" w:themeColor="text1"/>
          <w:szCs w:val="24"/>
        </w:rPr>
        <w:t>by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413C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413CB">
        <w:rPr>
          <w:rFonts w:cs="Times New Roman"/>
          <w:color w:val="000000" w:themeColor="text1"/>
          <w:szCs w:val="24"/>
        </w:rPr>
        <w:t>National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413CB">
        <w:rPr>
          <w:rFonts w:cs="Times New Roman"/>
          <w:color w:val="000000" w:themeColor="text1"/>
          <w:szCs w:val="24"/>
        </w:rPr>
        <w:t>Aeronautics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413CB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413CB">
        <w:rPr>
          <w:rFonts w:cs="Times New Roman"/>
          <w:color w:val="000000" w:themeColor="text1"/>
          <w:szCs w:val="24"/>
        </w:rPr>
        <w:t>Space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413CB">
        <w:rPr>
          <w:rFonts w:cs="Times New Roman"/>
          <w:color w:val="000000" w:themeColor="text1"/>
          <w:szCs w:val="24"/>
        </w:rPr>
        <w:t>Administration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413CB">
        <w:rPr>
          <w:rFonts w:cs="Times New Roman"/>
          <w:color w:val="000000" w:themeColor="text1"/>
          <w:szCs w:val="24"/>
        </w:rPr>
        <w:t>(NASA).</w:t>
      </w:r>
    </w:p>
    <w:p w:rsidRPr="00C317BB" w:rsidR="005B379B" w:rsidP="004B5B61" w:rsidRDefault="00D20970" w14:paraId="5E640881" w14:textId="4C9D6B61">
      <w:pPr>
        <w:rPr>
          <w:rFonts w:cs="Times New Roman"/>
          <w:color w:val="000000" w:themeColor="text1"/>
          <w:szCs w:val="24"/>
        </w:rPr>
      </w:pPr>
      <w:r w:rsidRPr="00C317BB">
        <w:rPr>
          <w:rStyle w:val="Strong"/>
          <w:rFonts w:cs="Times New Roman"/>
          <w:color w:val="000000" w:themeColor="text1"/>
          <w:szCs w:val="24"/>
        </w:rPr>
        <w:tab/>
      </w:r>
      <w:r w:rsidRPr="00C317BB" w:rsidR="005B379B">
        <w:rPr>
          <w:rFonts w:cs="Times New Roman"/>
          <w:i/>
          <w:color w:val="000000" w:themeColor="text1"/>
          <w:szCs w:val="24"/>
        </w:rPr>
        <w:t>Processing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379B">
        <w:rPr>
          <w:rFonts w:cs="Times New Roman"/>
          <w:color w:val="000000" w:themeColor="text1"/>
          <w:szCs w:val="24"/>
        </w:rPr>
        <w:t>has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379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379B">
        <w:rPr>
          <w:rFonts w:cs="Times New Roman"/>
          <w:color w:val="000000" w:themeColor="text1"/>
          <w:szCs w:val="24"/>
        </w:rPr>
        <w:t>same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379B">
        <w:rPr>
          <w:rFonts w:cs="Times New Roman"/>
          <w:color w:val="000000" w:themeColor="text1"/>
          <w:szCs w:val="24"/>
        </w:rPr>
        <w:t>meaning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379B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379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379B">
        <w:rPr>
          <w:rFonts w:cs="Times New Roman"/>
          <w:color w:val="000000" w:themeColor="text1"/>
          <w:szCs w:val="24"/>
        </w:rPr>
        <w:t>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379B">
        <w:rPr>
          <w:rFonts w:cs="Times New Roman"/>
          <w:color w:val="000000" w:themeColor="text1"/>
          <w:szCs w:val="24"/>
        </w:rPr>
        <w:t>3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379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379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379B">
        <w:rPr>
          <w:rFonts w:cs="Times New Roman"/>
          <w:color w:val="000000" w:themeColor="text1"/>
          <w:szCs w:val="24"/>
        </w:rPr>
        <w:t>Act,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379B">
        <w:rPr>
          <w:rFonts w:cs="Times New Roman"/>
          <w:color w:val="000000" w:themeColor="text1"/>
          <w:szCs w:val="24"/>
        </w:rPr>
        <w:t>but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379B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379B">
        <w:rPr>
          <w:rFonts w:cs="Times New Roman"/>
          <w:color w:val="000000" w:themeColor="text1"/>
          <w:szCs w:val="24"/>
        </w:rPr>
        <w:t>term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379B">
        <w:rPr>
          <w:rFonts w:cs="Times New Roman"/>
          <w:color w:val="000000" w:themeColor="text1"/>
          <w:szCs w:val="24"/>
        </w:rPr>
        <w:t>does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379B">
        <w:rPr>
          <w:rFonts w:cs="Times New Roman"/>
          <w:color w:val="000000" w:themeColor="text1"/>
          <w:szCs w:val="24"/>
        </w:rPr>
        <w:t>not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379B">
        <w:rPr>
          <w:rFonts w:cs="Times New Roman"/>
          <w:color w:val="000000" w:themeColor="text1"/>
          <w:szCs w:val="24"/>
        </w:rPr>
        <w:t>include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379B">
        <w:rPr>
          <w:rFonts w:cs="Times New Roman"/>
          <w:color w:val="000000" w:themeColor="text1"/>
          <w:szCs w:val="24"/>
        </w:rPr>
        <w:t>processing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379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379B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379B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379B">
        <w:rPr>
          <w:rFonts w:cs="Times New Roman"/>
          <w:color w:val="000000" w:themeColor="text1"/>
          <w:szCs w:val="24"/>
        </w:rPr>
        <w:t>waste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379B">
        <w:rPr>
          <w:rFonts w:cs="Times New Roman"/>
          <w:color w:val="000000" w:themeColor="text1"/>
          <w:szCs w:val="24"/>
        </w:rPr>
        <w:t>solely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379B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379B">
        <w:rPr>
          <w:rFonts w:cs="Times New Roman"/>
          <w:color w:val="000000" w:themeColor="text1"/>
          <w:szCs w:val="24"/>
        </w:rPr>
        <w:t>purposes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379B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379B">
        <w:rPr>
          <w:rFonts w:cs="Times New Roman"/>
          <w:color w:val="000000" w:themeColor="text1"/>
          <w:szCs w:val="24"/>
        </w:rPr>
        <w:t>disposal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379B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379B">
        <w:rPr>
          <w:rFonts w:cs="Times New Roman"/>
          <w:color w:val="000000" w:themeColor="text1"/>
          <w:szCs w:val="24"/>
        </w:rPr>
        <w:t>accordance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379B">
        <w:rPr>
          <w:rFonts w:cs="Times New Roman"/>
          <w:color w:val="000000" w:themeColor="text1"/>
          <w:szCs w:val="24"/>
        </w:rPr>
        <w:t>with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379B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B379B">
        <w:rPr>
          <w:rFonts w:cs="Times New Roman"/>
          <w:color w:val="000000" w:themeColor="text1"/>
          <w:szCs w:val="24"/>
        </w:rPr>
        <w:t>Subpart.</w:t>
      </w:r>
    </w:p>
    <w:p w:rsidRPr="00C317BB" w:rsidR="00222C2E" w:rsidP="00D20970" w:rsidRDefault="00D20970" w14:paraId="55E8EA5D" w14:textId="4E2D5914">
      <w:pPr>
        <w:rPr>
          <w:rFonts w:cs="Times New Roman"/>
          <w:color w:val="000000" w:themeColor="text1"/>
          <w:szCs w:val="24"/>
        </w:rPr>
      </w:pPr>
      <w:r w:rsidRPr="00C317BB">
        <w:rPr>
          <w:rStyle w:val="Strong"/>
          <w:rFonts w:cs="Times New Roman"/>
          <w:color w:val="000000" w:themeColor="text1"/>
          <w:szCs w:val="24"/>
        </w:rPr>
        <w:tab/>
      </w:r>
      <w:r w:rsidRPr="00C317BB" w:rsidR="00222C2E">
        <w:rPr>
          <w:rFonts w:cs="Times New Roman"/>
          <w:i/>
          <w:color w:val="000000" w:themeColor="text1"/>
          <w:szCs w:val="24"/>
        </w:rPr>
        <w:t>Sheet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222C2E">
        <w:rPr>
          <w:rFonts w:cs="Times New Roman"/>
          <w:i/>
          <w:color w:val="000000" w:themeColor="text1"/>
          <w:szCs w:val="24"/>
        </w:rPr>
        <w:t>Gasket</w:t>
      </w:r>
      <w:r w:rsidRPr="00C317BB" w:rsidR="00DF1399">
        <w:rPr>
          <w:rFonts w:cs="Times New Roman"/>
          <w:i/>
          <w:color w:val="000000" w:themeColor="text1"/>
          <w:szCs w:val="24"/>
        </w:rPr>
        <w:t>s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222C2E">
        <w:rPr>
          <w:rFonts w:cs="Times New Roman"/>
          <w:i/>
          <w:color w:val="000000" w:themeColor="text1"/>
          <w:szCs w:val="24"/>
        </w:rPr>
        <w:t>in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222C2E">
        <w:rPr>
          <w:rFonts w:cs="Times New Roman"/>
          <w:i/>
          <w:color w:val="000000" w:themeColor="text1"/>
          <w:szCs w:val="24"/>
        </w:rPr>
        <w:t>Chemical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222C2E">
        <w:rPr>
          <w:rFonts w:cs="Times New Roman"/>
          <w:i/>
          <w:color w:val="000000" w:themeColor="text1"/>
          <w:szCs w:val="24"/>
        </w:rPr>
        <w:t>Production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22C2E">
        <w:rPr>
          <w:rFonts w:cs="Times New Roman"/>
          <w:color w:val="000000" w:themeColor="text1"/>
          <w:szCs w:val="24"/>
        </w:rPr>
        <w:t>means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22C2E">
        <w:rPr>
          <w:rFonts w:cs="Times New Roman"/>
          <w:color w:val="000000" w:themeColor="text1"/>
          <w:szCs w:val="24"/>
        </w:rPr>
        <w:t>gaskets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22C2E">
        <w:rPr>
          <w:rFonts w:cs="Times New Roman"/>
          <w:color w:val="000000" w:themeColor="text1"/>
          <w:szCs w:val="24"/>
        </w:rPr>
        <w:t>cut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22C2E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249D8">
        <w:rPr>
          <w:rFonts w:cs="Times New Roman"/>
          <w:color w:val="000000" w:themeColor="text1"/>
          <w:szCs w:val="24"/>
        </w:rPr>
        <w:t>sheeting,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249D8">
        <w:rPr>
          <w:rFonts w:cs="Times New Roman"/>
          <w:color w:val="000000" w:themeColor="text1"/>
          <w:szCs w:val="24"/>
        </w:rPr>
        <w:t>including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22C2E">
        <w:rPr>
          <w:rFonts w:cs="Times New Roman"/>
          <w:color w:val="000000" w:themeColor="text1"/>
          <w:szCs w:val="24"/>
        </w:rPr>
        <w:t>asbestos-containing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22C2E">
        <w:rPr>
          <w:rFonts w:cs="Times New Roman"/>
          <w:color w:val="000000" w:themeColor="text1"/>
          <w:szCs w:val="24"/>
        </w:rPr>
        <w:t>rubberized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22C2E">
        <w:rPr>
          <w:rFonts w:cs="Times New Roman"/>
          <w:color w:val="000000" w:themeColor="text1"/>
          <w:szCs w:val="24"/>
        </w:rPr>
        <w:t>sheeting,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249D8">
        <w:rPr>
          <w:rFonts w:cs="Times New Roman"/>
          <w:color w:val="000000" w:themeColor="text1"/>
          <w:szCs w:val="24"/>
        </w:rPr>
        <w:t>that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22C2E">
        <w:rPr>
          <w:rFonts w:cs="Times New Roman"/>
          <w:color w:val="000000" w:themeColor="text1"/>
          <w:szCs w:val="24"/>
        </w:rPr>
        <w:t>are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22C2E">
        <w:rPr>
          <w:rFonts w:cs="Times New Roman"/>
          <w:color w:val="000000" w:themeColor="text1"/>
          <w:szCs w:val="24"/>
        </w:rPr>
        <w:t>used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22C2E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22C2E">
        <w:rPr>
          <w:rFonts w:cs="Times New Roman"/>
          <w:color w:val="000000" w:themeColor="text1"/>
          <w:szCs w:val="24"/>
        </w:rPr>
        <w:t>chemical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22C2E">
        <w:rPr>
          <w:rFonts w:cs="Times New Roman"/>
          <w:color w:val="000000" w:themeColor="text1"/>
          <w:szCs w:val="24"/>
        </w:rPr>
        <w:t>manufacturing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22C2E">
        <w:rPr>
          <w:rFonts w:cs="Times New Roman"/>
          <w:color w:val="000000" w:themeColor="text1"/>
          <w:szCs w:val="24"/>
        </w:rPr>
        <w:t>facilities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22C2E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22C2E">
        <w:rPr>
          <w:rFonts w:cs="Times New Roman"/>
          <w:color w:val="000000" w:themeColor="text1"/>
          <w:szCs w:val="24"/>
        </w:rPr>
        <w:t>extreme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22C2E">
        <w:rPr>
          <w:rFonts w:cs="Times New Roman"/>
          <w:color w:val="000000" w:themeColor="text1"/>
          <w:szCs w:val="24"/>
        </w:rPr>
        <w:t>condition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22C2E">
        <w:rPr>
          <w:rFonts w:cs="Times New Roman"/>
          <w:color w:val="000000" w:themeColor="text1"/>
          <w:szCs w:val="24"/>
        </w:rPr>
        <w:t>applications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22C2E">
        <w:rPr>
          <w:rFonts w:cs="Times New Roman"/>
          <w:color w:val="000000" w:themeColor="text1"/>
          <w:szCs w:val="24"/>
        </w:rPr>
        <w:t>such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22C2E">
        <w:rPr>
          <w:rFonts w:cs="Times New Roman"/>
          <w:color w:val="000000" w:themeColor="text1"/>
          <w:szCs w:val="24"/>
        </w:rPr>
        <w:t>as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22C2E">
        <w:rPr>
          <w:rFonts w:cs="Times New Roman"/>
          <w:color w:val="000000" w:themeColor="text1"/>
          <w:szCs w:val="24"/>
        </w:rPr>
        <w:t>titanium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22C2E">
        <w:rPr>
          <w:rFonts w:cs="Times New Roman"/>
          <w:color w:val="000000" w:themeColor="text1"/>
          <w:szCs w:val="24"/>
        </w:rPr>
        <w:t>dioxide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222C2E">
        <w:rPr>
          <w:rFonts w:cs="Times New Roman"/>
          <w:color w:val="000000" w:themeColor="text1"/>
          <w:szCs w:val="24"/>
        </w:rPr>
        <w:t>manufacturing.</w:t>
      </w:r>
      <w:bookmarkStart w:name="_Hlk87446894" w:id="53"/>
    </w:p>
    <w:bookmarkEnd w:id="53"/>
    <w:p w:rsidRPr="00C317BB" w:rsidR="0040082F" w:rsidP="00F27167" w:rsidRDefault="0040082F" w14:paraId="5E5C6C1E" w14:textId="155380C8">
      <w:pPr>
        <w:pStyle w:val="Heading2"/>
        <w:rPr>
          <w:rStyle w:val="Strong"/>
          <w:rFonts w:cs="Times New Roman" w:eastAsiaTheme="minorHAnsi"/>
          <w:i w:val="0"/>
          <w:color w:val="000000" w:themeColor="text1"/>
          <w:szCs w:val="24"/>
        </w:rPr>
      </w:pPr>
      <w:r w:rsidRPr="00C317BB">
        <w:rPr>
          <w:rStyle w:val="Strong"/>
          <w:rFonts w:cs="Times New Roman"/>
          <w:i w:val="0"/>
          <w:color w:val="000000" w:themeColor="text1"/>
          <w:szCs w:val="24"/>
        </w:rPr>
        <w:t>§</w:t>
      </w:r>
      <w:r w:rsidR="005613B2">
        <w:rPr>
          <w:rStyle w:val="Strong"/>
          <w:rFonts w:cs="Times New Roman"/>
          <w:i w:val="0"/>
          <w:color w:val="000000" w:themeColor="text1"/>
          <w:szCs w:val="24"/>
        </w:rPr>
        <w:t xml:space="preserve"> </w:t>
      </w:r>
      <w:r w:rsidRPr="00C317BB">
        <w:rPr>
          <w:rStyle w:val="Strong"/>
          <w:rFonts w:cs="Times New Roman"/>
          <w:i w:val="0"/>
          <w:color w:val="000000" w:themeColor="text1"/>
          <w:szCs w:val="24"/>
        </w:rPr>
        <w:t>751.X</w:t>
      </w:r>
      <w:r w:rsidRPr="00C317BB" w:rsidR="00D91D6E">
        <w:rPr>
          <w:rStyle w:val="Strong"/>
          <w:rFonts w:cs="Times New Roman"/>
          <w:i w:val="0"/>
          <w:color w:val="000000" w:themeColor="text1"/>
          <w:szCs w:val="24"/>
        </w:rPr>
        <w:t>05</w:t>
      </w:r>
      <w:r w:rsidR="005613B2">
        <w:rPr>
          <w:rStyle w:val="Strong"/>
          <w:rFonts w:cs="Times New Roman"/>
          <w:i w:val="0"/>
          <w:color w:val="000000" w:themeColor="text1"/>
          <w:szCs w:val="24"/>
        </w:rPr>
        <w:t xml:space="preserve"> </w:t>
      </w:r>
      <w:r w:rsidRPr="00C317BB" w:rsidR="00FE5F2C">
        <w:rPr>
          <w:rStyle w:val="Strong"/>
          <w:rFonts w:cs="Times New Roman"/>
          <w:i w:val="0"/>
          <w:color w:val="000000" w:themeColor="text1"/>
          <w:szCs w:val="24"/>
        </w:rPr>
        <w:t>Restrictions</w:t>
      </w:r>
      <w:r w:rsidR="005613B2">
        <w:rPr>
          <w:rStyle w:val="Strong"/>
          <w:rFonts w:cs="Times New Roman"/>
          <w:i w:val="0"/>
          <w:color w:val="000000" w:themeColor="text1"/>
          <w:szCs w:val="24"/>
        </w:rPr>
        <w:t xml:space="preserve"> </w:t>
      </w:r>
      <w:r w:rsidRPr="00C317BB" w:rsidR="00FE5F2C">
        <w:rPr>
          <w:rStyle w:val="Strong"/>
          <w:rFonts w:cs="Times New Roman"/>
          <w:i w:val="0"/>
          <w:color w:val="000000" w:themeColor="text1"/>
          <w:szCs w:val="24"/>
        </w:rPr>
        <w:t>on</w:t>
      </w:r>
      <w:r w:rsidR="005613B2">
        <w:rPr>
          <w:rStyle w:val="Strong"/>
          <w:rFonts w:cs="Times New Roman"/>
          <w:i w:val="0"/>
          <w:color w:val="000000" w:themeColor="text1"/>
          <w:szCs w:val="24"/>
        </w:rPr>
        <w:t xml:space="preserve"> </w:t>
      </w:r>
      <w:r w:rsidRPr="00C317BB" w:rsidR="00FE5F2C">
        <w:rPr>
          <w:rStyle w:val="Strong"/>
          <w:rFonts w:cs="Times New Roman"/>
          <w:i w:val="0"/>
          <w:color w:val="000000" w:themeColor="text1"/>
          <w:szCs w:val="24"/>
        </w:rPr>
        <w:t>Conditions</w:t>
      </w:r>
      <w:r w:rsidR="005613B2">
        <w:rPr>
          <w:rStyle w:val="Strong"/>
          <w:rFonts w:cs="Times New Roman"/>
          <w:i w:val="0"/>
          <w:color w:val="000000" w:themeColor="text1"/>
          <w:szCs w:val="24"/>
        </w:rPr>
        <w:t xml:space="preserve"> </w:t>
      </w:r>
      <w:r w:rsidRPr="00C317BB" w:rsidR="00FE5F2C">
        <w:rPr>
          <w:rStyle w:val="Strong"/>
          <w:rFonts w:cs="Times New Roman"/>
          <w:i w:val="0"/>
          <w:color w:val="000000" w:themeColor="text1"/>
          <w:szCs w:val="24"/>
        </w:rPr>
        <w:t>of</w:t>
      </w:r>
      <w:r w:rsidR="005613B2">
        <w:rPr>
          <w:rStyle w:val="Strong"/>
          <w:rFonts w:cs="Times New Roman"/>
          <w:i w:val="0"/>
          <w:color w:val="000000" w:themeColor="text1"/>
          <w:szCs w:val="24"/>
        </w:rPr>
        <w:t xml:space="preserve"> </w:t>
      </w:r>
      <w:r w:rsidRPr="00C317BB" w:rsidR="00FE5F2C">
        <w:rPr>
          <w:rStyle w:val="Strong"/>
          <w:rFonts w:cs="Times New Roman"/>
          <w:i w:val="0"/>
          <w:color w:val="000000" w:themeColor="text1"/>
          <w:szCs w:val="24"/>
        </w:rPr>
        <w:t>Use</w:t>
      </w:r>
      <w:r w:rsidRPr="00C317BB" w:rsidR="008F6A43">
        <w:rPr>
          <w:rStyle w:val="Strong"/>
          <w:rFonts w:cs="Times New Roman"/>
          <w:i w:val="0"/>
          <w:color w:val="000000" w:themeColor="text1"/>
          <w:szCs w:val="24"/>
        </w:rPr>
        <w:t>.</w:t>
      </w:r>
    </w:p>
    <w:p w:rsidRPr="00C317BB" w:rsidR="00A35CA0" w:rsidP="00F27167" w:rsidRDefault="00002008" w14:paraId="7BBB8A5B" w14:textId="78BFC1B1">
      <w:pPr>
        <w:pStyle w:val="ListParagraph"/>
        <w:ind w:left="0"/>
        <w:rPr>
          <w:rFonts w:cs="Times New Roman"/>
          <w:color w:val="000000" w:themeColor="text1"/>
          <w:szCs w:val="24"/>
          <w:shd w:val="clear" w:color="auto" w:fill="FFFFFF"/>
        </w:rPr>
      </w:pPr>
      <w:r w:rsidRPr="00C317BB">
        <w:rPr>
          <w:rFonts w:cs="Times New Roman"/>
          <w:color w:val="000000" w:themeColor="text1"/>
          <w:szCs w:val="24"/>
        </w:rPr>
        <w:tab/>
        <w:t>(a)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35CA0">
        <w:rPr>
          <w:rFonts w:cs="Times New Roman"/>
          <w:color w:val="000000" w:themeColor="text1"/>
          <w:szCs w:val="24"/>
        </w:rPr>
        <w:t>After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35CA0">
        <w:rPr>
          <w:rFonts w:cs="Times New Roman"/>
          <w:color w:val="000000" w:themeColor="text1"/>
          <w:szCs w:val="24"/>
        </w:rPr>
        <w:t>[</w:t>
      </w:r>
      <w:bookmarkStart w:name="_Hlk87450679" w:id="54"/>
      <w:r w:rsidRPr="00C317BB" w:rsidR="00A35CA0">
        <w:rPr>
          <w:rFonts w:cs="Times New Roman"/>
          <w:i/>
          <w:color w:val="000000" w:themeColor="text1"/>
          <w:szCs w:val="24"/>
        </w:rPr>
        <w:t>date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bookmarkStart w:name="_Hlk89946731" w:id="55"/>
      <w:r w:rsidRPr="00C317BB" w:rsidR="007A29F4">
        <w:rPr>
          <w:rFonts w:cs="Times New Roman"/>
          <w:i/>
          <w:color w:val="000000" w:themeColor="text1"/>
          <w:szCs w:val="24"/>
        </w:rPr>
        <w:t>2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7A29F4">
        <w:rPr>
          <w:rFonts w:cs="Times New Roman"/>
          <w:i/>
          <w:color w:val="000000" w:themeColor="text1"/>
          <w:szCs w:val="24"/>
        </w:rPr>
        <w:t>years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A35CA0">
        <w:rPr>
          <w:rFonts w:cs="Times New Roman"/>
          <w:i/>
          <w:color w:val="000000" w:themeColor="text1"/>
          <w:szCs w:val="24"/>
        </w:rPr>
        <w:t>after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A35CA0">
        <w:rPr>
          <w:rFonts w:cs="Times New Roman"/>
          <w:i/>
          <w:color w:val="000000" w:themeColor="text1"/>
          <w:szCs w:val="24"/>
        </w:rPr>
        <w:t>the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0E78B3">
        <w:rPr>
          <w:rFonts w:cs="Times New Roman"/>
          <w:i/>
          <w:color w:val="000000" w:themeColor="text1"/>
          <w:szCs w:val="24"/>
        </w:rPr>
        <w:t>effective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0E78B3">
        <w:rPr>
          <w:rFonts w:cs="Times New Roman"/>
          <w:i/>
          <w:color w:val="000000" w:themeColor="text1"/>
          <w:szCs w:val="24"/>
        </w:rPr>
        <w:t>date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A35CA0">
        <w:rPr>
          <w:rFonts w:cs="Times New Roman"/>
          <w:i/>
          <w:color w:val="000000" w:themeColor="text1"/>
          <w:szCs w:val="24"/>
        </w:rPr>
        <w:t>of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A35CA0">
        <w:rPr>
          <w:rFonts w:cs="Times New Roman"/>
          <w:i/>
          <w:color w:val="000000" w:themeColor="text1"/>
          <w:szCs w:val="24"/>
        </w:rPr>
        <w:t>the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A35CA0">
        <w:rPr>
          <w:rFonts w:cs="Times New Roman"/>
          <w:i/>
          <w:color w:val="000000" w:themeColor="text1"/>
          <w:szCs w:val="24"/>
        </w:rPr>
        <w:t>final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A35CA0">
        <w:rPr>
          <w:rFonts w:cs="Times New Roman"/>
          <w:i/>
          <w:color w:val="000000" w:themeColor="text1"/>
          <w:szCs w:val="24"/>
        </w:rPr>
        <w:t>rule</w:t>
      </w:r>
      <w:bookmarkEnd w:id="54"/>
      <w:bookmarkEnd w:id="55"/>
      <w:r w:rsidRPr="00C317BB" w:rsidR="00A35CA0">
        <w:rPr>
          <w:rFonts w:cs="Times New Roman"/>
          <w:color w:val="000000" w:themeColor="text1"/>
          <w:szCs w:val="24"/>
        </w:rPr>
        <w:t>],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35CA0">
        <w:rPr>
          <w:rFonts w:cs="Times New Roman"/>
          <w:color w:val="000000" w:themeColor="text1"/>
          <w:szCs w:val="24"/>
          <w:shd w:val="clear" w:color="auto" w:fill="FFFFFF"/>
        </w:rPr>
        <w:t>all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A35CA0">
        <w:rPr>
          <w:rFonts w:cs="Times New Roman"/>
          <w:color w:val="000000" w:themeColor="text1"/>
          <w:szCs w:val="24"/>
          <w:shd w:val="clear" w:color="auto" w:fill="FFFFFF"/>
        </w:rPr>
        <w:t>persons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A35CA0">
        <w:rPr>
          <w:rFonts w:cs="Times New Roman"/>
          <w:color w:val="000000" w:themeColor="text1"/>
          <w:szCs w:val="24"/>
          <w:shd w:val="clear" w:color="auto" w:fill="FFFFFF"/>
        </w:rPr>
        <w:t>are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A35CA0">
        <w:rPr>
          <w:rFonts w:cs="Times New Roman"/>
          <w:color w:val="000000" w:themeColor="text1"/>
          <w:szCs w:val="24"/>
          <w:shd w:val="clear" w:color="auto" w:fill="FFFFFF"/>
        </w:rPr>
        <w:t>prohibited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A35CA0">
        <w:rPr>
          <w:rFonts w:cs="Times New Roman"/>
          <w:color w:val="000000" w:themeColor="text1"/>
          <w:szCs w:val="24"/>
          <w:shd w:val="clear" w:color="auto" w:fill="FFFFFF"/>
        </w:rPr>
        <w:t>from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845178">
        <w:rPr>
          <w:rFonts w:cs="Times New Roman"/>
          <w:color w:val="000000" w:themeColor="text1"/>
          <w:szCs w:val="24"/>
          <w:shd w:val="clear" w:color="auto" w:fill="FFFFFF"/>
        </w:rPr>
        <w:t>the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A35CA0">
        <w:rPr>
          <w:rFonts w:cs="Times New Roman"/>
          <w:color w:val="000000" w:themeColor="text1"/>
          <w:szCs w:val="24"/>
          <w:shd w:val="clear" w:color="auto" w:fill="FFFFFF"/>
        </w:rPr>
        <w:t>manufactur</w:t>
      </w:r>
      <w:r w:rsidRPr="00C317BB" w:rsidR="00845178">
        <w:rPr>
          <w:rFonts w:cs="Times New Roman"/>
          <w:color w:val="000000" w:themeColor="text1"/>
          <w:szCs w:val="24"/>
          <w:shd w:val="clear" w:color="auto" w:fill="FFFFFF"/>
        </w:rPr>
        <w:t>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845178">
        <w:rPr>
          <w:rFonts w:cs="Times New Roman"/>
          <w:color w:val="000000" w:themeColor="text1"/>
          <w:szCs w:val="24"/>
          <w:shd w:val="clear" w:color="auto" w:fill="FFFFFF"/>
        </w:rPr>
        <w:t>(including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845178">
        <w:rPr>
          <w:rFonts w:cs="Times New Roman"/>
          <w:color w:val="000000" w:themeColor="text1"/>
          <w:szCs w:val="24"/>
          <w:shd w:val="clear" w:color="auto" w:fill="FFFFFF"/>
        </w:rPr>
        <w:t>import)</w:t>
      </w:r>
      <w:r w:rsidRPr="00C317BB" w:rsidR="00A35CA0">
        <w:rPr>
          <w:rFonts w:cs="Times New Roman"/>
          <w:color w:val="000000" w:themeColor="text1"/>
          <w:szCs w:val="24"/>
          <w:shd w:val="clear" w:color="auto" w:fill="FFFFFF"/>
        </w:rPr>
        <w:t>,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A35CA0">
        <w:rPr>
          <w:rFonts w:cs="Times New Roman"/>
          <w:color w:val="000000" w:themeColor="text1"/>
          <w:szCs w:val="24"/>
          <w:shd w:val="clear" w:color="auto" w:fill="FFFFFF"/>
        </w:rPr>
        <w:t>processing,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A35CA0">
        <w:rPr>
          <w:rFonts w:cs="Times New Roman"/>
          <w:color w:val="000000" w:themeColor="text1"/>
          <w:szCs w:val="24"/>
          <w:shd w:val="clear" w:color="auto" w:fill="FFFFFF"/>
        </w:rPr>
        <w:t>distributi</w:t>
      </w:r>
      <w:r w:rsidRPr="00C317BB" w:rsidR="00845178">
        <w:rPr>
          <w:rFonts w:cs="Times New Roman"/>
          <w:color w:val="000000" w:themeColor="text1"/>
          <w:szCs w:val="24"/>
          <w:shd w:val="clear" w:color="auto" w:fill="FFFFFF"/>
        </w:rPr>
        <w:t>on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A35CA0">
        <w:rPr>
          <w:rFonts w:cs="Times New Roman"/>
          <w:color w:val="000000" w:themeColor="text1"/>
          <w:szCs w:val="24"/>
          <w:shd w:val="clear" w:color="auto" w:fill="FFFFFF"/>
        </w:rPr>
        <w:t>in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A35CA0">
        <w:rPr>
          <w:rFonts w:cs="Times New Roman"/>
          <w:color w:val="000000" w:themeColor="text1"/>
          <w:szCs w:val="24"/>
          <w:shd w:val="clear" w:color="auto" w:fill="FFFFFF"/>
        </w:rPr>
        <w:t>commerce,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A35CA0">
        <w:rPr>
          <w:rFonts w:cs="Times New Roman"/>
          <w:color w:val="000000" w:themeColor="text1"/>
          <w:szCs w:val="24"/>
          <w:shd w:val="clear" w:color="auto" w:fill="FFFFFF"/>
        </w:rPr>
        <w:t>and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6903DD">
        <w:rPr>
          <w:rFonts w:cs="Times New Roman"/>
          <w:color w:val="000000" w:themeColor="text1"/>
          <w:szCs w:val="24"/>
          <w:shd w:val="clear" w:color="auto" w:fill="FFFFFF"/>
        </w:rPr>
        <w:t>commercial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A35CA0">
        <w:rPr>
          <w:rFonts w:cs="Times New Roman"/>
          <w:color w:val="000000" w:themeColor="text1"/>
          <w:szCs w:val="24"/>
          <w:shd w:val="clear" w:color="auto" w:fill="FFFFFF"/>
        </w:rPr>
        <w:t>use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A35CA0">
        <w:rPr>
          <w:rFonts w:cs="Times New Roman"/>
          <w:color w:val="000000" w:themeColor="text1"/>
          <w:szCs w:val="24"/>
          <w:shd w:val="clear" w:color="auto" w:fill="FFFFFF"/>
        </w:rPr>
        <w:t>of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A06645">
        <w:rPr>
          <w:rFonts w:cs="Times New Roman"/>
          <w:color w:val="000000" w:themeColor="text1"/>
          <w:szCs w:val="24"/>
          <w:shd w:val="clear" w:color="auto" w:fill="FFFFFF"/>
        </w:rPr>
        <w:t>chrysotile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A06645">
        <w:rPr>
          <w:rFonts w:cs="Times New Roman"/>
          <w:color w:val="000000" w:themeColor="text1"/>
          <w:szCs w:val="24"/>
          <w:shd w:val="clear" w:color="auto" w:fill="FFFFFF"/>
        </w:rPr>
        <w:t>asbestos</w:t>
      </w:r>
      <w:r w:rsidRPr="00C317BB" w:rsidR="002F24C4">
        <w:rPr>
          <w:rFonts w:cs="Times New Roman"/>
          <w:color w:val="000000" w:themeColor="text1"/>
          <w:szCs w:val="24"/>
          <w:shd w:val="clear" w:color="auto" w:fill="FFFFFF"/>
        </w:rPr>
        <w:t>,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2F24C4">
        <w:rPr>
          <w:rFonts w:cs="Times New Roman"/>
          <w:color w:val="000000" w:themeColor="text1"/>
          <w:szCs w:val="24"/>
          <w:shd w:val="clear" w:color="auto" w:fill="FFFFFF"/>
        </w:rPr>
        <w:t>including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2F24C4">
        <w:rPr>
          <w:rFonts w:cs="Times New Roman"/>
          <w:color w:val="000000" w:themeColor="text1"/>
          <w:szCs w:val="24"/>
          <w:shd w:val="clear" w:color="auto" w:fill="FFFFFF"/>
        </w:rPr>
        <w:t>any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2F24C4">
        <w:rPr>
          <w:rFonts w:cs="Times New Roman"/>
          <w:color w:val="000000" w:themeColor="text1"/>
          <w:szCs w:val="24"/>
          <w:shd w:val="clear" w:color="auto" w:fill="FFFFFF"/>
        </w:rPr>
        <w:t>chrysotile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2F24C4">
        <w:rPr>
          <w:rFonts w:cs="Times New Roman"/>
          <w:color w:val="000000" w:themeColor="text1"/>
          <w:szCs w:val="24"/>
          <w:shd w:val="clear" w:color="auto" w:fill="FFFFFF"/>
        </w:rPr>
        <w:t>asbestos</w:t>
      </w:r>
      <w:r w:rsidRPr="00C317BB" w:rsidR="00FB2A22">
        <w:rPr>
          <w:rFonts w:cs="Times New Roman"/>
          <w:color w:val="000000" w:themeColor="text1"/>
          <w:szCs w:val="24"/>
          <w:shd w:val="clear" w:color="auto" w:fill="FFFFFF"/>
        </w:rPr>
        <w:t>-</w:t>
      </w:r>
      <w:r w:rsidRPr="00C317BB" w:rsidR="002F24C4">
        <w:rPr>
          <w:rFonts w:cs="Times New Roman"/>
          <w:color w:val="000000" w:themeColor="text1"/>
          <w:szCs w:val="24"/>
          <w:shd w:val="clear" w:color="auto" w:fill="FFFFFF"/>
        </w:rPr>
        <w:t>containing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2F24C4">
        <w:rPr>
          <w:rFonts w:cs="Times New Roman"/>
          <w:color w:val="000000" w:themeColor="text1"/>
          <w:szCs w:val="24"/>
          <w:shd w:val="clear" w:color="auto" w:fill="FFFFFF"/>
        </w:rPr>
        <w:t>products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B73A44">
        <w:rPr>
          <w:rFonts w:cs="Times New Roman"/>
          <w:color w:val="000000" w:themeColor="text1"/>
          <w:szCs w:val="24"/>
          <w:shd w:val="clear" w:color="auto" w:fill="FFFFFF"/>
        </w:rPr>
        <w:t>or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B73A44">
        <w:rPr>
          <w:rFonts w:cs="Times New Roman"/>
          <w:color w:val="000000" w:themeColor="text1"/>
          <w:szCs w:val="24"/>
          <w:shd w:val="clear" w:color="auto" w:fill="FFFFFF"/>
        </w:rPr>
        <w:t>articles</w:t>
      </w:r>
      <w:r w:rsidRPr="00C317BB" w:rsidR="00C860EE">
        <w:rPr>
          <w:rFonts w:cs="Times New Roman"/>
          <w:color w:val="000000" w:themeColor="text1"/>
          <w:szCs w:val="24"/>
          <w:shd w:val="clear" w:color="auto" w:fill="FFFFFF"/>
        </w:rPr>
        <w:t>,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8245E9">
        <w:rPr>
          <w:rFonts w:cs="Times New Roman"/>
          <w:color w:val="000000" w:themeColor="text1"/>
          <w:szCs w:val="24"/>
          <w:shd w:val="clear" w:color="auto" w:fill="FFFFFF"/>
        </w:rPr>
        <w:t>for</w:t>
      </w:r>
      <w:r w:rsidRPr="00C317BB">
        <w:rPr>
          <w:rFonts w:cs="Times New Roman"/>
          <w:color w:val="000000" w:themeColor="text1"/>
          <w:szCs w:val="24"/>
          <w:shd w:val="clear" w:color="auto" w:fill="FFFFFF"/>
        </w:rPr>
        <w:t>:</w:t>
      </w:r>
    </w:p>
    <w:p w:rsidRPr="00C317BB" w:rsidR="00A35CA0" w:rsidP="00D20970" w:rsidRDefault="00D20970" w14:paraId="64B7AD82" w14:textId="4A030DCC">
      <w:pPr>
        <w:rPr>
          <w:rFonts w:cs="Times New Roman"/>
          <w:color w:val="000000" w:themeColor="text1"/>
          <w:szCs w:val="24"/>
          <w:shd w:val="clear" w:color="auto" w:fill="FFFFFF"/>
        </w:rPr>
      </w:pPr>
      <w:bookmarkStart w:name="_Hlk89946718" w:id="56"/>
      <w:r w:rsidRPr="00C317BB">
        <w:rPr>
          <w:rStyle w:val="Strong"/>
          <w:rFonts w:cs="Times New Roman"/>
          <w:color w:val="000000" w:themeColor="text1"/>
          <w:szCs w:val="24"/>
        </w:rPr>
        <w:tab/>
      </w:r>
      <w:r w:rsidRPr="00C317BB" w:rsidR="00002008">
        <w:rPr>
          <w:rFonts w:cs="Times New Roman"/>
          <w:color w:val="000000" w:themeColor="text1"/>
          <w:szCs w:val="24"/>
          <w:shd w:val="clear" w:color="auto" w:fill="FFFFFF"/>
        </w:rPr>
        <w:t>(1)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>
        <w:rPr>
          <w:rFonts w:cs="Times New Roman"/>
          <w:color w:val="000000" w:themeColor="text1"/>
          <w:szCs w:val="24"/>
          <w:shd w:val="clear" w:color="auto" w:fill="FFFFFF"/>
        </w:rPr>
        <w:t>D</w:t>
      </w:r>
      <w:r w:rsidRPr="00C317BB" w:rsidR="007A29F4">
        <w:rPr>
          <w:rFonts w:cs="Times New Roman"/>
          <w:color w:val="000000" w:themeColor="text1"/>
          <w:szCs w:val="24"/>
          <w:shd w:val="clear" w:color="auto" w:fill="FFFFFF"/>
        </w:rPr>
        <w:t>iaphra</w:t>
      </w:r>
      <w:r w:rsidRPr="00C317BB" w:rsidR="002011D7">
        <w:rPr>
          <w:rFonts w:cs="Times New Roman"/>
          <w:color w:val="000000" w:themeColor="text1"/>
          <w:szCs w:val="24"/>
          <w:shd w:val="clear" w:color="auto" w:fill="FFFFFF"/>
        </w:rPr>
        <w:t>g</w:t>
      </w:r>
      <w:r w:rsidRPr="00C317BB" w:rsidR="007A29F4">
        <w:rPr>
          <w:rFonts w:cs="Times New Roman"/>
          <w:color w:val="000000" w:themeColor="text1"/>
          <w:szCs w:val="24"/>
          <w:shd w:val="clear" w:color="auto" w:fill="FFFFFF"/>
        </w:rPr>
        <w:t>ms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A29F4">
        <w:rPr>
          <w:rFonts w:cs="Times New Roman"/>
          <w:color w:val="000000" w:themeColor="text1"/>
          <w:szCs w:val="24"/>
          <w:shd w:val="clear" w:color="auto" w:fill="FFFFFF"/>
        </w:rPr>
        <w:t>in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A29F4">
        <w:rPr>
          <w:rFonts w:cs="Times New Roman"/>
          <w:color w:val="000000" w:themeColor="text1"/>
          <w:szCs w:val="24"/>
          <w:shd w:val="clear" w:color="auto" w:fill="FFFFFF"/>
        </w:rPr>
        <w:t>the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DE0D8C">
        <w:rPr>
          <w:rFonts w:cs="Times New Roman"/>
          <w:color w:val="000000" w:themeColor="text1"/>
          <w:szCs w:val="24"/>
          <w:shd w:val="clear" w:color="auto" w:fill="FFFFFF"/>
        </w:rPr>
        <w:t>c</w:t>
      </w:r>
      <w:r w:rsidRPr="00C317BB" w:rsidR="007A29F4">
        <w:rPr>
          <w:rFonts w:cs="Times New Roman"/>
          <w:color w:val="000000" w:themeColor="text1"/>
          <w:szCs w:val="24"/>
          <w:shd w:val="clear" w:color="auto" w:fill="FFFFFF"/>
        </w:rPr>
        <w:t>hlor-alkali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DE0D8C">
        <w:rPr>
          <w:rFonts w:cs="Times New Roman"/>
          <w:color w:val="000000" w:themeColor="text1"/>
          <w:szCs w:val="24"/>
          <w:shd w:val="clear" w:color="auto" w:fill="FFFFFF"/>
        </w:rPr>
        <w:t>i</w:t>
      </w:r>
      <w:r w:rsidRPr="00C317BB" w:rsidR="002011D7">
        <w:rPr>
          <w:rFonts w:cs="Times New Roman"/>
          <w:color w:val="000000" w:themeColor="text1"/>
          <w:szCs w:val="24"/>
          <w:shd w:val="clear" w:color="auto" w:fill="FFFFFF"/>
        </w:rPr>
        <w:t>ndustry</w:t>
      </w:r>
      <w:r w:rsidRPr="00C317BB" w:rsidR="00C860EE">
        <w:rPr>
          <w:rFonts w:cs="Times New Roman"/>
          <w:color w:val="000000" w:themeColor="text1"/>
          <w:szCs w:val="24"/>
          <w:shd w:val="clear" w:color="auto" w:fill="FFFFFF"/>
        </w:rPr>
        <w:t>;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C860EE">
        <w:rPr>
          <w:rFonts w:cs="Times New Roman"/>
          <w:color w:val="000000" w:themeColor="text1"/>
          <w:szCs w:val="24"/>
          <w:shd w:val="clear" w:color="auto" w:fill="FFFFFF"/>
        </w:rPr>
        <w:t>and</w:t>
      </w:r>
    </w:p>
    <w:p w:rsidRPr="00C317BB" w:rsidR="002011D7" w:rsidP="00D20970" w:rsidRDefault="00D20970" w14:paraId="79A1D303" w14:textId="5BA967AF">
      <w:pPr>
        <w:rPr>
          <w:rFonts w:cs="Times New Roman"/>
          <w:color w:val="000000" w:themeColor="text1"/>
          <w:szCs w:val="24"/>
          <w:shd w:val="clear" w:color="auto" w:fill="FFFFFF"/>
        </w:rPr>
      </w:pPr>
      <w:r w:rsidRPr="00C317BB">
        <w:rPr>
          <w:rStyle w:val="Strong"/>
          <w:rFonts w:cs="Times New Roman"/>
          <w:color w:val="000000" w:themeColor="text1"/>
          <w:szCs w:val="24"/>
        </w:rPr>
        <w:tab/>
      </w:r>
      <w:r w:rsidRPr="00C317BB" w:rsidR="00002008">
        <w:rPr>
          <w:rFonts w:cs="Times New Roman"/>
          <w:color w:val="000000" w:themeColor="text1"/>
          <w:szCs w:val="24"/>
          <w:shd w:val="clear" w:color="auto" w:fill="FFFFFF"/>
        </w:rPr>
        <w:t>(2)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>
        <w:rPr>
          <w:rFonts w:cs="Times New Roman"/>
          <w:color w:val="000000" w:themeColor="text1"/>
          <w:szCs w:val="24"/>
          <w:shd w:val="clear" w:color="auto" w:fill="FFFFFF"/>
        </w:rPr>
        <w:t>S</w:t>
      </w:r>
      <w:r w:rsidRPr="00C317BB" w:rsidR="002011D7">
        <w:rPr>
          <w:rFonts w:cs="Times New Roman"/>
          <w:color w:val="000000" w:themeColor="text1"/>
          <w:szCs w:val="24"/>
          <w:shd w:val="clear" w:color="auto" w:fill="FFFFFF"/>
        </w:rPr>
        <w:t>heet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DE0D8C">
        <w:rPr>
          <w:rFonts w:cs="Times New Roman"/>
          <w:color w:val="000000" w:themeColor="text1"/>
          <w:szCs w:val="24"/>
          <w:shd w:val="clear" w:color="auto" w:fill="FFFFFF"/>
        </w:rPr>
        <w:t>g</w:t>
      </w:r>
      <w:r w:rsidRPr="00C317BB" w:rsidR="002011D7">
        <w:rPr>
          <w:rFonts w:cs="Times New Roman"/>
          <w:color w:val="000000" w:themeColor="text1"/>
          <w:szCs w:val="24"/>
          <w:shd w:val="clear" w:color="auto" w:fill="FFFFFF"/>
        </w:rPr>
        <w:t>askets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2011D7">
        <w:rPr>
          <w:rFonts w:cs="Times New Roman"/>
          <w:color w:val="000000" w:themeColor="text1"/>
          <w:szCs w:val="24"/>
          <w:shd w:val="clear" w:color="auto" w:fill="FFFFFF"/>
        </w:rPr>
        <w:t>in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DE0D8C">
        <w:rPr>
          <w:rFonts w:cs="Times New Roman"/>
          <w:color w:val="000000" w:themeColor="text1"/>
          <w:szCs w:val="24"/>
          <w:shd w:val="clear" w:color="auto" w:fill="FFFFFF"/>
        </w:rPr>
        <w:t>c</w:t>
      </w:r>
      <w:r w:rsidRPr="00C317BB" w:rsidR="002011D7">
        <w:rPr>
          <w:rFonts w:cs="Times New Roman"/>
          <w:color w:val="000000" w:themeColor="text1"/>
          <w:szCs w:val="24"/>
          <w:shd w:val="clear" w:color="auto" w:fill="FFFFFF"/>
        </w:rPr>
        <w:t>hemical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DE0D8C">
        <w:rPr>
          <w:rFonts w:cs="Times New Roman"/>
          <w:color w:val="000000" w:themeColor="text1"/>
          <w:szCs w:val="24"/>
          <w:shd w:val="clear" w:color="auto" w:fill="FFFFFF"/>
        </w:rPr>
        <w:t>p</w:t>
      </w:r>
      <w:r w:rsidRPr="00C317BB" w:rsidR="002011D7">
        <w:rPr>
          <w:rFonts w:cs="Times New Roman"/>
          <w:color w:val="000000" w:themeColor="text1"/>
          <w:szCs w:val="24"/>
          <w:shd w:val="clear" w:color="auto" w:fill="FFFFFF"/>
        </w:rPr>
        <w:t>roduction.</w:t>
      </w:r>
    </w:p>
    <w:bookmarkEnd w:id="56"/>
    <w:p w:rsidRPr="00C317BB" w:rsidR="00A35CA0" w:rsidP="00F27167" w:rsidRDefault="00002008" w14:paraId="39FCC4CE" w14:textId="478C0D34">
      <w:pPr>
        <w:pStyle w:val="ListParagraph"/>
        <w:ind w:left="0"/>
        <w:rPr>
          <w:rFonts w:cs="Times New Roman"/>
          <w:color w:val="000000" w:themeColor="text1"/>
          <w:szCs w:val="24"/>
          <w:shd w:val="clear" w:color="auto" w:fill="FFFFFF"/>
        </w:rPr>
      </w:pPr>
      <w:r w:rsidRPr="00C317BB">
        <w:rPr>
          <w:rFonts w:cs="Times New Roman"/>
          <w:color w:val="000000" w:themeColor="text1"/>
          <w:szCs w:val="24"/>
        </w:rPr>
        <w:tab/>
        <w:t>(b)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35CA0">
        <w:rPr>
          <w:rFonts w:cs="Times New Roman"/>
          <w:color w:val="000000" w:themeColor="text1"/>
          <w:szCs w:val="24"/>
        </w:rPr>
        <w:t>After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35CA0">
        <w:rPr>
          <w:rFonts w:cs="Times New Roman"/>
          <w:color w:val="000000" w:themeColor="text1"/>
          <w:szCs w:val="24"/>
        </w:rPr>
        <w:t>[</w:t>
      </w:r>
      <w:r w:rsidRPr="00C317BB" w:rsidR="00A35CA0">
        <w:rPr>
          <w:rFonts w:cs="Times New Roman"/>
          <w:i/>
          <w:color w:val="000000" w:themeColor="text1"/>
          <w:szCs w:val="24"/>
        </w:rPr>
        <w:t>date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9B15B2">
        <w:rPr>
          <w:rFonts w:cs="Times New Roman"/>
          <w:i/>
          <w:color w:val="000000" w:themeColor="text1"/>
          <w:szCs w:val="24"/>
        </w:rPr>
        <w:t>180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9B15B2">
        <w:rPr>
          <w:rFonts w:cs="Times New Roman"/>
          <w:i/>
          <w:color w:val="000000" w:themeColor="text1"/>
          <w:szCs w:val="24"/>
        </w:rPr>
        <w:t>days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A35CA0">
        <w:rPr>
          <w:rFonts w:cs="Times New Roman"/>
          <w:i/>
          <w:color w:val="000000" w:themeColor="text1"/>
          <w:szCs w:val="24"/>
        </w:rPr>
        <w:t>after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A35CA0">
        <w:rPr>
          <w:rFonts w:cs="Times New Roman"/>
          <w:i/>
          <w:color w:val="000000" w:themeColor="text1"/>
          <w:szCs w:val="24"/>
        </w:rPr>
        <w:t>the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0E78B3">
        <w:rPr>
          <w:rFonts w:cs="Times New Roman"/>
          <w:i/>
          <w:color w:val="000000" w:themeColor="text1"/>
          <w:szCs w:val="24"/>
        </w:rPr>
        <w:t>effective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0E78B3">
        <w:rPr>
          <w:rFonts w:cs="Times New Roman"/>
          <w:i/>
          <w:color w:val="000000" w:themeColor="text1"/>
          <w:szCs w:val="24"/>
        </w:rPr>
        <w:t>date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303CF1">
        <w:rPr>
          <w:rFonts w:cs="Times New Roman"/>
          <w:i/>
          <w:color w:val="000000" w:themeColor="text1"/>
          <w:szCs w:val="24"/>
        </w:rPr>
        <w:t>of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A35CA0">
        <w:rPr>
          <w:rFonts w:cs="Times New Roman"/>
          <w:i/>
          <w:color w:val="000000" w:themeColor="text1"/>
          <w:szCs w:val="24"/>
        </w:rPr>
        <w:t>the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A35CA0">
        <w:rPr>
          <w:rFonts w:cs="Times New Roman"/>
          <w:i/>
          <w:color w:val="000000" w:themeColor="text1"/>
          <w:szCs w:val="24"/>
        </w:rPr>
        <w:t>final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A35CA0">
        <w:rPr>
          <w:rFonts w:cs="Times New Roman"/>
          <w:i/>
          <w:color w:val="000000" w:themeColor="text1"/>
          <w:szCs w:val="24"/>
        </w:rPr>
        <w:t>rule</w:t>
      </w:r>
      <w:r w:rsidRPr="00C317BB" w:rsidR="00A35CA0">
        <w:rPr>
          <w:rFonts w:cs="Times New Roman"/>
          <w:color w:val="000000" w:themeColor="text1"/>
          <w:szCs w:val="24"/>
        </w:rPr>
        <w:t>],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A35CA0">
        <w:rPr>
          <w:rFonts w:cs="Times New Roman"/>
          <w:color w:val="000000" w:themeColor="text1"/>
          <w:szCs w:val="24"/>
          <w:shd w:val="clear" w:color="auto" w:fill="FFFFFF"/>
        </w:rPr>
        <w:t>all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A35CA0">
        <w:rPr>
          <w:rFonts w:cs="Times New Roman"/>
          <w:color w:val="000000" w:themeColor="text1"/>
          <w:szCs w:val="24"/>
          <w:shd w:val="clear" w:color="auto" w:fill="FFFFFF"/>
        </w:rPr>
        <w:t>persons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A35CA0">
        <w:rPr>
          <w:rFonts w:cs="Times New Roman"/>
          <w:color w:val="000000" w:themeColor="text1"/>
          <w:szCs w:val="24"/>
          <w:shd w:val="clear" w:color="auto" w:fill="FFFFFF"/>
        </w:rPr>
        <w:t>are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A35CA0">
        <w:rPr>
          <w:rFonts w:cs="Times New Roman"/>
          <w:color w:val="000000" w:themeColor="text1"/>
          <w:szCs w:val="24"/>
          <w:shd w:val="clear" w:color="auto" w:fill="FFFFFF"/>
        </w:rPr>
        <w:t>prohibited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A35CA0">
        <w:rPr>
          <w:rFonts w:cs="Times New Roman"/>
          <w:color w:val="000000" w:themeColor="text1"/>
          <w:szCs w:val="24"/>
          <w:shd w:val="clear" w:color="auto" w:fill="FFFFFF"/>
        </w:rPr>
        <w:t>from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C95E70">
        <w:rPr>
          <w:rFonts w:cs="Times New Roman"/>
          <w:color w:val="000000" w:themeColor="text1"/>
          <w:szCs w:val="24"/>
          <w:shd w:val="clear" w:color="auto" w:fill="FFFFFF"/>
        </w:rPr>
        <w:t>the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A35CA0">
        <w:rPr>
          <w:rFonts w:cs="Times New Roman"/>
          <w:color w:val="000000" w:themeColor="text1"/>
          <w:szCs w:val="24"/>
          <w:shd w:val="clear" w:color="auto" w:fill="FFFFFF"/>
        </w:rPr>
        <w:t>manufactu</w:t>
      </w:r>
      <w:r w:rsidRPr="00C317BB" w:rsidR="00C95E70">
        <w:rPr>
          <w:rFonts w:cs="Times New Roman"/>
          <w:color w:val="000000" w:themeColor="text1"/>
          <w:szCs w:val="24"/>
          <w:shd w:val="clear" w:color="auto" w:fill="FFFFFF"/>
        </w:rPr>
        <w:t>re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C95E70">
        <w:rPr>
          <w:rFonts w:cs="Times New Roman"/>
          <w:color w:val="000000" w:themeColor="text1"/>
          <w:szCs w:val="24"/>
          <w:shd w:val="clear" w:color="auto" w:fill="FFFFFF"/>
        </w:rPr>
        <w:t>(including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C95E70">
        <w:rPr>
          <w:rFonts w:cs="Times New Roman"/>
          <w:color w:val="000000" w:themeColor="text1"/>
          <w:szCs w:val="24"/>
          <w:shd w:val="clear" w:color="auto" w:fill="FFFFFF"/>
        </w:rPr>
        <w:t>import)</w:t>
      </w:r>
      <w:r w:rsidRPr="00C317BB" w:rsidR="00A35CA0">
        <w:rPr>
          <w:rFonts w:cs="Times New Roman"/>
          <w:color w:val="000000" w:themeColor="text1"/>
          <w:szCs w:val="24"/>
          <w:shd w:val="clear" w:color="auto" w:fill="FFFFFF"/>
        </w:rPr>
        <w:t>,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A35CA0">
        <w:rPr>
          <w:rFonts w:cs="Times New Roman"/>
          <w:color w:val="000000" w:themeColor="text1"/>
          <w:szCs w:val="24"/>
          <w:shd w:val="clear" w:color="auto" w:fill="FFFFFF"/>
        </w:rPr>
        <w:t>processing,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A35CA0">
        <w:rPr>
          <w:rFonts w:cs="Times New Roman"/>
          <w:color w:val="000000" w:themeColor="text1"/>
          <w:szCs w:val="24"/>
          <w:shd w:val="clear" w:color="auto" w:fill="FFFFFF"/>
        </w:rPr>
        <w:t>distribut</w:t>
      </w:r>
      <w:r w:rsidRPr="00C317BB" w:rsidR="00C95E70">
        <w:rPr>
          <w:rFonts w:cs="Times New Roman"/>
          <w:color w:val="000000" w:themeColor="text1"/>
          <w:szCs w:val="24"/>
          <w:shd w:val="clear" w:color="auto" w:fill="FFFFFF"/>
        </w:rPr>
        <w:t>ion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A35CA0">
        <w:rPr>
          <w:rFonts w:cs="Times New Roman"/>
          <w:color w:val="000000" w:themeColor="text1"/>
          <w:szCs w:val="24"/>
          <w:shd w:val="clear" w:color="auto" w:fill="FFFFFF"/>
        </w:rPr>
        <w:t>in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A35CA0">
        <w:rPr>
          <w:rFonts w:cs="Times New Roman"/>
          <w:color w:val="000000" w:themeColor="text1"/>
          <w:szCs w:val="24"/>
          <w:shd w:val="clear" w:color="auto" w:fill="FFFFFF"/>
        </w:rPr>
        <w:t>commerce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A35CA0">
        <w:rPr>
          <w:rFonts w:cs="Times New Roman"/>
          <w:color w:val="000000" w:themeColor="text1"/>
          <w:szCs w:val="24"/>
          <w:shd w:val="clear" w:color="auto" w:fill="FFFFFF"/>
        </w:rPr>
        <w:t>and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BC2AAD">
        <w:rPr>
          <w:rFonts w:cs="Times New Roman"/>
          <w:color w:val="000000" w:themeColor="text1"/>
          <w:szCs w:val="24"/>
          <w:shd w:val="clear" w:color="auto" w:fill="FFFFFF"/>
        </w:rPr>
        <w:t>commercial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A35CA0">
        <w:rPr>
          <w:rFonts w:cs="Times New Roman"/>
          <w:color w:val="000000" w:themeColor="text1"/>
          <w:szCs w:val="24"/>
          <w:shd w:val="clear" w:color="auto" w:fill="FFFFFF"/>
        </w:rPr>
        <w:t>use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A35CA0">
        <w:rPr>
          <w:rFonts w:cs="Times New Roman"/>
          <w:color w:val="000000" w:themeColor="text1"/>
          <w:szCs w:val="24"/>
          <w:shd w:val="clear" w:color="auto" w:fill="FFFFFF"/>
        </w:rPr>
        <w:t>of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EC3721">
        <w:rPr>
          <w:rFonts w:cs="Times New Roman"/>
          <w:color w:val="000000" w:themeColor="text1"/>
          <w:szCs w:val="24"/>
          <w:shd w:val="clear" w:color="auto" w:fill="FFFFFF"/>
        </w:rPr>
        <w:t>chrysotile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EC3721">
        <w:rPr>
          <w:rFonts w:cs="Times New Roman"/>
          <w:color w:val="000000" w:themeColor="text1"/>
          <w:szCs w:val="24"/>
          <w:shd w:val="clear" w:color="auto" w:fill="FFFFFF"/>
        </w:rPr>
        <w:t>asbestos</w:t>
      </w:r>
      <w:r w:rsidRPr="00C317BB" w:rsidR="002F24C4">
        <w:rPr>
          <w:rFonts w:cs="Times New Roman"/>
          <w:color w:val="000000" w:themeColor="text1"/>
          <w:szCs w:val="24"/>
          <w:shd w:val="clear" w:color="auto" w:fill="FFFFFF"/>
        </w:rPr>
        <w:t>,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2F24C4">
        <w:rPr>
          <w:rFonts w:cs="Times New Roman"/>
          <w:color w:val="000000" w:themeColor="text1"/>
          <w:szCs w:val="24"/>
          <w:shd w:val="clear" w:color="auto" w:fill="FFFFFF"/>
        </w:rPr>
        <w:t>including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2F24C4">
        <w:rPr>
          <w:rFonts w:cs="Times New Roman"/>
          <w:color w:val="000000" w:themeColor="text1"/>
          <w:szCs w:val="24"/>
          <w:shd w:val="clear" w:color="auto" w:fill="FFFFFF"/>
        </w:rPr>
        <w:t>any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2F24C4">
        <w:rPr>
          <w:rFonts w:cs="Times New Roman"/>
          <w:color w:val="000000" w:themeColor="text1"/>
          <w:szCs w:val="24"/>
          <w:shd w:val="clear" w:color="auto" w:fill="FFFFFF"/>
        </w:rPr>
        <w:t>chrysotile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2F24C4">
        <w:rPr>
          <w:rFonts w:cs="Times New Roman"/>
          <w:color w:val="000000" w:themeColor="text1"/>
          <w:szCs w:val="24"/>
          <w:shd w:val="clear" w:color="auto" w:fill="FFFFFF"/>
        </w:rPr>
        <w:t>asbestos</w:t>
      </w:r>
      <w:r w:rsidRPr="00C317BB" w:rsidR="00D664F3">
        <w:rPr>
          <w:rFonts w:cs="Times New Roman"/>
          <w:color w:val="000000" w:themeColor="text1"/>
          <w:szCs w:val="24"/>
          <w:shd w:val="clear" w:color="auto" w:fill="FFFFFF"/>
        </w:rPr>
        <w:t>-</w:t>
      </w:r>
      <w:r w:rsidRPr="00C317BB" w:rsidR="002F24C4">
        <w:rPr>
          <w:rFonts w:cs="Times New Roman"/>
          <w:color w:val="000000" w:themeColor="text1"/>
          <w:szCs w:val="24"/>
          <w:shd w:val="clear" w:color="auto" w:fill="FFFFFF"/>
        </w:rPr>
        <w:t>containing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2F24C4">
        <w:rPr>
          <w:rFonts w:cs="Times New Roman"/>
          <w:color w:val="000000" w:themeColor="text1"/>
          <w:szCs w:val="24"/>
          <w:shd w:val="clear" w:color="auto" w:fill="FFFFFF"/>
        </w:rPr>
        <w:t>products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B73A44">
        <w:rPr>
          <w:rFonts w:cs="Times New Roman"/>
          <w:color w:val="000000" w:themeColor="text1"/>
          <w:szCs w:val="24"/>
          <w:shd w:val="clear" w:color="auto" w:fill="FFFFFF"/>
        </w:rPr>
        <w:t>or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B73A44">
        <w:rPr>
          <w:rFonts w:cs="Times New Roman"/>
          <w:color w:val="000000" w:themeColor="text1"/>
          <w:szCs w:val="24"/>
          <w:shd w:val="clear" w:color="auto" w:fill="FFFFFF"/>
        </w:rPr>
        <w:t>articles</w:t>
      </w:r>
      <w:r w:rsidRPr="00C317BB" w:rsidR="00C860EE">
        <w:rPr>
          <w:rFonts w:cs="Times New Roman"/>
          <w:color w:val="000000" w:themeColor="text1"/>
          <w:szCs w:val="24"/>
          <w:shd w:val="clear" w:color="auto" w:fill="FFFFFF"/>
        </w:rPr>
        <w:t>,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A35CA0">
        <w:rPr>
          <w:rFonts w:cs="Times New Roman"/>
          <w:color w:val="000000" w:themeColor="text1"/>
          <w:szCs w:val="24"/>
          <w:shd w:val="clear" w:color="auto" w:fill="FFFFFF"/>
        </w:rPr>
        <w:t>for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180E2E">
        <w:rPr>
          <w:rFonts w:cs="Times New Roman"/>
          <w:color w:val="000000" w:themeColor="text1"/>
          <w:szCs w:val="24"/>
          <w:shd w:val="clear" w:color="auto" w:fill="FFFFFF"/>
        </w:rPr>
        <w:t>commercial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1D10B7">
        <w:rPr>
          <w:rFonts w:cs="Times New Roman"/>
          <w:color w:val="000000" w:themeColor="text1"/>
          <w:szCs w:val="24"/>
          <w:shd w:val="clear" w:color="auto" w:fill="FFFFFF"/>
        </w:rPr>
        <w:t>use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1D10B7">
        <w:rPr>
          <w:rFonts w:cs="Times New Roman"/>
          <w:color w:val="000000" w:themeColor="text1"/>
          <w:szCs w:val="24"/>
          <w:shd w:val="clear" w:color="auto" w:fill="FFFFFF"/>
        </w:rPr>
        <w:t>of</w:t>
      </w:r>
      <w:r w:rsidRPr="00C317BB" w:rsidR="00A35CA0">
        <w:rPr>
          <w:rFonts w:cs="Times New Roman"/>
          <w:color w:val="000000" w:themeColor="text1"/>
          <w:szCs w:val="24"/>
          <w:shd w:val="clear" w:color="auto" w:fill="FFFFFF"/>
        </w:rPr>
        <w:t>:</w:t>
      </w:r>
    </w:p>
    <w:p w:rsidRPr="00C317BB" w:rsidR="00A35CA0" w:rsidP="00D20970" w:rsidRDefault="00D20970" w14:paraId="596FD248" w14:textId="0AB9970A">
      <w:pPr>
        <w:rPr>
          <w:rFonts w:cs="Times New Roman"/>
          <w:color w:val="000000" w:themeColor="text1"/>
          <w:szCs w:val="24"/>
        </w:rPr>
      </w:pPr>
      <w:bookmarkStart w:name="_Hlk86678427" w:id="57"/>
      <w:r w:rsidRPr="00C317BB">
        <w:rPr>
          <w:rStyle w:val="Strong"/>
          <w:rFonts w:cs="Times New Roman"/>
          <w:color w:val="000000" w:themeColor="text1"/>
          <w:szCs w:val="24"/>
        </w:rPr>
        <w:tab/>
      </w:r>
      <w:r w:rsidRPr="00C317BB" w:rsidR="00002008">
        <w:rPr>
          <w:rFonts w:cs="Times New Roman"/>
          <w:color w:val="000000" w:themeColor="text1"/>
          <w:szCs w:val="24"/>
        </w:rPr>
        <w:t>(1)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>
        <w:rPr>
          <w:rFonts w:cs="Times New Roman"/>
          <w:color w:val="000000" w:themeColor="text1"/>
          <w:szCs w:val="24"/>
        </w:rPr>
        <w:t>O</w:t>
      </w:r>
      <w:r w:rsidRPr="00C317BB" w:rsidR="00A91A87">
        <w:rPr>
          <w:rFonts w:cs="Times New Roman"/>
          <w:color w:val="000000" w:themeColor="text1"/>
          <w:szCs w:val="24"/>
        </w:rPr>
        <w:t>ilfield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45E9">
        <w:rPr>
          <w:rFonts w:cs="Times New Roman"/>
          <w:color w:val="000000" w:themeColor="text1"/>
          <w:szCs w:val="24"/>
        </w:rPr>
        <w:t>b</w:t>
      </w:r>
      <w:r w:rsidRPr="00C317BB" w:rsidR="002F24C4">
        <w:rPr>
          <w:rFonts w:cs="Times New Roman"/>
          <w:color w:val="000000" w:themeColor="text1"/>
          <w:szCs w:val="24"/>
        </w:rPr>
        <w:t>rake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45E9">
        <w:rPr>
          <w:rFonts w:cs="Times New Roman"/>
          <w:color w:val="000000" w:themeColor="text1"/>
          <w:szCs w:val="24"/>
        </w:rPr>
        <w:t>b</w:t>
      </w:r>
      <w:r w:rsidRPr="00C317BB" w:rsidR="002F24C4">
        <w:rPr>
          <w:rFonts w:cs="Times New Roman"/>
          <w:color w:val="000000" w:themeColor="text1"/>
          <w:szCs w:val="24"/>
        </w:rPr>
        <w:t>locks</w:t>
      </w:r>
      <w:r w:rsidRPr="00C317BB" w:rsidR="00C860EE">
        <w:rPr>
          <w:rFonts w:cs="Times New Roman"/>
          <w:color w:val="000000" w:themeColor="text1"/>
          <w:szCs w:val="24"/>
        </w:rPr>
        <w:t>;</w:t>
      </w:r>
    </w:p>
    <w:p w:rsidRPr="00C317BB" w:rsidR="002F24C4" w:rsidP="00D20970" w:rsidRDefault="00D20970" w14:paraId="7830F1DC" w14:textId="2293EA24">
      <w:pPr>
        <w:rPr>
          <w:rFonts w:cs="Times New Roman"/>
          <w:color w:val="000000" w:themeColor="text1"/>
          <w:szCs w:val="24"/>
        </w:rPr>
      </w:pPr>
      <w:r w:rsidRPr="00C317BB">
        <w:rPr>
          <w:rStyle w:val="Strong"/>
          <w:rFonts w:cs="Times New Roman"/>
          <w:color w:val="000000" w:themeColor="text1"/>
          <w:szCs w:val="24"/>
        </w:rPr>
        <w:tab/>
      </w:r>
      <w:r w:rsidRPr="00C317BB" w:rsidR="00002008">
        <w:rPr>
          <w:rFonts w:cs="Times New Roman"/>
          <w:color w:val="000000" w:themeColor="text1"/>
          <w:szCs w:val="24"/>
        </w:rPr>
        <w:t>(2)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>
        <w:rPr>
          <w:rFonts w:cs="Times New Roman"/>
          <w:color w:val="000000" w:themeColor="text1"/>
          <w:szCs w:val="24"/>
        </w:rPr>
        <w:t>A</w:t>
      </w:r>
      <w:r w:rsidRPr="00C317BB" w:rsidR="002F24C4">
        <w:rPr>
          <w:rFonts w:cs="Times New Roman"/>
          <w:color w:val="000000" w:themeColor="text1"/>
          <w:szCs w:val="24"/>
        </w:rPr>
        <w:t>ftermarket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45E9">
        <w:rPr>
          <w:rFonts w:cs="Times New Roman"/>
          <w:color w:val="000000" w:themeColor="text1"/>
          <w:szCs w:val="24"/>
        </w:rPr>
        <w:t>a</w:t>
      </w:r>
      <w:r w:rsidRPr="00C317BB" w:rsidR="002F24C4">
        <w:rPr>
          <w:rFonts w:cs="Times New Roman"/>
          <w:color w:val="000000" w:themeColor="text1"/>
          <w:szCs w:val="24"/>
        </w:rPr>
        <w:t>utomotive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45E9">
        <w:rPr>
          <w:rFonts w:cs="Times New Roman"/>
          <w:color w:val="000000" w:themeColor="text1"/>
          <w:szCs w:val="24"/>
        </w:rPr>
        <w:t>b</w:t>
      </w:r>
      <w:r w:rsidRPr="00C317BB" w:rsidR="002F24C4">
        <w:rPr>
          <w:rFonts w:cs="Times New Roman"/>
          <w:color w:val="000000" w:themeColor="text1"/>
          <w:szCs w:val="24"/>
        </w:rPr>
        <w:t>rakes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050D5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45E9">
        <w:rPr>
          <w:rFonts w:cs="Times New Roman"/>
          <w:color w:val="000000" w:themeColor="text1"/>
          <w:szCs w:val="24"/>
        </w:rPr>
        <w:t>l</w:t>
      </w:r>
      <w:r w:rsidRPr="00C317BB" w:rsidR="002F24C4">
        <w:rPr>
          <w:rFonts w:cs="Times New Roman"/>
          <w:color w:val="000000" w:themeColor="text1"/>
          <w:szCs w:val="24"/>
        </w:rPr>
        <w:t>inings</w:t>
      </w:r>
      <w:r w:rsidRPr="00C317BB" w:rsidR="00C860EE">
        <w:rPr>
          <w:rFonts w:cs="Times New Roman"/>
          <w:color w:val="000000" w:themeColor="text1"/>
          <w:szCs w:val="24"/>
        </w:rPr>
        <w:t>;</w:t>
      </w:r>
    </w:p>
    <w:p w:rsidRPr="00C317BB" w:rsidR="00DB7CC6" w:rsidP="00D20970" w:rsidRDefault="00D20970" w14:paraId="18863C58" w14:textId="49E49585">
      <w:pPr>
        <w:rPr>
          <w:rFonts w:cs="Times New Roman"/>
          <w:color w:val="000000" w:themeColor="text1"/>
          <w:szCs w:val="24"/>
        </w:rPr>
      </w:pPr>
      <w:r w:rsidRPr="00C317BB">
        <w:rPr>
          <w:rStyle w:val="Strong"/>
          <w:rFonts w:cs="Times New Roman"/>
          <w:color w:val="000000" w:themeColor="text1"/>
          <w:szCs w:val="24"/>
        </w:rPr>
        <w:tab/>
      </w:r>
      <w:r w:rsidRPr="00C317BB" w:rsidR="00002008">
        <w:rPr>
          <w:rFonts w:cs="Times New Roman"/>
          <w:color w:val="000000" w:themeColor="text1"/>
          <w:szCs w:val="24"/>
        </w:rPr>
        <w:t>(3)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>
        <w:rPr>
          <w:rFonts w:cs="Times New Roman"/>
          <w:color w:val="000000" w:themeColor="text1"/>
          <w:szCs w:val="24"/>
        </w:rPr>
        <w:t>O</w:t>
      </w:r>
      <w:r w:rsidRPr="00C317BB" w:rsidR="00DB7CC6">
        <w:rPr>
          <w:rFonts w:cs="Times New Roman"/>
          <w:color w:val="000000" w:themeColor="text1"/>
          <w:szCs w:val="24"/>
        </w:rPr>
        <w:t>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45E9">
        <w:rPr>
          <w:rFonts w:cs="Times New Roman"/>
          <w:color w:val="000000" w:themeColor="text1"/>
          <w:szCs w:val="24"/>
        </w:rPr>
        <w:t>v</w:t>
      </w:r>
      <w:r w:rsidRPr="00C317BB" w:rsidR="00DB7CC6">
        <w:rPr>
          <w:rFonts w:cs="Times New Roman"/>
          <w:color w:val="000000" w:themeColor="text1"/>
          <w:szCs w:val="24"/>
        </w:rPr>
        <w:t>ehicle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45E9">
        <w:rPr>
          <w:rFonts w:cs="Times New Roman"/>
          <w:color w:val="000000" w:themeColor="text1"/>
          <w:szCs w:val="24"/>
        </w:rPr>
        <w:t>f</w:t>
      </w:r>
      <w:r w:rsidRPr="00C317BB" w:rsidR="00DB7CC6">
        <w:rPr>
          <w:rFonts w:cs="Times New Roman"/>
          <w:color w:val="000000" w:themeColor="text1"/>
          <w:szCs w:val="24"/>
        </w:rPr>
        <w:t>riction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45E9">
        <w:rPr>
          <w:rFonts w:cs="Times New Roman"/>
          <w:color w:val="000000" w:themeColor="text1"/>
          <w:szCs w:val="24"/>
        </w:rPr>
        <w:t>p</w:t>
      </w:r>
      <w:r w:rsidRPr="00C317BB" w:rsidR="00DB7CC6">
        <w:rPr>
          <w:rFonts w:cs="Times New Roman"/>
          <w:color w:val="000000" w:themeColor="text1"/>
          <w:szCs w:val="24"/>
        </w:rPr>
        <w:t>roducts</w:t>
      </w:r>
      <w:r w:rsidRPr="00C317BB" w:rsidR="00C860EE">
        <w:rPr>
          <w:rFonts w:cs="Times New Roman"/>
          <w:color w:val="000000" w:themeColor="text1"/>
          <w:szCs w:val="24"/>
        </w:rPr>
        <w:t>;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860EE">
        <w:rPr>
          <w:rFonts w:cs="Times New Roman"/>
          <w:color w:val="000000" w:themeColor="text1"/>
          <w:szCs w:val="24"/>
        </w:rPr>
        <w:t>and</w:t>
      </w:r>
    </w:p>
    <w:p w:rsidRPr="00C317BB" w:rsidR="00DB7CC6" w:rsidP="00D20970" w:rsidRDefault="00D20970" w14:paraId="55377B72" w14:textId="178E3866">
      <w:pPr>
        <w:rPr>
          <w:rFonts w:cs="Times New Roman"/>
          <w:color w:val="000000" w:themeColor="text1"/>
          <w:szCs w:val="24"/>
        </w:rPr>
      </w:pPr>
      <w:r w:rsidRPr="00C317BB">
        <w:rPr>
          <w:rStyle w:val="Strong"/>
          <w:rFonts w:cs="Times New Roman"/>
          <w:color w:val="000000" w:themeColor="text1"/>
          <w:szCs w:val="24"/>
        </w:rPr>
        <w:tab/>
      </w:r>
      <w:r w:rsidRPr="00C317BB" w:rsidR="00002008">
        <w:rPr>
          <w:rFonts w:cs="Times New Roman"/>
          <w:color w:val="000000" w:themeColor="text1"/>
          <w:szCs w:val="24"/>
        </w:rPr>
        <w:t>(4)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>
        <w:rPr>
          <w:rFonts w:cs="Times New Roman"/>
          <w:color w:val="000000" w:themeColor="text1"/>
          <w:szCs w:val="24"/>
        </w:rPr>
        <w:t>O</w:t>
      </w:r>
      <w:r w:rsidRPr="00C317BB" w:rsidR="00DB7CC6">
        <w:rPr>
          <w:rFonts w:cs="Times New Roman"/>
          <w:color w:val="000000" w:themeColor="text1"/>
          <w:szCs w:val="24"/>
        </w:rPr>
        <w:t>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245E9">
        <w:rPr>
          <w:rFonts w:cs="Times New Roman"/>
          <w:color w:val="000000" w:themeColor="text1"/>
          <w:szCs w:val="24"/>
        </w:rPr>
        <w:t>g</w:t>
      </w:r>
      <w:r w:rsidRPr="00C317BB" w:rsidR="00DB7CC6">
        <w:rPr>
          <w:rFonts w:cs="Times New Roman"/>
          <w:color w:val="000000" w:themeColor="text1"/>
          <w:szCs w:val="24"/>
        </w:rPr>
        <w:t>askets</w:t>
      </w:r>
      <w:r w:rsidRPr="00C317BB" w:rsidR="00FF018C">
        <w:rPr>
          <w:rFonts w:cs="Times New Roman"/>
          <w:color w:val="000000" w:themeColor="text1"/>
          <w:szCs w:val="24"/>
        </w:rPr>
        <w:t>.</w:t>
      </w:r>
    </w:p>
    <w:bookmarkEnd w:id="57"/>
    <w:p w:rsidRPr="00C317BB" w:rsidR="005613F9" w:rsidP="00F27167" w:rsidRDefault="00002008" w14:paraId="780D45A5" w14:textId="2A1D0A0F">
      <w:pPr>
        <w:pStyle w:val="ListParagraph"/>
        <w:ind w:left="0"/>
        <w:rPr>
          <w:rFonts w:cs="Times New Roman"/>
          <w:color w:val="000000" w:themeColor="text1"/>
          <w:szCs w:val="24"/>
          <w:shd w:val="clear" w:color="auto" w:fill="FFFFFF"/>
        </w:rPr>
      </w:pPr>
      <w:r w:rsidRPr="00C317BB">
        <w:rPr>
          <w:rFonts w:cs="Times New Roman"/>
          <w:color w:val="000000" w:themeColor="text1"/>
          <w:szCs w:val="24"/>
        </w:rPr>
        <w:tab/>
        <w:t>(c)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613F9">
        <w:rPr>
          <w:rFonts w:cs="Times New Roman"/>
          <w:color w:val="000000" w:themeColor="text1"/>
          <w:szCs w:val="24"/>
        </w:rPr>
        <w:t>After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613F9">
        <w:rPr>
          <w:rFonts w:cs="Times New Roman"/>
          <w:color w:val="000000" w:themeColor="text1"/>
          <w:szCs w:val="24"/>
        </w:rPr>
        <w:t>[</w:t>
      </w:r>
      <w:r w:rsidRPr="00C317BB" w:rsidR="005613F9">
        <w:rPr>
          <w:rFonts w:cs="Times New Roman"/>
          <w:i/>
          <w:color w:val="000000" w:themeColor="text1"/>
          <w:szCs w:val="24"/>
        </w:rPr>
        <w:t>date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5613F9">
        <w:rPr>
          <w:rFonts w:cs="Times New Roman"/>
          <w:i/>
          <w:color w:val="000000" w:themeColor="text1"/>
          <w:szCs w:val="24"/>
        </w:rPr>
        <w:t>180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5613F9">
        <w:rPr>
          <w:rFonts w:cs="Times New Roman"/>
          <w:i/>
          <w:color w:val="000000" w:themeColor="text1"/>
          <w:szCs w:val="24"/>
        </w:rPr>
        <w:t>days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5613F9">
        <w:rPr>
          <w:rFonts w:cs="Times New Roman"/>
          <w:i/>
          <w:color w:val="000000" w:themeColor="text1"/>
          <w:szCs w:val="24"/>
        </w:rPr>
        <w:t>after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5613F9">
        <w:rPr>
          <w:rFonts w:cs="Times New Roman"/>
          <w:i/>
          <w:color w:val="000000" w:themeColor="text1"/>
          <w:szCs w:val="24"/>
        </w:rPr>
        <w:t>the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0E78B3">
        <w:rPr>
          <w:rFonts w:cs="Times New Roman"/>
          <w:i/>
          <w:color w:val="000000" w:themeColor="text1"/>
          <w:szCs w:val="24"/>
        </w:rPr>
        <w:t>effective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0E78B3">
        <w:rPr>
          <w:rFonts w:cs="Times New Roman"/>
          <w:i/>
          <w:color w:val="000000" w:themeColor="text1"/>
          <w:szCs w:val="24"/>
        </w:rPr>
        <w:t>date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0E78B3">
        <w:rPr>
          <w:rFonts w:cs="Times New Roman"/>
          <w:i/>
          <w:color w:val="000000" w:themeColor="text1"/>
          <w:szCs w:val="24"/>
        </w:rPr>
        <w:t>of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5613F9">
        <w:rPr>
          <w:rFonts w:cs="Times New Roman"/>
          <w:i/>
          <w:color w:val="000000" w:themeColor="text1"/>
          <w:szCs w:val="24"/>
        </w:rPr>
        <w:t>the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5613F9">
        <w:rPr>
          <w:rFonts w:cs="Times New Roman"/>
          <w:i/>
          <w:color w:val="000000" w:themeColor="text1"/>
          <w:szCs w:val="24"/>
        </w:rPr>
        <w:t>final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5613F9">
        <w:rPr>
          <w:rFonts w:cs="Times New Roman"/>
          <w:i/>
          <w:color w:val="000000" w:themeColor="text1"/>
          <w:szCs w:val="24"/>
        </w:rPr>
        <w:t>rule</w:t>
      </w:r>
      <w:r w:rsidRPr="00C317BB" w:rsidR="005613F9">
        <w:rPr>
          <w:rFonts w:cs="Times New Roman"/>
          <w:color w:val="000000" w:themeColor="text1"/>
          <w:szCs w:val="24"/>
        </w:rPr>
        <w:t>],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613F9">
        <w:rPr>
          <w:rFonts w:cs="Times New Roman"/>
          <w:color w:val="000000" w:themeColor="text1"/>
          <w:szCs w:val="24"/>
          <w:shd w:val="clear" w:color="auto" w:fill="FFFFFF"/>
        </w:rPr>
        <w:t>all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5613F9">
        <w:rPr>
          <w:rFonts w:cs="Times New Roman"/>
          <w:color w:val="000000" w:themeColor="text1"/>
          <w:szCs w:val="24"/>
          <w:shd w:val="clear" w:color="auto" w:fill="FFFFFF"/>
        </w:rPr>
        <w:t>persons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5613F9">
        <w:rPr>
          <w:rFonts w:cs="Times New Roman"/>
          <w:color w:val="000000" w:themeColor="text1"/>
          <w:szCs w:val="24"/>
          <w:shd w:val="clear" w:color="auto" w:fill="FFFFFF"/>
        </w:rPr>
        <w:t>are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5613F9">
        <w:rPr>
          <w:rFonts w:cs="Times New Roman"/>
          <w:color w:val="000000" w:themeColor="text1"/>
          <w:szCs w:val="24"/>
          <w:shd w:val="clear" w:color="auto" w:fill="FFFFFF"/>
        </w:rPr>
        <w:t>prohibited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5613F9">
        <w:rPr>
          <w:rFonts w:cs="Times New Roman"/>
          <w:color w:val="000000" w:themeColor="text1"/>
          <w:szCs w:val="24"/>
          <w:shd w:val="clear" w:color="auto" w:fill="FFFFFF"/>
        </w:rPr>
        <w:t>from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D5501E">
        <w:rPr>
          <w:rFonts w:cs="Times New Roman"/>
          <w:color w:val="000000" w:themeColor="text1"/>
          <w:szCs w:val="24"/>
          <w:shd w:val="clear" w:color="auto" w:fill="FFFFFF"/>
        </w:rPr>
        <w:t>the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5613F9">
        <w:rPr>
          <w:rFonts w:cs="Times New Roman"/>
          <w:color w:val="000000" w:themeColor="text1"/>
          <w:szCs w:val="24"/>
          <w:shd w:val="clear" w:color="auto" w:fill="FFFFFF"/>
        </w:rPr>
        <w:t>manufactur</w:t>
      </w:r>
      <w:r w:rsidRPr="00C317BB" w:rsidR="00D5501E">
        <w:rPr>
          <w:rFonts w:cs="Times New Roman"/>
          <w:color w:val="000000" w:themeColor="text1"/>
          <w:szCs w:val="24"/>
          <w:shd w:val="clear" w:color="auto" w:fill="FFFFFF"/>
        </w:rPr>
        <w:t>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D5501E">
        <w:rPr>
          <w:rFonts w:cs="Times New Roman"/>
          <w:color w:val="000000" w:themeColor="text1"/>
          <w:szCs w:val="24"/>
          <w:shd w:val="clear" w:color="auto" w:fill="FFFFFF"/>
        </w:rPr>
        <w:t>(including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D5501E">
        <w:rPr>
          <w:rFonts w:cs="Times New Roman"/>
          <w:color w:val="000000" w:themeColor="text1"/>
          <w:szCs w:val="24"/>
          <w:shd w:val="clear" w:color="auto" w:fill="FFFFFF"/>
        </w:rPr>
        <w:t>import)</w:t>
      </w:r>
      <w:r w:rsidRPr="00C317BB" w:rsidR="005613F9">
        <w:rPr>
          <w:rFonts w:cs="Times New Roman"/>
          <w:color w:val="000000" w:themeColor="text1"/>
          <w:szCs w:val="24"/>
          <w:shd w:val="clear" w:color="auto" w:fill="FFFFFF"/>
        </w:rPr>
        <w:t>,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5613F9">
        <w:rPr>
          <w:rFonts w:cs="Times New Roman"/>
          <w:color w:val="000000" w:themeColor="text1"/>
          <w:szCs w:val="24"/>
          <w:shd w:val="clear" w:color="auto" w:fill="FFFFFF"/>
        </w:rPr>
        <w:t>processing</w:t>
      </w:r>
      <w:r w:rsidRPr="00C317BB" w:rsidR="00D5501E">
        <w:rPr>
          <w:rFonts w:cs="Times New Roman"/>
          <w:color w:val="000000" w:themeColor="text1"/>
          <w:szCs w:val="24"/>
          <w:shd w:val="clear" w:color="auto" w:fill="FFFFFF"/>
        </w:rPr>
        <w:t>,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5613F9">
        <w:rPr>
          <w:rFonts w:cs="Times New Roman"/>
          <w:color w:val="000000" w:themeColor="text1"/>
          <w:szCs w:val="24"/>
          <w:shd w:val="clear" w:color="auto" w:fill="FFFFFF"/>
        </w:rPr>
        <w:t>and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5613F9">
        <w:rPr>
          <w:rFonts w:cs="Times New Roman"/>
          <w:color w:val="000000" w:themeColor="text1"/>
          <w:szCs w:val="24"/>
          <w:shd w:val="clear" w:color="auto" w:fill="FFFFFF"/>
        </w:rPr>
        <w:t>distributi</w:t>
      </w:r>
      <w:r w:rsidRPr="00C317BB" w:rsidR="00D5501E">
        <w:rPr>
          <w:rFonts w:cs="Times New Roman"/>
          <w:color w:val="000000" w:themeColor="text1"/>
          <w:szCs w:val="24"/>
          <w:shd w:val="clear" w:color="auto" w:fill="FFFFFF"/>
        </w:rPr>
        <w:t>on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5613F9">
        <w:rPr>
          <w:rFonts w:cs="Times New Roman"/>
          <w:color w:val="000000" w:themeColor="text1"/>
          <w:szCs w:val="24"/>
          <w:shd w:val="clear" w:color="auto" w:fill="FFFFFF"/>
        </w:rPr>
        <w:t>in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5613F9">
        <w:rPr>
          <w:rFonts w:cs="Times New Roman"/>
          <w:color w:val="000000" w:themeColor="text1"/>
          <w:szCs w:val="24"/>
          <w:shd w:val="clear" w:color="auto" w:fill="FFFFFF"/>
        </w:rPr>
        <w:t>commerce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5613F9">
        <w:rPr>
          <w:rFonts w:cs="Times New Roman"/>
          <w:color w:val="000000" w:themeColor="text1"/>
          <w:szCs w:val="24"/>
          <w:shd w:val="clear" w:color="auto" w:fill="FFFFFF"/>
        </w:rPr>
        <w:t>of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5613F9">
        <w:rPr>
          <w:rFonts w:cs="Times New Roman"/>
          <w:color w:val="000000" w:themeColor="text1"/>
          <w:szCs w:val="24"/>
          <w:shd w:val="clear" w:color="auto" w:fill="FFFFFF"/>
        </w:rPr>
        <w:t>chrysotile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5613F9">
        <w:rPr>
          <w:rFonts w:cs="Times New Roman"/>
          <w:color w:val="000000" w:themeColor="text1"/>
          <w:szCs w:val="24"/>
          <w:shd w:val="clear" w:color="auto" w:fill="FFFFFF"/>
        </w:rPr>
        <w:t>asbestos,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5613F9">
        <w:rPr>
          <w:rFonts w:cs="Times New Roman"/>
          <w:color w:val="000000" w:themeColor="text1"/>
          <w:szCs w:val="24"/>
          <w:shd w:val="clear" w:color="auto" w:fill="FFFFFF"/>
        </w:rPr>
        <w:t>including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5613F9">
        <w:rPr>
          <w:rFonts w:cs="Times New Roman"/>
          <w:color w:val="000000" w:themeColor="text1"/>
          <w:szCs w:val="24"/>
          <w:shd w:val="clear" w:color="auto" w:fill="FFFFFF"/>
        </w:rPr>
        <w:t>any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5613F9">
        <w:rPr>
          <w:rFonts w:cs="Times New Roman"/>
          <w:color w:val="000000" w:themeColor="text1"/>
          <w:szCs w:val="24"/>
          <w:shd w:val="clear" w:color="auto" w:fill="FFFFFF"/>
        </w:rPr>
        <w:t>chrysotile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5613F9">
        <w:rPr>
          <w:rFonts w:cs="Times New Roman"/>
          <w:color w:val="000000" w:themeColor="text1"/>
          <w:szCs w:val="24"/>
          <w:shd w:val="clear" w:color="auto" w:fill="FFFFFF"/>
        </w:rPr>
        <w:t>asbestos</w:t>
      </w:r>
      <w:r w:rsidRPr="00C317BB" w:rsidR="00D664F3">
        <w:rPr>
          <w:rFonts w:cs="Times New Roman"/>
          <w:color w:val="000000" w:themeColor="text1"/>
          <w:szCs w:val="24"/>
          <w:shd w:val="clear" w:color="auto" w:fill="FFFFFF"/>
        </w:rPr>
        <w:t>-</w:t>
      </w:r>
      <w:r w:rsidRPr="00C317BB" w:rsidR="005613F9">
        <w:rPr>
          <w:rFonts w:cs="Times New Roman"/>
          <w:color w:val="000000" w:themeColor="text1"/>
          <w:szCs w:val="24"/>
          <w:shd w:val="clear" w:color="auto" w:fill="FFFFFF"/>
        </w:rPr>
        <w:t>containing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5613F9">
        <w:rPr>
          <w:rFonts w:cs="Times New Roman"/>
          <w:color w:val="000000" w:themeColor="text1"/>
          <w:szCs w:val="24"/>
          <w:shd w:val="clear" w:color="auto" w:fill="FFFFFF"/>
        </w:rPr>
        <w:t>products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5613F9">
        <w:rPr>
          <w:rFonts w:cs="Times New Roman"/>
          <w:color w:val="000000" w:themeColor="text1"/>
          <w:szCs w:val="24"/>
          <w:shd w:val="clear" w:color="auto" w:fill="FFFFFF"/>
        </w:rPr>
        <w:t>or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5613F9">
        <w:rPr>
          <w:rFonts w:cs="Times New Roman"/>
          <w:color w:val="000000" w:themeColor="text1"/>
          <w:szCs w:val="24"/>
          <w:shd w:val="clear" w:color="auto" w:fill="FFFFFF"/>
        </w:rPr>
        <w:t>articles</w:t>
      </w:r>
      <w:r w:rsidRPr="00C317BB" w:rsidR="00C860EE">
        <w:rPr>
          <w:rFonts w:cs="Times New Roman"/>
          <w:color w:val="000000" w:themeColor="text1"/>
          <w:szCs w:val="24"/>
          <w:shd w:val="clear" w:color="auto" w:fill="FFFFFF"/>
        </w:rPr>
        <w:t>,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5613F9">
        <w:rPr>
          <w:rFonts w:cs="Times New Roman"/>
          <w:color w:val="000000" w:themeColor="text1"/>
          <w:szCs w:val="24"/>
          <w:shd w:val="clear" w:color="auto" w:fill="FFFFFF"/>
        </w:rPr>
        <w:t>for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3413CB">
        <w:rPr>
          <w:rFonts w:cs="Times New Roman"/>
          <w:color w:val="000000" w:themeColor="text1"/>
          <w:szCs w:val="24"/>
          <w:shd w:val="clear" w:color="auto" w:fill="FFFFFF"/>
        </w:rPr>
        <w:t>consumer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5613F9">
        <w:rPr>
          <w:rFonts w:cs="Times New Roman"/>
          <w:color w:val="000000" w:themeColor="text1"/>
          <w:szCs w:val="24"/>
          <w:shd w:val="clear" w:color="auto" w:fill="FFFFFF"/>
        </w:rPr>
        <w:t>use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3413CB">
        <w:rPr>
          <w:rFonts w:cs="Times New Roman"/>
          <w:color w:val="000000" w:themeColor="text1"/>
          <w:szCs w:val="24"/>
          <w:shd w:val="clear" w:color="auto" w:fill="FFFFFF"/>
        </w:rPr>
        <w:t>of</w:t>
      </w:r>
      <w:r w:rsidRPr="00C317BB" w:rsidR="005613F9">
        <w:rPr>
          <w:rFonts w:cs="Times New Roman"/>
          <w:color w:val="000000" w:themeColor="text1"/>
          <w:szCs w:val="24"/>
          <w:shd w:val="clear" w:color="auto" w:fill="FFFFFF"/>
        </w:rPr>
        <w:t>:</w:t>
      </w:r>
    </w:p>
    <w:p w:rsidRPr="00C317BB" w:rsidR="00002008" w:rsidP="00D20970" w:rsidRDefault="00D20970" w14:paraId="6AB7A863" w14:textId="19BB1AEC">
      <w:pPr>
        <w:rPr>
          <w:rFonts w:cs="Times New Roman"/>
          <w:color w:val="000000" w:themeColor="text1"/>
          <w:szCs w:val="24"/>
        </w:rPr>
      </w:pPr>
      <w:r w:rsidRPr="00C317BB">
        <w:rPr>
          <w:rStyle w:val="Strong"/>
          <w:rFonts w:cs="Times New Roman"/>
          <w:color w:val="000000" w:themeColor="text1"/>
          <w:szCs w:val="24"/>
        </w:rPr>
        <w:tab/>
      </w:r>
      <w:r w:rsidRPr="00C317BB" w:rsidR="00002008">
        <w:rPr>
          <w:rFonts w:cs="Times New Roman"/>
          <w:color w:val="000000" w:themeColor="text1"/>
          <w:szCs w:val="24"/>
        </w:rPr>
        <w:t>(1)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>
        <w:rPr>
          <w:rFonts w:cs="Times New Roman"/>
          <w:color w:val="000000" w:themeColor="text1"/>
          <w:szCs w:val="24"/>
        </w:rPr>
        <w:t>A</w:t>
      </w:r>
      <w:r w:rsidRPr="00C317BB" w:rsidR="00FD5E95">
        <w:rPr>
          <w:rFonts w:cs="Times New Roman"/>
          <w:color w:val="000000" w:themeColor="text1"/>
          <w:szCs w:val="24"/>
        </w:rPr>
        <w:t>f</w:t>
      </w:r>
      <w:r w:rsidRPr="00C317BB" w:rsidR="005613F9">
        <w:rPr>
          <w:rFonts w:cs="Times New Roman"/>
          <w:color w:val="000000" w:themeColor="text1"/>
          <w:szCs w:val="24"/>
        </w:rPr>
        <w:t>termarket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D5E95">
        <w:rPr>
          <w:rFonts w:cs="Times New Roman"/>
          <w:color w:val="000000" w:themeColor="text1"/>
          <w:szCs w:val="24"/>
        </w:rPr>
        <w:t>a</w:t>
      </w:r>
      <w:r w:rsidRPr="00C317BB" w:rsidR="005613F9">
        <w:rPr>
          <w:rFonts w:cs="Times New Roman"/>
          <w:color w:val="000000" w:themeColor="text1"/>
          <w:szCs w:val="24"/>
        </w:rPr>
        <w:t>utomotive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D5E95">
        <w:rPr>
          <w:rFonts w:cs="Times New Roman"/>
          <w:color w:val="000000" w:themeColor="text1"/>
          <w:szCs w:val="24"/>
        </w:rPr>
        <w:t>b</w:t>
      </w:r>
      <w:r w:rsidRPr="00C317BB" w:rsidR="005613F9">
        <w:rPr>
          <w:rFonts w:cs="Times New Roman"/>
          <w:color w:val="000000" w:themeColor="text1"/>
          <w:szCs w:val="24"/>
        </w:rPr>
        <w:t>rakes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5613F9">
        <w:rPr>
          <w:rFonts w:cs="Times New Roman"/>
          <w:color w:val="000000" w:themeColor="text1"/>
          <w:szCs w:val="24"/>
        </w:rPr>
        <w:t>and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D5E95">
        <w:rPr>
          <w:rFonts w:cs="Times New Roman"/>
          <w:color w:val="000000" w:themeColor="text1"/>
          <w:szCs w:val="24"/>
        </w:rPr>
        <w:t>l</w:t>
      </w:r>
      <w:r w:rsidRPr="00C317BB" w:rsidR="005613F9">
        <w:rPr>
          <w:rFonts w:cs="Times New Roman"/>
          <w:color w:val="000000" w:themeColor="text1"/>
          <w:szCs w:val="24"/>
        </w:rPr>
        <w:t>inings</w:t>
      </w:r>
      <w:r w:rsidRPr="00C317BB" w:rsidR="00C860EE">
        <w:rPr>
          <w:rFonts w:cs="Times New Roman"/>
          <w:color w:val="000000" w:themeColor="text1"/>
          <w:szCs w:val="24"/>
        </w:rPr>
        <w:t>;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860EE">
        <w:rPr>
          <w:rFonts w:cs="Times New Roman"/>
          <w:color w:val="000000" w:themeColor="text1"/>
          <w:szCs w:val="24"/>
        </w:rPr>
        <w:t>and</w:t>
      </w:r>
    </w:p>
    <w:p w:rsidRPr="00C317BB" w:rsidR="005613F9" w:rsidP="00D20970" w:rsidRDefault="00D20970" w14:paraId="16B72A8B" w14:textId="734240B4">
      <w:pPr>
        <w:rPr>
          <w:rFonts w:cs="Times New Roman"/>
          <w:color w:val="000000" w:themeColor="text1"/>
          <w:szCs w:val="24"/>
        </w:rPr>
      </w:pPr>
      <w:r w:rsidRPr="00C317BB">
        <w:rPr>
          <w:rStyle w:val="Strong"/>
          <w:rFonts w:cs="Times New Roman"/>
          <w:color w:val="000000" w:themeColor="text1"/>
          <w:szCs w:val="24"/>
        </w:rPr>
        <w:tab/>
      </w:r>
      <w:r w:rsidRPr="00C317BB" w:rsidR="00002008">
        <w:rPr>
          <w:rFonts w:cs="Times New Roman"/>
          <w:color w:val="000000" w:themeColor="text1"/>
          <w:szCs w:val="24"/>
        </w:rPr>
        <w:t>(2)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>
        <w:rPr>
          <w:rFonts w:cs="Times New Roman"/>
          <w:color w:val="000000" w:themeColor="text1"/>
          <w:szCs w:val="24"/>
        </w:rPr>
        <w:t>O</w:t>
      </w:r>
      <w:r w:rsidRPr="00C317BB" w:rsidR="005613F9">
        <w:rPr>
          <w:rFonts w:cs="Times New Roman"/>
          <w:color w:val="000000" w:themeColor="text1"/>
          <w:szCs w:val="24"/>
        </w:rPr>
        <w:t>ther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D5E95">
        <w:rPr>
          <w:rFonts w:cs="Times New Roman"/>
          <w:color w:val="000000" w:themeColor="text1"/>
          <w:szCs w:val="24"/>
        </w:rPr>
        <w:t>g</w:t>
      </w:r>
      <w:r w:rsidRPr="00C317BB" w:rsidR="005613F9">
        <w:rPr>
          <w:rFonts w:cs="Times New Roman"/>
          <w:color w:val="000000" w:themeColor="text1"/>
          <w:szCs w:val="24"/>
        </w:rPr>
        <w:t>askets.</w:t>
      </w:r>
    </w:p>
    <w:p w:rsidRPr="00C317BB" w:rsidR="008F6A43" w:rsidP="00F27167" w:rsidRDefault="008F6A43" w14:paraId="33166E1B" w14:textId="0E9EA2A2">
      <w:pPr>
        <w:pStyle w:val="Heading2"/>
        <w:rPr>
          <w:rStyle w:val="Strong"/>
          <w:rFonts w:cs="Times New Roman"/>
          <w:bCs/>
          <w:i w:val="0"/>
          <w:color w:val="000000" w:themeColor="text1"/>
          <w:szCs w:val="24"/>
        </w:rPr>
      </w:pPr>
      <w:r w:rsidRPr="00C317BB">
        <w:rPr>
          <w:rStyle w:val="Strong"/>
          <w:rFonts w:cs="Times New Roman"/>
          <w:i w:val="0"/>
          <w:color w:val="000000" w:themeColor="text1"/>
          <w:szCs w:val="24"/>
        </w:rPr>
        <w:t>§</w:t>
      </w:r>
      <w:r w:rsidR="005613B2">
        <w:rPr>
          <w:rStyle w:val="Strong"/>
          <w:rFonts w:cs="Times New Roman"/>
          <w:i w:val="0"/>
          <w:color w:val="000000" w:themeColor="text1"/>
          <w:szCs w:val="24"/>
        </w:rPr>
        <w:t xml:space="preserve"> </w:t>
      </w:r>
      <w:r w:rsidRPr="00C317BB">
        <w:rPr>
          <w:rStyle w:val="Strong"/>
          <w:rFonts w:cs="Times New Roman"/>
          <w:i w:val="0"/>
          <w:color w:val="000000" w:themeColor="text1"/>
          <w:szCs w:val="24"/>
        </w:rPr>
        <w:t>751.X</w:t>
      </w:r>
      <w:r w:rsidRPr="00C317BB" w:rsidR="00293245">
        <w:rPr>
          <w:rStyle w:val="Strong"/>
          <w:rFonts w:cs="Times New Roman"/>
          <w:i w:val="0"/>
          <w:color w:val="000000" w:themeColor="text1"/>
          <w:szCs w:val="24"/>
        </w:rPr>
        <w:t>07</w:t>
      </w:r>
      <w:r w:rsidR="005613B2">
        <w:rPr>
          <w:rStyle w:val="Strong"/>
          <w:rFonts w:cs="Times New Roman"/>
          <w:i w:val="0"/>
          <w:color w:val="000000" w:themeColor="text1"/>
          <w:szCs w:val="24"/>
        </w:rPr>
        <w:t xml:space="preserve"> </w:t>
      </w:r>
      <w:r w:rsidRPr="00C317BB" w:rsidR="00DB7CC6">
        <w:rPr>
          <w:rStyle w:val="Strong"/>
          <w:rFonts w:cs="Times New Roman"/>
          <w:i w:val="0"/>
          <w:color w:val="000000" w:themeColor="text1"/>
          <w:szCs w:val="24"/>
        </w:rPr>
        <w:t>[Reserved]</w:t>
      </w:r>
    </w:p>
    <w:p w:rsidRPr="00C317BB" w:rsidR="009C44B2" w:rsidP="00F27167" w:rsidRDefault="009C44B2" w14:paraId="23689329" w14:textId="652F62CE">
      <w:pPr>
        <w:pStyle w:val="Heading2"/>
        <w:rPr>
          <w:rStyle w:val="Strong"/>
          <w:rFonts w:cs="Times New Roman"/>
          <w:i w:val="0"/>
          <w:color w:val="000000" w:themeColor="text1"/>
          <w:szCs w:val="24"/>
        </w:rPr>
      </w:pPr>
      <w:bookmarkStart w:name="_Hlk90451992" w:id="58"/>
      <w:r w:rsidRPr="00C317BB">
        <w:rPr>
          <w:rStyle w:val="Strong"/>
          <w:rFonts w:cs="Times New Roman"/>
          <w:i w:val="0"/>
          <w:color w:val="000000" w:themeColor="text1"/>
          <w:szCs w:val="24"/>
        </w:rPr>
        <w:t>§</w:t>
      </w:r>
      <w:r w:rsidR="005613B2">
        <w:rPr>
          <w:rStyle w:val="Strong"/>
          <w:rFonts w:cs="Times New Roman"/>
          <w:i w:val="0"/>
          <w:color w:val="000000" w:themeColor="text1"/>
          <w:szCs w:val="24"/>
        </w:rPr>
        <w:t xml:space="preserve"> </w:t>
      </w:r>
      <w:r w:rsidRPr="00C317BB">
        <w:rPr>
          <w:rStyle w:val="Strong"/>
          <w:rFonts w:cs="Times New Roman"/>
          <w:i w:val="0"/>
          <w:color w:val="000000" w:themeColor="text1"/>
          <w:szCs w:val="24"/>
        </w:rPr>
        <w:t>751.X09</w:t>
      </w:r>
      <w:r w:rsidR="005613B2">
        <w:rPr>
          <w:rStyle w:val="Strong"/>
          <w:rFonts w:cs="Times New Roman"/>
          <w:i w:val="0"/>
          <w:color w:val="000000" w:themeColor="text1"/>
          <w:szCs w:val="24"/>
        </w:rPr>
        <w:t xml:space="preserve"> </w:t>
      </w:r>
      <w:r w:rsidRPr="00C317BB">
        <w:rPr>
          <w:rStyle w:val="Strong"/>
          <w:rFonts w:cs="Times New Roman"/>
          <w:i w:val="0"/>
          <w:color w:val="000000" w:themeColor="text1"/>
          <w:szCs w:val="24"/>
        </w:rPr>
        <w:t>Disposal</w:t>
      </w:r>
    </w:p>
    <w:bookmarkEnd w:id="58"/>
    <w:p w:rsidRPr="00C317BB" w:rsidR="009C44B2" w:rsidP="00F27167" w:rsidRDefault="00002008" w14:paraId="64542D25" w14:textId="4FB92729">
      <w:pPr>
        <w:rPr>
          <w:rFonts w:cs="Times New Roman"/>
          <w:color w:val="000000" w:themeColor="text1"/>
          <w:szCs w:val="24"/>
          <w:shd w:val="clear" w:color="auto" w:fill="FFFFFF"/>
        </w:rPr>
      </w:pPr>
      <w:r w:rsidRPr="00C317BB">
        <w:rPr>
          <w:rStyle w:val="Strong"/>
          <w:rFonts w:cs="Times New Roman"/>
          <w:color w:val="000000" w:themeColor="text1"/>
          <w:szCs w:val="24"/>
        </w:rPr>
        <w:tab/>
      </w:r>
      <w:r w:rsidRPr="00C317BB" w:rsidR="00D66736">
        <w:rPr>
          <w:rStyle w:val="Strong"/>
          <w:rFonts w:cs="Times New Roman"/>
          <w:b w:val="0"/>
          <w:color w:val="000000" w:themeColor="text1"/>
          <w:szCs w:val="24"/>
        </w:rPr>
        <w:t>(a</w:t>
      </w:r>
      <w:r w:rsidRPr="00C317BB" w:rsidR="00D66736">
        <w:rPr>
          <w:rFonts w:cs="Times New Roman"/>
          <w:color w:val="000000" w:themeColor="text1"/>
          <w:szCs w:val="24"/>
        </w:rPr>
        <w:t>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73A44">
        <w:rPr>
          <w:rFonts w:cs="Times New Roman"/>
          <w:color w:val="000000" w:themeColor="text1"/>
          <w:szCs w:val="24"/>
        </w:rPr>
        <w:t>After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73A44">
        <w:rPr>
          <w:rFonts w:cs="Times New Roman"/>
          <w:color w:val="000000" w:themeColor="text1"/>
          <w:szCs w:val="24"/>
        </w:rPr>
        <w:t>[</w:t>
      </w:r>
      <w:r w:rsidRPr="00C317BB" w:rsidR="00B73A44">
        <w:rPr>
          <w:rFonts w:cs="Times New Roman"/>
          <w:i/>
          <w:color w:val="000000" w:themeColor="text1"/>
          <w:szCs w:val="24"/>
        </w:rPr>
        <w:t>date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C911B8">
        <w:rPr>
          <w:rFonts w:cs="Times New Roman"/>
          <w:i/>
          <w:color w:val="000000" w:themeColor="text1"/>
          <w:szCs w:val="24"/>
        </w:rPr>
        <w:t>180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B73A44">
        <w:rPr>
          <w:rFonts w:cs="Times New Roman"/>
          <w:i/>
          <w:color w:val="000000" w:themeColor="text1"/>
          <w:szCs w:val="24"/>
        </w:rPr>
        <w:t>days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B73A44">
        <w:rPr>
          <w:rFonts w:cs="Times New Roman"/>
          <w:i/>
          <w:color w:val="000000" w:themeColor="text1"/>
          <w:szCs w:val="24"/>
        </w:rPr>
        <w:t>after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B73A44">
        <w:rPr>
          <w:rFonts w:cs="Times New Roman"/>
          <w:i/>
          <w:color w:val="000000" w:themeColor="text1"/>
          <w:szCs w:val="24"/>
        </w:rPr>
        <w:t>the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0E78B3">
        <w:rPr>
          <w:rFonts w:cs="Times New Roman"/>
          <w:i/>
          <w:color w:val="000000" w:themeColor="text1"/>
          <w:szCs w:val="24"/>
        </w:rPr>
        <w:t>effective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0E78B3">
        <w:rPr>
          <w:rFonts w:cs="Times New Roman"/>
          <w:i/>
          <w:color w:val="000000" w:themeColor="text1"/>
          <w:szCs w:val="24"/>
        </w:rPr>
        <w:t>date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B73A44">
        <w:rPr>
          <w:rFonts w:cs="Times New Roman"/>
          <w:i/>
          <w:color w:val="000000" w:themeColor="text1"/>
          <w:szCs w:val="24"/>
        </w:rPr>
        <w:t>of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B73A44">
        <w:rPr>
          <w:rFonts w:cs="Times New Roman"/>
          <w:i/>
          <w:color w:val="000000" w:themeColor="text1"/>
          <w:szCs w:val="24"/>
        </w:rPr>
        <w:t>the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B73A44">
        <w:rPr>
          <w:rFonts w:cs="Times New Roman"/>
          <w:i/>
          <w:color w:val="000000" w:themeColor="text1"/>
          <w:szCs w:val="24"/>
        </w:rPr>
        <w:t>final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B73A44">
        <w:rPr>
          <w:rFonts w:cs="Times New Roman"/>
          <w:i/>
          <w:color w:val="000000" w:themeColor="text1"/>
          <w:szCs w:val="24"/>
        </w:rPr>
        <w:t>rule</w:t>
      </w:r>
      <w:r w:rsidRPr="00C317BB" w:rsidR="00B73A44">
        <w:rPr>
          <w:rFonts w:cs="Times New Roman"/>
          <w:color w:val="000000" w:themeColor="text1"/>
          <w:szCs w:val="24"/>
        </w:rPr>
        <w:t>],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B73A44">
        <w:rPr>
          <w:rFonts w:cs="Times New Roman"/>
          <w:color w:val="000000" w:themeColor="text1"/>
          <w:szCs w:val="24"/>
          <w:shd w:val="clear" w:color="auto" w:fill="FFFFFF"/>
        </w:rPr>
        <w:t>all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B73A44">
        <w:rPr>
          <w:rFonts w:cs="Times New Roman"/>
          <w:color w:val="000000" w:themeColor="text1"/>
          <w:szCs w:val="24"/>
          <w:shd w:val="clear" w:color="auto" w:fill="FFFFFF"/>
        </w:rPr>
        <w:t>persons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B73A44">
        <w:rPr>
          <w:rFonts w:cs="Times New Roman"/>
          <w:color w:val="000000" w:themeColor="text1"/>
          <w:szCs w:val="24"/>
          <w:shd w:val="clear" w:color="auto" w:fill="FFFFFF"/>
        </w:rPr>
        <w:t>disposing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B73A44">
        <w:rPr>
          <w:rFonts w:cs="Times New Roman"/>
          <w:color w:val="000000" w:themeColor="text1"/>
          <w:szCs w:val="24"/>
          <w:shd w:val="clear" w:color="auto" w:fill="FFFFFF"/>
        </w:rPr>
        <w:t>of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B73A44">
        <w:rPr>
          <w:rFonts w:cs="Times New Roman"/>
          <w:color w:val="000000" w:themeColor="text1"/>
          <w:szCs w:val="24"/>
          <w:shd w:val="clear" w:color="auto" w:fill="FFFFFF"/>
        </w:rPr>
        <w:t>chrysotile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B73A44">
        <w:rPr>
          <w:rFonts w:cs="Times New Roman"/>
          <w:color w:val="000000" w:themeColor="text1"/>
          <w:szCs w:val="24"/>
          <w:shd w:val="clear" w:color="auto" w:fill="FFFFFF"/>
        </w:rPr>
        <w:t>asbestos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B73A44">
        <w:rPr>
          <w:rFonts w:cs="Times New Roman"/>
          <w:color w:val="000000" w:themeColor="text1"/>
          <w:szCs w:val="24"/>
          <w:shd w:val="clear" w:color="auto" w:fill="FFFFFF"/>
        </w:rPr>
        <w:t>and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B73A44">
        <w:rPr>
          <w:rFonts w:cs="Times New Roman"/>
          <w:color w:val="000000" w:themeColor="text1"/>
          <w:szCs w:val="24"/>
          <w:shd w:val="clear" w:color="auto" w:fill="FFFFFF"/>
        </w:rPr>
        <w:t>any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B73A44">
        <w:rPr>
          <w:rFonts w:cs="Times New Roman"/>
          <w:color w:val="000000" w:themeColor="text1"/>
          <w:szCs w:val="24"/>
          <w:shd w:val="clear" w:color="auto" w:fill="FFFFFF"/>
        </w:rPr>
        <w:t>chrysotile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B73A44">
        <w:rPr>
          <w:rFonts w:cs="Times New Roman"/>
          <w:color w:val="000000" w:themeColor="text1"/>
          <w:szCs w:val="24"/>
          <w:shd w:val="clear" w:color="auto" w:fill="FFFFFF"/>
        </w:rPr>
        <w:t>asbestos-containing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B73A44">
        <w:rPr>
          <w:rFonts w:cs="Times New Roman"/>
          <w:color w:val="000000" w:themeColor="text1"/>
          <w:szCs w:val="24"/>
          <w:shd w:val="clear" w:color="auto" w:fill="FFFFFF"/>
        </w:rPr>
        <w:t>products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B73A44">
        <w:rPr>
          <w:rFonts w:cs="Times New Roman"/>
          <w:color w:val="000000" w:themeColor="text1"/>
          <w:szCs w:val="24"/>
          <w:shd w:val="clear" w:color="auto" w:fill="FFFFFF"/>
        </w:rPr>
        <w:t>or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B73A44">
        <w:rPr>
          <w:rFonts w:cs="Times New Roman"/>
          <w:color w:val="000000" w:themeColor="text1"/>
          <w:szCs w:val="24"/>
          <w:shd w:val="clear" w:color="auto" w:fill="FFFFFF"/>
        </w:rPr>
        <w:t>articles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B73A44">
        <w:rPr>
          <w:rFonts w:cs="Times New Roman"/>
          <w:color w:val="000000" w:themeColor="text1"/>
          <w:szCs w:val="24"/>
          <w:shd w:val="clear" w:color="auto" w:fill="FFFFFF"/>
        </w:rPr>
        <w:t>subject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B73A44">
        <w:rPr>
          <w:rFonts w:cs="Times New Roman"/>
          <w:color w:val="000000" w:themeColor="text1"/>
          <w:szCs w:val="24"/>
          <w:shd w:val="clear" w:color="auto" w:fill="FFFFFF"/>
        </w:rPr>
        <w:t>to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B73A44">
        <w:rPr>
          <w:rFonts w:cs="Times New Roman"/>
          <w:color w:val="000000" w:themeColor="text1"/>
          <w:szCs w:val="24"/>
          <w:shd w:val="clear" w:color="auto" w:fill="FFFFFF"/>
        </w:rPr>
        <w:t>§</w:t>
      </w:r>
      <w:r w:rsidR="00D20970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B73A44">
        <w:rPr>
          <w:rFonts w:cs="Times New Roman"/>
          <w:color w:val="000000" w:themeColor="text1"/>
          <w:szCs w:val="24"/>
          <w:shd w:val="clear" w:color="auto" w:fill="FFFFFF"/>
        </w:rPr>
        <w:t>751.X05(a)</w:t>
      </w:r>
      <w:r w:rsidRPr="00C317BB" w:rsidDel="00E11C9B" w:rsidR="00A95246">
        <w:rPr>
          <w:rFonts w:cs="Times New Roman"/>
          <w:color w:val="000000" w:themeColor="text1"/>
          <w:szCs w:val="24"/>
          <w:shd w:val="clear" w:color="auto" w:fill="FFFFFF"/>
        </w:rPr>
        <w:t>(1</w:t>
      </w:r>
      <w:r w:rsidRPr="00C317BB" w:rsidDel="00E11C9B" w:rsidR="00B73A44">
        <w:rPr>
          <w:rFonts w:cs="Times New Roman"/>
          <w:color w:val="000000" w:themeColor="text1"/>
          <w:szCs w:val="24"/>
          <w:shd w:val="clear" w:color="auto" w:fill="FFFFFF"/>
        </w:rPr>
        <w:t>)</w:t>
      </w:r>
      <w:r w:rsidRPr="00C317BB" w:rsidR="00B73A44">
        <w:rPr>
          <w:rFonts w:cs="Times New Roman"/>
          <w:color w:val="000000" w:themeColor="text1"/>
          <w:szCs w:val="24"/>
          <w:shd w:val="clear" w:color="auto" w:fill="FFFFFF"/>
        </w:rPr>
        <w:t>,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177FF2">
        <w:rPr>
          <w:rFonts w:cs="Times New Roman"/>
          <w:color w:val="000000" w:themeColor="text1"/>
          <w:szCs w:val="24"/>
          <w:shd w:val="clear" w:color="auto" w:fill="FFFFFF"/>
        </w:rPr>
        <w:t>must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B73A44">
        <w:rPr>
          <w:rFonts w:cs="Times New Roman"/>
          <w:color w:val="000000" w:themeColor="text1"/>
          <w:szCs w:val="24"/>
          <w:shd w:val="clear" w:color="auto" w:fill="FFFFFF"/>
        </w:rPr>
        <w:t>dispose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B73A44">
        <w:rPr>
          <w:rFonts w:cs="Times New Roman"/>
          <w:color w:val="000000" w:themeColor="text1"/>
          <w:szCs w:val="24"/>
          <w:shd w:val="clear" w:color="auto" w:fill="FFFFFF"/>
        </w:rPr>
        <w:t>of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B73A44">
        <w:rPr>
          <w:rFonts w:cs="Times New Roman"/>
          <w:color w:val="000000" w:themeColor="text1"/>
          <w:szCs w:val="24"/>
          <w:shd w:val="clear" w:color="auto" w:fill="FFFFFF"/>
        </w:rPr>
        <w:t>chrysotile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B73A44">
        <w:rPr>
          <w:rFonts w:cs="Times New Roman"/>
          <w:color w:val="000000" w:themeColor="text1"/>
          <w:szCs w:val="24"/>
          <w:shd w:val="clear" w:color="auto" w:fill="FFFFFF"/>
        </w:rPr>
        <w:t>asbestos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B73A44">
        <w:rPr>
          <w:rFonts w:cs="Times New Roman"/>
          <w:color w:val="000000" w:themeColor="text1"/>
          <w:szCs w:val="24"/>
          <w:shd w:val="clear" w:color="auto" w:fill="FFFFFF"/>
        </w:rPr>
        <w:t>and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B73A44">
        <w:rPr>
          <w:rFonts w:cs="Times New Roman"/>
          <w:color w:val="000000" w:themeColor="text1"/>
          <w:szCs w:val="24"/>
          <w:shd w:val="clear" w:color="auto" w:fill="FFFFFF"/>
        </w:rPr>
        <w:t>any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B73A44">
        <w:rPr>
          <w:rFonts w:cs="Times New Roman"/>
          <w:color w:val="000000" w:themeColor="text1"/>
          <w:szCs w:val="24"/>
          <w:shd w:val="clear" w:color="auto" w:fill="FFFFFF"/>
        </w:rPr>
        <w:t>chrysotile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B73A44">
        <w:rPr>
          <w:rFonts w:cs="Times New Roman"/>
          <w:color w:val="000000" w:themeColor="text1"/>
          <w:szCs w:val="24"/>
          <w:shd w:val="clear" w:color="auto" w:fill="FFFFFF"/>
        </w:rPr>
        <w:t>asbestos-containing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B73A44">
        <w:rPr>
          <w:rFonts w:cs="Times New Roman"/>
          <w:color w:val="000000" w:themeColor="text1"/>
          <w:szCs w:val="24"/>
          <w:shd w:val="clear" w:color="auto" w:fill="FFFFFF"/>
        </w:rPr>
        <w:t>products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B73A44">
        <w:rPr>
          <w:rFonts w:cs="Times New Roman"/>
          <w:color w:val="000000" w:themeColor="text1"/>
          <w:szCs w:val="24"/>
          <w:shd w:val="clear" w:color="auto" w:fill="FFFFFF"/>
        </w:rPr>
        <w:t>or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B73A44">
        <w:rPr>
          <w:rFonts w:cs="Times New Roman"/>
          <w:color w:val="000000" w:themeColor="text1"/>
          <w:szCs w:val="24"/>
          <w:shd w:val="clear" w:color="auto" w:fill="FFFFFF"/>
        </w:rPr>
        <w:t>articles</w:t>
      </w:r>
      <w:r w:rsidRPr="00C317BB" w:rsidR="00DA043D">
        <w:rPr>
          <w:rFonts w:cs="Times New Roman"/>
          <w:color w:val="000000" w:themeColor="text1"/>
          <w:szCs w:val="24"/>
          <w:shd w:val="clear" w:color="auto" w:fill="FFFFFF"/>
        </w:rPr>
        <w:t>,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DA043D">
        <w:rPr>
          <w:rFonts w:cs="Times New Roman"/>
          <w:color w:val="000000" w:themeColor="text1"/>
          <w:szCs w:val="24"/>
          <w:shd w:val="clear" w:color="auto" w:fill="FFFFFF"/>
        </w:rPr>
        <w:t>as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DA043D">
        <w:rPr>
          <w:rFonts w:cs="Times New Roman"/>
          <w:color w:val="000000" w:themeColor="text1"/>
          <w:szCs w:val="24"/>
          <w:shd w:val="clear" w:color="auto" w:fill="FFFFFF"/>
        </w:rPr>
        <w:t>applicable: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</w:p>
    <w:p w:rsidRPr="00C317BB" w:rsidR="00523632" w:rsidP="00D20970" w:rsidRDefault="00D20970" w14:paraId="19672C5B" w14:textId="75037393">
      <w:pPr>
        <w:rPr>
          <w:rStyle w:val="Strong"/>
          <w:rFonts w:cs="Times New Roman"/>
          <w:b w:val="0"/>
          <w:color w:val="000000" w:themeColor="text1"/>
          <w:szCs w:val="24"/>
        </w:rPr>
      </w:pPr>
      <w:r w:rsidRPr="00C317BB">
        <w:rPr>
          <w:rStyle w:val="Strong"/>
          <w:rFonts w:cs="Times New Roman"/>
          <w:color w:val="000000" w:themeColor="text1"/>
          <w:szCs w:val="24"/>
        </w:rPr>
        <w:tab/>
      </w:r>
      <w:r w:rsidRPr="00C317BB" w:rsidR="00D66736">
        <w:rPr>
          <w:rStyle w:val="Strong"/>
          <w:rFonts w:cs="Times New Roman"/>
          <w:b w:val="0"/>
          <w:color w:val="000000" w:themeColor="text1"/>
          <w:szCs w:val="24"/>
        </w:rPr>
        <w:t>(1)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1D52A2">
        <w:rPr>
          <w:rFonts w:cs="Times New Roman"/>
          <w:color w:val="000000" w:themeColor="text1"/>
          <w:szCs w:val="24"/>
          <w:shd w:val="clear" w:color="auto" w:fill="FFFFFF"/>
        </w:rPr>
        <w:t>I</w:t>
      </w:r>
      <w:r w:rsidRPr="00C317BB" w:rsidR="00DA043D">
        <w:rPr>
          <w:rFonts w:cs="Times New Roman"/>
          <w:color w:val="000000" w:themeColor="text1"/>
          <w:szCs w:val="24"/>
          <w:shd w:val="clear" w:color="auto" w:fill="FFFFFF"/>
        </w:rPr>
        <w:t>n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DA043D">
        <w:rPr>
          <w:rFonts w:cs="Times New Roman"/>
          <w:color w:val="000000" w:themeColor="text1"/>
          <w:szCs w:val="24"/>
          <w:shd w:val="clear" w:color="auto" w:fill="FFFFFF"/>
        </w:rPr>
        <w:t>accordance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DA043D">
        <w:rPr>
          <w:rFonts w:cs="Times New Roman"/>
          <w:color w:val="000000" w:themeColor="text1"/>
          <w:szCs w:val="24"/>
          <w:shd w:val="clear" w:color="auto" w:fill="FFFFFF"/>
        </w:rPr>
        <w:t>with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1D52A2">
        <w:rPr>
          <w:rStyle w:val="Strong"/>
          <w:rFonts w:cs="Times New Roman"/>
          <w:b w:val="0"/>
          <w:color w:val="000000" w:themeColor="text1"/>
          <w:szCs w:val="24"/>
        </w:rPr>
        <w:t>t</w:t>
      </w:r>
      <w:r w:rsidRPr="00C317BB" w:rsidR="00523632">
        <w:rPr>
          <w:rStyle w:val="Strong"/>
          <w:rFonts w:cs="Times New Roman"/>
          <w:b w:val="0"/>
          <w:color w:val="000000" w:themeColor="text1"/>
          <w:szCs w:val="24"/>
        </w:rPr>
        <w:t>he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523632">
        <w:rPr>
          <w:rStyle w:val="Strong"/>
          <w:rFonts w:cs="Times New Roman"/>
          <w:b w:val="0"/>
          <w:color w:val="000000" w:themeColor="text1"/>
          <w:szCs w:val="24"/>
        </w:rPr>
        <w:t>Asbestos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523632">
        <w:rPr>
          <w:rStyle w:val="Strong"/>
          <w:rFonts w:cs="Times New Roman"/>
          <w:b w:val="0"/>
          <w:color w:val="000000" w:themeColor="text1"/>
          <w:szCs w:val="24"/>
        </w:rPr>
        <w:t>General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523632">
        <w:rPr>
          <w:rStyle w:val="Strong"/>
          <w:rFonts w:cs="Times New Roman"/>
          <w:b w:val="0"/>
          <w:color w:val="000000" w:themeColor="text1"/>
          <w:szCs w:val="24"/>
        </w:rPr>
        <w:t>Industry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523632">
        <w:rPr>
          <w:rStyle w:val="Strong"/>
          <w:rFonts w:cs="Times New Roman"/>
          <w:b w:val="0"/>
          <w:color w:val="000000" w:themeColor="text1"/>
          <w:szCs w:val="24"/>
        </w:rPr>
        <w:t>Standard—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523632">
        <w:rPr>
          <w:rStyle w:val="Strong"/>
          <w:rFonts w:cs="Times New Roman"/>
          <w:b w:val="0"/>
          <w:color w:val="000000" w:themeColor="text1"/>
          <w:szCs w:val="24"/>
        </w:rPr>
        <w:t>(29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523632">
        <w:rPr>
          <w:rStyle w:val="Strong"/>
          <w:rFonts w:cs="Times New Roman"/>
          <w:b w:val="0"/>
          <w:color w:val="000000" w:themeColor="text1"/>
          <w:szCs w:val="24"/>
        </w:rPr>
        <w:t>CFR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523632">
        <w:rPr>
          <w:rStyle w:val="Strong"/>
          <w:rFonts w:cs="Times New Roman"/>
          <w:b w:val="0"/>
          <w:color w:val="000000" w:themeColor="text1"/>
          <w:szCs w:val="24"/>
        </w:rPr>
        <w:t>1910.1001</w:t>
      </w:r>
      <w:r w:rsidRPr="00C317BB" w:rsidR="003101AE">
        <w:rPr>
          <w:rStyle w:val="Strong"/>
          <w:rFonts w:cs="Times New Roman"/>
          <w:b w:val="0"/>
          <w:color w:val="000000" w:themeColor="text1"/>
          <w:szCs w:val="24"/>
        </w:rPr>
        <w:t>(k)</w:t>
      </w:r>
      <w:r w:rsidRPr="00C317BB" w:rsidR="00DA043D">
        <w:rPr>
          <w:rStyle w:val="Strong"/>
          <w:rFonts w:cs="Times New Roman"/>
          <w:b w:val="0"/>
          <w:color w:val="000000" w:themeColor="text1"/>
          <w:szCs w:val="24"/>
        </w:rPr>
        <w:t>)</w:t>
      </w:r>
      <w:r w:rsidRPr="00C317BB" w:rsidR="001D52A2">
        <w:rPr>
          <w:rStyle w:val="Strong"/>
          <w:rFonts w:cs="Times New Roman"/>
          <w:b w:val="0"/>
          <w:color w:val="000000" w:themeColor="text1"/>
          <w:szCs w:val="24"/>
        </w:rPr>
        <w:t>.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</w:p>
    <w:p w:rsidRPr="00C317BB" w:rsidR="000D176E" w:rsidP="00D20970" w:rsidRDefault="00D20970" w14:paraId="04842077" w14:textId="022884BF">
      <w:pPr>
        <w:rPr>
          <w:rStyle w:val="Strong"/>
          <w:rFonts w:cs="Times New Roman"/>
          <w:b w:val="0"/>
          <w:color w:val="000000" w:themeColor="text1"/>
          <w:szCs w:val="24"/>
        </w:rPr>
      </w:pPr>
      <w:r w:rsidRPr="00C317BB">
        <w:rPr>
          <w:rStyle w:val="Strong"/>
          <w:rFonts w:cs="Times New Roman"/>
          <w:color w:val="000000" w:themeColor="text1"/>
          <w:szCs w:val="24"/>
        </w:rPr>
        <w:tab/>
      </w:r>
      <w:r w:rsidRPr="00C317BB" w:rsidR="000D176E">
        <w:rPr>
          <w:rStyle w:val="Strong"/>
          <w:rFonts w:cs="Times New Roman"/>
          <w:b w:val="0"/>
          <w:color w:val="000000" w:themeColor="text1"/>
          <w:szCs w:val="24"/>
        </w:rPr>
        <w:t>(2)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523632">
        <w:rPr>
          <w:rStyle w:val="Strong"/>
          <w:rFonts w:cs="Times New Roman"/>
          <w:b w:val="0"/>
          <w:color w:val="000000" w:themeColor="text1"/>
          <w:szCs w:val="24"/>
        </w:rPr>
        <w:t>In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523632">
        <w:rPr>
          <w:rStyle w:val="Strong"/>
          <w:rFonts w:cs="Times New Roman"/>
          <w:b w:val="0"/>
          <w:color w:val="000000" w:themeColor="text1"/>
          <w:szCs w:val="24"/>
        </w:rPr>
        <w:t>conformance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523632">
        <w:rPr>
          <w:rStyle w:val="Strong"/>
          <w:rFonts w:cs="Times New Roman"/>
          <w:b w:val="0"/>
          <w:color w:val="000000" w:themeColor="text1"/>
          <w:szCs w:val="24"/>
        </w:rPr>
        <w:t>with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523632">
        <w:rPr>
          <w:rStyle w:val="Strong"/>
          <w:rFonts w:cs="Times New Roman"/>
          <w:b w:val="0"/>
          <w:color w:val="000000" w:themeColor="text1"/>
          <w:szCs w:val="24"/>
        </w:rPr>
        <w:t>the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523632">
        <w:rPr>
          <w:rStyle w:val="Strong"/>
          <w:rFonts w:cs="Times New Roman"/>
          <w:b w:val="0"/>
          <w:color w:val="000000" w:themeColor="text1"/>
          <w:szCs w:val="24"/>
        </w:rPr>
        <w:t>asbestos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072067">
        <w:rPr>
          <w:rStyle w:val="Strong"/>
          <w:rFonts w:cs="Times New Roman"/>
          <w:b w:val="0"/>
          <w:color w:val="000000" w:themeColor="text1"/>
          <w:szCs w:val="24"/>
        </w:rPr>
        <w:t>waste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072067">
        <w:rPr>
          <w:rStyle w:val="Strong"/>
          <w:rFonts w:cs="Times New Roman"/>
          <w:b w:val="0"/>
          <w:color w:val="000000" w:themeColor="text1"/>
          <w:szCs w:val="24"/>
        </w:rPr>
        <w:t>disposal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072067">
        <w:rPr>
          <w:rStyle w:val="Strong"/>
          <w:rFonts w:cs="Times New Roman"/>
          <w:b w:val="0"/>
          <w:color w:val="000000" w:themeColor="text1"/>
          <w:szCs w:val="24"/>
        </w:rPr>
        <w:t>requirements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072067">
        <w:rPr>
          <w:rStyle w:val="Strong"/>
          <w:rFonts w:cs="Times New Roman"/>
          <w:b w:val="0"/>
          <w:color w:val="000000" w:themeColor="text1"/>
          <w:szCs w:val="24"/>
        </w:rPr>
        <w:t>at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072067">
        <w:rPr>
          <w:rStyle w:val="Strong"/>
          <w:rFonts w:cs="Times New Roman"/>
          <w:b w:val="0"/>
          <w:color w:val="000000" w:themeColor="text1"/>
          <w:szCs w:val="24"/>
        </w:rPr>
        <w:t>40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072067">
        <w:rPr>
          <w:rStyle w:val="Strong"/>
          <w:rFonts w:cs="Times New Roman"/>
          <w:b w:val="0"/>
          <w:color w:val="000000" w:themeColor="text1"/>
          <w:szCs w:val="24"/>
        </w:rPr>
        <w:t>CFR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072067">
        <w:rPr>
          <w:rStyle w:val="Strong"/>
          <w:rFonts w:cs="Times New Roman"/>
          <w:b w:val="0"/>
          <w:color w:val="000000" w:themeColor="text1"/>
          <w:szCs w:val="24"/>
        </w:rPr>
        <w:t>61.150</w:t>
      </w:r>
      <w:r w:rsidRPr="00C317BB" w:rsidR="001D52A2">
        <w:rPr>
          <w:rStyle w:val="Strong"/>
          <w:rFonts w:cs="Times New Roman"/>
          <w:b w:val="0"/>
          <w:color w:val="000000" w:themeColor="text1"/>
          <w:szCs w:val="24"/>
        </w:rPr>
        <w:t>.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</w:p>
    <w:p w:rsidRPr="00C317BB" w:rsidR="00D66736" w:rsidP="00F27167" w:rsidRDefault="003011AC" w14:paraId="777C4CBF" w14:textId="677937BA">
      <w:pPr>
        <w:rPr>
          <w:rFonts w:cs="Times New Roman"/>
          <w:color w:val="000000" w:themeColor="text1"/>
          <w:szCs w:val="24"/>
          <w:shd w:val="clear" w:color="auto" w:fill="FFFFFF"/>
        </w:rPr>
      </w:pPr>
      <w:bookmarkStart w:name="_Hlk90024145" w:id="59"/>
      <w:r w:rsidRPr="00C317BB">
        <w:rPr>
          <w:rStyle w:val="Strong"/>
          <w:rFonts w:cs="Times New Roman"/>
          <w:b w:val="0"/>
          <w:color w:val="000000" w:themeColor="text1"/>
          <w:szCs w:val="24"/>
        </w:rPr>
        <w:tab/>
      </w:r>
      <w:r w:rsidRPr="00C317BB" w:rsidR="00D66736">
        <w:rPr>
          <w:rStyle w:val="Strong"/>
          <w:rFonts w:cs="Times New Roman"/>
          <w:b w:val="0"/>
          <w:color w:val="000000" w:themeColor="text1"/>
          <w:szCs w:val="24"/>
        </w:rPr>
        <w:t>(</w:t>
      </w:r>
      <w:r w:rsidRPr="00C317BB" w:rsidR="006367F4">
        <w:rPr>
          <w:rStyle w:val="Strong"/>
          <w:rFonts w:cs="Times New Roman"/>
          <w:b w:val="0"/>
          <w:color w:val="000000" w:themeColor="text1"/>
          <w:szCs w:val="24"/>
        </w:rPr>
        <w:t>b</w:t>
      </w:r>
      <w:r w:rsidRPr="00C317BB" w:rsidR="00D66736">
        <w:rPr>
          <w:rFonts w:cs="Times New Roman"/>
          <w:color w:val="000000" w:themeColor="text1"/>
          <w:szCs w:val="24"/>
        </w:rPr>
        <w:t>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66736">
        <w:rPr>
          <w:rFonts w:cs="Times New Roman"/>
          <w:color w:val="000000" w:themeColor="text1"/>
          <w:szCs w:val="24"/>
        </w:rPr>
        <w:t>After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66736">
        <w:rPr>
          <w:rFonts w:cs="Times New Roman"/>
          <w:color w:val="000000" w:themeColor="text1"/>
          <w:szCs w:val="24"/>
        </w:rPr>
        <w:t>[</w:t>
      </w:r>
      <w:r w:rsidRPr="00C317BB" w:rsidR="00D66736">
        <w:rPr>
          <w:rFonts w:cs="Times New Roman"/>
          <w:i/>
          <w:color w:val="000000" w:themeColor="text1"/>
          <w:szCs w:val="24"/>
        </w:rPr>
        <w:t>date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080E18">
        <w:rPr>
          <w:rFonts w:cs="Times New Roman"/>
          <w:i/>
          <w:color w:val="000000" w:themeColor="text1"/>
          <w:szCs w:val="24"/>
        </w:rPr>
        <w:t>180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D66736">
        <w:rPr>
          <w:rFonts w:cs="Times New Roman"/>
          <w:i/>
          <w:color w:val="000000" w:themeColor="text1"/>
          <w:szCs w:val="24"/>
        </w:rPr>
        <w:t>days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D66736">
        <w:rPr>
          <w:rFonts w:cs="Times New Roman"/>
          <w:i/>
          <w:color w:val="000000" w:themeColor="text1"/>
          <w:szCs w:val="24"/>
        </w:rPr>
        <w:t>after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D66736">
        <w:rPr>
          <w:rFonts w:cs="Times New Roman"/>
          <w:i/>
          <w:color w:val="000000" w:themeColor="text1"/>
          <w:szCs w:val="24"/>
        </w:rPr>
        <w:t>the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0E78B3">
        <w:rPr>
          <w:rFonts w:cs="Times New Roman"/>
          <w:i/>
          <w:color w:val="000000" w:themeColor="text1"/>
          <w:szCs w:val="24"/>
        </w:rPr>
        <w:t>effective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0E78B3">
        <w:rPr>
          <w:rFonts w:cs="Times New Roman"/>
          <w:i/>
          <w:color w:val="000000" w:themeColor="text1"/>
          <w:szCs w:val="24"/>
        </w:rPr>
        <w:t>date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D66736">
        <w:rPr>
          <w:rFonts w:cs="Times New Roman"/>
          <w:i/>
          <w:color w:val="000000" w:themeColor="text1"/>
          <w:szCs w:val="24"/>
        </w:rPr>
        <w:t>of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D66736">
        <w:rPr>
          <w:rFonts w:cs="Times New Roman"/>
          <w:i/>
          <w:color w:val="000000" w:themeColor="text1"/>
          <w:szCs w:val="24"/>
        </w:rPr>
        <w:t>the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D66736">
        <w:rPr>
          <w:rFonts w:cs="Times New Roman"/>
          <w:i/>
          <w:color w:val="000000" w:themeColor="text1"/>
          <w:szCs w:val="24"/>
        </w:rPr>
        <w:t>final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D66736">
        <w:rPr>
          <w:rFonts w:cs="Times New Roman"/>
          <w:i/>
          <w:color w:val="000000" w:themeColor="text1"/>
          <w:szCs w:val="24"/>
        </w:rPr>
        <w:t>rule</w:t>
      </w:r>
      <w:r w:rsidRPr="00C317BB" w:rsidR="00D66736">
        <w:rPr>
          <w:rFonts w:cs="Times New Roman"/>
          <w:color w:val="000000" w:themeColor="text1"/>
          <w:szCs w:val="24"/>
        </w:rPr>
        <w:t>],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66736">
        <w:rPr>
          <w:rFonts w:cs="Times New Roman"/>
          <w:color w:val="000000" w:themeColor="text1"/>
          <w:szCs w:val="24"/>
          <w:shd w:val="clear" w:color="auto" w:fill="FFFFFF"/>
        </w:rPr>
        <w:t>all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D66736">
        <w:rPr>
          <w:rFonts w:cs="Times New Roman"/>
          <w:color w:val="000000" w:themeColor="text1"/>
          <w:szCs w:val="24"/>
          <w:shd w:val="clear" w:color="auto" w:fill="FFFFFF"/>
        </w:rPr>
        <w:t>persons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D66736">
        <w:rPr>
          <w:rFonts w:cs="Times New Roman"/>
          <w:color w:val="000000" w:themeColor="text1"/>
          <w:szCs w:val="24"/>
          <w:shd w:val="clear" w:color="auto" w:fill="FFFFFF"/>
        </w:rPr>
        <w:t>disposing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D66736">
        <w:rPr>
          <w:rFonts w:cs="Times New Roman"/>
          <w:color w:val="000000" w:themeColor="text1"/>
          <w:szCs w:val="24"/>
          <w:shd w:val="clear" w:color="auto" w:fill="FFFFFF"/>
        </w:rPr>
        <w:t>of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D66736">
        <w:rPr>
          <w:rFonts w:cs="Times New Roman"/>
          <w:color w:val="000000" w:themeColor="text1"/>
          <w:szCs w:val="24"/>
          <w:shd w:val="clear" w:color="auto" w:fill="FFFFFF"/>
        </w:rPr>
        <w:t>chrysotile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D66736">
        <w:rPr>
          <w:rFonts w:cs="Times New Roman"/>
          <w:color w:val="000000" w:themeColor="text1"/>
          <w:szCs w:val="24"/>
          <w:shd w:val="clear" w:color="auto" w:fill="FFFFFF"/>
        </w:rPr>
        <w:t>asbestos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D66736">
        <w:rPr>
          <w:rFonts w:cs="Times New Roman"/>
          <w:color w:val="000000" w:themeColor="text1"/>
          <w:szCs w:val="24"/>
          <w:shd w:val="clear" w:color="auto" w:fill="FFFFFF"/>
        </w:rPr>
        <w:t>and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D66736">
        <w:rPr>
          <w:rFonts w:cs="Times New Roman"/>
          <w:color w:val="000000" w:themeColor="text1"/>
          <w:szCs w:val="24"/>
          <w:shd w:val="clear" w:color="auto" w:fill="FFFFFF"/>
        </w:rPr>
        <w:t>any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D66736">
        <w:rPr>
          <w:rFonts w:cs="Times New Roman"/>
          <w:color w:val="000000" w:themeColor="text1"/>
          <w:szCs w:val="24"/>
          <w:shd w:val="clear" w:color="auto" w:fill="FFFFFF"/>
        </w:rPr>
        <w:t>chrysotile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D66736">
        <w:rPr>
          <w:rFonts w:cs="Times New Roman"/>
          <w:color w:val="000000" w:themeColor="text1"/>
          <w:szCs w:val="24"/>
          <w:shd w:val="clear" w:color="auto" w:fill="FFFFFF"/>
        </w:rPr>
        <w:t>asbestos-containing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D66736">
        <w:rPr>
          <w:rFonts w:cs="Times New Roman"/>
          <w:color w:val="000000" w:themeColor="text1"/>
          <w:szCs w:val="24"/>
          <w:shd w:val="clear" w:color="auto" w:fill="FFFFFF"/>
        </w:rPr>
        <w:t>products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D66736">
        <w:rPr>
          <w:rFonts w:cs="Times New Roman"/>
          <w:color w:val="000000" w:themeColor="text1"/>
          <w:szCs w:val="24"/>
          <w:shd w:val="clear" w:color="auto" w:fill="FFFFFF"/>
        </w:rPr>
        <w:t>or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D66736">
        <w:rPr>
          <w:rFonts w:cs="Times New Roman"/>
          <w:color w:val="000000" w:themeColor="text1"/>
          <w:szCs w:val="24"/>
          <w:shd w:val="clear" w:color="auto" w:fill="FFFFFF"/>
        </w:rPr>
        <w:t>articles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D66736">
        <w:rPr>
          <w:rFonts w:cs="Times New Roman"/>
          <w:color w:val="000000" w:themeColor="text1"/>
          <w:szCs w:val="24"/>
          <w:shd w:val="clear" w:color="auto" w:fill="FFFFFF"/>
        </w:rPr>
        <w:t>subject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D66736">
        <w:rPr>
          <w:rFonts w:cs="Times New Roman"/>
          <w:color w:val="000000" w:themeColor="text1"/>
          <w:szCs w:val="24"/>
          <w:shd w:val="clear" w:color="auto" w:fill="FFFFFF"/>
        </w:rPr>
        <w:t>to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D66736">
        <w:rPr>
          <w:rFonts w:cs="Times New Roman"/>
          <w:color w:val="000000" w:themeColor="text1"/>
          <w:szCs w:val="24"/>
          <w:shd w:val="clear" w:color="auto" w:fill="FFFFFF"/>
        </w:rPr>
        <w:t>§</w:t>
      </w:r>
      <w:r w:rsidR="00D20970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D66736">
        <w:rPr>
          <w:rFonts w:cs="Times New Roman"/>
          <w:color w:val="000000" w:themeColor="text1"/>
          <w:szCs w:val="24"/>
          <w:shd w:val="clear" w:color="auto" w:fill="FFFFFF"/>
        </w:rPr>
        <w:t>751.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Del="00427D67" w:rsidR="00D66736">
        <w:rPr>
          <w:rFonts w:cs="Times New Roman"/>
          <w:color w:val="000000" w:themeColor="text1"/>
          <w:szCs w:val="24"/>
          <w:shd w:val="clear" w:color="auto" w:fill="FFFFFF"/>
        </w:rPr>
        <w:t>X05</w:t>
      </w:r>
      <w:r w:rsidRPr="00C317BB" w:rsidDel="00F04F37" w:rsidR="00D66736">
        <w:rPr>
          <w:rFonts w:cs="Times New Roman"/>
          <w:color w:val="000000" w:themeColor="text1"/>
          <w:szCs w:val="24"/>
          <w:shd w:val="clear" w:color="auto" w:fill="FFFFFF"/>
        </w:rPr>
        <w:t>(</w:t>
      </w:r>
      <w:r w:rsidRPr="00C317BB" w:rsidDel="00F04F37" w:rsidR="00A95246">
        <w:rPr>
          <w:rFonts w:cs="Times New Roman"/>
          <w:color w:val="000000" w:themeColor="text1"/>
          <w:szCs w:val="24"/>
          <w:shd w:val="clear" w:color="auto" w:fill="FFFFFF"/>
        </w:rPr>
        <w:t>a)(2)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DD6811">
        <w:rPr>
          <w:rFonts w:cs="Times New Roman"/>
          <w:color w:val="000000" w:themeColor="text1"/>
          <w:szCs w:val="24"/>
          <w:shd w:val="clear" w:color="auto" w:fill="FFFFFF"/>
        </w:rPr>
        <w:t>must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D66736">
        <w:rPr>
          <w:rFonts w:cs="Times New Roman"/>
          <w:color w:val="000000" w:themeColor="text1"/>
          <w:szCs w:val="24"/>
          <w:shd w:val="clear" w:color="auto" w:fill="FFFFFF"/>
        </w:rPr>
        <w:t>dispose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D66736">
        <w:rPr>
          <w:rFonts w:cs="Times New Roman"/>
          <w:color w:val="000000" w:themeColor="text1"/>
          <w:szCs w:val="24"/>
          <w:shd w:val="clear" w:color="auto" w:fill="FFFFFF"/>
        </w:rPr>
        <w:t>of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D66736">
        <w:rPr>
          <w:rFonts w:cs="Times New Roman"/>
          <w:color w:val="000000" w:themeColor="text1"/>
          <w:szCs w:val="24"/>
          <w:shd w:val="clear" w:color="auto" w:fill="FFFFFF"/>
        </w:rPr>
        <w:t>chrysotile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D66736">
        <w:rPr>
          <w:rFonts w:cs="Times New Roman"/>
          <w:color w:val="000000" w:themeColor="text1"/>
          <w:szCs w:val="24"/>
          <w:shd w:val="clear" w:color="auto" w:fill="FFFFFF"/>
        </w:rPr>
        <w:t>asbestos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D66736">
        <w:rPr>
          <w:rFonts w:cs="Times New Roman"/>
          <w:color w:val="000000" w:themeColor="text1"/>
          <w:szCs w:val="24"/>
          <w:shd w:val="clear" w:color="auto" w:fill="FFFFFF"/>
        </w:rPr>
        <w:t>and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D66736">
        <w:rPr>
          <w:rFonts w:cs="Times New Roman"/>
          <w:color w:val="000000" w:themeColor="text1"/>
          <w:szCs w:val="24"/>
          <w:shd w:val="clear" w:color="auto" w:fill="FFFFFF"/>
        </w:rPr>
        <w:t>any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D66736">
        <w:rPr>
          <w:rFonts w:cs="Times New Roman"/>
          <w:color w:val="000000" w:themeColor="text1"/>
          <w:szCs w:val="24"/>
          <w:shd w:val="clear" w:color="auto" w:fill="FFFFFF"/>
        </w:rPr>
        <w:t>chrysotile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D66736">
        <w:rPr>
          <w:rFonts w:cs="Times New Roman"/>
          <w:color w:val="000000" w:themeColor="text1"/>
          <w:szCs w:val="24"/>
          <w:shd w:val="clear" w:color="auto" w:fill="FFFFFF"/>
        </w:rPr>
        <w:t>asbestos-containing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D66736">
        <w:rPr>
          <w:rFonts w:cs="Times New Roman"/>
          <w:color w:val="000000" w:themeColor="text1"/>
          <w:szCs w:val="24"/>
          <w:shd w:val="clear" w:color="auto" w:fill="FFFFFF"/>
        </w:rPr>
        <w:t>products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D66736">
        <w:rPr>
          <w:rFonts w:cs="Times New Roman"/>
          <w:color w:val="000000" w:themeColor="text1"/>
          <w:szCs w:val="24"/>
          <w:shd w:val="clear" w:color="auto" w:fill="FFFFFF"/>
        </w:rPr>
        <w:t>or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D66736">
        <w:rPr>
          <w:rFonts w:cs="Times New Roman"/>
          <w:color w:val="000000" w:themeColor="text1"/>
          <w:szCs w:val="24"/>
          <w:shd w:val="clear" w:color="auto" w:fill="FFFFFF"/>
        </w:rPr>
        <w:t>articles</w:t>
      </w:r>
      <w:r w:rsidRPr="00C317BB" w:rsidR="00DB16EB">
        <w:rPr>
          <w:rFonts w:cs="Times New Roman"/>
          <w:color w:val="000000" w:themeColor="text1"/>
          <w:szCs w:val="24"/>
          <w:shd w:val="clear" w:color="auto" w:fill="FFFFFF"/>
        </w:rPr>
        <w:t>,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DB16EB">
        <w:rPr>
          <w:rFonts w:cs="Times New Roman"/>
          <w:color w:val="000000" w:themeColor="text1"/>
          <w:szCs w:val="24"/>
          <w:shd w:val="clear" w:color="auto" w:fill="FFFFFF"/>
        </w:rPr>
        <w:t>as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DB16EB">
        <w:rPr>
          <w:rFonts w:cs="Times New Roman"/>
          <w:color w:val="000000" w:themeColor="text1"/>
          <w:szCs w:val="24"/>
          <w:shd w:val="clear" w:color="auto" w:fill="FFFFFF"/>
        </w:rPr>
        <w:t>applicable</w:t>
      </w:r>
      <w:r w:rsidRPr="00C317BB" w:rsidR="00D66736">
        <w:rPr>
          <w:rFonts w:cs="Times New Roman"/>
          <w:color w:val="000000" w:themeColor="text1"/>
          <w:szCs w:val="24"/>
          <w:shd w:val="clear" w:color="auto" w:fill="FFFFFF"/>
        </w:rPr>
        <w:t>:</w:t>
      </w:r>
    </w:p>
    <w:p w:rsidRPr="00C317BB" w:rsidR="004E4211" w:rsidP="00D20970" w:rsidRDefault="00D20970" w14:paraId="4CFB6D9D" w14:textId="484A7541">
      <w:pPr>
        <w:rPr>
          <w:rStyle w:val="Strong"/>
          <w:rFonts w:cs="Times New Roman"/>
          <w:b w:val="0"/>
          <w:color w:val="000000" w:themeColor="text1"/>
          <w:szCs w:val="24"/>
        </w:rPr>
      </w:pPr>
      <w:r w:rsidRPr="00C317BB">
        <w:rPr>
          <w:rStyle w:val="Strong"/>
          <w:rFonts w:cs="Times New Roman"/>
          <w:color w:val="000000" w:themeColor="text1"/>
          <w:szCs w:val="24"/>
        </w:rPr>
        <w:tab/>
      </w:r>
      <w:r w:rsidRPr="00C317BB" w:rsidR="00D66736">
        <w:rPr>
          <w:rStyle w:val="Strong"/>
          <w:rFonts w:cs="Times New Roman"/>
          <w:b w:val="0"/>
          <w:color w:val="000000" w:themeColor="text1"/>
          <w:szCs w:val="24"/>
        </w:rPr>
        <w:t>(1)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6E32C6">
        <w:rPr>
          <w:rStyle w:val="Strong"/>
          <w:rFonts w:cs="Times New Roman"/>
          <w:b w:val="0"/>
          <w:color w:val="000000" w:themeColor="text1"/>
          <w:szCs w:val="24"/>
        </w:rPr>
        <w:t>In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6E32C6">
        <w:rPr>
          <w:rStyle w:val="Strong"/>
          <w:rFonts w:cs="Times New Roman"/>
          <w:b w:val="0"/>
          <w:color w:val="000000" w:themeColor="text1"/>
          <w:szCs w:val="24"/>
        </w:rPr>
        <w:t>accordance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6E32C6">
        <w:rPr>
          <w:rStyle w:val="Strong"/>
          <w:rFonts w:cs="Times New Roman"/>
          <w:b w:val="0"/>
          <w:color w:val="000000" w:themeColor="text1"/>
          <w:szCs w:val="24"/>
        </w:rPr>
        <w:t>with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6E32C6">
        <w:rPr>
          <w:rStyle w:val="Strong"/>
          <w:rFonts w:cs="Times New Roman"/>
          <w:b w:val="0"/>
          <w:color w:val="000000" w:themeColor="text1"/>
          <w:szCs w:val="24"/>
        </w:rPr>
        <w:t>t</w:t>
      </w:r>
      <w:r w:rsidRPr="00C317BB" w:rsidR="004E4211">
        <w:rPr>
          <w:rStyle w:val="Strong"/>
          <w:rFonts w:cs="Times New Roman"/>
          <w:b w:val="0"/>
          <w:color w:val="000000" w:themeColor="text1"/>
          <w:szCs w:val="24"/>
        </w:rPr>
        <w:t>he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4E4211">
        <w:rPr>
          <w:rStyle w:val="Strong"/>
          <w:rFonts w:cs="Times New Roman"/>
          <w:b w:val="0"/>
          <w:color w:val="000000" w:themeColor="text1"/>
          <w:szCs w:val="24"/>
        </w:rPr>
        <w:t>Asbestos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4E4211">
        <w:rPr>
          <w:rStyle w:val="Strong"/>
          <w:rFonts w:cs="Times New Roman"/>
          <w:b w:val="0"/>
          <w:color w:val="000000" w:themeColor="text1"/>
          <w:szCs w:val="24"/>
        </w:rPr>
        <w:t>General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4E4211">
        <w:rPr>
          <w:rStyle w:val="Strong"/>
          <w:rFonts w:cs="Times New Roman"/>
          <w:b w:val="0"/>
          <w:color w:val="000000" w:themeColor="text1"/>
          <w:szCs w:val="24"/>
        </w:rPr>
        <w:t>Industry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4E4211">
        <w:rPr>
          <w:rStyle w:val="Strong"/>
          <w:rFonts w:cs="Times New Roman"/>
          <w:b w:val="0"/>
          <w:color w:val="000000" w:themeColor="text1"/>
          <w:szCs w:val="24"/>
        </w:rPr>
        <w:t>Standard—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4E4211">
        <w:rPr>
          <w:rStyle w:val="Strong"/>
          <w:rFonts w:cs="Times New Roman"/>
          <w:b w:val="0"/>
          <w:color w:val="000000" w:themeColor="text1"/>
          <w:szCs w:val="24"/>
        </w:rPr>
        <w:t>(29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4E4211">
        <w:rPr>
          <w:rStyle w:val="Strong"/>
          <w:rFonts w:cs="Times New Roman"/>
          <w:b w:val="0"/>
          <w:color w:val="000000" w:themeColor="text1"/>
          <w:szCs w:val="24"/>
        </w:rPr>
        <w:t>CFR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4E4211">
        <w:rPr>
          <w:rStyle w:val="Strong"/>
          <w:rFonts w:cs="Times New Roman"/>
          <w:b w:val="0"/>
          <w:color w:val="000000" w:themeColor="text1"/>
          <w:szCs w:val="24"/>
        </w:rPr>
        <w:t>1910.1001</w:t>
      </w:r>
      <w:r w:rsidRPr="00C317BB" w:rsidR="00206236">
        <w:rPr>
          <w:rStyle w:val="Strong"/>
          <w:rFonts w:cs="Times New Roman"/>
          <w:b w:val="0"/>
          <w:color w:val="000000" w:themeColor="text1"/>
          <w:szCs w:val="24"/>
        </w:rPr>
        <w:t>(k)</w:t>
      </w:r>
      <w:r w:rsidRPr="00C317BB" w:rsidR="004E4211">
        <w:rPr>
          <w:rStyle w:val="Strong"/>
          <w:rFonts w:cs="Times New Roman"/>
          <w:b w:val="0"/>
          <w:color w:val="000000" w:themeColor="text1"/>
          <w:szCs w:val="24"/>
        </w:rPr>
        <w:t>)</w:t>
      </w:r>
    </w:p>
    <w:p w:rsidRPr="00C317BB" w:rsidR="007E4A94" w:rsidP="00D20970" w:rsidRDefault="00D20970" w14:paraId="23B7BFB9" w14:textId="4961528B">
      <w:pPr>
        <w:rPr>
          <w:rStyle w:val="Strong"/>
          <w:rFonts w:cs="Times New Roman"/>
          <w:b w:val="0"/>
          <w:color w:val="000000" w:themeColor="text1"/>
          <w:szCs w:val="24"/>
        </w:rPr>
      </w:pPr>
      <w:r w:rsidRPr="00C317BB">
        <w:rPr>
          <w:rStyle w:val="Strong"/>
          <w:rFonts w:cs="Times New Roman"/>
          <w:color w:val="000000" w:themeColor="text1"/>
          <w:szCs w:val="24"/>
        </w:rPr>
        <w:tab/>
      </w:r>
      <w:r w:rsidRPr="00C317BB" w:rsidR="007E4A94">
        <w:rPr>
          <w:rFonts w:cs="Times New Roman"/>
          <w:color w:val="000000" w:themeColor="text1"/>
          <w:szCs w:val="24"/>
        </w:rPr>
        <w:t>(2)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E4A94">
        <w:rPr>
          <w:rFonts w:cs="Times New Roman"/>
          <w:color w:val="000000" w:themeColor="text1"/>
          <w:szCs w:val="24"/>
        </w:rPr>
        <w:t>[Reserved]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bookmarkEnd w:id="59"/>
    <w:p w:rsidRPr="00C317BB" w:rsidR="007F36C4" w:rsidP="00F27167" w:rsidRDefault="003011AC" w14:paraId="3C005509" w14:textId="749E7B93">
      <w:pPr>
        <w:rPr>
          <w:rFonts w:cs="Times New Roman"/>
          <w:color w:val="000000" w:themeColor="text1"/>
          <w:szCs w:val="24"/>
          <w:shd w:val="clear" w:color="auto" w:fill="FFFFFF"/>
        </w:rPr>
      </w:pPr>
      <w:r w:rsidRPr="00C317BB">
        <w:rPr>
          <w:rStyle w:val="Strong"/>
          <w:rFonts w:cs="Times New Roman"/>
          <w:b w:val="0"/>
          <w:color w:val="000000" w:themeColor="text1"/>
          <w:szCs w:val="24"/>
        </w:rPr>
        <w:tab/>
      </w:r>
      <w:r w:rsidRPr="00C317BB" w:rsidR="007F36C4">
        <w:rPr>
          <w:rStyle w:val="Strong"/>
          <w:rFonts w:cs="Times New Roman"/>
          <w:b w:val="0"/>
          <w:color w:val="000000" w:themeColor="text1"/>
          <w:szCs w:val="24"/>
        </w:rPr>
        <w:t>(c</w:t>
      </w:r>
      <w:r w:rsidRPr="00C317BB" w:rsidR="007F36C4">
        <w:rPr>
          <w:rFonts w:cs="Times New Roman"/>
          <w:color w:val="000000" w:themeColor="text1"/>
          <w:szCs w:val="24"/>
        </w:rPr>
        <w:t>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36C4">
        <w:rPr>
          <w:rFonts w:cs="Times New Roman"/>
          <w:color w:val="000000" w:themeColor="text1"/>
          <w:szCs w:val="24"/>
        </w:rPr>
        <w:t>After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36C4">
        <w:rPr>
          <w:rFonts w:cs="Times New Roman"/>
          <w:color w:val="000000" w:themeColor="text1"/>
          <w:szCs w:val="24"/>
        </w:rPr>
        <w:t>[</w:t>
      </w:r>
      <w:r w:rsidRPr="00C317BB" w:rsidR="007F36C4">
        <w:rPr>
          <w:rFonts w:cs="Times New Roman"/>
          <w:i/>
          <w:color w:val="000000" w:themeColor="text1"/>
          <w:szCs w:val="24"/>
        </w:rPr>
        <w:t>date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7F36C4">
        <w:rPr>
          <w:rFonts w:cs="Times New Roman"/>
          <w:i/>
          <w:color w:val="000000" w:themeColor="text1"/>
          <w:szCs w:val="24"/>
        </w:rPr>
        <w:t>180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7F36C4">
        <w:rPr>
          <w:rFonts w:cs="Times New Roman"/>
          <w:i/>
          <w:color w:val="000000" w:themeColor="text1"/>
          <w:szCs w:val="24"/>
        </w:rPr>
        <w:t>days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7F36C4">
        <w:rPr>
          <w:rFonts w:cs="Times New Roman"/>
          <w:i/>
          <w:color w:val="000000" w:themeColor="text1"/>
          <w:szCs w:val="24"/>
        </w:rPr>
        <w:t>after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7F36C4">
        <w:rPr>
          <w:rFonts w:cs="Times New Roman"/>
          <w:i/>
          <w:color w:val="000000" w:themeColor="text1"/>
          <w:szCs w:val="24"/>
        </w:rPr>
        <w:t>the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7F36C4">
        <w:rPr>
          <w:rFonts w:cs="Times New Roman"/>
          <w:i/>
          <w:color w:val="000000" w:themeColor="text1"/>
          <w:szCs w:val="24"/>
        </w:rPr>
        <w:t>effective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7F36C4">
        <w:rPr>
          <w:rFonts w:cs="Times New Roman"/>
          <w:i/>
          <w:color w:val="000000" w:themeColor="text1"/>
          <w:szCs w:val="24"/>
        </w:rPr>
        <w:t>date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7F36C4">
        <w:rPr>
          <w:rFonts w:cs="Times New Roman"/>
          <w:i/>
          <w:color w:val="000000" w:themeColor="text1"/>
          <w:szCs w:val="24"/>
        </w:rPr>
        <w:t>of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7F36C4">
        <w:rPr>
          <w:rFonts w:cs="Times New Roman"/>
          <w:i/>
          <w:color w:val="000000" w:themeColor="text1"/>
          <w:szCs w:val="24"/>
        </w:rPr>
        <w:t>the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7F36C4">
        <w:rPr>
          <w:rFonts w:cs="Times New Roman"/>
          <w:i/>
          <w:color w:val="000000" w:themeColor="text1"/>
          <w:szCs w:val="24"/>
        </w:rPr>
        <w:t>final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7F36C4">
        <w:rPr>
          <w:rFonts w:cs="Times New Roman"/>
          <w:i/>
          <w:color w:val="000000" w:themeColor="text1"/>
          <w:szCs w:val="24"/>
        </w:rPr>
        <w:t>rule</w:t>
      </w:r>
      <w:r w:rsidRPr="00C317BB" w:rsidR="007F36C4">
        <w:rPr>
          <w:rFonts w:cs="Times New Roman"/>
          <w:color w:val="000000" w:themeColor="text1"/>
          <w:szCs w:val="24"/>
        </w:rPr>
        <w:t>],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F36C4">
        <w:rPr>
          <w:rFonts w:cs="Times New Roman"/>
          <w:color w:val="000000" w:themeColor="text1"/>
          <w:szCs w:val="24"/>
          <w:shd w:val="clear" w:color="auto" w:fill="FFFFFF"/>
        </w:rPr>
        <w:t>all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F36C4">
        <w:rPr>
          <w:rFonts w:cs="Times New Roman"/>
          <w:color w:val="000000" w:themeColor="text1"/>
          <w:szCs w:val="24"/>
          <w:shd w:val="clear" w:color="auto" w:fill="FFFFFF"/>
        </w:rPr>
        <w:t>persons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F36C4">
        <w:rPr>
          <w:rFonts w:cs="Times New Roman"/>
          <w:color w:val="000000" w:themeColor="text1"/>
          <w:szCs w:val="24"/>
          <w:shd w:val="clear" w:color="auto" w:fill="FFFFFF"/>
        </w:rPr>
        <w:t>disposing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F36C4">
        <w:rPr>
          <w:rFonts w:cs="Times New Roman"/>
          <w:color w:val="000000" w:themeColor="text1"/>
          <w:szCs w:val="24"/>
          <w:shd w:val="clear" w:color="auto" w:fill="FFFFFF"/>
        </w:rPr>
        <w:t>of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F36C4">
        <w:rPr>
          <w:rFonts w:cs="Times New Roman"/>
          <w:color w:val="000000" w:themeColor="text1"/>
          <w:szCs w:val="24"/>
          <w:shd w:val="clear" w:color="auto" w:fill="FFFFFF"/>
        </w:rPr>
        <w:t>chrysotile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F36C4">
        <w:rPr>
          <w:rFonts w:cs="Times New Roman"/>
          <w:color w:val="000000" w:themeColor="text1"/>
          <w:szCs w:val="24"/>
          <w:shd w:val="clear" w:color="auto" w:fill="FFFFFF"/>
        </w:rPr>
        <w:t>asbestos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F36C4">
        <w:rPr>
          <w:rFonts w:cs="Times New Roman"/>
          <w:color w:val="000000" w:themeColor="text1"/>
          <w:szCs w:val="24"/>
          <w:shd w:val="clear" w:color="auto" w:fill="FFFFFF"/>
        </w:rPr>
        <w:t>and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F36C4">
        <w:rPr>
          <w:rFonts w:cs="Times New Roman"/>
          <w:color w:val="000000" w:themeColor="text1"/>
          <w:szCs w:val="24"/>
          <w:shd w:val="clear" w:color="auto" w:fill="FFFFFF"/>
        </w:rPr>
        <w:t>any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F36C4">
        <w:rPr>
          <w:rFonts w:cs="Times New Roman"/>
          <w:color w:val="000000" w:themeColor="text1"/>
          <w:szCs w:val="24"/>
          <w:shd w:val="clear" w:color="auto" w:fill="FFFFFF"/>
        </w:rPr>
        <w:t>chrysotile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F36C4">
        <w:rPr>
          <w:rFonts w:cs="Times New Roman"/>
          <w:color w:val="000000" w:themeColor="text1"/>
          <w:szCs w:val="24"/>
          <w:shd w:val="clear" w:color="auto" w:fill="FFFFFF"/>
        </w:rPr>
        <w:t>asbestos-containing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F36C4">
        <w:rPr>
          <w:rFonts w:cs="Times New Roman"/>
          <w:color w:val="000000" w:themeColor="text1"/>
          <w:szCs w:val="24"/>
          <w:shd w:val="clear" w:color="auto" w:fill="FFFFFF"/>
        </w:rPr>
        <w:t>products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F36C4">
        <w:rPr>
          <w:rFonts w:cs="Times New Roman"/>
          <w:color w:val="000000" w:themeColor="text1"/>
          <w:szCs w:val="24"/>
          <w:shd w:val="clear" w:color="auto" w:fill="FFFFFF"/>
        </w:rPr>
        <w:t>or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F36C4">
        <w:rPr>
          <w:rFonts w:cs="Times New Roman"/>
          <w:color w:val="000000" w:themeColor="text1"/>
          <w:szCs w:val="24"/>
          <w:shd w:val="clear" w:color="auto" w:fill="FFFFFF"/>
        </w:rPr>
        <w:t>articles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F36C4">
        <w:rPr>
          <w:rFonts w:cs="Times New Roman"/>
          <w:color w:val="000000" w:themeColor="text1"/>
          <w:szCs w:val="24"/>
          <w:shd w:val="clear" w:color="auto" w:fill="FFFFFF"/>
        </w:rPr>
        <w:t>subject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F36C4">
        <w:rPr>
          <w:rFonts w:cs="Times New Roman"/>
          <w:color w:val="000000" w:themeColor="text1"/>
          <w:szCs w:val="24"/>
          <w:shd w:val="clear" w:color="auto" w:fill="FFFFFF"/>
        </w:rPr>
        <w:t>to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F36C4">
        <w:rPr>
          <w:rFonts w:cs="Times New Roman"/>
          <w:color w:val="000000" w:themeColor="text1"/>
          <w:szCs w:val="24"/>
          <w:shd w:val="clear" w:color="auto" w:fill="FFFFFF"/>
        </w:rPr>
        <w:t>§</w:t>
      </w:r>
      <w:r w:rsidR="00D20970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F36C4">
        <w:rPr>
          <w:rFonts w:cs="Times New Roman"/>
          <w:color w:val="000000" w:themeColor="text1"/>
          <w:szCs w:val="24"/>
          <w:shd w:val="clear" w:color="auto" w:fill="FFFFFF"/>
        </w:rPr>
        <w:t>751.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F36C4">
        <w:rPr>
          <w:rFonts w:cs="Times New Roman"/>
          <w:color w:val="000000" w:themeColor="text1"/>
          <w:szCs w:val="24"/>
          <w:shd w:val="clear" w:color="auto" w:fill="FFFFFF"/>
        </w:rPr>
        <w:t>X05</w:t>
      </w:r>
      <w:r w:rsidRPr="00C317BB" w:rsidR="00F839BB">
        <w:rPr>
          <w:rFonts w:cs="Times New Roman"/>
          <w:color w:val="000000" w:themeColor="text1"/>
          <w:szCs w:val="24"/>
          <w:shd w:val="clear" w:color="auto" w:fill="FFFFFF"/>
        </w:rPr>
        <w:t>(</w:t>
      </w:r>
      <w:r w:rsidRPr="00C317BB" w:rsidR="007F36C4">
        <w:rPr>
          <w:rFonts w:cs="Times New Roman"/>
          <w:color w:val="000000" w:themeColor="text1"/>
          <w:szCs w:val="24"/>
          <w:shd w:val="clear" w:color="auto" w:fill="FFFFFF"/>
        </w:rPr>
        <w:t>b)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bookmarkStart w:name="_Hlk90452181" w:id="60"/>
      <w:r w:rsidRPr="00C317BB" w:rsidR="007F36C4">
        <w:rPr>
          <w:rFonts w:cs="Times New Roman"/>
          <w:color w:val="000000" w:themeColor="text1"/>
          <w:szCs w:val="24"/>
          <w:shd w:val="clear" w:color="auto" w:fill="FFFFFF"/>
        </w:rPr>
        <w:t>must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F36C4">
        <w:rPr>
          <w:rFonts w:cs="Times New Roman"/>
          <w:color w:val="000000" w:themeColor="text1"/>
          <w:szCs w:val="24"/>
          <w:shd w:val="clear" w:color="auto" w:fill="FFFFFF"/>
        </w:rPr>
        <w:t>dispose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F36C4">
        <w:rPr>
          <w:rFonts w:cs="Times New Roman"/>
          <w:color w:val="000000" w:themeColor="text1"/>
          <w:szCs w:val="24"/>
          <w:shd w:val="clear" w:color="auto" w:fill="FFFFFF"/>
        </w:rPr>
        <w:t>of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F36C4">
        <w:rPr>
          <w:rFonts w:cs="Times New Roman"/>
          <w:color w:val="000000" w:themeColor="text1"/>
          <w:szCs w:val="24"/>
          <w:shd w:val="clear" w:color="auto" w:fill="FFFFFF"/>
        </w:rPr>
        <w:t>chrysotile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F36C4">
        <w:rPr>
          <w:rFonts w:cs="Times New Roman"/>
          <w:color w:val="000000" w:themeColor="text1"/>
          <w:szCs w:val="24"/>
          <w:shd w:val="clear" w:color="auto" w:fill="FFFFFF"/>
        </w:rPr>
        <w:t>asbestos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F36C4">
        <w:rPr>
          <w:rFonts w:cs="Times New Roman"/>
          <w:color w:val="000000" w:themeColor="text1"/>
          <w:szCs w:val="24"/>
          <w:shd w:val="clear" w:color="auto" w:fill="FFFFFF"/>
        </w:rPr>
        <w:t>and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F36C4">
        <w:rPr>
          <w:rFonts w:cs="Times New Roman"/>
          <w:color w:val="000000" w:themeColor="text1"/>
          <w:szCs w:val="24"/>
          <w:shd w:val="clear" w:color="auto" w:fill="FFFFFF"/>
        </w:rPr>
        <w:t>any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F36C4">
        <w:rPr>
          <w:rFonts w:cs="Times New Roman"/>
          <w:color w:val="000000" w:themeColor="text1"/>
          <w:szCs w:val="24"/>
          <w:shd w:val="clear" w:color="auto" w:fill="FFFFFF"/>
        </w:rPr>
        <w:t>chrysotile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F36C4">
        <w:rPr>
          <w:rFonts w:cs="Times New Roman"/>
          <w:color w:val="000000" w:themeColor="text1"/>
          <w:szCs w:val="24"/>
          <w:shd w:val="clear" w:color="auto" w:fill="FFFFFF"/>
        </w:rPr>
        <w:t>asbestos-containing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F36C4">
        <w:rPr>
          <w:rFonts w:cs="Times New Roman"/>
          <w:color w:val="000000" w:themeColor="text1"/>
          <w:szCs w:val="24"/>
          <w:shd w:val="clear" w:color="auto" w:fill="FFFFFF"/>
        </w:rPr>
        <w:t>products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F36C4">
        <w:rPr>
          <w:rFonts w:cs="Times New Roman"/>
          <w:color w:val="000000" w:themeColor="text1"/>
          <w:szCs w:val="24"/>
          <w:shd w:val="clear" w:color="auto" w:fill="FFFFFF"/>
        </w:rPr>
        <w:t>or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F36C4">
        <w:rPr>
          <w:rFonts w:cs="Times New Roman"/>
          <w:color w:val="000000" w:themeColor="text1"/>
          <w:szCs w:val="24"/>
          <w:shd w:val="clear" w:color="auto" w:fill="FFFFFF"/>
        </w:rPr>
        <w:t>articles</w:t>
      </w:r>
      <w:r w:rsidRPr="00C317BB" w:rsidR="001D52A2">
        <w:rPr>
          <w:rFonts w:cs="Times New Roman"/>
          <w:color w:val="000000" w:themeColor="text1"/>
          <w:szCs w:val="24"/>
          <w:shd w:val="clear" w:color="auto" w:fill="FFFFFF"/>
        </w:rPr>
        <w:t>,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1D52A2">
        <w:rPr>
          <w:rFonts w:cs="Times New Roman"/>
          <w:color w:val="000000" w:themeColor="text1"/>
          <w:szCs w:val="24"/>
          <w:shd w:val="clear" w:color="auto" w:fill="FFFFFF"/>
        </w:rPr>
        <w:t>as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1D52A2">
        <w:rPr>
          <w:rFonts w:cs="Times New Roman"/>
          <w:color w:val="000000" w:themeColor="text1"/>
          <w:szCs w:val="24"/>
          <w:shd w:val="clear" w:color="auto" w:fill="FFFFFF"/>
        </w:rPr>
        <w:t>applicable: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</w:p>
    <w:p w:rsidRPr="00C317BB" w:rsidR="007F36C4" w:rsidP="00D20970" w:rsidRDefault="00D20970" w14:paraId="73CB086B" w14:textId="7B6F7E41">
      <w:pPr>
        <w:rPr>
          <w:rStyle w:val="Strong"/>
          <w:rFonts w:cs="Times New Roman"/>
          <w:b w:val="0"/>
          <w:color w:val="000000" w:themeColor="text1"/>
          <w:szCs w:val="24"/>
        </w:rPr>
      </w:pPr>
      <w:r w:rsidRPr="00C317BB">
        <w:rPr>
          <w:rStyle w:val="Strong"/>
          <w:rFonts w:cs="Times New Roman"/>
          <w:color w:val="000000" w:themeColor="text1"/>
          <w:szCs w:val="24"/>
        </w:rPr>
        <w:tab/>
      </w:r>
      <w:r w:rsidRPr="00C317BB" w:rsidR="007F36C4">
        <w:rPr>
          <w:rStyle w:val="Strong"/>
          <w:rFonts w:cs="Times New Roman"/>
          <w:b w:val="0"/>
          <w:color w:val="000000" w:themeColor="text1"/>
          <w:szCs w:val="24"/>
        </w:rPr>
        <w:t>(1)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1D52A2">
        <w:rPr>
          <w:rFonts w:cs="Times New Roman"/>
          <w:color w:val="000000" w:themeColor="text1"/>
          <w:szCs w:val="24"/>
          <w:shd w:val="clear" w:color="auto" w:fill="FFFFFF"/>
        </w:rPr>
        <w:t>In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1D52A2">
        <w:rPr>
          <w:rFonts w:cs="Times New Roman"/>
          <w:color w:val="000000" w:themeColor="text1"/>
          <w:szCs w:val="24"/>
          <w:shd w:val="clear" w:color="auto" w:fill="FFFFFF"/>
        </w:rPr>
        <w:t>accordance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1D52A2">
        <w:rPr>
          <w:rFonts w:cs="Times New Roman"/>
          <w:color w:val="000000" w:themeColor="text1"/>
          <w:szCs w:val="24"/>
          <w:shd w:val="clear" w:color="auto" w:fill="FFFFFF"/>
        </w:rPr>
        <w:t>with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1D52A2">
        <w:rPr>
          <w:rStyle w:val="Strong"/>
          <w:rFonts w:cs="Times New Roman"/>
          <w:b w:val="0"/>
          <w:color w:val="000000" w:themeColor="text1"/>
          <w:szCs w:val="24"/>
        </w:rPr>
        <w:t>t</w:t>
      </w:r>
      <w:r w:rsidRPr="00C317BB" w:rsidR="007F36C4">
        <w:rPr>
          <w:rStyle w:val="Strong"/>
          <w:rFonts w:cs="Times New Roman"/>
          <w:b w:val="0"/>
          <w:color w:val="000000" w:themeColor="text1"/>
          <w:szCs w:val="24"/>
        </w:rPr>
        <w:t>he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7F36C4">
        <w:rPr>
          <w:rStyle w:val="Strong"/>
          <w:rFonts w:cs="Times New Roman"/>
          <w:b w:val="0"/>
          <w:color w:val="000000" w:themeColor="text1"/>
          <w:szCs w:val="24"/>
        </w:rPr>
        <w:t>Asbestos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7F36C4">
        <w:rPr>
          <w:rStyle w:val="Strong"/>
          <w:rFonts w:cs="Times New Roman"/>
          <w:b w:val="0"/>
          <w:color w:val="000000" w:themeColor="text1"/>
          <w:szCs w:val="24"/>
        </w:rPr>
        <w:t>General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7F36C4">
        <w:rPr>
          <w:rStyle w:val="Strong"/>
          <w:rFonts w:cs="Times New Roman"/>
          <w:b w:val="0"/>
          <w:color w:val="000000" w:themeColor="text1"/>
          <w:szCs w:val="24"/>
        </w:rPr>
        <w:t>Industry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7F36C4">
        <w:rPr>
          <w:rStyle w:val="Strong"/>
          <w:rFonts w:cs="Times New Roman"/>
          <w:b w:val="0"/>
          <w:color w:val="000000" w:themeColor="text1"/>
          <w:szCs w:val="24"/>
        </w:rPr>
        <w:t>Standard—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7F36C4">
        <w:rPr>
          <w:rStyle w:val="Strong"/>
          <w:rFonts w:cs="Times New Roman"/>
          <w:b w:val="0"/>
          <w:color w:val="000000" w:themeColor="text1"/>
          <w:szCs w:val="24"/>
        </w:rPr>
        <w:t>(29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7F36C4">
        <w:rPr>
          <w:rStyle w:val="Strong"/>
          <w:rFonts w:cs="Times New Roman"/>
          <w:b w:val="0"/>
          <w:color w:val="000000" w:themeColor="text1"/>
          <w:szCs w:val="24"/>
        </w:rPr>
        <w:t>CFR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7F36C4">
        <w:rPr>
          <w:rStyle w:val="Strong"/>
          <w:rFonts w:cs="Times New Roman"/>
          <w:b w:val="0"/>
          <w:color w:val="000000" w:themeColor="text1"/>
          <w:szCs w:val="24"/>
        </w:rPr>
        <w:t>1910.1001(k))</w:t>
      </w:r>
      <w:r w:rsidRPr="00C317BB" w:rsidR="001D52A2">
        <w:rPr>
          <w:rStyle w:val="Strong"/>
          <w:rFonts w:cs="Times New Roman"/>
          <w:b w:val="0"/>
          <w:color w:val="000000" w:themeColor="text1"/>
          <w:szCs w:val="24"/>
        </w:rPr>
        <w:t>.</w:t>
      </w:r>
    </w:p>
    <w:p w:rsidRPr="00C317BB" w:rsidR="007F36C4" w:rsidP="00D20970" w:rsidRDefault="00D20970" w14:paraId="2548AE62" w14:textId="5929CED4">
      <w:pPr>
        <w:rPr>
          <w:rStyle w:val="Strong"/>
          <w:rFonts w:cs="Times New Roman"/>
          <w:b w:val="0"/>
          <w:color w:val="000000" w:themeColor="text1"/>
          <w:szCs w:val="24"/>
        </w:rPr>
      </w:pPr>
      <w:r w:rsidRPr="00C317BB">
        <w:rPr>
          <w:rStyle w:val="Strong"/>
          <w:rFonts w:cs="Times New Roman"/>
          <w:color w:val="000000" w:themeColor="text1"/>
          <w:szCs w:val="24"/>
        </w:rPr>
        <w:tab/>
      </w:r>
      <w:r w:rsidRPr="00C317BB" w:rsidR="007F36C4">
        <w:rPr>
          <w:rStyle w:val="Strong"/>
          <w:rFonts w:cs="Times New Roman"/>
          <w:b w:val="0"/>
          <w:color w:val="000000" w:themeColor="text1"/>
          <w:szCs w:val="24"/>
        </w:rPr>
        <w:t>(2)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7F36C4">
        <w:rPr>
          <w:rStyle w:val="CommentReference"/>
          <w:rFonts w:cs="Times New Roman"/>
          <w:color w:val="000000" w:themeColor="text1"/>
          <w:sz w:val="24"/>
          <w:szCs w:val="24"/>
        </w:rPr>
        <w:t>In</w:t>
      </w:r>
      <w:r w:rsidR="005613B2">
        <w:rPr>
          <w:rStyle w:val="CommentReference"/>
          <w:rFonts w:cs="Times New Roman"/>
          <w:color w:val="000000" w:themeColor="text1"/>
          <w:sz w:val="24"/>
          <w:szCs w:val="24"/>
        </w:rPr>
        <w:t xml:space="preserve"> </w:t>
      </w:r>
      <w:r w:rsidRPr="00C317BB" w:rsidR="007F36C4">
        <w:rPr>
          <w:rStyle w:val="CommentReference"/>
          <w:rFonts w:cs="Times New Roman"/>
          <w:color w:val="000000" w:themeColor="text1"/>
          <w:sz w:val="24"/>
          <w:szCs w:val="24"/>
        </w:rPr>
        <w:t>conformance</w:t>
      </w:r>
      <w:r w:rsidR="005613B2">
        <w:rPr>
          <w:rStyle w:val="CommentReference"/>
          <w:rFonts w:cs="Times New Roman"/>
          <w:color w:val="000000" w:themeColor="text1"/>
          <w:sz w:val="24"/>
          <w:szCs w:val="24"/>
        </w:rPr>
        <w:t xml:space="preserve"> </w:t>
      </w:r>
      <w:r w:rsidRPr="00C317BB" w:rsidR="007F36C4">
        <w:rPr>
          <w:rStyle w:val="CommentReference"/>
          <w:rFonts w:cs="Times New Roman"/>
          <w:color w:val="000000" w:themeColor="text1"/>
          <w:sz w:val="24"/>
          <w:szCs w:val="24"/>
        </w:rPr>
        <w:t>with</w:t>
      </w:r>
      <w:r w:rsidR="005613B2">
        <w:rPr>
          <w:rStyle w:val="CommentReference"/>
          <w:rFonts w:cs="Times New Roman"/>
          <w:color w:val="000000" w:themeColor="text1"/>
          <w:sz w:val="24"/>
          <w:szCs w:val="24"/>
        </w:rPr>
        <w:t xml:space="preserve"> </w:t>
      </w:r>
      <w:r w:rsidRPr="00C317BB" w:rsidR="007F36C4">
        <w:rPr>
          <w:rStyle w:val="CommentReference"/>
          <w:rFonts w:cs="Times New Roman"/>
          <w:color w:val="000000" w:themeColor="text1"/>
          <w:sz w:val="24"/>
          <w:szCs w:val="24"/>
        </w:rPr>
        <w:t>the</w:t>
      </w:r>
      <w:r w:rsidR="005613B2">
        <w:rPr>
          <w:rStyle w:val="CommentReference"/>
          <w:rFonts w:cs="Times New Roman"/>
          <w:color w:val="000000" w:themeColor="text1"/>
          <w:sz w:val="24"/>
          <w:szCs w:val="24"/>
        </w:rPr>
        <w:t xml:space="preserve"> </w:t>
      </w:r>
      <w:r w:rsidRPr="00C317BB" w:rsidR="007F36C4">
        <w:rPr>
          <w:rStyle w:val="CommentReference"/>
          <w:rFonts w:cs="Times New Roman"/>
          <w:color w:val="000000" w:themeColor="text1"/>
          <w:sz w:val="24"/>
          <w:szCs w:val="24"/>
        </w:rPr>
        <w:t>asbestos</w:t>
      </w:r>
      <w:r w:rsidR="005613B2">
        <w:rPr>
          <w:rStyle w:val="CommentReference"/>
          <w:rFonts w:cs="Times New Roman"/>
          <w:color w:val="000000" w:themeColor="text1"/>
          <w:sz w:val="24"/>
          <w:szCs w:val="24"/>
        </w:rPr>
        <w:t xml:space="preserve"> </w:t>
      </w:r>
      <w:r w:rsidRPr="00C317BB" w:rsidR="007F36C4">
        <w:rPr>
          <w:rStyle w:val="CommentReference"/>
          <w:rFonts w:cs="Times New Roman"/>
          <w:color w:val="000000" w:themeColor="text1"/>
          <w:sz w:val="24"/>
          <w:szCs w:val="24"/>
        </w:rPr>
        <w:t>waste</w:t>
      </w:r>
      <w:r w:rsidR="005613B2">
        <w:rPr>
          <w:rStyle w:val="CommentReference"/>
          <w:rFonts w:cs="Times New Roman"/>
          <w:color w:val="000000" w:themeColor="text1"/>
          <w:sz w:val="24"/>
          <w:szCs w:val="24"/>
        </w:rPr>
        <w:t xml:space="preserve"> </w:t>
      </w:r>
      <w:r w:rsidRPr="00C317BB" w:rsidR="007F36C4">
        <w:rPr>
          <w:rStyle w:val="CommentReference"/>
          <w:rFonts w:cs="Times New Roman"/>
          <w:color w:val="000000" w:themeColor="text1"/>
          <w:sz w:val="24"/>
          <w:szCs w:val="24"/>
        </w:rPr>
        <w:t>disposal</w:t>
      </w:r>
      <w:r w:rsidR="005613B2">
        <w:rPr>
          <w:rStyle w:val="CommentReference"/>
          <w:rFonts w:cs="Times New Roman"/>
          <w:color w:val="000000" w:themeColor="text1"/>
          <w:sz w:val="24"/>
          <w:szCs w:val="24"/>
        </w:rPr>
        <w:t xml:space="preserve"> </w:t>
      </w:r>
      <w:r w:rsidRPr="00C317BB" w:rsidR="007F36C4">
        <w:rPr>
          <w:rStyle w:val="CommentReference"/>
          <w:rFonts w:cs="Times New Roman"/>
          <w:color w:val="000000" w:themeColor="text1"/>
          <w:sz w:val="24"/>
          <w:szCs w:val="24"/>
        </w:rPr>
        <w:t>requirements</w:t>
      </w:r>
      <w:r w:rsidR="005613B2">
        <w:rPr>
          <w:rStyle w:val="CommentReference"/>
          <w:rFonts w:cs="Times New Roman"/>
          <w:color w:val="000000" w:themeColor="text1"/>
          <w:sz w:val="24"/>
          <w:szCs w:val="24"/>
        </w:rPr>
        <w:t xml:space="preserve"> </w:t>
      </w:r>
      <w:r w:rsidRPr="00C317BB" w:rsidR="007F36C4">
        <w:rPr>
          <w:rStyle w:val="CommentReference"/>
          <w:rFonts w:cs="Times New Roman"/>
          <w:color w:val="000000" w:themeColor="text1"/>
          <w:sz w:val="24"/>
          <w:szCs w:val="24"/>
        </w:rPr>
        <w:t>at</w:t>
      </w:r>
      <w:r w:rsidR="005613B2">
        <w:rPr>
          <w:rStyle w:val="CommentReference"/>
          <w:rFonts w:cs="Times New Roman"/>
          <w:color w:val="000000" w:themeColor="text1"/>
          <w:sz w:val="24"/>
          <w:szCs w:val="24"/>
        </w:rPr>
        <w:t xml:space="preserve"> </w:t>
      </w:r>
      <w:r w:rsidRPr="00C317BB" w:rsidR="007F36C4">
        <w:rPr>
          <w:rStyle w:val="CommentReference"/>
          <w:rFonts w:cs="Times New Roman"/>
          <w:color w:val="000000" w:themeColor="text1"/>
          <w:sz w:val="24"/>
          <w:szCs w:val="24"/>
        </w:rPr>
        <w:t>40</w:t>
      </w:r>
      <w:r w:rsidR="005613B2">
        <w:rPr>
          <w:rStyle w:val="CommentReference"/>
          <w:rFonts w:cs="Times New Roman"/>
          <w:color w:val="000000" w:themeColor="text1"/>
          <w:sz w:val="24"/>
          <w:szCs w:val="24"/>
        </w:rPr>
        <w:t xml:space="preserve"> </w:t>
      </w:r>
      <w:r w:rsidRPr="00C317BB" w:rsidR="007F36C4">
        <w:rPr>
          <w:rStyle w:val="CommentReference"/>
          <w:rFonts w:cs="Times New Roman"/>
          <w:color w:val="000000" w:themeColor="text1"/>
          <w:sz w:val="24"/>
          <w:szCs w:val="24"/>
        </w:rPr>
        <w:t>CFR</w:t>
      </w:r>
      <w:r w:rsidR="005613B2">
        <w:rPr>
          <w:rStyle w:val="CommentReference"/>
          <w:rFonts w:cs="Times New Roman"/>
          <w:color w:val="000000" w:themeColor="text1"/>
          <w:sz w:val="24"/>
          <w:szCs w:val="24"/>
        </w:rPr>
        <w:t xml:space="preserve"> </w:t>
      </w:r>
      <w:r w:rsidRPr="00C317BB" w:rsidR="007F36C4">
        <w:rPr>
          <w:rStyle w:val="CommentReference"/>
          <w:rFonts w:cs="Times New Roman"/>
          <w:color w:val="000000" w:themeColor="text1"/>
          <w:sz w:val="24"/>
          <w:szCs w:val="24"/>
        </w:rPr>
        <w:t>61.150</w:t>
      </w:r>
      <w:r w:rsidRPr="00C317BB" w:rsidR="001D52A2">
        <w:rPr>
          <w:rStyle w:val="CommentReference"/>
          <w:rFonts w:cs="Times New Roman"/>
          <w:color w:val="000000" w:themeColor="text1"/>
          <w:sz w:val="24"/>
          <w:szCs w:val="24"/>
        </w:rPr>
        <w:t>.</w:t>
      </w:r>
      <w:r w:rsidR="005613B2">
        <w:rPr>
          <w:rStyle w:val="CommentReference"/>
          <w:rFonts w:cs="Times New Roman"/>
          <w:color w:val="000000" w:themeColor="text1"/>
          <w:sz w:val="24"/>
          <w:szCs w:val="24"/>
        </w:rPr>
        <w:t xml:space="preserve"> </w:t>
      </w:r>
    </w:p>
    <w:bookmarkEnd w:id="60"/>
    <w:p w:rsidRPr="00C317BB" w:rsidR="00655A98" w:rsidP="00F27167" w:rsidRDefault="003011AC" w14:paraId="048DF8CC" w14:textId="7EF7994E">
      <w:pPr>
        <w:rPr>
          <w:rStyle w:val="Strong"/>
          <w:rFonts w:cs="Times New Roman"/>
          <w:b w:val="0"/>
          <w:color w:val="000000" w:themeColor="text1"/>
          <w:szCs w:val="24"/>
        </w:rPr>
      </w:pPr>
      <w:r w:rsidRPr="00C317BB">
        <w:rPr>
          <w:rStyle w:val="Strong"/>
          <w:rFonts w:cs="Times New Roman"/>
          <w:b w:val="0"/>
          <w:color w:val="000000" w:themeColor="text1"/>
          <w:szCs w:val="24"/>
        </w:rPr>
        <w:tab/>
      </w:r>
      <w:r w:rsidRPr="00C317BB" w:rsidR="00DD6811">
        <w:rPr>
          <w:rStyle w:val="Strong"/>
          <w:rFonts w:cs="Times New Roman"/>
          <w:b w:val="0"/>
          <w:color w:val="000000" w:themeColor="text1"/>
          <w:szCs w:val="24"/>
        </w:rPr>
        <w:t>(</w:t>
      </w:r>
      <w:r w:rsidRPr="00C317BB" w:rsidR="007F36C4">
        <w:rPr>
          <w:rStyle w:val="Strong"/>
          <w:rFonts w:cs="Times New Roman"/>
          <w:b w:val="0"/>
          <w:color w:val="000000" w:themeColor="text1"/>
          <w:szCs w:val="24"/>
        </w:rPr>
        <w:t>d</w:t>
      </w:r>
      <w:r w:rsidRPr="00C317BB" w:rsidR="00DD6811">
        <w:rPr>
          <w:rStyle w:val="Strong"/>
          <w:rFonts w:cs="Times New Roman"/>
          <w:b w:val="0"/>
          <w:color w:val="000000" w:themeColor="text1"/>
          <w:szCs w:val="24"/>
        </w:rPr>
        <w:t>)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655A98">
        <w:rPr>
          <w:rStyle w:val="Strong"/>
          <w:rFonts w:cs="Times New Roman"/>
          <w:b w:val="0"/>
          <w:color w:val="000000" w:themeColor="text1"/>
          <w:szCs w:val="24"/>
        </w:rPr>
        <w:t>After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655A98">
        <w:rPr>
          <w:rStyle w:val="Strong"/>
          <w:rFonts w:cs="Times New Roman"/>
          <w:b w:val="0"/>
          <w:color w:val="000000" w:themeColor="text1"/>
          <w:szCs w:val="24"/>
        </w:rPr>
        <w:t>[</w:t>
      </w:r>
      <w:r w:rsidRPr="00C317BB" w:rsidR="00655A98">
        <w:rPr>
          <w:rStyle w:val="Strong"/>
          <w:rFonts w:cs="Times New Roman"/>
          <w:b w:val="0"/>
          <w:i/>
          <w:color w:val="000000" w:themeColor="text1"/>
          <w:szCs w:val="24"/>
        </w:rPr>
        <w:t>date</w:t>
      </w:r>
      <w:r w:rsidR="005613B2">
        <w:rPr>
          <w:rStyle w:val="Strong"/>
          <w:rFonts w:cs="Times New Roman"/>
          <w:b w:val="0"/>
          <w:i/>
          <w:color w:val="000000" w:themeColor="text1"/>
          <w:szCs w:val="24"/>
        </w:rPr>
        <w:t xml:space="preserve"> </w:t>
      </w:r>
      <w:r w:rsidRPr="00C317BB" w:rsidR="00655A98">
        <w:rPr>
          <w:rStyle w:val="Strong"/>
          <w:rFonts w:cs="Times New Roman"/>
          <w:b w:val="0"/>
          <w:i/>
          <w:color w:val="000000" w:themeColor="text1"/>
          <w:szCs w:val="24"/>
        </w:rPr>
        <w:t>180</w:t>
      </w:r>
      <w:r w:rsidR="005613B2">
        <w:rPr>
          <w:rStyle w:val="Strong"/>
          <w:rFonts w:cs="Times New Roman"/>
          <w:b w:val="0"/>
          <w:i/>
          <w:color w:val="000000" w:themeColor="text1"/>
          <w:szCs w:val="24"/>
        </w:rPr>
        <w:t xml:space="preserve"> </w:t>
      </w:r>
      <w:r w:rsidRPr="00C317BB" w:rsidR="00655A98">
        <w:rPr>
          <w:rStyle w:val="Strong"/>
          <w:rFonts w:cs="Times New Roman"/>
          <w:b w:val="0"/>
          <w:i/>
          <w:color w:val="000000" w:themeColor="text1"/>
          <w:szCs w:val="24"/>
        </w:rPr>
        <w:t>days</w:t>
      </w:r>
      <w:r w:rsidR="005613B2">
        <w:rPr>
          <w:rStyle w:val="Strong"/>
          <w:rFonts w:cs="Times New Roman"/>
          <w:b w:val="0"/>
          <w:i/>
          <w:color w:val="000000" w:themeColor="text1"/>
          <w:szCs w:val="24"/>
        </w:rPr>
        <w:t xml:space="preserve"> </w:t>
      </w:r>
      <w:r w:rsidRPr="00C317BB" w:rsidR="00655A98">
        <w:rPr>
          <w:rStyle w:val="Strong"/>
          <w:rFonts w:cs="Times New Roman"/>
          <w:b w:val="0"/>
          <w:i/>
          <w:color w:val="000000" w:themeColor="text1"/>
          <w:szCs w:val="24"/>
        </w:rPr>
        <w:t>after</w:t>
      </w:r>
      <w:r w:rsidR="005613B2">
        <w:rPr>
          <w:rStyle w:val="Strong"/>
          <w:rFonts w:cs="Times New Roman"/>
          <w:b w:val="0"/>
          <w:i/>
          <w:color w:val="000000" w:themeColor="text1"/>
          <w:szCs w:val="24"/>
        </w:rPr>
        <w:t xml:space="preserve"> </w:t>
      </w:r>
      <w:r w:rsidRPr="00C317BB" w:rsidR="00655A98">
        <w:rPr>
          <w:rStyle w:val="Strong"/>
          <w:rFonts w:cs="Times New Roman"/>
          <w:b w:val="0"/>
          <w:i/>
          <w:color w:val="000000" w:themeColor="text1"/>
          <w:szCs w:val="24"/>
        </w:rPr>
        <w:t>the</w:t>
      </w:r>
      <w:r w:rsidR="005613B2">
        <w:rPr>
          <w:rStyle w:val="Strong"/>
          <w:rFonts w:cs="Times New Roman"/>
          <w:b w:val="0"/>
          <w:i/>
          <w:color w:val="000000" w:themeColor="text1"/>
          <w:szCs w:val="24"/>
        </w:rPr>
        <w:t xml:space="preserve"> </w:t>
      </w:r>
      <w:r w:rsidRPr="00C317BB" w:rsidR="000E78B3">
        <w:rPr>
          <w:rStyle w:val="Strong"/>
          <w:rFonts w:cs="Times New Roman"/>
          <w:b w:val="0"/>
          <w:i/>
          <w:color w:val="000000" w:themeColor="text1"/>
          <w:szCs w:val="24"/>
        </w:rPr>
        <w:t>effective</w:t>
      </w:r>
      <w:r w:rsidR="005613B2">
        <w:rPr>
          <w:rStyle w:val="Strong"/>
          <w:rFonts w:cs="Times New Roman"/>
          <w:b w:val="0"/>
          <w:i/>
          <w:color w:val="000000" w:themeColor="text1"/>
          <w:szCs w:val="24"/>
        </w:rPr>
        <w:t xml:space="preserve"> </w:t>
      </w:r>
      <w:r w:rsidRPr="00C317BB" w:rsidR="000E78B3">
        <w:rPr>
          <w:rStyle w:val="Strong"/>
          <w:rFonts w:cs="Times New Roman"/>
          <w:b w:val="0"/>
          <w:i/>
          <w:color w:val="000000" w:themeColor="text1"/>
          <w:szCs w:val="24"/>
        </w:rPr>
        <w:t>date</w:t>
      </w:r>
      <w:r w:rsidR="005613B2">
        <w:rPr>
          <w:rStyle w:val="Strong"/>
          <w:rFonts w:cs="Times New Roman"/>
          <w:b w:val="0"/>
          <w:i/>
          <w:color w:val="000000" w:themeColor="text1"/>
          <w:szCs w:val="24"/>
        </w:rPr>
        <w:t xml:space="preserve"> </w:t>
      </w:r>
      <w:r w:rsidRPr="00C317BB" w:rsidR="00655A98">
        <w:rPr>
          <w:rStyle w:val="Strong"/>
          <w:rFonts w:cs="Times New Roman"/>
          <w:b w:val="0"/>
          <w:i/>
          <w:color w:val="000000" w:themeColor="text1"/>
          <w:szCs w:val="24"/>
        </w:rPr>
        <w:t>of</w:t>
      </w:r>
      <w:r w:rsidR="005613B2">
        <w:rPr>
          <w:rStyle w:val="Strong"/>
          <w:rFonts w:cs="Times New Roman"/>
          <w:b w:val="0"/>
          <w:i/>
          <w:color w:val="000000" w:themeColor="text1"/>
          <w:szCs w:val="24"/>
        </w:rPr>
        <w:t xml:space="preserve"> </w:t>
      </w:r>
      <w:r w:rsidRPr="00C317BB" w:rsidR="00655A98">
        <w:rPr>
          <w:rStyle w:val="Strong"/>
          <w:rFonts w:cs="Times New Roman"/>
          <w:b w:val="0"/>
          <w:i/>
          <w:color w:val="000000" w:themeColor="text1"/>
          <w:szCs w:val="24"/>
        </w:rPr>
        <w:t>the</w:t>
      </w:r>
      <w:r w:rsidR="005613B2">
        <w:rPr>
          <w:rStyle w:val="Strong"/>
          <w:rFonts w:cs="Times New Roman"/>
          <w:b w:val="0"/>
          <w:i/>
          <w:color w:val="000000" w:themeColor="text1"/>
          <w:szCs w:val="24"/>
        </w:rPr>
        <w:t xml:space="preserve"> </w:t>
      </w:r>
      <w:r w:rsidRPr="00C317BB" w:rsidR="00655A98">
        <w:rPr>
          <w:rStyle w:val="Strong"/>
          <w:rFonts w:cs="Times New Roman"/>
          <w:b w:val="0"/>
          <w:i/>
          <w:color w:val="000000" w:themeColor="text1"/>
          <w:szCs w:val="24"/>
        </w:rPr>
        <w:t>final</w:t>
      </w:r>
      <w:r w:rsidR="005613B2">
        <w:rPr>
          <w:rStyle w:val="Strong"/>
          <w:rFonts w:cs="Times New Roman"/>
          <w:b w:val="0"/>
          <w:i/>
          <w:color w:val="000000" w:themeColor="text1"/>
          <w:szCs w:val="24"/>
        </w:rPr>
        <w:t xml:space="preserve"> </w:t>
      </w:r>
      <w:r w:rsidRPr="00C317BB" w:rsidR="00655A98">
        <w:rPr>
          <w:rStyle w:val="Strong"/>
          <w:rFonts w:cs="Times New Roman"/>
          <w:b w:val="0"/>
          <w:i/>
          <w:color w:val="000000" w:themeColor="text1"/>
          <w:szCs w:val="24"/>
        </w:rPr>
        <w:t>rule</w:t>
      </w:r>
      <w:r w:rsidRPr="00C317BB" w:rsidR="00655A98">
        <w:rPr>
          <w:rStyle w:val="Strong"/>
          <w:rFonts w:cs="Times New Roman"/>
          <w:b w:val="0"/>
          <w:color w:val="000000" w:themeColor="text1"/>
          <w:szCs w:val="24"/>
        </w:rPr>
        <w:t>],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655A98">
        <w:rPr>
          <w:rStyle w:val="Strong"/>
          <w:rFonts w:cs="Times New Roman"/>
          <w:b w:val="0"/>
          <w:color w:val="000000" w:themeColor="text1"/>
          <w:szCs w:val="24"/>
        </w:rPr>
        <w:t>each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655A98">
        <w:rPr>
          <w:rStyle w:val="Strong"/>
          <w:rFonts w:cs="Times New Roman"/>
          <w:b w:val="0"/>
          <w:color w:val="000000" w:themeColor="text1"/>
          <w:szCs w:val="24"/>
        </w:rPr>
        <w:t>manufacturer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655A98">
        <w:rPr>
          <w:rStyle w:val="Strong"/>
          <w:rFonts w:cs="Times New Roman"/>
          <w:b w:val="0"/>
          <w:color w:val="000000" w:themeColor="text1"/>
          <w:szCs w:val="24"/>
        </w:rPr>
        <w:t>(including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655A98">
        <w:rPr>
          <w:rStyle w:val="Strong"/>
          <w:rFonts w:cs="Times New Roman"/>
          <w:b w:val="0"/>
          <w:color w:val="000000" w:themeColor="text1"/>
          <w:szCs w:val="24"/>
        </w:rPr>
        <w:t>importer),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655A98">
        <w:rPr>
          <w:rStyle w:val="Strong"/>
          <w:rFonts w:cs="Times New Roman"/>
          <w:b w:val="0"/>
          <w:color w:val="000000" w:themeColor="text1"/>
          <w:szCs w:val="24"/>
        </w:rPr>
        <w:t>processor,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655A98">
        <w:rPr>
          <w:rStyle w:val="Strong"/>
          <w:rFonts w:cs="Times New Roman"/>
          <w:b w:val="0"/>
          <w:color w:val="000000" w:themeColor="text1"/>
          <w:szCs w:val="24"/>
        </w:rPr>
        <w:t>and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655A98">
        <w:rPr>
          <w:rStyle w:val="Strong"/>
          <w:rFonts w:cs="Times New Roman"/>
          <w:b w:val="0"/>
          <w:color w:val="000000" w:themeColor="text1"/>
          <w:szCs w:val="24"/>
        </w:rPr>
        <w:t>distributor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655A98">
        <w:rPr>
          <w:rStyle w:val="Strong"/>
          <w:rFonts w:cs="Times New Roman"/>
          <w:b w:val="0"/>
          <w:color w:val="000000" w:themeColor="text1"/>
          <w:szCs w:val="24"/>
        </w:rPr>
        <w:t>of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655A98">
        <w:rPr>
          <w:rStyle w:val="Strong"/>
          <w:rFonts w:cs="Times New Roman"/>
          <w:b w:val="0"/>
          <w:color w:val="000000" w:themeColor="text1"/>
          <w:szCs w:val="24"/>
        </w:rPr>
        <w:t>chrysotile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655A98">
        <w:rPr>
          <w:rStyle w:val="Strong"/>
          <w:rFonts w:cs="Times New Roman"/>
          <w:b w:val="0"/>
          <w:color w:val="000000" w:themeColor="text1"/>
          <w:szCs w:val="24"/>
        </w:rPr>
        <w:t>asbestos,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655A98">
        <w:rPr>
          <w:rStyle w:val="Strong"/>
          <w:rFonts w:cs="Times New Roman"/>
          <w:b w:val="0"/>
          <w:color w:val="000000" w:themeColor="text1"/>
          <w:szCs w:val="24"/>
        </w:rPr>
        <w:t>including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655A98">
        <w:rPr>
          <w:rStyle w:val="Strong"/>
          <w:rFonts w:cs="Times New Roman"/>
          <w:b w:val="0"/>
          <w:color w:val="000000" w:themeColor="text1"/>
          <w:szCs w:val="24"/>
        </w:rPr>
        <w:t>any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655A98">
        <w:rPr>
          <w:rStyle w:val="Strong"/>
          <w:rFonts w:cs="Times New Roman"/>
          <w:b w:val="0"/>
          <w:color w:val="000000" w:themeColor="text1"/>
          <w:szCs w:val="24"/>
        </w:rPr>
        <w:t>chrysotile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655A98">
        <w:rPr>
          <w:rStyle w:val="Strong"/>
          <w:rFonts w:cs="Times New Roman"/>
          <w:b w:val="0"/>
          <w:color w:val="000000" w:themeColor="text1"/>
          <w:szCs w:val="24"/>
        </w:rPr>
        <w:t>asbestos-containing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655A98">
        <w:rPr>
          <w:rStyle w:val="Strong"/>
          <w:rFonts w:cs="Times New Roman"/>
          <w:b w:val="0"/>
          <w:color w:val="000000" w:themeColor="text1"/>
          <w:szCs w:val="24"/>
        </w:rPr>
        <w:t>products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655A98">
        <w:rPr>
          <w:rStyle w:val="Strong"/>
          <w:rFonts w:cs="Times New Roman"/>
          <w:b w:val="0"/>
          <w:color w:val="000000" w:themeColor="text1"/>
          <w:szCs w:val="24"/>
        </w:rPr>
        <w:t>or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655A98">
        <w:rPr>
          <w:rStyle w:val="Strong"/>
          <w:rFonts w:cs="Times New Roman"/>
          <w:b w:val="0"/>
          <w:color w:val="000000" w:themeColor="text1"/>
          <w:szCs w:val="24"/>
        </w:rPr>
        <w:t>articles,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655A98">
        <w:rPr>
          <w:rStyle w:val="Strong"/>
          <w:rFonts w:cs="Times New Roman"/>
          <w:b w:val="0"/>
          <w:color w:val="000000" w:themeColor="text1"/>
          <w:szCs w:val="24"/>
        </w:rPr>
        <w:t>for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655A98">
        <w:rPr>
          <w:rStyle w:val="Strong"/>
          <w:rFonts w:cs="Times New Roman"/>
          <w:b w:val="0"/>
          <w:color w:val="000000" w:themeColor="text1"/>
          <w:szCs w:val="24"/>
        </w:rPr>
        <w:t>consumer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655A98">
        <w:rPr>
          <w:rStyle w:val="Strong"/>
          <w:rFonts w:cs="Times New Roman"/>
          <w:b w:val="0"/>
          <w:color w:val="000000" w:themeColor="text1"/>
          <w:szCs w:val="24"/>
        </w:rPr>
        <w:t>use,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655A98">
        <w:rPr>
          <w:rStyle w:val="Strong"/>
          <w:rFonts w:cs="Times New Roman"/>
          <w:b w:val="0"/>
          <w:color w:val="000000" w:themeColor="text1"/>
          <w:szCs w:val="24"/>
        </w:rPr>
        <w:t>disposing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655A98">
        <w:rPr>
          <w:rStyle w:val="Strong"/>
          <w:rFonts w:cs="Times New Roman"/>
          <w:b w:val="0"/>
          <w:color w:val="000000" w:themeColor="text1"/>
          <w:szCs w:val="24"/>
        </w:rPr>
        <w:t>of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655A98">
        <w:rPr>
          <w:rStyle w:val="Strong"/>
          <w:rFonts w:cs="Times New Roman"/>
          <w:b w:val="0"/>
          <w:color w:val="000000" w:themeColor="text1"/>
          <w:szCs w:val="24"/>
        </w:rPr>
        <w:t>chrysotile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655A98">
        <w:rPr>
          <w:rStyle w:val="Strong"/>
          <w:rFonts w:cs="Times New Roman"/>
          <w:b w:val="0"/>
          <w:color w:val="000000" w:themeColor="text1"/>
          <w:szCs w:val="24"/>
        </w:rPr>
        <w:t>asbestos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655A98">
        <w:rPr>
          <w:rStyle w:val="Strong"/>
          <w:rFonts w:cs="Times New Roman"/>
          <w:b w:val="0"/>
          <w:color w:val="000000" w:themeColor="text1"/>
          <w:szCs w:val="24"/>
        </w:rPr>
        <w:t>and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655A98">
        <w:rPr>
          <w:rStyle w:val="Strong"/>
          <w:rFonts w:cs="Times New Roman"/>
          <w:b w:val="0"/>
          <w:color w:val="000000" w:themeColor="text1"/>
          <w:szCs w:val="24"/>
        </w:rPr>
        <w:t>any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655A98">
        <w:rPr>
          <w:rStyle w:val="Strong"/>
          <w:rFonts w:cs="Times New Roman"/>
          <w:b w:val="0"/>
          <w:color w:val="000000" w:themeColor="text1"/>
          <w:szCs w:val="24"/>
        </w:rPr>
        <w:t>chrysotile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655A98">
        <w:rPr>
          <w:rStyle w:val="Strong"/>
          <w:rFonts w:cs="Times New Roman"/>
          <w:b w:val="0"/>
          <w:color w:val="000000" w:themeColor="text1"/>
          <w:szCs w:val="24"/>
        </w:rPr>
        <w:t>asbestos-containing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655A98">
        <w:rPr>
          <w:rStyle w:val="Strong"/>
          <w:rFonts w:cs="Times New Roman"/>
          <w:b w:val="0"/>
          <w:color w:val="000000" w:themeColor="text1"/>
          <w:szCs w:val="24"/>
        </w:rPr>
        <w:t>products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655A98">
        <w:rPr>
          <w:rStyle w:val="Strong"/>
          <w:rFonts w:cs="Times New Roman"/>
          <w:b w:val="0"/>
          <w:color w:val="000000" w:themeColor="text1"/>
          <w:szCs w:val="24"/>
        </w:rPr>
        <w:t>or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655A98">
        <w:rPr>
          <w:rStyle w:val="Strong"/>
          <w:rFonts w:cs="Times New Roman"/>
          <w:b w:val="0"/>
          <w:color w:val="000000" w:themeColor="text1"/>
          <w:szCs w:val="24"/>
        </w:rPr>
        <w:t>articles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655A98">
        <w:rPr>
          <w:rStyle w:val="Strong"/>
          <w:rFonts w:cs="Times New Roman"/>
          <w:b w:val="0"/>
          <w:color w:val="000000" w:themeColor="text1"/>
          <w:szCs w:val="24"/>
        </w:rPr>
        <w:t>subject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655A98">
        <w:rPr>
          <w:rStyle w:val="Strong"/>
          <w:rFonts w:cs="Times New Roman"/>
          <w:b w:val="0"/>
          <w:color w:val="000000" w:themeColor="text1"/>
          <w:szCs w:val="24"/>
        </w:rPr>
        <w:t>to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655A98">
        <w:rPr>
          <w:rStyle w:val="Strong"/>
          <w:rFonts w:cs="Times New Roman"/>
          <w:b w:val="0"/>
          <w:color w:val="000000" w:themeColor="text1"/>
          <w:szCs w:val="24"/>
        </w:rPr>
        <w:t>§</w:t>
      </w:r>
      <w:r w:rsidR="00D20970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655A98">
        <w:rPr>
          <w:rStyle w:val="Strong"/>
          <w:rFonts w:cs="Times New Roman"/>
          <w:b w:val="0"/>
          <w:color w:val="000000" w:themeColor="text1"/>
          <w:szCs w:val="24"/>
        </w:rPr>
        <w:t>751.X05(c),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655A98">
        <w:rPr>
          <w:rStyle w:val="Strong"/>
          <w:rFonts w:cs="Times New Roman"/>
          <w:b w:val="0"/>
          <w:color w:val="000000" w:themeColor="text1"/>
          <w:szCs w:val="24"/>
        </w:rPr>
        <w:t>must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655A98">
        <w:rPr>
          <w:rStyle w:val="Strong"/>
          <w:rFonts w:cs="Times New Roman"/>
          <w:b w:val="0"/>
          <w:color w:val="000000" w:themeColor="text1"/>
          <w:szCs w:val="24"/>
        </w:rPr>
        <w:t>dispose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655A98">
        <w:rPr>
          <w:rStyle w:val="Strong"/>
          <w:rFonts w:cs="Times New Roman"/>
          <w:b w:val="0"/>
          <w:color w:val="000000" w:themeColor="text1"/>
          <w:szCs w:val="24"/>
        </w:rPr>
        <w:t>of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655A98">
        <w:rPr>
          <w:rStyle w:val="Strong"/>
          <w:rFonts w:cs="Times New Roman"/>
          <w:b w:val="0"/>
          <w:color w:val="000000" w:themeColor="text1"/>
          <w:szCs w:val="24"/>
        </w:rPr>
        <w:t>chrysotile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655A98">
        <w:rPr>
          <w:rStyle w:val="Strong"/>
          <w:rFonts w:cs="Times New Roman"/>
          <w:b w:val="0"/>
          <w:color w:val="000000" w:themeColor="text1"/>
          <w:szCs w:val="24"/>
        </w:rPr>
        <w:t>asbestos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655A98">
        <w:rPr>
          <w:rStyle w:val="Strong"/>
          <w:rFonts w:cs="Times New Roman"/>
          <w:b w:val="0"/>
          <w:color w:val="000000" w:themeColor="text1"/>
          <w:szCs w:val="24"/>
        </w:rPr>
        <w:t>and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655A98">
        <w:rPr>
          <w:rStyle w:val="Strong"/>
          <w:rFonts w:cs="Times New Roman"/>
          <w:b w:val="0"/>
          <w:color w:val="000000" w:themeColor="text1"/>
          <w:szCs w:val="24"/>
        </w:rPr>
        <w:t>any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655A98">
        <w:rPr>
          <w:rStyle w:val="Strong"/>
          <w:rFonts w:cs="Times New Roman"/>
          <w:b w:val="0"/>
          <w:color w:val="000000" w:themeColor="text1"/>
          <w:szCs w:val="24"/>
        </w:rPr>
        <w:t>chrysotile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655A98">
        <w:rPr>
          <w:rStyle w:val="Strong"/>
          <w:rFonts w:cs="Times New Roman"/>
          <w:b w:val="0"/>
          <w:color w:val="000000" w:themeColor="text1"/>
          <w:szCs w:val="24"/>
        </w:rPr>
        <w:t>asbestos-containing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655A98">
        <w:rPr>
          <w:rStyle w:val="Strong"/>
          <w:rFonts w:cs="Times New Roman"/>
          <w:b w:val="0"/>
          <w:color w:val="000000" w:themeColor="text1"/>
          <w:szCs w:val="24"/>
        </w:rPr>
        <w:t>products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655A98">
        <w:rPr>
          <w:rStyle w:val="Strong"/>
          <w:rFonts w:cs="Times New Roman"/>
          <w:b w:val="0"/>
          <w:color w:val="000000" w:themeColor="text1"/>
          <w:szCs w:val="24"/>
        </w:rPr>
        <w:t>or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655A98">
        <w:rPr>
          <w:rStyle w:val="Strong"/>
          <w:rFonts w:cs="Times New Roman"/>
          <w:b w:val="0"/>
          <w:color w:val="000000" w:themeColor="text1"/>
          <w:szCs w:val="24"/>
        </w:rPr>
        <w:t>articles</w:t>
      </w:r>
      <w:r w:rsidRPr="00C317BB" w:rsidR="001D52A2">
        <w:rPr>
          <w:rFonts w:cs="Times New Roman"/>
          <w:color w:val="000000" w:themeColor="text1"/>
          <w:szCs w:val="24"/>
          <w:shd w:val="clear" w:color="auto" w:fill="FFFFFF"/>
        </w:rPr>
        <w:t>,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1D52A2">
        <w:rPr>
          <w:rFonts w:cs="Times New Roman"/>
          <w:color w:val="000000" w:themeColor="text1"/>
          <w:szCs w:val="24"/>
          <w:shd w:val="clear" w:color="auto" w:fill="FFFFFF"/>
        </w:rPr>
        <w:t>as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1D52A2">
        <w:rPr>
          <w:rFonts w:cs="Times New Roman"/>
          <w:color w:val="000000" w:themeColor="text1"/>
          <w:szCs w:val="24"/>
          <w:shd w:val="clear" w:color="auto" w:fill="FFFFFF"/>
        </w:rPr>
        <w:t>applicable: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</w:p>
    <w:p w:rsidRPr="00C317BB" w:rsidR="00655A98" w:rsidP="00D20970" w:rsidRDefault="00D20970" w14:paraId="558E5B69" w14:textId="091810E4">
      <w:pPr>
        <w:rPr>
          <w:rStyle w:val="Strong"/>
          <w:rFonts w:cs="Times New Roman"/>
          <w:b w:val="0"/>
          <w:color w:val="000000" w:themeColor="text1"/>
          <w:szCs w:val="24"/>
        </w:rPr>
      </w:pPr>
      <w:r w:rsidRPr="00C317BB">
        <w:rPr>
          <w:rStyle w:val="Strong"/>
          <w:rFonts w:cs="Times New Roman"/>
          <w:color w:val="000000" w:themeColor="text1"/>
          <w:szCs w:val="24"/>
        </w:rPr>
        <w:tab/>
      </w:r>
      <w:r w:rsidRPr="00C317BB" w:rsidR="00655A98">
        <w:rPr>
          <w:rStyle w:val="Strong"/>
          <w:rFonts w:cs="Times New Roman"/>
          <w:b w:val="0"/>
          <w:color w:val="000000" w:themeColor="text1"/>
          <w:szCs w:val="24"/>
        </w:rPr>
        <w:t>(1)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1D52A2">
        <w:rPr>
          <w:rFonts w:cs="Times New Roman"/>
          <w:color w:val="000000" w:themeColor="text1"/>
          <w:szCs w:val="24"/>
          <w:shd w:val="clear" w:color="auto" w:fill="FFFFFF"/>
        </w:rPr>
        <w:t>In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1D52A2">
        <w:rPr>
          <w:rFonts w:cs="Times New Roman"/>
          <w:color w:val="000000" w:themeColor="text1"/>
          <w:szCs w:val="24"/>
          <w:shd w:val="clear" w:color="auto" w:fill="FFFFFF"/>
        </w:rPr>
        <w:t>accordance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1D52A2">
        <w:rPr>
          <w:rFonts w:cs="Times New Roman"/>
          <w:color w:val="000000" w:themeColor="text1"/>
          <w:szCs w:val="24"/>
          <w:shd w:val="clear" w:color="auto" w:fill="FFFFFF"/>
        </w:rPr>
        <w:t>with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1D52A2">
        <w:rPr>
          <w:rStyle w:val="Strong"/>
          <w:rFonts w:cs="Times New Roman"/>
          <w:b w:val="0"/>
          <w:color w:val="000000" w:themeColor="text1"/>
          <w:szCs w:val="24"/>
        </w:rPr>
        <w:t>t</w:t>
      </w:r>
      <w:r w:rsidRPr="00C317BB" w:rsidR="00655A98">
        <w:rPr>
          <w:rStyle w:val="Strong"/>
          <w:rFonts w:cs="Times New Roman"/>
          <w:b w:val="0"/>
          <w:color w:val="000000" w:themeColor="text1"/>
          <w:szCs w:val="24"/>
        </w:rPr>
        <w:t>he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655A98">
        <w:rPr>
          <w:rStyle w:val="Strong"/>
          <w:rFonts w:cs="Times New Roman"/>
          <w:b w:val="0"/>
          <w:color w:val="000000" w:themeColor="text1"/>
          <w:szCs w:val="24"/>
        </w:rPr>
        <w:t>Asbestos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655A98">
        <w:rPr>
          <w:rStyle w:val="Strong"/>
          <w:rFonts w:cs="Times New Roman"/>
          <w:b w:val="0"/>
          <w:color w:val="000000" w:themeColor="text1"/>
          <w:szCs w:val="24"/>
        </w:rPr>
        <w:t>General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655A98">
        <w:rPr>
          <w:rStyle w:val="Strong"/>
          <w:rFonts w:cs="Times New Roman"/>
          <w:b w:val="0"/>
          <w:color w:val="000000" w:themeColor="text1"/>
          <w:szCs w:val="24"/>
        </w:rPr>
        <w:t>Industry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655A98">
        <w:rPr>
          <w:rStyle w:val="Strong"/>
          <w:rFonts w:cs="Times New Roman"/>
          <w:b w:val="0"/>
          <w:color w:val="000000" w:themeColor="text1"/>
          <w:szCs w:val="24"/>
        </w:rPr>
        <w:t>Standard—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655A98">
        <w:rPr>
          <w:rStyle w:val="Strong"/>
          <w:rFonts w:cs="Times New Roman"/>
          <w:b w:val="0"/>
          <w:color w:val="000000" w:themeColor="text1"/>
          <w:szCs w:val="24"/>
        </w:rPr>
        <w:t>(29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655A98">
        <w:rPr>
          <w:rStyle w:val="Strong"/>
          <w:rFonts w:cs="Times New Roman"/>
          <w:b w:val="0"/>
          <w:color w:val="000000" w:themeColor="text1"/>
          <w:szCs w:val="24"/>
        </w:rPr>
        <w:t>CFR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655A98">
        <w:rPr>
          <w:rStyle w:val="Strong"/>
          <w:rFonts w:cs="Times New Roman"/>
          <w:b w:val="0"/>
          <w:color w:val="000000" w:themeColor="text1"/>
          <w:szCs w:val="24"/>
        </w:rPr>
        <w:t>1910.1001</w:t>
      </w:r>
      <w:r w:rsidRPr="00C317BB" w:rsidR="003D269A">
        <w:rPr>
          <w:rStyle w:val="Strong"/>
          <w:rFonts w:cs="Times New Roman"/>
          <w:b w:val="0"/>
          <w:color w:val="000000" w:themeColor="text1"/>
          <w:szCs w:val="24"/>
        </w:rPr>
        <w:t>(k</w:t>
      </w:r>
      <w:r w:rsidRPr="00C317BB" w:rsidR="005B1928">
        <w:rPr>
          <w:rStyle w:val="Strong"/>
          <w:rFonts w:cs="Times New Roman"/>
          <w:b w:val="0"/>
          <w:color w:val="000000" w:themeColor="text1"/>
          <w:szCs w:val="24"/>
        </w:rPr>
        <w:t>)</w:t>
      </w:r>
      <w:r w:rsidRPr="00C317BB" w:rsidR="00655A98">
        <w:rPr>
          <w:rStyle w:val="Strong"/>
          <w:rFonts w:cs="Times New Roman"/>
          <w:b w:val="0"/>
          <w:color w:val="000000" w:themeColor="text1"/>
          <w:szCs w:val="24"/>
        </w:rPr>
        <w:t>)</w:t>
      </w:r>
      <w:r w:rsidRPr="00C317BB" w:rsidR="001D52A2">
        <w:rPr>
          <w:rStyle w:val="Strong"/>
          <w:rFonts w:cs="Times New Roman"/>
          <w:b w:val="0"/>
          <w:color w:val="000000" w:themeColor="text1"/>
          <w:szCs w:val="24"/>
        </w:rPr>
        <w:t>.</w:t>
      </w:r>
    </w:p>
    <w:p w:rsidRPr="00C317BB" w:rsidR="009C44B2" w:rsidP="00D20970" w:rsidRDefault="00D20970" w14:paraId="79DCFAA5" w14:textId="23C9C221">
      <w:pPr>
        <w:rPr>
          <w:rStyle w:val="Strong"/>
          <w:rFonts w:cs="Times New Roman"/>
          <w:b w:val="0"/>
          <w:color w:val="000000" w:themeColor="text1"/>
          <w:szCs w:val="24"/>
        </w:rPr>
      </w:pPr>
      <w:r w:rsidRPr="00C317BB">
        <w:rPr>
          <w:rStyle w:val="Strong"/>
          <w:rFonts w:cs="Times New Roman"/>
          <w:color w:val="000000" w:themeColor="text1"/>
          <w:szCs w:val="24"/>
        </w:rPr>
        <w:tab/>
      </w:r>
      <w:r w:rsidRPr="00C317BB" w:rsidR="00655A98">
        <w:rPr>
          <w:rStyle w:val="Strong"/>
          <w:rFonts w:cs="Times New Roman"/>
          <w:b w:val="0"/>
          <w:color w:val="000000" w:themeColor="text1"/>
          <w:szCs w:val="24"/>
        </w:rPr>
        <w:t>(2)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E4265A">
        <w:rPr>
          <w:rStyle w:val="Strong"/>
          <w:rFonts w:cs="Times New Roman"/>
          <w:b w:val="0"/>
          <w:color w:val="000000" w:themeColor="text1"/>
          <w:szCs w:val="24"/>
        </w:rPr>
        <w:t>In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E4265A">
        <w:rPr>
          <w:rStyle w:val="Strong"/>
          <w:rFonts w:cs="Times New Roman"/>
          <w:b w:val="0"/>
          <w:color w:val="000000" w:themeColor="text1"/>
          <w:szCs w:val="24"/>
        </w:rPr>
        <w:t>conformance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E4265A">
        <w:rPr>
          <w:rStyle w:val="Strong"/>
          <w:rFonts w:cs="Times New Roman"/>
          <w:b w:val="0"/>
          <w:color w:val="000000" w:themeColor="text1"/>
          <w:szCs w:val="24"/>
        </w:rPr>
        <w:t>with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E4265A">
        <w:rPr>
          <w:rStyle w:val="Strong"/>
          <w:rFonts w:cs="Times New Roman"/>
          <w:b w:val="0"/>
          <w:color w:val="000000" w:themeColor="text1"/>
          <w:szCs w:val="24"/>
        </w:rPr>
        <w:t>the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E4265A">
        <w:rPr>
          <w:rStyle w:val="Strong"/>
          <w:rFonts w:cs="Times New Roman"/>
          <w:b w:val="0"/>
          <w:color w:val="000000" w:themeColor="text1"/>
          <w:szCs w:val="24"/>
        </w:rPr>
        <w:t>asbestos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E4265A">
        <w:rPr>
          <w:rStyle w:val="Strong"/>
          <w:rFonts w:cs="Times New Roman"/>
          <w:b w:val="0"/>
          <w:color w:val="000000" w:themeColor="text1"/>
          <w:szCs w:val="24"/>
        </w:rPr>
        <w:t>waste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E4265A">
        <w:rPr>
          <w:rStyle w:val="Strong"/>
          <w:rFonts w:cs="Times New Roman"/>
          <w:b w:val="0"/>
          <w:color w:val="000000" w:themeColor="text1"/>
          <w:szCs w:val="24"/>
        </w:rPr>
        <w:t>disposal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E4265A">
        <w:rPr>
          <w:rStyle w:val="Strong"/>
          <w:rFonts w:cs="Times New Roman"/>
          <w:b w:val="0"/>
          <w:color w:val="000000" w:themeColor="text1"/>
          <w:szCs w:val="24"/>
        </w:rPr>
        <w:t>requirements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E4265A">
        <w:rPr>
          <w:rStyle w:val="Strong"/>
          <w:rFonts w:cs="Times New Roman"/>
          <w:b w:val="0"/>
          <w:color w:val="000000" w:themeColor="text1"/>
          <w:szCs w:val="24"/>
        </w:rPr>
        <w:t>at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E4265A">
        <w:rPr>
          <w:rStyle w:val="Strong"/>
          <w:rFonts w:cs="Times New Roman"/>
          <w:b w:val="0"/>
          <w:color w:val="000000" w:themeColor="text1"/>
          <w:szCs w:val="24"/>
        </w:rPr>
        <w:t>40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E4265A">
        <w:rPr>
          <w:rStyle w:val="Strong"/>
          <w:rFonts w:cs="Times New Roman"/>
          <w:b w:val="0"/>
          <w:color w:val="000000" w:themeColor="text1"/>
          <w:szCs w:val="24"/>
        </w:rPr>
        <w:t>CFR</w:t>
      </w:r>
      <w:r w:rsidR="005613B2">
        <w:rPr>
          <w:rStyle w:val="Strong"/>
          <w:rFonts w:cs="Times New Roman"/>
          <w:b w:val="0"/>
          <w:color w:val="000000" w:themeColor="text1"/>
          <w:szCs w:val="24"/>
        </w:rPr>
        <w:t xml:space="preserve"> </w:t>
      </w:r>
      <w:r w:rsidRPr="00C317BB" w:rsidR="00E4265A">
        <w:rPr>
          <w:rStyle w:val="Strong"/>
          <w:rFonts w:cs="Times New Roman"/>
          <w:b w:val="0"/>
          <w:color w:val="000000" w:themeColor="text1"/>
          <w:szCs w:val="24"/>
        </w:rPr>
        <w:t>61.150</w:t>
      </w:r>
      <w:r w:rsidRPr="00C317BB" w:rsidR="001D52A2">
        <w:rPr>
          <w:rStyle w:val="Strong"/>
          <w:rFonts w:cs="Times New Roman"/>
          <w:b w:val="0"/>
          <w:color w:val="000000" w:themeColor="text1"/>
          <w:szCs w:val="24"/>
        </w:rPr>
        <w:t>.</w:t>
      </w:r>
    </w:p>
    <w:p w:rsidRPr="00C317BB" w:rsidR="0040082F" w:rsidP="00F27167" w:rsidRDefault="0040082F" w14:paraId="7DDC735A" w14:textId="30FFBA10">
      <w:pPr>
        <w:pStyle w:val="Heading2"/>
        <w:rPr>
          <w:rStyle w:val="Strong"/>
          <w:rFonts w:cs="Times New Roman"/>
          <w:color w:val="000000" w:themeColor="text1"/>
          <w:szCs w:val="24"/>
        </w:rPr>
      </w:pPr>
      <w:r w:rsidRPr="00C317BB">
        <w:rPr>
          <w:rStyle w:val="Strong"/>
          <w:rFonts w:cs="Times New Roman"/>
          <w:i w:val="0"/>
          <w:color w:val="000000" w:themeColor="text1"/>
          <w:szCs w:val="24"/>
        </w:rPr>
        <w:t>§</w:t>
      </w:r>
      <w:r w:rsidR="005613B2">
        <w:rPr>
          <w:rStyle w:val="Strong"/>
          <w:rFonts w:cs="Times New Roman"/>
          <w:i w:val="0"/>
          <w:color w:val="000000" w:themeColor="text1"/>
          <w:szCs w:val="24"/>
        </w:rPr>
        <w:t xml:space="preserve"> </w:t>
      </w:r>
      <w:r w:rsidRPr="00C317BB">
        <w:rPr>
          <w:rStyle w:val="Strong"/>
          <w:rFonts w:cs="Times New Roman"/>
          <w:i w:val="0"/>
          <w:color w:val="000000" w:themeColor="text1"/>
          <w:szCs w:val="24"/>
        </w:rPr>
        <w:t>751.X</w:t>
      </w:r>
      <w:r w:rsidRPr="00C317BB" w:rsidR="009C44B2">
        <w:rPr>
          <w:rStyle w:val="Strong"/>
          <w:rFonts w:cs="Times New Roman"/>
          <w:i w:val="0"/>
          <w:color w:val="000000" w:themeColor="text1"/>
          <w:szCs w:val="24"/>
        </w:rPr>
        <w:t>11</w:t>
      </w:r>
      <w:r w:rsidR="005613B2">
        <w:rPr>
          <w:rStyle w:val="Strong"/>
          <w:rFonts w:cs="Times New Roman"/>
          <w:i w:val="0"/>
          <w:color w:val="000000" w:themeColor="text1"/>
          <w:szCs w:val="24"/>
        </w:rPr>
        <w:t xml:space="preserve"> </w:t>
      </w:r>
      <w:r w:rsidRPr="00C317BB">
        <w:rPr>
          <w:rStyle w:val="Strong"/>
          <w:rFonts w:cs="Times New Roman"/>
          <w:i w:val="0"/>
          <w:color w:val="000000" w:themeColor="text1"/>
          <w:szCs w:val="24"/>
        </w:rPr>
        <w:t>Recordkeeping</w:t>
      </w:r>
      <w:r w:rsidRPr="00C317BB" w:rsidR="008F6A43">
        <w:rPr>
          <w:rStyle w:val="Strong"/>
          <w:rFonts w:cs="Times New Roman"/>
          <w:i w:val="0"/>
          <w:color w:val="000000" w:themeColor="text1"/>
          <w:szCs w:val="24"/>
        </w:rPr>
        <w:t>.</w:t>
      </w:r>
    </w:p>
    <w:p w:rsidRPr="00C317BB" w:rsidR="00D52485" w:rsidP="00D20970" w:rsidRDefault="00D20970" w14:paraId="77AA50A7" w14:textId="4EC01039">
      <w:pPr>
        <w:rPr>
          <w:rFonts w:cs="Times New Roman"/>
          <w:color w:val="000000" w:themeColor="text1"/>
          <w:szCs w:val="24"/>
        </w:rPr>
      </w:pPr>
      <w:r w:rsidRPr="00C317BB">
        <w:rPr>
          <w:rStyle w:val="Strong"/>
          <w:rFonts w:cs="Times New Roman"/>
          <w:color w:val="000000" w:themeColor="text1"/>
          <w:szCs w:val="24"/>
        </w:rPr>
        <w:tab/>
      </w:r>
      <w:r w:rsidRPr="00C317BB" w:rsidR="00C55720">
        <w:rPr>
          <w:rFonts w:cs="Times New Roman"/>
          <w:color w:val="000000" w:themeColor="text1"/>
          <w:szCs w:val="24"/>
        </w:rPr>
        <w:t>(a)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55720">
        <w:rPr>
          <w:rFonts w:cs="Times New Roman"/>
          <w:color w:val="000000" w:themeColor="text1"/>
          <w:szCs w:val="24"/>
        </w:rPr>
        <w:t>Each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55720">
        <w:rPr>
          <w:rFonts w:cs="Times New Roman"/>
          <w:color w:val="000000" w:themeColor="text1"/>
          <w:szCs w:val="24"/>
        </w:rPr>
        <w:t>person</w:t>
      </w:r>
      <w:r w:rsidRPr="00C317BB" w:rsidR="00740768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40768">
        <w:rPr>
          <w:rFonts w:cs="Times New Roman"/>
          <w:color w:val="000000" w:themeColor="text1"/>
          <w:szCs w:val="24"/>
        </w:rPr>
        <w:t>except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40768">
        <w:rPr>
          <w:rFonts w:cs="Times New Roman"/>
          <w:color w:val="000000" w:themeColor="text1"/>
          <w:szCs w:val="24"/>
        </w:rPr>
        <w:t>a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40768">
        <w:rPr>
          <w:rFonts w:cs="Times New Roman"/>
          <w:color w:val="000000" w:themeColor="text1"/>
          <w:szCs w:val="24"/>
        </w:rPr>
        <w:t>consumer,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55720">
        <w:rPr>
          <w:rFonts w:cs="Times New Roman"/>
          <w:color w:val="000000" w:themeColor="text1"/>
          <w:szCs w:val="24"/>
        </w:rPr>
        <w:t>who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367F4">
        <w:rPr>
          <w:rFonts w:cs="Times New Roman"/>
          <w:color w:val="000000" w:themeColor="text1"/>
          <w:szCs w:val="24"/>
        </w:rPr>
        <w:t>disposes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6367F4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C55720">
        <w:rPr>
          <w:rFonts w:cs="Times New Roman"/>
          <w:color w:val="000000" w:themeColor="text1"/>
          <w:szCs w:val="24"/>
        </w:rPr>
        <w:t>any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C6219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FC6219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6367F4">
        <w:rPr>
          <w:rFonts w:cs="Times New Roman"/>
          <w:color w:val="000000" w:themeColor="text1"/>
          <w:szCs w:val="24"/>
          <w:shd w:val="clear" w:color="auto" w:fill="FFFFFF"/>
        </w:rPr>
        <w:t>and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6367F4">
        <w:rPr>
          <w:rFonts w:cs="Times New Roman"/>
          <w:color w:val="000000" w:themeColor="text1"/>
          <w:szCs w:val="24"/>
          <w:shd w:val="clear" w:color="auto" w:fill="FFFFFF"/>
        </w:rPr>
        <w:t>any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6367F4">
        <w:rPr>
          <w:rFonts w:cs="Times New Roman"/>
          <w:color w:val="000000" w:themeColor="text1"/>
          <w:szCs w:val="24"/>
          <w:shd w:val="clear" w:color="auto" w:fill="FFFFFF"/>
        </w:rPr>
        <w:t>chrysotile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6367F4">
        <w:rPr>
          <w:rFonts w:cs="Times New Roman"/>
          <w:color w:val="000000" w:themeColor="text1"/>
          <w:szCs w:val="24"/>
          <w:shd w:val="clear" w:color="auto" w:fill="FFFFFF"/>
        </w:rPr>
        <w:t>asbestos-containing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6367F4">
        <w:rPr>
          <w:rFonts w:cs="Times New Roman"/>
          <w:color w:val="000000" w:themeColor="text1"/>
          <w:szCs w:val="24"/>
          <w:shd w:val="clear" w:color="auto" w:fill="FFFFFF"/>
        </w:rPr>
        <w:t>products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6367F4">
        <w:rPr>
          <w:rFonts w:cs="Times New Roman"/>
          <w:color w:val="000000" w:themeColor="text1"/>
          <w:szCs w:val="24"/>
          <w:shd w:val="clear" w:color="auto" w:fill="FFFFFF"/>
        </w:rPr>
        <w:t>or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6367F4">
        <w:rPr>
          <w:rFonts w:cs="Times New Roman"/>
          <w:color w:val="000000" w:themeColor="text1"/>
          <w:szCs w:val="24"/>
          <w:shd w:val="clear" w:color="auto" w:fill="FFFFFF"/>
        </w:rPr>
        <w:t>articles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Del="00740768" w:rsidR="006367F4">
        <w:rPr>
          <w:rFonts w:cs="Times New Roman"/>
          <w:color w:val="000000" w:themeColor="text1"/>
          <w:szCs w:val="24"/>
          <w:shd w:val="clear" w:color="auto" w:fill="FFFFFF"/>
        </w:rPr>
        <w:t>subject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Del="00740768" w:rsidR="006367F4">
        <w:rPr>
          <w:rFonts w:cs="Times New Roman"/>
          <w:color w:val="000000" w:themeColor="text1"/>
          <w:szCs w:val="24"/>
          <w:shd w:val="clear" w:color="auto" w:fill="FFFFFF"/>
        </w:rPr>
        <w:t>to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Del="00740768" w:rsidR="006367F4">
        <w:rPr>
          <w:rFonts w:cs="Times New Roman"/>
          <w:color w:val="000000" w:themeColor="text1"/>
          <w:szCs w:val="24"/>
          <w:shd w:val="clear" w:color="auto" w:fill="FFFFFF"/>
        </w:rPr>
        <w:t>§</w:t>
      </w:r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Del="00740768" w:rsidR="006367F4">
        <w:rPr>
          <w:rFonts w:cs="Times New Roman"/>
          <w:color w:val="000000" w:themeColor="text1"/>
          <w:szCs w:val="24"/>
          <w:shd w:val="clear" w:color="auto" w:fill="FFFFFF"/>
        </w:rPr>
        <w:t>751.X0</w:t>
      </w:r>
      <w:r w:rsidRPr="00C317BB" w:rsidDel="00740768" w:rsidR="005472A8">
        <w:rPr>
          <w:rFonts w:cs="Times New Roman"/>
          <w:color w:val="000000" w:themeColor="text1"/>
          <w:szCs w:val="24"/>
          <w:shd w:val="clear" w:color="auto" w:fill="FFFFFF"/>
        </w:rPr>
        <w:t>9</w:t>
      </w:r>
      <w:r w:rsidRPr="00C317BB" w:rsidR="006367F4">
        <w:rPr>
          <w:rFonts w:cs="Times New Roman"/>
          <w:color w:val="000000" w:themeColor="text1"/>
          <w:szCs w:val="24"/>
          <w:shd w:val="clear" w:color="auto" w:fill="FFFFFF"/>
        </w:rPr>
        <w:t>,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C55720">
        <w:rPr>
          <w:rFonts w:cs="Times New Roman"/>
          <w:color w:val="000000" w:themeColor="text1"/>
          <w:szCs w:val="24"/>
        </w:rPr>
        <w:t>after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735A5">
        <w:rPr>
          <w:rStyle w:val="Strong"/>
          <w:rFonts w:cs="Times New Roman"/>
          <w:b w:val="0"/>
          <w:color w:val="000000" w:themeColor="text1"/>
          <w:szCs w:val="24"/>
        </w:rPr>
        <w:t>[</w:t>
      </w:r>
      <w:r w:rsidRPr="00C317BB" w:rsidR="00D735A5">
        <w:rPr>
          <w:rFonts w:cs="Times New Roman"/>
          <w:i/>
          <w:color w:val="000000" w:themeColor="text1"/>
          <w:szCs w:val="24"/>
        </w:rPr>
        <w:t>date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080E18">
        <w:rPr>
          <w:rFonts w:cs="Times New Roman"/>
          <w:i/>
          <w:color w:val="000000" w:themeColor="text1"/>
          <w:szCs w:val="24"/>
        </w:rPr>
        <w:t>180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D735A5">
        <w:rPr>
          <w:rFonts w:cs="Times New Roman"/>
          <w:i/>
          <w:color w:val="000000" w:themeColor="text1"/>
          <w:szCs w:val="24"/>
        </w:rPr>
        <w:t>calendar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D735A5">
        <w:rPr>
          <w:rFonts w:cs="Times New Roman"/>
          <w:i/>
          <w:color w:val="000000" w:themeColor="text1"/>
          <w:szCs w:val="24"/>
        </w:rPr>
        <w:t>days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D735A5">
        <w:rPr>
          <w:rFonts w:cs="Times New Roman"/>
          <w:i/>
          <w:color w:val="000000" w:themeColor="text1"/>
          <w:szCs w:val="24"/>
        </w:rPr>
        <w:t>after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D735A5">
        <w:rPr>
          <w:rFonts w:cs="Times New Roman"/>
          <w:i/>
          <w:color w:val="000000" w:themeColor="text1"/>
          <w:szCs w:val="24"/>
        </w:rPr>
        <w:t>the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0E78B3">
        <w:rPr>
          <w:rFonts w:cs="Times New Roman"/>
          <w:i/>
          <w:color w:val="000000" w:themeColor="text1"/>
          <w:szCs w:val="24"/>
        </w:rPr>
        <w:t>effective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0E78B3">
        <w:rPr>
          <w:rFonts w:cs="Times New Roman"/>
          <w:i/>
          <w:color w:val="000000" w:themeColor="text1"/>
          <w:szCs w:val="24"/>
        </w:rPr>
        <w:t>date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D735A5">
        <w:rPr>
          <w:rFonts w:cs="Times New Roman"/>
          <w:i/>
          <w:color w:val="000000" w:themeColor="text1"/>
          <w:szCs w:val="24"/>
        </w:rPr>
        <w:t>of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D735A5">
        <w:rPr>
          <w:rFonts w:cs="Times New Roman"/>
          <w:i/>
          <w:color w:val="000000" w:themeColor="text1"/>
          <w:szCs w:val="24"/>
        </w:rPr>
        <w:t>the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D735A5">
        <w:rPr>
          <w:rFonts w:cs="Times New Roman"/>
          <w:i/>
          <w:color w:val="000000" w:themeColor="text1"/>
          <w:szCs w:val="24"/>
        </w:rPr>
        <w:t>final</w:t>
      </w:r>
      <w:r w:rsidR="005613B2">
        <w:rPr>
          <w:rFonts w:cs="Times New Roman"/>
          <w:i/>
          <w:color w:val="000000" w:themeColor="text1"/>
          <w:szCs w:val="24"/>
        </w:rPr>
        <w:t xml:space="preserve"> </w:t>
      </w:r>
      <w:r w:rsidRPr="00C317BB" w:rsidR="00D735A5">
        <w:rPr>
          <w:rFonts w:cs="Times New Roman"/>
          <w:i/>
          <w:color w:val="000000" w:themeColor="text1"/>
          <w:szCs w:val="24"/>
        </w:rPr>
        <w:t>rule</w:t>
      </w:r>
      <w:r w:rsidRPr="00C317BB" w:rsidR="00D735A5">
        <w:rPr>
          <w:rStyle w:val="Strong"/>
          <w:rFonts w:cs="Times New Roman"/>
          <w:b w:val="0"/>
          <w:color w:val="000000" w:themeColor="text1"/>
          <w:szCs w:val="24"/>
        </w:rPr>
        <w:t>]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77780">
        <w:rPr>
          <w:rFonts w:cs="Times New Roman"/>
          <w:color w:val="000000" w:themeColor="text1"/>
          <w:szCs w:val="24"/>
        </w:rPr>
        <w:t>must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77780">
        <w:rPr>
          <w:rFonts w:cs="Times New Roman"/>
          <w:color w:val="000000" w:themeColor="text1"/>
          <w:szCs w:val="24"/>
        </w:rPr>
        <w:t>retain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77780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77780">
        <w:rPr>
          <w:rFonts w:cs="Times New Roman"/>
          <w:color w:val="000000" w:themeColor="text1"/>
          <w:szCs w:val="24"/>
        </w:rPr>
        <w:t>one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77780">
        <w:rPr>
          <w:rFonts w:cs="Times New Roman"/>
          <w:color w:val="000000" w:themeColor="text1"/>
          <w:szCs w:val="24"/>
        </w:rPr>
        <w:t>location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77780">
        <w:rPr>
          <w:rFonts w:cs="Times New Roman"/>
          <w:color w:val="000000" w:themeColor="text1"/>
          <w:szCs w:val="24"/>
        </w:rPr>
        <w:t>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77780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77780">
        <w:rPr>
          <w:rFonts w:cs="Times New Roman"/>
          <w:color w:val="000000" w:themeColor="text1"/>
          <w:szCs w:val="24"/>
        </w:rPr>
        <w:t>headquarters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77780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77780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77780">
        <w:rPr>
          <w:rFonts w:cs="Times New Roman"/>
          <w:color w:val="000000" w:themeColor="text1"/>
          <w:szCs w:val="24"/>
        </w:rPr>
        <w:t>company,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77780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77780">
        <w:rPr>
          <w:rFonts w:cs="Times New Roman"/>
          <w:color w:val="000000" w:themeColor="text1"/>
          <w:szCs w:val="24"/>
        </w:rPr>
        <w:t>at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77780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77780">
        <w:rPr>
          <w:rFonts w:cs="Times New Roman"/>
          <w:color w:val="000000" w:themeColor="text1"/>
          <w:szCs w:val="24"/>
        </w:rPr>
        <w:t>facility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77780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77780">
        <w:rPr>
          <w:rFonts w:cs="Times New Roman"/>
          <w:color w:val="000000" w:themeColor="text1"/>
          <w:szCs w:val="24"/>
        </w:rPr>
        <w:t>which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77780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77780">
        <w:rPr>
          <w:rFonts w:cs="Times New Roman"/>
          <w:color w:val="000000" w:themeColor="text1"/>
          <w:szCs w:val="24"/>
        </w:rPr>
        <w:t>records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77780">
        <w:rPr>
          <w:rFonts w:cs="Times New Roman"/>
          <w:color w:val="000000" w:themeColor="text1"/>
          <w:szCs w:val="24"/>
        </w:rPr>
        <w:t>were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77780">
        <w:rPr>
          <w:rFonts w:cs="Times New Roman"/>
          <w:color w:val="000000" w:themeColor="text1"/>
          <w:szCs w:val="24"/>
        </w:rPr>
        <w:t>generated,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77780">
        <w:rPr>
          <w:rFonts w:cs="Times New Roman"/>
          <w:color w:val="000000" w:themeColor="text1"/>
          <w:szCs w:val="24"/>
        </w:rPr>
        <w:t>documentation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77780">
        <w:rPr>
          <w:rFonts w:cs="Times New Roman"/>
          <w:color w:val="000000" w:themeColor="text1"/>
          <w:szCs w:val="24"/>
        </w:rPr>
        <w:t>showing:</w:t>
      </w:r>
    </w:p>
    <w:p w:rsidRPr="00C317BB" w:rsidR="003C78AA" w:rsidP="00D20970" w:rsidRDefault="00D20970" w14:paraId="2ACC3D4E" w14:textId="4D4CF507">
      <w:pPr>
        <w:rPr>
          <w:rFonts w:cs="Times New Roman"/>
          <w:color w:val="000000" w:themeColor="text1"/>
          <w:szCs w:val="24"/>
        </w:rPr>
      </w:pPr>
      <w:r w:rsidRPr="00C317BB">
        <w:rPr>
          <w:rStyle w:val="Strong"/>
          <w:rFonts w:cs="Times New Roman"/>
          <w:color w:val="000000" w:themeColor="text1"/>
          <w:szCs w:val="24"/>
        </w:rPr>
        <w:tab/>
      </w:r>
      <w:r w:rsidRPr="00C317BB" w:rsidR="00977780">
        <w:rPr>
          <w:rFonts w:cs="Times New Roman"/>
          <w:color w:val="000000" w:themeColor="text1"/>
          <w:szCs w:val="24"/>
        </w:rPr>
        <w:t>(1)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78AA">
        <w:rPr>
          <w:rFonts w:cs="Times New Roman"/>
          <w:color w:val="000000" w:themeColor="text1"/>
          <w:szCs w:val="24"/>
        </w:rPr>
        <w:t>Any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3C78AA">
        <w:rPr>
          <w:rFonts w:cs="Times New Roman"/>
          <w:color w:val="000000" w:themeColor="text1"/>
          <w:szCs w:val="24"/>
        </w:rPr>
        <w:t>records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40768">
        <w:rPr>
          <w:rFonts w:cs="Times New Roman"/>
          <w:color w:val="000000" w:themeColor="text1"/>
          <w:szCs w:val="24"/>
        </w:rPr>
        <w:t>related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40768">
        <w:rPr>
          <w:rFonts w:cs="Times New Roman"/>
          <w:color w:val="000000" w:themeColor="text1"/>
          <w:szCs w:val="24"/>
        </w:rPr>
        <w:t>to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40768">
        <w:rPr>
          <w:rFonts w:cs="Times New Roman"/>
          <w:color w:val="000000" w:themeColor="text1"/>
          <w:szCs w:val="24"/>
        </w:rPr>
        <w:t>any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40768">
        <w:rPr>
          <w:rFonts w:cs="Times New Roman"/>
          <w:color w:val="000000" w:themeColor="text1"/>
          <w:szCs w:val="24"/>
        </w:rPr>
        <w:t>disposal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40768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40768">
        <w:rPr>
          <w:rFonts w:cs="Times New Roman"/>
          <w:color w:val="000000" w:themeColor="text1"/>
          <w:szCs w:val="24"/>
        </w:rPr>
        <w:t>chrysotile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740768">
        <w:rPr>
          <w:rFonts w:cs="Times New Roman"/>
          <w:color w:val="000000" w:themeColor="text1"/>
          <w:szCs w:val="24"/>
        </w:rPr>
        <w:t>asbestos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40768">
        <w:rPr>
          <w:rFonts w:cs="Times New Roman"/>
          <w:color w:val="000000" w:themeColor="text1"/>
          <w:szCs w:val="24"/>
          <w:shd w:val="clear" w:color="auto" w:fill="FFFFFF"/>
        </w:rPr>
        <w:t>and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40768">
        <w:rPr>
          <w:rFonts w:cs="Times New Roman"/>
          <w:color w:val="000000" w:themeColor="text1"/>
          <w:szCs w:val="24"/>
          <w:shd w:val="clear" w:color="auto" w:fill="FFFFFF"/>
        </w:rPr>
        <w:t>any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40768">
        <w:rPr>
          <w:rFonts w:cs="Times New Roman"/>
          <w:color w:val="000000" w:themeColor="text1"/>
          <w:szCs w:val="24"/>
          <w:shd w:val="clear" w:color="auto" w:fill="FFFFFF"/>
        </w:rPr>
        <w:t>chrysotile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40768">
        <w:rPr>
          <w:rFonts w:cs="Times New Roman"/>
          <w:color w:val="000000" w:themeColor="text1"/>
          <w:szCs w:val="24"/>
          <w:shd w:val="clear" w:color="auto" w:fill="FFFFFF"/>
        </w:rPr>
        <w:t>asbestos-containing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40768">
        <w:rPr>
          <w:rFonts w:cs="Times New Roman"/>
          <w:color w:val="000000" w:themeColor="text1"/>
          <w:szCs w:val="24"/>
          <w:shd w:val="clear" w:color="auto" w:fill="FFFFFF"/>
        </w:rPr>
        <w:t>products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40768">
        <w:rPr>
          <w:rFonts w:cs="Times New Roman"/>
          <w:color w:val="000000" w:themeColor="text1"/>
          <w:szCs w:val="24"/>
          <w:shd w:val="clear" w:color="auto" w:fill="FFFFFF"/>
        </w:rPr>
        <w:t>or</w:t>
      </w:r>
      <w:r w:rsidR="005613B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317BB" w:rsidR="00740768">
        <w:rPr>
          <w:rFonts w:cs="Times New Roman"/>
          <w:color w:val="000000" w:themeColor="text1"/>
          <w:szCs w:val="24"/>
          <w:shd w:val="clear" w:color="auto" w:fill="FFFFFF"/>
        </w:rPr>
        <w:t>articles</w:t>
      </w:r>
      <w:r w:rsidR="005613B2">
        <w:rPr>
          <w:rFonts w:cs="Times New Roman"/>
          <w:szCs w:val="24"/>
        </w:rPr>
        <w:t xml:space="preserve"> </w:t>
      </w:r>
      <w:r w:rsidRPr="00C317BB" w:rsidDel="00740768" w:rsidR="003C78AA">
        <w:rPr>
          <w:rFonts w:cs="Times New Roman"/>
          <w:color w:val="000000" w:themeColor="text1"/>
          <w:szCs w:val="24"/>
        </w:rPr>
        <w:t>generated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Del="00740768" w:rsidR="003C78AA">
        <w:rPr>
          <w:rFonts w:cs="Times New Roman"/>
          <w:color w:val="000000" w:themeColor="text1"/>
          <w:szCs w:val="24"/>
        </w:rPr>
        <w:t>pursuant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Del="00740768" w:rsidR="003C78AA">
        <w:rPr>
          <w:rFonts w:cs="Times New Roman"/>
          <w:color w:val="000000" w:themeColor="text1"/>
          <w:szCs w:val="24"/>
        </w:rPr>
        <w:t>to,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Del="00740768" w:rsidR="003C78AA">
        <w:rPr>
          <w:rFonts w:cs="Times New Roman"/>
          <w:color w:val="000000" w:themeColor="text1"/>
          <w:szCs w:val="24"/>
        </w:rPr>
        <w:t>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Del="00740768" w:rsidR="003C78AA">
        <w:rPr>
          <w:rFonts w:cs="Times New Roman"/>
          <w:color w:val="000000" w:themeColor="text1"/>
          <w:szCs w:val="24"/>
        </w:rPr>
        <w:t>otherwise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Del="00740768" w:rsidR="003C78AA">
        <w:rPr>
          <w:rFonts w:cs="Times New Roman"/>
          <w:color w:val="000000" w:themeColor="text1"/>
          <w:szCs w:val="24"/>
        </w:rPr>
        <w:t>documenting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Del="00740768" w:rsidR="003C78AA">
        <w:rPr>
          <w:rFonts w:cs="Times New Roman"/>
          <w:color w:val="000000" w:themeColor="text1"/>
          <w:szCs w:val="24"/>
        </w:rPr>
        <w:t>compliance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Del="00740768" w:rsidR="003C78AA">
        <w:rPr>
          <w:rFonts w:cs="Times New Roman"/>
          <w:color w:val="000000" w:themeColor="text1"/>
          <w:szCs w:val="24"/>
        </w:rPr>
        <w:t>with</w:t>
      </w:r>
      <w:r w:rsidRPr="00C317BB" w:rsidDel="00740768" w:rsidR="00787412">
        <w:rPr>
          <w:rFonts w:cs="Times New Roman"/>
          <w:color w:val="000000" w:themeColor="text1"/>
          <w:szCs w:val="24"/>
        </w:rPr>
        <w:t>,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Del="00740768" w:rsidR="003C78AA">
        <w:rPr>
          <w:rFonts w:cs="Times New Roman"/>
          <w:color w:val="000000" w:themeColor="text1"/>
          <w:szCs w:val="24"/>
        </w:rPr>
        <w:t>regulations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Del="00740768" w:rsidR="003C78AA">
        <w:rPr>
          <w:rFonts w:cs="Times New Roman"/>
          <w:color w:val="000000" w:themeColor="text1"/>
          <w:szCs w:val="24"/>
        </w:rPr>
        <w:t>specified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Del="00740768" w:rsidR="003C78AA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Del="00740768" w:rsidR="003C78AA">
        <w:rPr>
          <w:rFonts w:cs="Times New Roman"/>
          <w:color w:val="000000" w:themeColor="text1"/>
          <w:szCs w:val="24"/>
        </w:rPr>
        <w:t>§</w:t>
      </w:r>
      <w:r>
        <w:rPr>
          <w:rFonts w:cs="Times New Roman"/>
          <w:color w:val="000000" w:themeColor="text1"/>
          <w:szCs w:val="24"/>
        </w:rPr>
        <w:t xml:space="preserve"> </w:t>
      </w:r>
      <w:r w:rsidRPr="00C317BB" w:rsidDel="00740768" w:rsidR="003C78AA">
        <w:rPr>
          <w:rFonts w:cs="Times New Roman"/>
          <w:color w:val="000000" w:themeColor="text1"/>
          <w:szCs w:val="24"/>
        </w:rPr>
        <w:t>751.X09</w:t>
      </w:r>
      <w:r w:rsidRPr="00C317BB" w:rsidR="003C78AA">
        <w:rPr>
          <w:rFonts w:cs="Times New Roman"/>
          <w:color w:val="000000" w:themeColor="text1"/>
          <w:szCs w:val="24"/>
        </w:rPr>
        <w:t>.</w:t>
      </w:r>
    </w:p>
    <w:p w:rsidRPr="00C317BB" w:rsidR="00D41906" w:rsidP="00D20970" w:rsidRDefault="00D20970" w14:paraId="6131ABE3" w14:textId="6C4C9088">
      <w:pPr>
        <w:rPr>
          <w:rFonts w:cs="Times New Roman"/>
          <w:color w:val="000000" w:themeColor="text1"/>
          <w:szCs w:val="24"/>
        </w:rPr>
      </w:pPr>
      <w:r w:rsidRPr="00C317BB">
        <w:rPr>
          <w:rStyle w:val="Strong"/>
          <w:rFonts w:cs="Times New Roman"/>
          <w:color w:val="000000" w:themeColor="text1"/>
          <w:szCs w:val="24"/>
        </w:rPr>
        <w:tab/>
      </w:r>
      <w:r w:rsidRPr="00C317BB" w:rsidR="003C78AA">
        <w:rPr>
          <w:rFonts w:cs="Times New Roman"/>
          <w:color w:val="000000" w:themeColor="text1"/>
          <w:szCs w:val="24"/>
        </w:rPr>
        <w:t>(</w:t>
      </w:r>
      <w:r w:rsidRPr="00C317BB" w:rsidR="00A40EE6">
        <w:rPr>
          <w:rFonts w:cs="Times New Roman"/>
          <w:color w:val="000000" w:themeColor="text1"/>
          <w:szCs w:val="24"/>
        </w:rPr>
        <w:t>2</w:t>
      </w:r>
      <w:r w:rsidRPr="00C317BB" w:rsidR="003C78AA">
        <w:rPr>
          <w:rFonts w:cs="Times New Roman"/>
          <w:color w:val="000000" w:themeColor="text1"/>
          <w:szCs w:val="24"/>
        </w:rPr>
        <w:t>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B78BB">
        <w:rPr>
          <w:rFonts w:cs="Times New Roman"/>
          <w:color w:val="000000" w:themeColor="text1"/>
          <w:szCs w:val="24"/>
        </w:rPr>
        <w:t>[Reserved</w:t>
      </w:r>
      <w:r w:rsidRPr="00C317BB" w:rsidR="00FF7896">
        <w:rPr>
          <w:rFonts w:cs="Times New Roman"/>
          <w:color w:val="000000" w:themeColor="text1"/>
          <w:szCs w:val="24"/>
        </w:rPr>
        <w:t>]</w:t>
      </w:r>
      <w:r w:rsidR="005613B2">
        <w:rPr>
          <w:rFonts w:cs="Times New Roman"/>
          <w:color w:val="000000" w:themeColor="text1"/>
          <w:szCs w:val="24"/>
        </w:rPr>
        <w:t xml:space="preserve"> </w:t>
      </w:r>
    </w:p>
    <w:p w:rsidRPr="00C317BB" w:rsidR="00CA1DA9" w:rsidP="00D20970" w:rsidRDefault="00D20970" w14:paraId="0CC7D22B" w14:textId="22E98BA2">
      <w:pPr>
        <w:rPr>
          <w:rFonts w:cs="Times New Roman"/>
          <w:color w:val="000000" w:themeColor="text1"/>
          <w:szCs w:val="24"/>
        </w:rPr>
      </w:pPr>
      <w:r w:rsidRPr="00C317BB">
        <w:rPr>
          <w:rStyle w:val="Strong"/>
          <w:rFonts w:cs="Times New Roman"/>
          <w:color w:val="000000" w:themeColor="text1"/>
          <w:szCs w:val="24"/>
        </w:rPr>
        <w:tab/>
      </w:r>
      <w:r w:rsidRPr="00C317BB" w:rsidR="00977780">
        <w:rPr>
          <w:rFonts w:cs="Times New Roman"/>
          <w:color w:val="000000" w:themeColor="text1"/>
          <w:szCs w:val="24"/>
        </w:rPr>
        <w:t>(b)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77780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77780">
        <w:rPr>
          <w:rFonts w:cs="Times New Roman"/>
          <w:color w:val="000000" w:themeColor="text1"/>
          <w:szCs w:val="24"/>
        </w:rPr>
        <w:t>documentation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77780">
        <w:rPr>
          <w:rFonts w:cs="Times New Roman"/>
          <w:color w:val="000000" w:themeColor="text1"/>
          <w:szCs w:val="24"/>
        </w:rPr>
        <w:t>in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77780">
        <w:rPr>
          <w:rFonts w:cs="Times New Roman"/>
          <w:color w:val="000000" w:themeColor="text1"/>
          <w:szCs w:val="24"/>
        </w:rPr>
        <w:t>paragraph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77780">
        <w:rPr>
          <w:rFonts w:cs="Times New Roman"/>
          <w:color w:val="000000" w:themeColor="text1"/>
          <w:szCs w:val="24"/>
        </w:rPr>
        <w:t>(a)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77780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77780">
        <w:rPr>
          <w:rFonts w:cs="Times New Roman"/>
          <w:color w:val="000000" w:themeColor="text1"/>
          <w:szCs w:val="24"/>
        </w:rPr>
        <w:t>this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77780">
        <w:rPr>
          <w:rFonts w:cs="Times New Roman"/>
          <w:color w:val="000000" w:themeColor="text1"/>
          <w:szCs w:val="24"/>
        </w:rPr>
        <w:t>section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77780">
        <w:rPr>
          <w:rFonts w:cs="Times New Roman"/>
          <w:color w:val="000000" w:themeColor="text1"/>
          <w:szCs w:val="24"/>
        </w:rPr>
        <w:t>must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77780">
        <w:rPr>
          <w:rFonts w:cs="Times New Roman"/>
          <w:color w:val="000000" w:themeColor="text1"/>
          <w:szCs w:val="24"/>
        </w:rPr>
        <w:t>be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77780">
        <w:rPr>
          <w:rFonts w:cs="Times New Roman"/>
          <w:color w:val="000000" w:themeColor="text1"/>
          <w:szCs w:val="24"/>
        </w:rPr>
        <w:t>retained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77780">
        <w:rPr>
          <w:rFonts w:cs="Times New Roman"/>
          <w:color w:val="000000" w:themeColor="text1"/>
          <w:szCs w:val="24"/>
        </w:rPr>
        <w:t>for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D735A5">
        <w:rPr>
          <w:rFonts w:cs="Times New Roman"/>
          <w:color w:val="000000" w:themeColor="text1"/>
          <w:szCs w:val="24"/>
        </w:rPr>
        <w:t>5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77780">
        <w:rPr>
          <w:rFonts w:cs="Times New Roman"/>
          <w:color w:val="000000" w:themeColor="text1"/>
          <w:szCs w:val="24"/>
        </w:rPr>
        <w:t>years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77780">
        <w:rPr>
          <w:rFonts w:cs="Times New Roman"/>
          <w:color w:val="000000" w:themeColor="text1"/>
          <w:szCs w:val="24"/>
        </w:rPr>
        <w:t>from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77780">
        <w:rPr>
          <w:rFonts w:cs="Times New Roman"/>
          <w:color w:val="000000" w:themeColor="text1"/>
          <w:szCs w:val="24"/>
        </w:rPr>
        <w:t>the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77780">
        <w:rPr>
          <w:rFonts w:cs="Times New Roman"/>
          <w:color w:val="000000" w:themeColor="text1"/>
          <w:szCs w:val="24"/>
        </w:rPr>
        <w:t>date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977780">
        <w:rPr>
          <w:rFonts w:cs="Times New Roman"/>
          <w:color w:val="000000" w:themeColor="text1"/>
          <w:szCs w:val="24"/>
        </w:rPr>
        <w:t>of</w:t>
      </w:r>
      <w:r w:rsidR="005613B2">
        <w:rPr>
          <w:rFonts w:cs="Times New Roman"/>
          <w:color w:val="000000" w:themeColor="text1"/>
          <w:szCs w:val="24"/>
        </w:rPr>
        <w:t xml:space="preserve"> </w:t>
      </w:r>
      <w:r w:rsidRPr="00C317BB" w:rsidR="008671DA">
        <w:rPr>
          <w:rFonts w:cs="Times New Roman"/>
          <w:color w:val="000000" w:themeColor="text1"/>
          <w:szCs w:val="24"/>
        </w:rPr>
        <w:t>generation</w:t>
      </w:r>
      <w:r w:rsidRPr="00C317BB" w:rsidR="00D85513">
        <w:rPr>
          <w:rFonts w:cs="Times New Roman"/>
          <w:color w:val="000000" w:themeColor="text1"/>
          <w:szCs w:val="24"/>
        </w:rPr>
        <w:t>.</w:t>
      </w:r>
    </w:p>
    <w:sectPr w:rsidRPr="00C317BB" w:rsidR="00CA1DA9" w:rsidSect="00A805EF">
      <w:headerReference w:type="first" r:id="rId14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52A81" w14:textId="77777777" w:rsidR="009B0971" w:rsidRDefault="009B0971">
      <w:r>
        <w:separator/>
      </w:r>
    </w:p>
  </w:endnote>
  <w:endnote w:type="continuationSeparator" w:id="0">
    <w:p w14:paraId="22C8AAC7" w14:textId="77777777" w:rsidR="009B0971" w:rsidRDefault="009B0971">
      <w:r>
        <w:continuationSeparator/>
      </w:r>
    </w:p>
  </w:endnote>
  <w:endnote w:type="continuationNotice" w:id="1">
    <w:p w14:paraId="14AF1F23" w14:textId="77777777" w:rsidR="009B0971" w:rsidRDefault="009B09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Slab500,Helvetica,Arial Un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64E37" w14:textId="77777777" w:rsidR="009B0971" w:rsidRDefault="009B0971">
      <w:r>
        <w:separator/>
      </w:r>
    </w:p>
  </w:footnote>
  <w:footnote w:type="continuationSeparator" w:id="0">
    <w:p w14:paraId="2A12817C" w14:textId="77777777" w:rsidR="009B0971" w:rsidRDefault="009B0971">
      <w:r>
        <w:continuationSeparator/>
      </w:r>
    </w:p>
  </w:footnote>
  <w:footnote w:type="continuationNotice" w:id="1">
    <w:p w14:paraId="0CE680DA" w14:textId="77777777" w:rsidR="009B0971" w:rsidRDefault="009B09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7F77F" w14:textId="77777777" w:rsidR="00C74EF1" w:rsidRDefault="00C74EF1" w:rsidP="003877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686F41" w14:textId="77777777" w:rsidR="00C74EF1" w:rsidRDefault="00C74EF1">
    <w:pPr>
      <w:pStyle w:val="Header"/>
    </w:pPr>
  </w:p>
  <w:p w14:paraId="48170A69" w14:textId="77777777" w:rsidR="00C74EF1" w:rsidRDefault="00C74EF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39396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269718D" w14:textId="79533B1E" w:rsidR="00A805EF" w:rsidRDefault="00A805EF" w:rsidP="003819A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2138336"/>
      <w:docPartObj>
        <w:docPartGallery w:val="Page Numbers (Top of Page)"/>
        <w:docPartUnique/>
      </w:docPartObj>
    </w:sdtPr>
    <w:sdtEndPr/>
    <w:sdtContent>
      <w:p w14:paraId="076FA785" w14:textId="77777777" w:rsidR="003819A2" w:rsidRDefault="003819A2" w:rsidP="00D20970">
        <w:pPr>
          <w:pStyle w:val="Header"/>
          <w:spacing w:line="240" w:lineRule="auto"/>
          <w:jc w:val="center"/>
        </w:pPr>
        <w:r>
          <w:t>FRL-8332-02; Administrator Signature is on</w:t>
        </w:r>
      </w:p>
      <w:p w14:paraId="2D340A29" w14:textId="1980C364" w:rsidR="003819A2" w:rsidRDefault="003819A2" w:rsidP="00D20970">
        <w:pPr>
          <w:pStyle w:val="Header"/>
          <w:spacing w:line="240" w:lineRule="auto"/>
          <w:jc w:val="center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42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45</w:t>
        </w:r>
        <w:r>
          <w:rPr>
            <w:b/>
            <w:bCs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BB6D41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98ADC3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5F0A5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744A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0A86A5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728B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E22868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884A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CE41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F04AFB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9A5C73"/>
    <w:multiLevelType w:val="hybridMultilevel"/>
    <w:tmpl w:val="5404B540"/>
    <w:lvl w:ilvl="0" w:tplc="54CC6B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274B76"/>
    <w:multiLevelType w:val="hybridMultilevel"/>
    <w:tmpl w:val="B6686B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02265D"/>
    <w:multiLevelType w:val="hybridMultilevel"/>
    <w:tmpl w:val="FCDC26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04B3E66"/>
    <w:multiLevelType w:val="hybridMultilevel"/>
    <w:tmpl w:val="CB840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9506C9"/>
    <w:multiLevelType w:val="hybridMultilevel"/>
    <w:tmpl w:val="E166B678"/>
    <w:lvl w:ilvl="0" w:tplc="FDDCAD54">
      <w:start w:val="60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CC6BFE"/>
    <w:multiLevelType w:val="hybridMultilevel"/>
    <w:tmpl w:val="A1BAF4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5"/>
  </w:num>
  <w:num w:numId="14">
    <w:abstractNumId w:val="13"/>
  </w:num>
  <w:num w:numId="15">
    <w:abstractNumId w:val="11"/>
  </w:num>
  <w:num w:numId="16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doNotValidateAgainstSchema/>
  <w:saveInvalidXml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605EEC7-A9A9-4CAB-8126-D5E977C07617}"/>
    <w:docVar w:name="dgnword-eventsink" w:val="254285824"/>
  </w:docVars>
  <w:rsids>
    <w:rsidRoot w:val="0058051A"/>
    <w:rsid w:val="0000008C"/>
    <w:rsid w:val="000001E4"/>
    <w:rsid w:val="000001E7"/>
    <w:rsid w:val="00000210"/>
    <w:rsid w:val="0000024F"/>
    <w:rsid w:val="00000486"/>
    <w:rsid w:val="00000634"/>
    <w:rsid w:val="00000652"/>
    <w:rsid w:val="000007CA"/>
    <w:rsid w:val="00000935"/>
    <w:rsid w:val="0000094A"/>
    <w:rsid w:val="00000A70"/>
    <w:rsid w:val="00000B03"/>
    <w:rsid w:val="00000BE8"/>
    <w:rsid w:val="00000D69"/>
    <w:rsid w:val="00000DCD"/>
    <w:rsid w:val="00000E95"/>
    <w:rsid w:val="00000EE3"/>
    <w:rsid w:val="00000F22"/>
    <w:rsid w:val="000010BF"/>
    <w:rsid w:val="000010D6"/>
    <w:rsid w:val="0000119F"/>
    <w:rsid w:val="000012DF"/>
    <w:rsid w:val="00001300"/>
    <w:rsid w:val="00001437"/>
    <w:rsid w:val="000015D1"/>
    <w:rsid w:val="000016C9"/>
    <w:rsid w:val="000016F0"/>
    <w:rsid w:val="00001978"/>
    <w:rsid w:val="00001987"/>
    <w:rsid w:val="00001A6C"/>
    <w:rsid w:val="00001EDE"/>
    <w:rsid w:val="00001FE8"/>
    <w:rsid w:val="00002008"/>
    <w:rsid w:val="000020F6"/>
    <w:rsid w:val="0000222A"/>
    <w:rsid w:val="0000228A"/>
    <w:rsid w:val="00002334"/>
    <w:rsid w:val="0000234D"/>
    <w:rsid w:val="00002362"/>
    <w:rsid w:val="000023CB"/>
    <w:rsid w:val="000024D2"/>
    <w:rsid w:val="00002521"/>
    <w:rsid w:val="00002540"/>
    <w:rsid w:val="0000255B"/>
    <w:rsid w:val="000026BB"/>
    <w:rsid w:val="000027AE"/>
    <w:rsid w:val="00002811"/>
    <w:rsid w:val="0000283C"/>
    <w:rsid w:val="00002B1A"/>
    <w:rsid w:val="00002C45"/>
    <w:rsid w:val="00002DA2"/>
    <w:rsid w:val="00002DE9"/>
    <w:rsid w:val="00002FCF"/>
    <w:rsid w:val="000030A0"/>
    <w:rsid w:val="000030F5"/>
    <w:rsid w:val="00003397"/>
    <w:rsid w:val="000033F4"/>
    <w:rsid w:val="000034A4"/>
    <w:rsid w:val="000034DF"/>
    <w:rsid w:val="00003659"/>
    <w:rsid w:val="00003846"/>
    <w:rsid w:val="0000389F"/>
    <w:rsid w:val="00003954"/>
    <w:rsid w:val="00003A4F"/>
    <w:rsid w:val="00003BDF"/>
    <w:rsid w:val="00003D27"/>
    <w:rsid w:val="00003D3C"/>
    <w:rsid w:val="00003D9C"/>
    <w:rsid w:val="00003D9E"/>
    <w:rsid w:val="00003DF4"/>
    <w:rsid w:val="00003E53"/>
    <w:rsid w:val="00003F34"/>
    <w:rsid w:val="000040C4"/>
    <w:rsid w:val="00004139"/>
    <w:rsid w:val="000042F8"/>
    <w:rsid w:val="0000464E"/>
    <w:rsid w:val="000049CF"/>
    <w:rsid w:val="00004B7C"/>
    <w:rsid w:val="00004D40"/>
    <w:rsid w:val="00004E11"/>
    <w:rsid w:val="00004F02"/>
    <w:rsid w:val="000051A8"/>
    <w:rsid w:val="0000526C"/>
    <w:rsid w:val="0000527C"/>
    <w:rsid w:val="00005352"/>
    <w:rsid w:val="000054B5"/>
    <w:rsid w:val="000055FF"/>
    <w:rsid w:val="00005818"/>
    <w:rsid w:val="00005A24"/>
    <w:rsid w:val="00005B9B"/>
    <w:rsid w:val="00005C71"/>
    <w:rsid w:val="00005C75"/>
    <w:rsid w:val="00005C91"/>
    <w:rsid w:val="00005C92"/>
    <w:rsid w:val="00005EB6"/>
    <w:rsid w:val="00005FC3"/>
    <w:rsid w:val="00005FEC"/>
    <w:rsid w:val="000060BF"/>
    <w:rsid w:val="00006141"/>
    <w:rsid w:val="000063D1"/>
    <w:rsid w:val="0000642E"/>
    <w:rsid w:val="000065AD"/>
    <w:rsid w:val="0000685C"/>
    <w:rsid w:val="00006B43"/>
    <w:rsid w:val="000070CD"/>
    <w:rsid w:val="000070D4"/>
    <w:rsid w:val="000070E3"/>
    <w:rsid w:val="00007106"/>
    <w:rsid w:val="000071AD"/>
    <w:rsid w:val="0000724A"/>
    <w:rsid w:val="000073BE"/>
    <w:rsid w:val="0000797C"/>
    <w:rsid w:val="000079DD"/>
    <w:rsid w:val="00007AA8"/>
    <w:rsid w:val="00007AFB"/>
    <w:rsid w:val="00007CD0"/>
    <w:rsid w:val="00007DE4"/>
    <w:rsid w:val="00007DF2"/>
    <w:rsid w:val="00007E2B"/>
    <w:rsid w:val="00007F6E"/>
    <w:rsid w:val="0001013D"/>
    <w:rsid w:val="00010172"/>
    <w:rsid w:val="000103EF"/>
    <w:rsid w:val="00010480"/>
    <w:rsid w:val="0001054D"/>
    <w:rsid w:val="000106D9"/>
    <w:rsid w:val="00010794"/>
    <w:rsid w:val="00010883"/>
    <w:rsid w:val="00010AAB"/>
    <w:rsid w:val="00010AAC"/>
    <w:rsid w:val="00010AED"/>
    <w:rsid w:val="00010DE4"/>
    <w:rsid w:val="00010E51"/>
    <w:rsid w:val="00010F62"/>
    <w:rsid w:val="00011105"/>
    <w:rsid w:val="00011304"/>
    <w:rsid w:val="00011306"/>
    <w:rsid w:val="0001137F"/>
    <w:rsid w:val="0001141A"/>
    <w:rsid w:val="0001143F"/>
    <w:rsid w:val="00011561"/>
    <w:rsid w:val="00011630"/>
    <w:rsid w:val="0001165C"/>
    <w:rsid w:val="00011D29"/>
    <w:rsid w:val="00011D4F"/>
    <w:rsid w:val="00011DFE"/>
    <w:rsid w:val="00011F86"/>
    <w:rsid w:val="00011FBB"/>
    <w:rsid w:val="0001202F"/>
    <w:rsid w:val="000120FD"/>
    <w:rsid w:val="0001227C"/>
    <w:rsid w:val="00012299"/>
    <w:rsid w:val="0001232E"/>
    <w:rsid w:val="00012366"/>
    <w:rsid w:val="000123B6"/>
    <w:rsid w:val="00012743"/>
    <w:rsid w:val="0001280D"/>
    <w:rsid w:val="00012B76"/>
    <w:rsid w:val="00012FBC"/>
    <w:rsid w:val="00013003"/>
    <w:rsid w:val="000131F1"/>
    <w:rsid w:val="000132F6"/>
    <w:rsid w:val="00013427"/>
    <w:rsid w:val="00013483"/>
    <w:rsid w:val="000134C9"/>
    <w:rsid w:val="000134F6"/>
    <w:rsid w:val="00013544"/>
    <w:rsid w:val="00013942"/>
    <w:rsid w:val="00013A24"/>
    <w:rsid w:val="00013B03"/>
    <w:rsid w:val="00013C62"/>
    <w:rsid w:val="00013D33"/>
    <w:rsid w:val="00013D58"/>
    <w:rsid w:val="00013E96"/>
    <w:rsid w:val="00013ED1"/>
    <w:rsid w:val="00013FC2"/>
    <w:rsid w:val="00013FCA"/>
    <w:rsid w:val="0001410F"/>
    <w:rsid w:val="00014268"/>
    <w:rsid w:val="0001429E"/>
    <w:rsid w:val="00014462"/>
    <w:rsid w:val="0001468B"/>
    <w:rsid w:val="00014921"/>
    <w:rsid w:val="0001499B"/>
    <w:rsid w:val="000149C8"/>
    <w:rsid w:val="00014AA8"/>
    <w:rsid w:val="00014AE4"/>
    <w:rsid w:val="00014C60"/>
    <w:rsid w:val="00014CAA"/>
    <w:rsid w:val="00014FA3"/>
    <w:rsid w:val="00014FA9"/>
    <w:rsid w:val="00015021"/>
    <w:rsid w:val="000152C0"/>
    <w:rsid w:val="00015445"/>
    <w:rsid w:val="0001553B"/>
    <w:rsid w:val="0001557C"/>
    <w:rsid w:val="00015667"/>
    <w:rsid w:val="000158C5"/>
    <w:rsid w:val="00015977"/>
    <w:rsid w:val="00015987"/>
    <w:rsid w:val="00015A2F"/>
    <w:rsid w:val="00015D50"/>
    <w:rsid w:val="00015DD8"/>
    <w:rsid w:val="00015DE3"/>
    <w:rsid w:val="00015E41"/>
    <w:rsid w:val="000160C7"/>
    <w:rsid w:val="000161D2"/>
    <w:rsid w:val="000162B1"/>
    <w:rsid w:val="0001635F"/>
    <w:rsid w:val="0001655D"/>
    <w:rsid w:val="00016656"/>
    <w:rsid w:val="000166C8"/>
    <w:rsid w:val="00016764"/>
    <w:rsid w:val="000169A7"/>
    <w:rsid w:val="00016AF1"/>
    <w:rsid w:val="00016BB0"/>
    <w:rsid w:val="00016C1E"/>
    <w:rsid w:val="00016DDC"/>
    <w:rsid w:val="00016E00"/>
    <w:rsid w:val="00016E4D"/>
    <w:rsid w:val="00016FDD"/>
    <w:rsid w:val="00017141"/>
    <w:rsid w:val="00017401"/>
    <w:rsid w:val="000174B3"/>
    <w:rsid w:val="00017658"/>
    <w:rsid w:val="000177F7"/>
    <w:rsid w:val="000178A4"/>
    <w:rsid w:val="000179DA"/>
    <w:rsid w:val="00017A8A"/>
    <w:rsid w:val="00017A8C"/>
    <w:rsid w:val="00017AC7"/>
    <w:rsid w:val="00017CA8"/>
    <w:rsid w:val="00017CAF"/>
    <w:rsid w:val="00017CC6"/>
    <w:rsid w:val="00017D99"/>
    <w:rsid w:val="00017ED0"/>
    <w:rsid w:val="00017F14"/>
    <w:rsid w:val="00020186"/>
    <w:rsid w:val="000203C6"/>
    <w:rsid w:val="00020721"/>
    <w:rsid w:val="00020804"/>
    <w:rsid w:val="0002099A"/>
    <w:rsid w:val="00020A37"/>
    <w:rsid w:val="00020A9A"/>
    <w:rsid w:val="00020CEE"/>
    <w:rsid w:val="00020DA8"/>
    <w:rsid w:val="00020E5C"/>
    <w:rsid w:val="00020E99"/>
    <w:rsid w:val="00020EFA"/>
    <w:rsid w:val="00020F12"/>
    <w:rsid w:val="00020F34"/>
    <w:rsid w:val="00020F46"/>
    <w:rsid w:val="000210AE"/>
    <w:rsid w:val="000211A9"/>
    <w:rsid w:val="0002126E"/>
    <w:rsid w:val="000212A5"/>
    <w:rsid w:val="0002130D"/>
    <w:rsid w:val="0002141A"/>
    <w:rsid w:val="0002144D"/>
    <w:rsid w:val="00021483"/>
    <w:rsid w:val="00021536"/>
    <w:rsid w:val="000217DD"/>
    <w:rsid w:val="00021811"/>
    <w:rsid w:val="0002189D"/>
    <w:rsid w:val="00021C1C"/>
    <w:rsid w:val="00021D0A"/>
    <w:rsid w:val="00021D55"/>
    <w:rsid w:val="0002235B"/>
    <w:rsid w:val="0002241F"/>
    <w:rsid w:val="0002245A"/>
    <w:rsid w:val="000225F8"/>
    <w:rsid w:val="00022654"/>
    <w:rsid w:val="00022687"/>
    <w:rsid w:val="000226B5"/>
    <w:rsid w:val="0002278C"/>
    <w:rsid w:val="000227F0"/>
    <w:rsid w:val="00022A40"/>
    <w:rsid w:val="00022B42"/>
    <w:rsid w:val="00022BBE"/>
    <w:rsid w:val="00022DFB"/>
    <w:rsid w:val="00022F7A"/>
    <w:rsid w:val="00023062"/>
    <w:rsid w:val="0002326A"/>
    <w:rsid w:val="000237CB"/>
    <w:rsid w:val="0002383E"/>
    <w:rsid w:val="00023A1B"/>
    <w:rsid w:val="00023C86"/>
    <w:rsid w:val="00023C9B"/>
    <w:rsid w:val="00023CF0"/>
    <w:rsid w:val="00023D47"/>
    <w:rsid w:val="00023EC1"/>
    <w:rsid w:val="00024174"/>
    <w:rsid w:val="00024303"/>
    <w:rsid w:val="000245F3"/>
    <w:rsid w:val="000247D8"/>
    <w:rsid w:val="00024A1D"/>
    <w:rsid w:val="00024BC5"/>
    <w:rsid w:val="00024E8A"/>
    <w:rsid w:val="000252A3"/>
    <w:rsid w:val="000253A9"/>
    <w:rsid w:val="0002540B"/>
    <w:rsid w:val="00025642"/>
    <w:rsid w:val="000257A3"/>
    <w:rsid w:val="00025843"/>
    <w:rsid w:val="000258B7"/>
    <w:rsid w:val="00025930"/>
    <w:rsid w:val="000259AD"/>
    <w:rsid w:val="00025B37"/>
    <w:rsid w:val="00025BB8"/>
    <w:rsid w:val="00025DF4"/>
    <w:rsid w:val="00025E56"/>
    <w:rsid w:val="00025FFB"/>
    <w:rsid w:val="0002609F"/>
    <w:rsid w:val="00026173"/>
    <w:rsid w:val="0002627D"/>
    <w:rsid w:val="00026375"/>
    <w:rsid w:val="0002638A"/>
    <w:rsid w:val="0002640D"/>
    <w:rsid w:val="000264AF"/>
    <w:rsid w:val="0002650F"/>
    <w:rsid w:val="00026518"/>
    <w:rsid w:val="0002671E"/>
    <w:rsid w:val="00026792"/>
    <w:rsid w:val="00026837"/>
    <w:rsid w:val="000268DD"/>
    <w:rsid w:val="000269B0"/>
    <w:rsid w:val="00026A14"/>
    <w:rsid w:val="00026C19"/>
    <w:rsid w:val="00026C7D"/>
    <w:rsid w:val="000272AE"/>
    <w:rsid w:val="0002733F"/>
    <w:rsid w:val="0002737C"/>
    <w:rsid w:val="000274EB"/>
    <w:rsid w:val="00027930"/>
    <w:rsid w:val="00027B50"/>
    <w:rsid w:val="00027B6C"/>
    <w:rsid w:val="00027CF2"/>
    <w:rsid w:val="00027CF4"/>
    <w:rsid w:val="00027E1A"/>
    <w:rsid w:val="00027E78"/>
    <w:rsid w:val="00027EC1"/>
    <w:rsid w:val="000300B0"/>
    <w:rsid w:val="000300BD"/>
    <w:rsid w:val="00030413"/>
    <w:rsid w:val="000304FA"/>
    <w:rsid w:val="000306D6"/>
    <w:rsid w:val="0003071F"/>
    <w:rsid w:val="000307C7"/>
    <w:rsid w:val="000307E8"/>
    <w:rsid w:val="00030894"/>
    <w:rsid w:val="00030AA7"/>
    <w:rsid w:val="00030BAD"/>
    <w:rsid w:val="00030BFD"/>
    <w:rsid w:val="00030D1C"/>
    <w:rsid w:val="00030EB8"/>
    <w:rsid w:val="00030F54"/>
    <w:rsid w:val="00030F66"/>
    <w:rsid w:val="0003118E"/>
    <w:rsid w:val="000311B3"/>
    <w:rsid w:val="0003131A"/>
    <w:rsid w:val="00031357"/>
    <w:rsid w:val="000313E0"/>
    <w:rsid w:val="00031561"/>
    <w:rsid w:val="00031673"/>
    <w:rsid w:val="0003186D"/>
    <w:rsid w:val="00031891"/>
    <w:rsid w:val="00031991"/>
    <w:rsid w:val="000319C2"/>
    <w:rsid w:val="00031BC6"/>
    <w:rsid w:val="00031CBA"/>
    <w:rsid w:val="00031CF9"/>
    <w:rsid w:val="00031ED6"/>
    <w:rsid w:val="000320CA"/>
    <w:rsid w:val="00032184"/>
    <w:rsid w:val="000321D4"/>
    <w:rsid w:val="000324CB"/>
    <w:rsid w:val="000325BD"/>
    <w:rsid w:val="000325C1"/>
    <w:rsid w:val="00032671"/>
    <w:rsid w:val="00032908"/>
    <w:rsid w:val="00032A51"/>
    <w:rsid w:val="00032AD4"/>
    <w:rsid w:val="00032B0A"/>
    <w:rsid w:val="00032D7E"/>
    <w:rsid w:val="00032EB0"/>
    <w:rsid w:val="00032FEA"/>
    <w:rsid w:val="00033054"/>
    <w:rsid w:val="00033286"/>
    <w:rsid w:val="000333A2"/>
    <w:rsid w:val="00033482"/>
    <w:rsid w:val="00033766"/>
    <w:rsid w:val="00033965"/>
    <w:rsid w:val="00033A20"/>
    <w:rsid w:val="00033AE9"/>
    <w:rsid w:val="000340A6"/>
    <w:rsid w:val="000341D9"/>
    <w:rsid w:val="000341E5"/>
    <w:rsid w:val="00034230"/>
    <w:rsid w:val="00034436"/>
    <w:rsid w:val="000344E9"/>
    <w:rsid w:val="0003450B"/>
    <w:rsid w:val="00034664"/>
    <w:rsid w:val="000346DF"/>
    <w:rsid w:val="000346E3"/>
    <w:rsid w:val="00034AAF"/>
    <w:rsid w:val="00034AF2"/>
    <w:rsid w:val="00034B41"/>
    <w:rsid w:val="00034B59"/>
    <w:rsid w:val="00034C72"/>
    <w:rsid w:val="00034DC0"/>
    <w:rsid w:val="00034E4A"/>
    <w:rsid w:val="00034F1A"/>
    <w:rsid w:val="00034FB6"/>
    <w:rsid w:val="000350C0"/>
    <w:rsid w:val="00035132"/>
    <w:rsid w:val="000351B0"/>
    <w:rsid w:val="00035521"/>
    <w:rsid w:val="00035618"/>
    <w:rsid w:val="00035983"/>
    <w:rsid w:val="000359A1"/>
    <w:rsid w:val="00035B37"/>
    <w:rsid w:val="00035BE1"/>
    <w:rsid w:val="00035C79"/>
    <w:rsid w:val="00035DC6"/>
    <w:rsid w:val="00035DCE"/>
    <w:rsid w:val="00035E45"/>
    <w:rsid w:val="00035F22"/>
    <w:rsid w:val="00035F47"/>
    <w:rsid w:val="00035FD6"/>
    <w:rsid w:val="00036130"/>
    <w:rsid w:val="0003613F"/>
    <w:rsid w:val="000362BD"/>
    <w:rsid w:val="00036652"/>
    <w:rsid w:val="00036B18"/>
    <w:rsid w:val="00036B54"/>
    <w:rsid w:val="00036BA0"/>
    <w:rsid w:val="00036C1E"/>
    <w:rsid w:val="00036C8A"/>
    <w:rsid w:val="00036EB8"/>
    <w:rsid w:val="00036EE1"/>
    <w:rsid w:val="00036EE6"/>
    <w:rsid w:val="00036FCB"/>
    <w:rsid w:val="00037227"/>
    <w:rsid w:val="00037367"/>
    <w:rsid w:val="000374A6"/>
    <w:rsid w:val="000374C7"/>
    <w:rsid w:val="00037698"/>
    <w:rsid w:val="00037746"/>
    <w:rsid w:val="00037752"/>
    <w:rsid w:val="0003777B"/>
    <w:rsid w:val="00037790"/>
    <w:rsid w:val="000377FE"/>
    <w:rsid w:val="0003791C"/>
    <w:rsid w:val="00037947"/>
    <w:rsid w:val="00037B42"/>
    <w:rsid w:val="00037C35"/>
    <w:rsid w:val="00037CD3"/>
    <w:rsid w:val="00040095"/>
    <w:rsid w:val="000402C8"/>
    <w:rsid w:val="00040422"/>
    <w:rsid w:val="00040538"/>
    <w:rsid w:val="00040571"/>
    <w:rsid w:val="00040760"/>
    <w:rsid w:val="0004088F"/>
    <w:rsid w:val="000408CF"/>
    <w:rsid w:val="00040A0F"/>
    <w:rsid w:val="00040C01"/>
    <w:rsid w:val="00040C4D"/>
    <w:rsid w:val="00040C5A"/>
    <w:rsid w:val="00040C8C"/>
    <w:rsid w:val="00040DD2"/>
    <w:rsid w:val="00040F47"/>
    <w:rsid w:val="00040F51"/>
    <w:rsid w:val="00040F79"/>
    <w:rsid w:val="00041132"/>
    <w:rsid w:val="0004147B"/>
    <w:rsid w:val="000415A5"/>
    <w:rsid w:val="000415C0"/>
    <w:rsid w:val="000415E0"/>
    <w:rsid w:val="000416EA"/>
    <w:rsid w:val="0004185A"/>
    <w:rsid w:val="00041A92"/>
    <w:rsid w:val="00041A96"/>
    <w:rsid w:val="00041B05"/>
    <w:rsid w:val="00041B1D"/>
    <w:rsid w:val="00041B7E"/>
    <w:rsid w:val="00041E98"/>
    <w:rsid w:val="0004207C"/>
    <w:rsid w:val="00042129"/>
    <w:rsid w:val="0004212E"/>
    <w:rsid w:val="000421BB"/>
    <w:rsid w:val="00042217"/>
    <w:rsid w:val="00042422"/>
    <w:rsid w:val="000424E0"/>
    <w:rsid w:val="000424E7"/>
    <w:rsid w:val="000427D4"/>
    <w:rsid w:val="00042845"/>
    <w:rsid w:val="0004285F"/>
    <w:rsid w:val="00042955"/>
    <w:rsid w:val="00042CB8"/>
    <w:rsid w:val="00042E76"/>
    <w:rsid w:val="00042E83"/>
    <w:rsid w:val="00042EDB"/>
    <w:rsid w:val="00042F76"/>
    <w:rsid w:val="00043178"/>
    <w:rsid w:val="000431FD"/>
    <w:rsid w:val="0004336C"/>
    <w:rsid w:val="0004353A"/>
    <w:rsid w:val="0004363A"/>
    <w:rsid w:val="00043695"/>
    <w:rsid w:val="00043784"/>
    <w:rsid w:val="0004379A"/>
    <w:rsid w:val="0004384F"/>
    <w:rsid w:val="000438F7"/>
    <w:rsid w:val="0004399D"/>
    <w:rsid w:val="00043A24"/>
    <w:rsid w:val="00043C4D"/>
    <w:rsid w:val="00043DCA"/>
    <w:rsid w:val="00043E13"/>
    <w:rsid w:val="00043E3D"/>
    <w:rsid w:val="00043F79"/>
    <w:rsid w:val="00044000"/>
    <w:rsid w:val="000441BA"/>
    <w:rsid w:val="000441FF"/>
    <w:rsid w:val="000442AD"/>
    <w:rsid w:val="00044356"/>
    <w:rsid w:val="00044424"/>
    <w:rsid w:val="000448DC"/>
    <w:rsid w:val="0004497F"/>
    <w:rsid w:val="00044A13"/>
    <w:rsid w:val="000450B8"/>
    <w:rsid w:val="000450FA"/>
    <w:rsid w:val="00045134"/>
    <w:rsid w:val="000452C6"/>
    <w:rsid w:val="000452EC"/>
    <w:rsid w:val="000454E6"/>
    <w:rsid w:val="000459A6"/>
    <w:rsid w:val="00045A1E"/>
    <w:rsid w:val="00045AA0"/>
    <w:rsid w:val="00045C81"/>
    <w:rsid w:val="00046259"/>
    <w:rsid w:val="00046299"/>
    <w:rsid w:val="0004630D"/>
    <w:rsid w:val="00046310"/>
    <w:rsid w:val="000464AF"/>
    <w:rsid w:val="000464B7"/>
    <w:rsid w:val="00046667"/>
    <w:rsid w:val="00046780"/>
    <w:rsid w:val="000469CF"/>
    <w:rsid w:val="00046A6B"/>
    <w:rsid w:val="00046A7A"/>
    <w:rsid w:val="00046DB5"/>
    <w:rsid w:val="00046E45"/>
    <w:rsid w:val="00047400"/>
    <w:rsid w:val="000475DE"/>
    <w:rsid w:val="0004771A"/>
    <w:rsid w:val="000477A0"/>
    <w:rsid w:val="0004786B"/>
    <w:rsid w:val="000478EB"/>
    <w:rsid w:val="00047AB8"/>
    <w:rsid w:val="00047FAA"/>
    <w:rsid w:val="0005004E"/>
    <w:rsid w:val="0005044D"/>
    <w:rsid w:val="0005048C"/>
    <w:rsid w:val="000504AC"/>
    <w:rsid w:val="00050652"/>
    <w:rsid w:val="000508CF"/>
    <w:rsid w:val="00050A74"/>
    <w:rsid w:val="00050B87"/>
    <w:rsid w:val="00050CC2"/>
    <w:rsid w:val="00050EDD"/>
    <w:rsid w:val="00051214"/>
    <w:rsid w:val="00051344"/>
    <w:rsid w:val="00051448"/>
    <w:rsid w:val="0005162E"/>
    <w:rsid w:val="00051883"/>
    <w:rsid w:val="00051973"/>
    <w:rsid w:val="00051A34"/>
    <w:rsid w:val="00051ADA"/>
    <w:rsid w:val="00051B86"/>
    <w:rsid w:val="00051B91"/>
    <w:rsid w:val="00051F77"/>
    <w:rsid w:val="00052272"/>
    <w:rsid w:val="000526A4"/>
    <w:rsid w:val="000526D5"/>
    <w:rsid w:val="00052885"/>
    <w:rsid w:val="00052A24"/>
    <w:rsid w:val="00052A50"/>
    <w:rsid w:val="00052A5D"/>
    <w:rsid w:val="00052D4B"/>
    <w:rsid w:val="00052EEA"/>
    <w:rsid w:val="000530C1"/>
    <w:rsid w:val="000532E4"/>
    <w:rsid w:val="00053396"/>
    <w:rsid w:val="000534AB"/>
    <w:rsid w:val="00053532"/>
    <w:rsid w:val="0005387B"/>
    <w:rsid w:val="0005393D"/>
    <w:rsid w:val="00053A29"/>
    <w:rsid w:val="00053DE5"/>
    <w:rsid w:val="00053EAB"/>
    <w:rsid w:val="00053EF7"/>
    <w:rsid w:val="000540B5"/>
    <w:rsid w:val="0005410D"/>
    <w:rsid w:val="0005419C"/>
    <w:rsid w:val="00054336"/>
    <w:rsid w:val="000543CB"/>
    <w:rsid w:val="000543DA"/>
    <w:rsid w:val="00054458"/>
    <w:rsid w:val="00054477"/>
    <w:rsid w:val="0005448E"/>
    <w:rsid w:val="0005460E"/>
    <w:rsid w:val="0005465F"/>
    <w:rsid w:val="0005483C"/>
    <w:rsid w:val="000548B6"/>
    <w:rsid w:val="000549CF"/>
    <w:rsid w:val="00054B67"/>
    <w:rsid w:val="00054BE7"/>
    <w:rsid w:val="00054CD3"/>
    <w:rsid w:val="00054D67"/>
    <w:rsid w:val="00054EB7"/>
    <w:rsid w:val="00054FE2"/>
    <w:rsid w:val="0005500B"/>
    <w:rsid w:val="000550D3"/>
    <w:rsid w:val="0005515B"/>
    <w:rsid w:val="00055255"/>
    <w:rsid w:val="00055275"/>
    <w:rsid w:val="000552B3"/>
    <w:rsid w:val="00055669"/>
    <w:rsid w:val="00055860"/>
    <w:rsid w:val="00055A51"/>
    <w:rsid w:val="00055AC1"/>
    <w:rsid w:val="00055B3E"/>
    <w:rsid w:val="00055C41"/>
    <w:rsid w:val="00055CE8"/>
    <w:rsid w:val="00055F4D"/>
    <w:rsid w:val="00055F54"/>
    <w:rsid w:val="00056264"/>
    <w:rsid w:val="00056308"/>
    <w:rsid w:val="0005631F"/>
    <w:rsid w:val="0005636B"/>
    <w:rsid w:val="000563A0"/>
    <w:rsid w:val="00056433"/>
    <w:rsid w:val="00056609"/>
    <w:rsid w:val="00056675"/>
    <w:rsid w:val="0005671B"/>
    <w:rsid w:val="0005674C"/>
    <w:rsid w:val="000567EF"/>
    <w:rsid w:val="000568DA"/>
    <w:rsid w:val="00056AC0"/>
    <w:rsid w:val="00056B2D"/>
    <w:rsid w:val="00056D8F"/>
    <w:rsid w:val="00056DB2"/>
    <w:rsid w:val="00056F32"/>
    <w:rsid w:val="0005733C"/>
    <w:rsid w:val="000573FD"/>
    <w:rsid w:val="0005743C"/>
    <w:rsid w:val="00057468"/>
    <w:rsid w:val="00057587"/>
    <w:rsid w:val="00057687"/>
    <w:rsid w:val="00057A02"/>
    <w:rsid w:val="00057A34"/>
    <w:rsid w:val="00057B27"/>
    <w:rsid w:val="00057C35"/>
    <w:rsid w:val="00057C3F"/>
    <w:rsid w:val="00057C53"/>
    <w:rsid w:val="00057CEF"/>
    <w:rsid w:val="00057E59"/>
    <w:rsid w:val="00057F0F"/>
    <w:rsid w:val="00057FB6"/>
    <w:rsid w:val="00060032"/>
    <w:rsid w:val="0006005F"/>
    <w:rsid w:val="000601F7"/>
    <w:rsid w:val="00060504"/>
    <w:rsid w:val="0006053E"/>
    <w:rsid w:val="00060543"/>
    <w:rsid w:val="000609F2"/>
    <w:rsid w:val="00060B9E"/>
    <w:rsid w:val="00060BAF"/>
    <w:rsid w:val="00060D81"/>
    <w:rsid w:val="00060DA3"/>
    <w:rsid w:val="00060DA4"/>
    <w:rsid w:val="00060DCD"/>
    <w:rsid w:val="00060E50"/>
    <w:rsid w:val="00060F24"/>
    <w:rsid w:val="00060FB9"/>
    <w:rsid w:val="00061229"/>
    <w:rsid w:val="00061439"/>
    <w:rsid w:val="00061565"/>
    <w:rsid w:val="00061668"/>
    <w:rsid w:val="000617F7"/>
    <w:rsid w:val="0006191B"/>
    <w:rsid w:val="0006194D"/>
    <w:rsid w:val="000619A7"/>
    <w:rsid w:val="00061A57"/>
    <w:rsid w:val="00061B6A"/>
    <w:rsid w:val="00061D51"/>
    <w:rsid w:val="00061FF1"/>
    <w:rsid w:val="0006216B"/>
    <w:rsid w:val="000622C7"/>
    <w:rsid w:val="00062534"/>
    <w:rsid w:val="00062596"/>
    <w:rsid w:val="0006262D"/>
    <w:rsid w:val="00062715"/>
    <w:rsid w:val="000627A9"/>
    <w:rsid w:val="00062823"/>
    <w:rsid w:val="00062C95"/>
    <w:rsid w:val="00062E02"/>
    <w:rsid w:val="00062E06"/>
    <w:rsid w:val="00062E20"/>
    <w:rsid w:val="00062E56"/>
    <w:rsid w:val="00062F45"/>
    <w:rsid w:val="0006313B"/>
    <w:rsid w:val="0006335C"/>
    <w:rsid w:val="0006336C"/>
    <w:rsid w:val="000633CA"/>
    <w:rsid w:val="00063458"/>
    <w:rsid w:val="000634FE"/>
    <w:rsid w:val="00063623"/>
    <w:rsid w:val="0006364C"/>
    <w:rsid w:val="0006374D"/>
    <w:rsid w:val="000637E8"/>
    <w:rsid w:val="00063821"/>
    <w:rsid w:val="0006385F"/>
    <w:rsid w:val="00063984"/>
    <w:rsid w:val="00063A5D"/>
    <w:rsid w:val="00063A61"/>
    <w:rsid w:val="00063B2C"/>
    <w:rsid w:val="00063CB5"/>
    <w:rsid w:val="00063D3D"/>
    <w:rsid w:val="00063E76"/>
    <w:rsid w:val="00063EE2"/>
    <w:rsid w:val="00063EEF"/>
    <w:rsid w:val="00063F75"/>
    <w:rsid w:val="000641D2"/>
    <w:rsid w:val="00064230"/>
    <w:rsid w:val="0006440A"/>
    <w:rsid w:val="000644B8"/>
    <w:rsid w:val="000644D3"/>
    <w:rsid w:val="000644D9"/>
    <w:rsid w:val="0006464B"/>
    <w:rsid w:val="00064748"/>
    <w:rsid w:val="0006489D"/>
    <w:rsid w:val="000648A2"/>
    <w:rsid w:val="0006495A"/>
    <w:rsid w:val="000649C0"/>
    <w:rsid w:val="00064A88"/>
    <w:rsid w:val="00064B41"/>
    <w:rsid w:val="00064B52"/>
    <w:rsid w:val="00064B74"/>
    <w:rsid w:val="00064BAA"/>
    <w:rsid w:val="00064F6B"/>
    <w:rsid w:val="000651D6"/>
    <w:rsid w:val="000652C0"/>
    <w:rsid w:val="000654D2"/>
    <w:rsid w:val="000654E6"/>
    <w:rsid w:val="000656F7"/>
    <w:rsid w:val="000657D2"/>
    <w:rsid w:val="00065AB1"/>
    <w:rsid w:val="00065C01"/>
    <w:rsid w:val="00065D13"/>
    <w:rsid w:val="00065D7C"/>
    <w:rsid w:val="00065E72"/>
    <w:rsid w:val="00065FBF"/>
    <w:rsid w:val="00065FDB"/>
    <w:rsid w:val="00065FFD"/>
    <w:rsid w:val="0006604C"/>
    <w:rsid w:val="00066191"/>
    <w:rsid w:val="0006628E"/>
    <w:rsid w:val="00066815"/>
    <w:rsid w:val="00066922"/>
    <w:rsid w:val="00066A4F"/>
    <w:rsid w:val="00066B01"/>
    <w:rsid w:val="00066B05"/>
    <w:rsid w:val="00066B3F"/>
    <w:rsid w:val="00066BAC"/>
    <w:rsid w:val="00066BB9"/>
    <w:rsid w:val="00066C5C"/>
    <w:rsid w:val="00066FFF"/>
    <w:rsid w:val="00067132"/>
    <w:rsid w:val="00067157"/>
    <w:rsid w:val="0006736D"/>
    <w:rsid w:val="000675BA"/>
    <w:rsid w:val="0006792F"/>
    <w:rsid w:val="00067A1C"/>
    <w:rsid w:val="00067D25"/>
    <w:rsid w:val="00067E25"/>
    <w:rsid w:val="00067E4D"/>
    <w:rsid w:val="0006AC2A"/>
    <w:rsid w:val="0007016B"/>
    <w:rsid w:val="000704A8"/>
    <w:rsid w:val="000705ED"/>
    <w:rsid w:val="000707C2"/>
    <w:rsid w:val="000707DA"/>
    <w:rsid w:val="00070818"/>
    <w:rsid w:val="00070905"/>
    <w:rsid w:val="000709C7"/>
    <w:rsid w:val="00070CC9"/>
    <w:rsid w:val="00070D59"/>
    <w:rsid w:val="00070D5E"/>
    <w:rsid w:val="00070D7F"/>
    <w:rsid w:val="00070E83"/>
    <w:rsid w:val="00070EDF"/>
    <w:rsid w:val="00070FD6"/>
    <w:rsid w:val="0007100E"/>
    <w:rsid w:val="00071044"/>
    <w:rsid w:val="000711D4"/>
    <w:rsid w:val="00071217"/>
    <w:rsid w:val="00071240"/>
    <w:rsid w:val="0007133B"/>
    <w:rsid w:val="000713E8"/>
    <w:rsid w:val="000714C9"/>
    <w:rsid w:val="00071581"/>
    <w:rsid w:val="00071615"/>
    <w:rsid w:val="000716E5"/>
    <w:rsid w:val="000717B2"/>
    <w:rsid w:val="000718CA"/>
    <w:rsid w:val="00071984"/>
    <w:rsid w:val="00071985"/>
    <w:rsid w:val="00071A22"/>
    <w:rsid w:val="00071A6A"/>
    <w:rsid w:val="00071B7A"/>
    <w:rsid w:val="00071BD6"/>
    <w:rsid w:val="00071C2B"/>
    <w:rsid w:val="00071F45"/>
    <w:rsid w:val="00071F75"/>
    <w:rsid w:val="00071FF8"/>
    <w:rsid w:val="00072067"/>
    <w:rsid w:val="0007227F"/>
    <w:rsid w:val="0007234D"/>
    <w:rsid w:val="0007243D"/>
    <w:rsid w:val="00072532"/>
    <w:rsid w:val="00072542"/>
    <w:rsid w:val="0007254D"/>
    <w:rsid w:val="00072578"/>
    <w:rsid w:val="00072686"/>
    <w:rsid w:val="000727DB"/>
    <w:rsid w:val="000728B7"/>
    <w:rsid w:val="00072968"/>
    <w:rsid w:val="00072F07"/>
    <w:rsid w:val="00072F96"/>
    <w:rsid w:val="00073031"/>
    <w:rsid w:val="000730C9"/>
    <w:rsid w:val="00073127"/>
    <w:rsid w:val="00073137"/>
    <w:rsid w:val="00073271"/>
    <w:rsid w:val="00073291"/>
    <w:rsid w:val="000732B0"/>
    <w:rsid w:val="000732D0"/>
    <w:rsid w:val="0007346F"/>
    <w:rsid w:val="000735B7"/>
    <w:rsid w:val="00073649"/>
    <w:rsid w:val="00073890"/>
    <w:rsid w:val="0007397B"/>
    <w:rsid w:val="000739CB"/>
    <w:rsid w:val="00073A33"/>
    <w:rsid w:val="00073AFB"/>
    <w:rsid w:val="00073F97"/>
    <w:rsid w:val="000741B3"/>
    <w:rsid w:val="00074292"/>
    <w:rsid w:val="000742A7"/>
    <w:rsid w:val="000742AE"/>
    <w:rsid w:val="000742D9"/>
    <w:rsid w:val="00074588"/>
    <w:rsid w:val="00074743"/>
    <w:rsid w:val="00074808"/>
    <w:rsid w:val="00074820"/>
    <w:rsid w:val="000748C2"/>
    <w:rsid w:val="000748C3"/>
    <w:rsid w:val="00074AAD"/>
    <w:rsid w:val="00074B10"/>
    <w:rsid w:val="00074C69"/>
    <w:rsid w:val="00074D83"/>
    <w:rsid w:val="00075041"/>
    <w:rsid w:val="0007531C"/>
    <w:rsid w:val="00075A03"/>
    <w:rsid w:val="00075A8A"/>
    <w:rsid w:val="00075E01"/>
    <w:rsid w:val="00075F0B"/>
    <w:rsid w:val="00075F9B"/>
    <w:rsid w:val="00076073"/>
    <w:rsid w:val="0007620C"/>
    <w:rsid w:val="000762BE"/>
    <w:rsid w:val="00076376"/>
    <w:rsid w:val="000763B7"/>
    <w:rsid w:val="00076414"/>
    <w:rsid w:val="0007646D"/>
    <w:rsid w:val="0007664E"/>
    <w:rsid w:val="00076679"/>
    <w:rsid w:val="00076739"/>
    <w:rsid w:val="0007677E"/>
    <w:rsid w:val="000769F2"/>
    <w:rsid w:val="00076A44"/>
    <w:rsid w:val="00076EFA"/>
    <w:rsid w:val="00077077"/>
    <w:rsid w:val="000771BD"/>
    <w:rsid w:val="00077236"/>
    <w:rsid w:val="000773C2"/>
    <w:rsid w:val="00077580"/>
    <w:rsid w:val="0007772C"/>
    <w:rsid w:val="00077AF3"/>
    <w:rsid w:val="00077C6C"/>
    <w:rsid w:val="00077CCC"/>
    <w:rsid w:val="00077D84"/>
    <w:rsid w:val="00077DE1"/>
    <w:rsid w:val="00077FFC"/>
    <w:rsid w:val="000800C9"/>
    <w:rsid w:val="000801EE"/>
    <w:rsid w:val="00080340"/>
    <w:rsid w:val="00080468"/>
    <w:rsid w:val="000804ED"/>
    <w:rsid w:val="000805B7"/>
    <w:rsid w:val="000806B3"/>
    <w:rsid w:val="000807A1"/>
    <w:rsid w:val="000807C8"/>
    <w:rsid w:val="000807D5"/>
    <w:rsid w:val="000809F4"/>
    <w:rsid w:val="00080AE8"/>
    <w:rsid w:val="00080D98"/>
    <w:rsid w:val="00080E18"/>
    <w:rsid w:val="00080E29"/>
    <w:rsid w:val="00080E4A"/>
    <w:rsid w:val="00080E62"/>
    <w:rsid w:val="00080FF9"/>
    <w:rsid w:val="00081028"/>
    <w:rsid w:val="0008111E"/>
    <w:rsid w:val="00081245"/>
    <w:rsid w:val="0008125E"/>
    <w:rsid w:val="000813C6"/>
    <w:rsid w:val="00081432"/>
    <w:rsid w:val="000814C8"/>
    <w:rsid w:val="000816EE"/>
    <w:rsid w:val="00081757"/>
    <w:rsid w:val="0008189A"/>
    <w:rsid w:val="000818A4"/>
    <w:rsid w:val="0008194F"/>
    <w:rsid w:val="000819AE"/>
    <w:rsid w:val="00081A00"/>
    <w:rsid w:val="00081E69"/>
    <w:rsid w:val="00081F79"/>
    <w:rsid w:val="00082139"/>
    <w:rsid w:val="000821D8"/>
    <w:rsid w:val="0008228E"/>
    <w:rsid w:val="000822F4"/>
    <w:rsid w:val="0008243A"/>
    <w:rsid w:val="00082462"/>
    <w:rsid w:val="00082522"/>
    <w:rsid w:val="00082569"/>
    <w:rsid w:val="0008266A"/>
    <w:rsid w:val="00082887"/>
    <w:rsid w:val="00082A69"/>
    <w:rsid w:val="00082C44"/>
    <w:rsid w:val="00082CC4"/>
    <w:rsid w:val="00082DBA"/>
    <w:rsid w:val="00082ED8"/>
    <w:rsid w:val="00082F48"/>
    <w:rsid w:val="000831F2"/>
    <w:rsid w:val="0008326D"/>
    <w:rsid w:val="000834B5"/>
    <w:rsid w:val="000834DA"/>
    <w:rsid w:val="000835B0"/>
    <w:rsid w:val="00083641"/>
    <w:rsid w:val="00083721"/>
    <w:rsid w:val="00083B0A"/>
    <w:rsid w:val="00083B23"/>
    <w:rsid w:val="00083B85"/>
    <w:rsid w:val="00083CF7"/>
    <w:rsid w:val="00083D08"/>
    <w:rsid w:val="00083D7C"/>
    <w:rsid w:val="00083D88"/>
    <w:rsid w:val="00083F05"/>
    <w:rsid w:val="00084088"/>
    <w:rsid w:val="00084130"/>
    <w:rsid w:val="0008419E"/>
    <w:rsid w:val="000841DF"/>
    <w:rsid w:val="00084230"/>
    <w:rsid w:val="000844E4"/>
    <w:rsid w:val="000845A2"/>
    <w:rsid w:val="000845AA"/>
    <w:rsid w:val="00084763"/>
    <w:rsid w:val="0008483E"/>
    <w:rsid w:val="00084ACF"/>
    <w:rsid w:val="00084AF6"/>
    <w:rsid w:val="00084B13"/>
    <w:rsid w:val="00084CEB"/>
    <w:rsid w:val="00084FC8"/>
    <w:rsid w:val="000850EA"/>
    <w:rsid w:val="00085151"/>
    <w:rsid w:val="000851D9"/>
    <w:rsid w:val="00085257"/>
    <w:rsid w:val="00085737"/>
    <w:rsid w:val="0008594C"/>
    <w:rsid w:val="0008594F"/>
    <w:rsid w:val="00085BD7"/>
    <w:rsid w:val="00085C1C"/>
    <w:rsid w:val="00085EB7"/>
    <w:rsid w:val="00085FFF"/>
    <w:rsid w:val="00086171"/>
    <w:rsid w:val="00086178"/>
    <w:rsid w:val="00086192"/>
    <w:rsid w:val="00086246"/>
    <w:rsid w:val="0008633B"/>
    <w:rsid w:val="0008635D"/>
    <w:rsid w:val="00086425"/>
    <w:rsid w:val="0008650A"/>
    <w:rsid w:val="00086881"/>
    <w:rsid w:val="00086965"/>
    <w:rsid w:val="000869E0"/>
    <w:rsid w:val="00086BB4"/>
    <w:rsid w:val="00086BC9"/>
    <w:rsid w:val="00086C18"/>
    <w:rsid w:val="00086D51"/>
    <w:rsid w:val="00086EAE"/>
    <w:rsid w:val="00086EBE"/>
    <w:rsid w:val="00086F5E"/>
    <w:rsid w:val="00086FB2"/>
    <w:rsid w:val="00086FF6"/>
    <w:rsid w:val="000870E8"/>
    <w:rsid w:val="00087161"/>
    <w:rsid w:val="00087256"/>
    <w:rsid w:val="000872DE"/>
    <w:rsid w:val="00087392"/>
    <w:rsid w:val="000873DF"/>
    <w:rsid w:val="00087538"/>
    <w:rsid w:val="00087600"/>
    <w:rsid w:val="000876AB"/>
    <w:rsid w:val="0008781B"/>
    <w:rsid w:val="000878D0"/>
    <w:rsid w:val="0008792E"/>
    <w:rsid w:val="00087D22"/>
    <w:rsid w:val="00087E6E"/>
    <w:rsid w:val="00087F31"/>
    <w:rsid w:val="00090196"/>
    <w:rsid w:val="00090221"/>
    <w:rsid w:val="000902E5"/>
    <w:rsid w:val="0009037A"/>
    <w:rsid w:val="0009064C"/>
    <w:rsid w:val="00090668"/>
    <w:rsid w:val="000906E2"/>
    <w:rsid w:val="000906F5"/>
    <w:rsid w:val="0009075C"/>
    <w:rsid w:val="00090766"/>
    <w:rsid w:val="00090775"/>
    <w:rsid w:val="00090825"/>
    <w:rsid w:val="00090850"/>
    <w:rsid w:val="00090AA7"/>
    <w:rsid w:val="00090AB6"/>
    <w:rsid w:val="00090AE7"/>
    <w:rsid w:val="00090C1F"/>
    <w:rsid w:val="00090CCD"/>
    <w:rsid w:val="00090D5B"/>
    <w:rsid w:val="00090DB7"/>
    <w:rsid w:val="00090E05"/>
    <w:rsid w:val="00090E9E"/>
    <w:rsid w:val="0009120A"/>
    <w:rsid w:val="0009121A"/>
    <w:rsid w:val="00091280"/>
    <w:rsid w:val="00091322"/>
    <w:rsid w:val="000913E7"/>
    <w:rsid w:val="000914B9"/>
    <w:rsid w:val="0009161C"/>
    <w:rsid w:val="00091ABB"/>
    <w:rsid w:val="00091AD1"/>
    <w:rsid w:val="00091C1B"/>
    <w:rsid w:val="00091D33"/>
    <w:rsid w:val="00091D86"/>
    <w:rsid w:val="00091E90"/>
    <w:rsid w:val="00091F0D"/>
    <w:rsid w:val="00091FC9"/>
    <w:rsid w:val="000920C7"/>
    <w:rsid w:val="000920E4"/>
    <w:rsid w:val="0009216C"/>
    <w:rsid w:val="000923BE"/>
    <w:rsid w:val="000924D1"/>
    <w:rsid w:val="0009268A"/>
    <w:rsid w:val="0009271B"/>
    <w:rsid w:val="00092752"/>
    <w:rsid w:val="00092810"/>
    <w:rsid w:val="0009284D"/>
    <w:rsid w:val="00092931"/>
    <w:rsid w:val="00092AF5"/>
    <w:rsid w:val="00092BAF"/>
    <w:rsid w:val="00092C61"/>
    <w:rsid w:val="000933DA"/>
    <w:rsid w:val="0009350D"/>
    <w:rsid w:val="00093608"/>
    <w:rsid w:val="000936B1"/>
    <w:rsid w:val="00093766"/>
    <w:rsid w:val="00093C56"/>
    <w:rsid w:val="00093C7C"/>
    <w:rsid w:val="00093C93"/>
    <w:rsid w:val="00093DCA"/>
    <w:rsid w:val="00093EB6"/>
    <w:rsid w:val="000940C2"/>
    <w:rsid w:val="000940CD"/>
    <w:rsid w:val="00094163"/>
    <w:rsid w:val="00094447"/>
    <w:rsid w:val="00094656"/>
    <w:rsid w:val="00094973"/>
    <w:rsid w:val="00094D03"/>
    <w:rsid w:val="00094DE4"/>
    <w:rsid w:val="00094F79"/>
    <w:rsid w:val="000952E7"/>
    <w:rsid w:val="000954D0"/>
    <w:rsid w:val="00095749"/>
    <w:rsid w:val="00095B99"/>
    <w:rsid w:val="00095C57"/>
    <w:rsid w:val="00095DFF"/>
    <w:rsid w:val="00095E3D"/>
    <w:rsid w:val="00095E7B"/>
    <w:rsid w:val="00095F85"/>
    <w:rsid w:val="00095FAD"/>
    <w:rsid w:val="0009609F"/>
    <w:rsid w:val="0009611F"/>
    <w:rsid w:val="0009619C"/>
    <w:rsid w:val="000961E5"/>
    <w:rsid w:val="00096267"/>
    <w:rsid w:val="0009631D"/>
    <w:rsid w:val="00096326"/>
    <w:rsid w:val="000964A3"/>
    <w:rsid w:val="000965F6"/>
    <w:rsid w:val="000966CA"/>
    <w:rsid w:val="000968A0"/>
    <w:rsid w:val="00096A19"/>
    <w:rsid w:val="00096BF4"/>
    <w:rsid w:val="00096D5B"/>
    <w:rsid w:val="00096D9B"/>
    <w:rsid w:val="00096F4D"/>
    <w:rsid w:val="00096FFB"/>
    <w:rsid w:val="0009700B"/>
    <w:rsid w:val="000970A1"/>
    <w:rsid w:val="000970C3"/>
    <w:rsid w:val="0009711E"/>
    <w:rsid w:val="0009718E"/>
    <w:rsid w:val="000975DB"/>
    <w:rsid w:val="000975E2"/>
    <w:rsid w:val="0009760B"/>
    <w:rsid w:val="0009778C"/>
    <w:rsid w:val="00097884"/>
    <w:rsid w:val="00097A96"/>
    <w:rsid w:val="00097F2A"/>
    <w:rsid w:val="00097F73"/>
    <w:rsid w:val="000A0174"/>
    <w:rsid w:val="000A018C"/>
    <w:rsid w:val="000A024D"/>
    <w:rsid w:val="000A03B4"/>
    <w:rsid w:val="000A04AC"/>
    <w:rsid w:val="000A0720"/>
    <w:rsid w:val="000A0757"/>
    <w:rsid w:val="000A0820"/>
    <w:rsid w:val="000A0A43"/>
    <w:rsid w:val="000A0A58"/>
    <w:rsid w:val="000A0ADE"/>
    <w:rsid w:val="000A0CBD"/>
    <w:rsid w:val="000A0E69"/>
    <w:rsid w:val="000A0F6E"/>
    <w:rsid w:val="000A10AB"/>
    <w:rsid w:val="000A10CD"/>
    <w:rsid w:val="000A11A5"/>
    <w:rsid w:val="000A11C3"/>
    <w:rsid w:val="000A1356"/>
    <w:rsid w:val="000A1482"/>
    <w:rsid w:val="000A148D"/>
    <w:rsid w:val="000A15DD"/>
    <w:rsid w:val="000A15F6"/>
    <w:rsid w:val="000A1965"/>
    <w:rsid w:val="000A1A2D"/>
    <w:rsid w:val="000A1BB6"/>
    <w:rsid w:val="000A1BBC"/>
    <w:rsid w:val="000A1BC4"/>
    <w:rsid w:val="000A1BEA"/>
    <w:rsid w:val="000A1C15"/>
    <w:rsid w:val="000A1C21"/>
    <w:rsid w:val="000A1CFC"/>
    <w:rsid w:val="000A1DFA"/>
    <w:rsid w:val="000A1E00"/>
    <w:rsid w:val="000A1E6B"/>
    <w:rsid w:val="000A20EA"/>
    <w:rsid w:val="000A2111"/>
    <w:rsid w:val="000A2318"/>
    <w:rsid w:val="000A24FA"/>
    <w:rsid w:val="000A24FE"/>
    <w:rsid w:val="000A25CC"/>
    <w:rsid w:val="000A27EE"/>
    <w:rsid w:val="000A2897"/>
    <w:rsid w:val="000A289D"/>
    <w:rsid w:val="000A28D3"/>
    <w:rsid w:val="000A2925"/>
    <w:rsid w:val="000A2A66"/>
    <w:rsid w:val="000A2AA2"/>
    <w:rsid w:val="000A2C4D"/>
    <w:rsid w:val="000A2C55"/>
    <w:rsid w:val="000A300E"/>
    <w:rsid w:val="000A325A"/>
    <w:rsid w:val="000A328A"/>
    <w:rsid w:val="000A3385"/>
    <w:rsid w:val="000A346A"/>
    <w:rsid w:val="000A34A5"/>
    <w:rsid w:val="000A34CB"/>
    <w:rsid w:val="000A3572"/>
    <w:rsid w:val="000A35E7"/>
    <w:rsid w:val="000A39E7"/>
    <w:rsid w:val="000A3A63"/>
    <w:rsid w:val="000A3B54"/>
    <w:rsid w:val="000A3BAA"/>
    <w:rsid w:val="000A3C98"/>
    <w:rsid w:val="000A3DA9"/>
    <w:rsid w:val="000A3E77"/>
    <w:rsid w:val="000A3F68"/>
    <w:rsid w:val="000A41BB"/>
    <w:rsid w:val="000A4296"/>
    <w:rsid w:val="000A437A"/>
    <w:rsid w:val="000A44A9"/>
    <w:rsid w:val="000A44D4"/>
    <w:rsid w:val="000A461C"/>
    <w:rsid w:val="000A4962"/>
    <w:rsid w:val="000A49F6"/>
    <w:rsid w:val="000A4BDE"/>
    <w:rsid w:val="000A4E5A"/>
    <w:rsid w:val="000A5017"/>
    <w:rsid w:val="000A5075"/>
    <w:rsid w:val="000A52AC"/>
    <w:rsid w:val="000A53B8"/>
    <w:rsid w:val="000A5427"/>
    <w:rsid w:val="000A54FA"/>
    <w:rsid w:val="000A56EB"/>
    <w:rsid w:val="000A56F8"/>
    <w:rsid w:val="000A593D"/>
    <w:rsid w:val="000A597C"/>
    <w:rsid w:val="000A5DA2"/>
    <w:rsid w:val="000A5E34"/>
    <w:rsid w:val="000A5FF6"/>
    <w:rsid w:val="000A617A"/>
    <w:rsid w:val="000A617F"/>
    <w:rsid w:val="000A61FA"/>
    <w:rsid w:val="000A6265"/>
    <w:rsid w:val="000A6362"/>
    <w:rsid w:val="000A6487"/>
    <w:rsid w:val="000A68B9"/>
    <w:rsid w:val="000A68E9"/>
    <w:rsid w:val="000A69BC"/>
    <w:rsid w:val="000A69F7"/>
    <w:rsid w:val="000A6A53"/>
    <w:rsid w:val="000A6B61"/>
    <w:rsid w:val="000A6F19"/>
    <w:rsid w:val="000A71B9"/>
    <w:rsid w:val="000A71C7"/>
    <w:rsid w:val="000A7242"/>
    <w:rsid w:val="000A730A"/>
    <w:rsid w:val="000A7452"/>
    <w:rsid w:val="000A7803"/>
    <w:rsid w:val="000A7931"/>
    <w:rsid w:val="000A7B68"/>
    <w:rsid w:val="000A7CD9"/>
    <w:rsid w:val="000A7E2D"/>
    <w:rsid w:val="000B0043"/>
    <w:rsid w:val="000B01D1"/>
    <w:rsid w:val="000B0297"/>
    <w:rsid w:val="000B033C"/>
    <w:rsid w:val="000B035F"/>
    <w:rsid w:val="000B0403"/>
    <w:rsid w:val="000B0470"/>
    <w:rsid w:val="000B055E"/>
    <w:rsid w:val="000B05C5"/>
    <w:rsid w:val="000B06CA"/>
    <w:rsid w:val="000B07A9"/>
    <w:rsid w:val="000B0920"/>
    <w:rsid w:val="000B09E6"/>
    <w:rsid w:val="000B0A1F"/>
    <w:rsid w:val="000B0BD3"/>
    <w:rsid w:val="000B0C91"/>
    <w:rsid w:val="000B0CE1"/>
    <w:rsid w:val="000B0CF3"/>
    <w:rsid w:val="000B0D14"/>
    <w:rsid w:val="000B0D19"/>
    <w:rsid w:val="000B0DC5"/>
    <w:rsid w:val="000B0E7B"/>
    <w:rsid w:val="000B1057"/>
    <w:rsid w:val="000B10C2"/>
    <w:rsid w:val="000B11A0"/>
    <w:rsid w:val="000B1687"/>
    <w:rsid w:val="000B16B8"/>
    <w:rsid w:val="000B1725"/>
    <w:rsid w:val="000B17DC"/>
    <w:rsid w:val="000B1A28"/>
    <w:rsid w:val="000B1DF7"/>
    <w:rsid w:val="000B1E63"/>
    <w:rsid w:val="000B1F50"/>
    <w:rsid w:val="000B1F9E"/>
    <w:rsid w:val="000B2035"/>
    <w:rsid w:val="000B227F"/>
    <w:rsid w:val="000B2393"/>
    <w:rsid w:val="000B23EE"/>
    <w:rsid w:val="000B2438"/>
    <w:rsid w:val="000B251C"/>
    <w:rsid w:val="000B257F"/>
    <w:rsid w:val="000B25DE"/>
    <w:rsid w:val="000B27A2"/>
    <w:rsid w:val="000B28F4"/>
    <w:rsid w:val="000B28FC"/>
    <w:rsid w:val="000B2978"/>
    <w:rsid w:val="000B2988"/>
    <w:rsid w:val="000B299D"/>
    <w:rsid w:val="000B29C4"/>
    <w:rsid w:val="000B2AA9"/>
    <w:rsid w:val="000B2B68"/>
    <w:rsid w:val="000B3107"/>
    <w:rsid w:val="000B31F2"/>
    <w:rsid w:val="000B3289"/>
    <w:rsid w:val="000B32CB"/>
    <w:rsid w:val="000B3606"/>
    <w:rsid w:val="000B37D2"/>
    <w:rsid w:val="000B37EB"/>
    <w:rsid w:val="000B395A"/>
    <w:rsid w:val="000B3A29"/>
    <w:rsid w:val="000B3C53"/>
    <w:rsid w:val="000B3D11"/>
    <w:rsid w:val="000B3E81"/>
    <w:rsid w:val="000B3F23"/>
    <w:rsid w:val="000B409A"/>
    <w:rsid w:val="000B40F1"/>
    <w:rsid w:val="000B4379"/>
    <w:rsid w:val="000B43DA"/>
    <w:rsid w:val="000B440F"/>
    <w:rsid w:val="000B454D"/>
    <w:rsid w:val="000B4580"/>
    <w:rsid w:val="000B48CF"/>
    <w:rsid w:val="000B498D"/>
    <w:rsid w:val="000B4A88"/>
    <w:rsid w:val="000B4B47"/>
    <w:rsid w:val="000B4BF9"/>
    <w:rsid w:val="000B4D2B"/>
    <w:rsid w:val="000B4D56"/>
    <w:rsid w:val="000B4D63"/>
    <w:rsid w:val="000B4D70"/>
    <w:rsid w:val="000B4DE3"/>
    <w:rsid w:val="000B5003"/>
    <w:rsid w:val="000B502B"/>
    <w:rsid w:val="000B50E1"/>
    <w:rsid w:val="000B5197"/>
    <w:rsid w:val="000B52C5"/>
    <w:rsid w:val="000B554B"/>
    <w:rsid w:val="000B559F"/>
    <w:rsid w:val="000B55A2"/>
    <w:rsid w:val="000B5BF3"/>
    <w:rsid w:val="000B5C5D"/>
    <w:rsid w:val="000B602C"/>
    <w:rsid w:val="000B603E"/>
    <w:rsid w:val="000B6144"/>
    <w:rsid w:val="000B616A"/>
    <w:rsid w:val="000B61DE"/>
    <w:rsid w:val="000B6545"/>
    <w:rsid w:val="000B65C8"/>
    <w:rsid w:val="000B6661"/>
    <w:rsid w:val="000B6816"/>
    <w:rsid w:val="000B69E2"/>
    <w:rsid w:val="000B6AE1"/>
    <w:rsid w:val="000B6BA2"/>
    <w:rsid w:val="000B6BFD"/>
    <w:rsid w:val="000B6CCC"/>
    <w:rsid w:val="000B6DA3"/>
    <w:rsid w:val="000B6DEF"/>
    <w:rsid w:val="000B6FB7"/>
    <w:rsid w:val="000B70FA"/>
    <w:rsid w:val="000B714E"/>
    <w:rsid w:val="000B72D9"/>
    <w:rsid w:val="000B748B"/>
    <w:rsid w:val="000B7549"/>
    <w:rsid w:val="000B7817"/>
    <w:rsid w:val="000B7B8D"/>
    <w:rsid w:val="000B7BEF"/>
    <w:rsid w:val="000B7CA1"/>
    <w:rsid w:val="000B7EF9"/>
    <w:rsid w:val="000B7F16"/>
    <w:rsid w:val="000C002B"/>
    <w:rsid w:val="000C0084"/>
    <w:rsid w:val="000C0197"/>
    <w:rsid w:val="000C024D"/>
    <w:rsid w:val="000C0579"/>
    <w:rsid w:val="000C0632"/>
    <w:rsid w:val="000C0688"/>
    <w:rsid w:val="000C0789"/>
    <w:rsid w:val="000C098F"/>
    <w:rsid w:val="000C0AF1"/>
    <w:rsid w:val="000C0CAC"/>
    <w:rsid w:val="000C0CE1"/>
    <w:rsid w:val="000C0DB3"/>
    <w:rsid w:val="000C0F12"/>
    <w:rsid w:val="000C0FAA"/>
    <w:rsid w:val="000C12CF"/>
    <w:rsid w:val="000C1409"/>
    <w:rsid w:val="000C1526"/>
    <w:rsid w:val="000C1550"/>
    <w:rsid w:val="000C170E"/>
    <w:rsid w:val="000C18FB"/>
    <w:rsid w:val="000C19BF"/>
    <w:rsid w:val="000C1A97"/>
    <w:rsid w:val="000C1B04"/>
    <w:rsid w:val="000C1DDD"/>
    <w:rsid w:val="000C1E01"/>
    <w:rsid w:val="000C1EA6"/>
    <w:rsid w:val="000C1FBE"/>
    <w:rsid w:val="000C2380"/>
    <w:rsid w:val="000C256A"/>
    <w:rsid w:val="000C287F"/>
    <w:rsid w:val="000C292C"/>
    <w:rsid w:val="000C299E"/>
    <w:rsid w:val="000C2C0E"/>
    <w:rsid w:val="000C2CD7"/>
    <w:rsid w:val="000C2D69"/>
    <w:rsid w:val="000C309A"/>
    <w:rsid w:val="000C319C"/>
    <w:rsid w:val="000C3399"/>
    <w:rsid w:val="000C35AC"/>
    <w:rsid w:val="000C3620"/>
    <w:rsid w:val="000C3675"/>
    <w:rsid w:val="000C36D5"/>
    <w:rsid w:val="000C376E"/>
    <w:rsid w:val="000C37D2"/>
    <w:rsid w:val="000C3875"/>
    <w:rsid w:val="000C3983"/>
    <w:rsid w:val="000C39AB"/>
    <w:rsid w:val="000C3B17"/>
    <w:rsid w:val="000C3CF1"/>
    <w:rsid w:val="000C3DF6"/>
    <w:rsid w:val="000C3F58"/>
    <w:rsid w:val="000C3F81"/>
    <w:rsid w:val="000C3FD0"/>
    <w:rsid w:val="000C405A"/>
    <w:rsid w:val="000C42A8"/>
    <w:rsid w:val="000C4339"/>
    <w:rsid w:val="000C4448"/>
    <w:rsid w:val="000C4582"/>
    <w:rsid w:val="000C4724"/>
    <w:rsid w:val="000C4752"/>
    <w:rsid w:val="000C4790"/>
    <w:rsid w:val="000C4861"/>
    <w:rsid w:val="000C4B00"/>
    <w:rsid w:val="000C4B29"/>
    <w:rsid w:val="000C4C56"/>
    <w:rsid w:val="000C4CFD"/>
    <w:rsid w:val="000C4CFF"/>
    <w:rsid w:val="000C4E69"/>
    <w:rsid w:val="000C4E8C"/>
    <w:rsid w:val="000C4EF8"/>
    <w:rsid w:val="000C4F32"/>
    <w:rsid w:val="000C5187"/>
    <w:rsid w:val="000C57F2"/>
    <w:rsid w:val="000C5CEF"/>
    <w:rsid w:val="000C5DEC"/>
    <w:rsid w:val="000C5E56"/>
    <w:rsid w:val="000C5EEE"/>
    <w:rsid w:val="000C605F"/>
    <w:rsid w:val="000C60ED"/>
    <w:rsid w:val="000C610B"/>
    <w:rsid w:val="000C6547"/>
    <w:rsid w:val="000C6575"/>
    <w:rsid w:val="000C65DD"/>
    <w:rsid w:val="000C6663"/>
    <w:rsid w:val="000C682E"/>
    <w:rsid w:val="000C6875"/>
    <w:rsid w:val="000C6A14"/>
    <w:rsid w:val="000C6A24"/>
    <w:rsid w:val="000C6A6E"/>
    <w:rsid w:val="000C6B1C"/>
    <w:rsid w:val="000C6B73"/>
    <w:rsid w:val="000C6C38"/>
    <w:rsid w:val="000C6D0D"/>
    <w:rsid w:val="000C7009"/>
    <w:rsid w:val="000C70B1"/>
    <w:rsid w:val="000C7100"/>
    <w:rsid w:val="000C7246"/>
    <w:rsid w:val="000C73F1"/>
    <w:rsid w:val="000C749C"/>
    <w:rsid w:val="000C74BD"/>
    <w:rsid w:val="000C775D"/>
    <w:rsid w:val="000C78B6"/>
    <w:rsid w:val="000C7AC8"/>
    <w:rsid w:val="000C7AE5"/>
    <w:rsid w:val="000D0107"/>
    <w:rsid w:val="000D0160"/>
    <w:rsid w:val="000D0242"/>
    <w:rsid w:val="000D0289"/>
    <w:rsid w:val="000D03D7"/>
    <w:rsid w:val="000D0551"/>
    <w:rsid w:val="000D0653"/>
    <w:rsid w:val="000D0777"/>
    <w:rsid w:val="000D0BB3"/>
    <w:rsid w:val="000D0C48"/>
    <w:rsid w:val="000D0CC1"/>
    <w:rsid w:val="000D0CFA"/>
    <w:rsid w:val="000D0E6C"/>
    <w:rsid w:val="000D0EC7"/>
    <w:rsid w:val="000D1064"/>
    <w:rsid w:val="000D11EA"/>
    <w:rsid w:val="000D1524"/>
    <w:rsid w:val="000D16A2"/>
    <w:rsid w:val="000D176E"/>
    <w:rsid w:val="000D183E"/>
    <w:rsid w:val="000D1947"/>
    <w:rsid w:val="000D1A9B"/>
    <w:rsid w:val="000D1B54"/>
    <w:rsid w:val="000D1CF5"/>
    <w:rsid w:val="000D1D57"/>
    <w:rsid w:val="000D1EE8"/>
    <w:rsid w:val="000D1F37"/>
    <w:rsid w:val="000D1F85"/>
    <w:rsid w:val="000D203E"/>
    <w:rsid w:val="000D20A3"/>
    <w:rsid w:val="000D2171"/>
    <w:rsid w:val="000D2301"/>
    <w:rsid w:val="000D2473"/>
    <w:rsid w:val="000D24A9"/>
    <w:rsid w:val="000D259D"/>
    <w:rsid w:val="000D27AE"/>
    <w:rsid w:val="000D2807"/>
    <w:rsid w:val="000D2A80"/>
    <w:rsid w:val="000D2AFF"/>
    <w:rsid w:val="000D2B78"/>
    <w:rsid w:val="000D2C87"/>
    <w:rsid w:val="000D2CDB"/>
    <w:rsid w:val="000D3118"/>
    <w:rsid w:val="000D31C4"/>
    <w:rsid w:val="000D3275"/>
    <w:rsid w:val="000D3346"/>
    <w:rsid w:val="000D361F"/>
    <w:rsid w:val="000D376F"/>
    <w:rsid w:val="000D37F5"/>
    <w:rsid w:val="000D3889"/>
    <w:rsid w:val="000D3965"/>
    <w:rsid w:val="000D3B08"/>
    <w:rsid w:val="000D3CC1"/>
    <w:rsid w:val="000D3DA4"/>
    <w:rsid w:val="000D3EB5"/>
    <w:rsid w:val="000D4286"/>
    <w:rsid w:val="000D428F"/>
    <w:rsid w:val="000D42B2"/>
    <w:rsid w:val="000D46A2"/>
    <w:rsid w:val="000D471B"/>
    <w:rsid w:val="000D4733"/>
    <w:rsid w:val="000D47D6"/>
    <w:rsid w:val="000D4875"/>
    <w:rsid w:val="000D49C7"/>
    <w:rsid w:val="000D4B1E"/>
    <w:rsid w:val="000D4B3F"/>
    <w:rsid w:val="000D4B8E"/>
    <w:rsid w:val="000D4C93"/>
    <w:rsid w:val="000D4DD9"/>
    <w:rsid w:val="000D4DFC"/>
    <w:rsid w:val="000D4EE3"/>
    <w:rsid w:val="000D5013"/>
    <w:rsid w:val="000D5106"/>
    <w:rsid w:val="000D5510"/>
    <w:rsid w:val="000D5591"/>
    <w:rsid w:val="000D56FF"/>
    <w:rsid w:val="000D5784"/>
    <w:rsid w:val="000D581D"/>
    <w:rsid w:val="000D5829"/>
    <w:rsid w:val="000D5A62"/>
    <w:rsid w:val="000D5A7D"/>
    <w:rsid w:val="000D5ED6"/>
    <w:rsid w:val="000D5EDA"/>
    <w:rsid w:val="000D5F2C"/>
    <w:rsid w:val="000D6144"/>
    <w:rsid w:val="000D616B"/>
    <w:rsid w:val="000D618C"/>
    <w:rsid w:val="000D6221"/>
    <w:rsid w:val="000D64D0"/>
    <w:rsid w:val="000D654C"/>
    <w:rsid w:val="000D65CD"/>
    <w:rsid w:val="000D6662"/>
    <w:rsid w:val="000D66B2"/>
    <w:rsid w:val="000D67CD"/>
    <w:rsid w:val="000D68F2"/>
    <w:rsid w:val="000D6AAF"/>
    <w:rsid w:val="000D6B66"/>
    <w:rsid w:val="000D6BB7"/>
    <w:rsid w:val="000D6F71"/>
    <w:rsid w:val="000D6FE3"/>
    <w:rsid w:val="000D702A"/>
    <w:rsid w:val="000D723D"/>
    <w:rsid w:val="000D7312"/>
    <w:rsid w:val="000D7441"/>
    <w:rsid w:val="000D752A"/>
    <w:rsid w:val="000D75C6"/>
    <w:rsid w:val="000D75F1"/>
    <w:rsid w:val="000D7898"/>
    <w:rsid w:val="000D78EE"/>
    <w:rsid w:val="000D799C"/>
    <w:rsid w:val="000D7B1E"/>
    <w:rsid w:val="000D7E9B"/>
    <w:rsid w:val="000D7ED0"/>
    <w:rsid w:val="000D7F33"/>
    <w:rsid w:val="000D7F34"/>
    <w:rsid w:val="000E0020"/>
    <w:rsid w:val="000E012A"/>
    <w:rsid w:val="000E01C5"/>
    <w:rsid w:val="000E02C2"/>
    <w:rsid w:val="000E046E"/>
    <w:rsid w:val="000E08C3"/>
    <w:rsid w:val="000E0929"/>
    <w:rsid w:val="000E09F5"/>
    <w:rsid w:val="000E0A34"/>
    <w:rsid w:val="000E0A44"/>
    <w:rsid w:val="000E0A79"/>
    <w:rsid w:val="000E0BD2"/>
    <w:rsid w:val="000E0F5A"/>
    <w:rsid w:val="000E0F75"/>
    <w:rsid w:val="000E0F9E"/>
    <w:rsid w:val="000E12DD"/>
    <w:rsid w:val="000E1624"/>
    <w:rsid w:val="000E16FB"/>
    <w:rsid w:val="000E17EB"/>
    <w:rsid w:val="000E1873"/>
    <w:rsid w:val="000E18C7"/>
    <w:rsid w:val="000E1984"/>
    <w:rsid w:val="000E1C11"/>
    <w:rsid w:val="000E1D1C"/>
    <w:rsid w:val="000E1D45"/>
    <w:rsid w:val="000E1DAC"/>
    <w:rsid w:val="000E1EF0"/>
    <w:rsid w:val="000E21A0"/>
    <w:rsid w:val="000E226A"/>
    <w:rsid w:val="000E234D"/>
    <w:rsid w:val="000E2647"/>
    <w:rsid w:val="000E26ED"/>
    <w:rsid w:val="000E2825"/>
    <w:rsid w:val="000E2A45"/>
    <w:rsid w:val="000E2A84"/>
    <w:rsid w:val="000E2D09"/>
    <w:rsid w:val="000E2D90"/>
    <w:rsid w:val="000E2DCF"/>
    <w:rsid w:val="000E2E4D"/>
    <w:rsid w:val="000E2FB4"/>
    <w:rsid w:val="000E3053"/>
    <w:rsid w:val="000E30D3"/>
    <w:rsid w:val="000E3138"/>
    <w:rsid w:val="000E3181"/>
    <w:rsid w:val="000E31E2"/>
    <w:rsid w:val="000E3257"/>
    <w:rsid w:val="000E3330"/>
    <w:rsid w:val="000E33A0"/>
    <w:rsid w:val="000E342D"/>
    <w:rsid w:val="000E355C"/>
    <w:rsid w:val="000E35FA"/>
    <w:rsid w:val="000E364C"/>
    <w:rsid w:val="000E3866"/>
    <w:rsid w:val="000E3A8F"/>
    <w:rsid w:val="000E3B5F"/>
    <w:rsid w:val="000E3CDB"/>
    <w:rsid w:val="000E3D53"/>
    <w:rsid w:val="000E3EC1"/>
    <w:rsid w:val="000E4366"/>
    <w:rsid w:val="000E4373"/>
    <w:rsid w:val="000E43B5"/>
    <w:rsid w:val="000E43EB"/>
    <w:rsid w:val="000E458E"/>
    <w:rsid w:val="000E459E"/>
    <w:rsid w:val="000E4628"/>
    <w:rsid w:val="000E465B"/>
    <w:rsid w:val="000E4722"/>
    <w:rsid w:val="000E47A7"/>
    <w:rsid w:val="000E48A2"/>
    <w:rsid w:val="000E4928"/>
    <w:rsid w:val="000E4947"/>
    <w:rsid w:val="000E49A5"/>
    <w:rsid w:val="000E4D56"/>
    <w:rsid w:val="000E4E5E"/>
    <w:rsid w:val="000E4F17"/>
    <w:rsid w:val="000E4F1D"/>
    <w:rsid w:val="000E4F6C"/>
    <w:rsid w:val="000E50AF"/>
    <w:rsid w:val="000E5283"/>
    <w:rsid w:val="000E52BD"/>
    <w:rsid w:val="000E52C8"/>
    <w:rsid w:val="000E551F"/>
    <w:rsid w:val="000E587D"/>
    <w:rsid w:val="000E5B4C"/>
    <w:rsid w:val="000E5BC5"/>
    <w:rsid w:val="000E5D81"/>
    <w:rsid w:val="000E5DBC"/>
    <w:rsid w:val="000E5EA8"/>
    <w:rsid w:val="000E611E"/>
    <w:rsid w:val="000E6177"/>
    <w:rsid w:val="000E62A4"/>
    <w:rsid w:val="000E62AE"/>
    <w:rsid w:val="000E63C7"/>
    <w:rsid w:val="000E642F"/>
    <w:rsid w:val="000E6443"/>
    <w:rsid w:val="000E6475"/>
    <w:rsid w:val="000E68BF"/>
    <w:rsid w:val="000E6A1B"/>
    <w:rsid w:val="000E6AF9"/>
    <w:rsid w:val="000E6B83"/>
    <w:rsid w:val="000E6D8A"/>
    <w:rsid w:val="000E6E2A"/>
    <w:rsid w:val="000E7020"/>
    <w:rsid w:val="000E7087"/>
    <w:rsid w:val="000E7109"/>
    <w:rsid w:val="000E71C9"/>
    <w:rsid w:val="000E729F"/>
    <w:rsid w:val="000E74BB"/>
    <w:rsid w:val="000E75F1"/>
    <w:rsid w:val="000E7816"/>
    <w:rsid w:val="000E78B3"/>
    <w:rsid w:val="000E78C8"/>
    <w:rsid w:val="000E793B"/>
    <w:rsid w:val="000E7B1B"/>
    <w:rsid w:val="000E7BE5"/>
    <w:rsid w:val="000E7DAC"/>
    <w:rsid w:val="000F0031"/>
    <w:rsid w:val="000F0228"/>
    <w:rsid w:val="000F0255"/>
    <w:rsid w:val="000F042F"/>
    <w:rsid w:val="000F074B"/>
    <w:rsid w:val="000F08AB"/>
    <w:rsid w:val="000F0A08"/>
    <w:rsid w:val="000F0D5D"/>
    <w:rsid w:val="000F0E46"/>
    <w:rsid w:val="000F0F1B"/>
    <w:rsid w:val="000F1003"/>
    <w:rsid w:val="000F10E8"/>
    <w:rsid w:val="000F1199"/>
    <w:rsid w:val="000F1298"/>
    <w:rsid w:val="000F1460"/>
    <w:rsid w:val="000F14CD"/>
    <w:rsid w:val="000F1549"/>
    <w:rsid w:val="000F15C2"/>
    <w:rsid w:val="000F15FA"/>
    <w:rsid w:val="000F164E"/>
    <w:rsid w:val="000F19FE"/>
    <w:rsid w:val="000F1AF4"/>
    <w:rsid w:val="000F1C3D"/>
    <w:rsid w:val="000F1CCF"/>
    <w:rsid w:val="000F2206"/>
    <w:rsid w:val="000F2579"/>
    <w:rsid w:val="000F25A5"/>
    <w:rsid w:val="000F25C8"/>
    <w:rsid w:val="000F26D6"/>
    <w:rsid w:val="000F28FF"/>
    <w:rsid w:val="000F290F"/>
    <w:rsid w:val="000F295E"/>
    <w:rsid w:val="000F2969"/>
    <w:rsid w:val="000F29CF"/>
    <w:rsid w:val="000F2A0E"/>
    <w:rsid w:val="000F2A90"/>
    <w:rsid w:val="000F2B0C"/>
    <w:rsid w:val="000F2BEE"/>
    <w:rsid w:val="000F2CE7"/>
    <w:rsid w:val="000F2E17"/>
    <w:rsid w:val="000F2F0D"/>
    <w:rsid w:val="000F2F39"/>
    <w:rsid w:val="000F2FFA"/>
    <w:rsid w:val="000F304F"/>
    <w:rsid w:val="000F316F"/>
    <w:rsid w:val="000F325F"/>
    <w:rsid w:val="000F328E"/>
    <w:rsid w:val="000F33BD"/>
    <w:rsid w:val="000F3404"/>
    <w:rsid w:val="000F34D5"/>
    <w:rsid w:val="000F34E6"/>
    <w:rsid w:val="000F3773"/>
    <w:rsid w:val="000F3883"/>
    <w:rsid w:val="000F39B4"/>
    <w:rsid w:val="000F3A71"/>
    <w:rsid w:val="000F3B11"/>
    <w:rsid w:val="000F3B2D"/>
    <w:rsid w:val="000F3E7C"/>
    <w:rsid w:val="000F413E"/>
    <w:rsid w:val="000F4153"/>
    <w:rsid w:val="000F4210"/>
    <w:rsid w:val="000F4226"/>
    <w:rsid w:val="000F43A4"/>
    <w:rsid w:val="000F4416"/>
    <w:rsid w:val="000F4488"/>
    <w:rsid w:val="000F4654"/>
    <w:rsid w:val="000F4658"/>
    <w:rsid w:val="000F49B7"/>
    <w:rsid w:val="000F4CAD"/>
    <w:rsid w:val="000F4D07"/>
    <w:rsid w:val="000F4D28"/>
    <w:rsid w:val="000F4E3E"/>
    <w:rsid w:val="000F5067"/>
    <w:rsid w:val="000F51B3"/>
    <w:rsid w:val="000F5259"/>
    <w:rsid w:val="000F526C"/>
    <w:rsid w:val="000F530E"/>
    <w:rsid w:val="000F5429"/>
    <w:rsid w:val="000F54BD"/>
    <w:rsid w:val="000F58E8"/>
    <w:rsid w:val="000F58F8"/>
    <w:rsid w:val="000F591E"/>
    <w:rsid w:val="000F5B4F"/>
    <w:rsid w:val="000F5BA6"/>
    <w:rsid w:val="000F5DA2"/>
    <w:rsid w:val="000F5DAE"/>
    <w:rsid w:val="000F5F65"/>
    <w:rsid w:val="000F61A1"/>
    <w:rsid w:val="000F61FB"/>
    <w:rsid w:val="000F6497"/>
    <w:rsid w:val="000F664D"/>
    <w:rsid w:val="000F68F3"/>
    <w:rsid w:val="000F6A49"/>
    <w:rsid w:val="000F6B41"/>
    <w:rsid w:val="000F6B57"/>
    <w:rsid w:val="000F6B92"/>
    <w:rsid w:val="000F6FB6"/>
    <w:rsid w:val="000F70D8"/>
    <w:rsid w:val="000F715E"/>
    <w:rsid w:val="000F7213"/>
    <w:rsid w:val="000F730B"/>
    <w:rsid w:val="000F7365"/>
    <w:rsid w:val="000F73BF"/>
    <w:rsid w:val="000F746D"/>
    <w:rsid w:val="000F7722"/>
    <w:rsid w:val="000F775A"/>
    <w:rsid w:val="000F784A"/>
    <w:rsid w:val="000F790C"/>
    <w:rsid w:val="000F7924"/>
    <w:rsid w:val="000F7AFE"/>
    <w:rsid w:val="000F7B16"/>
    <w:rsid w:val="000F7C5E"/>
    <w:rsid w:val="000F7C60"/>
    <w:rsid w:val="000F7C7C"/>
    <w:rsid w:val="000F7D64"/>
    <w:rsid w:val="000F7DCF"/>
    <w:rsid w:val="000F7E1C"/>
    <w:rsid w:val="000F7ED0"/>
    <w:rsid w:val="000F7F6B"/>
    <w:rsid w:val="001000D3"/>
    <w:rsid w:val="0010014B"/>
    <w:rsid w:val="001001B1"/>
    <w:rsid w:val="00100508"/>
    <w:rsid w:val="0010055B"/>
    <w:rsid w:val="001005D5"/>
    <w:rsid w:val="00100725"/>
    <w:rsid w:val="00100751"/>
    <w:rsid w:val="00100879"/>
    <w:rsid w:val="00100954"/>
    <w:rsid w:val="00100A93"/>
    <w:rsid w:val="00100AEA"/>
    <w:rsid w:val="00100C13"/>
    <w:rsid w:val="00100E18"/>
    <w:rsid w:val="0010110F"/>
    <w:rsid w:val="0010111D"/>
    <w:rsid w:val="00101157"/>
    <w:rsid w:val="001012E4"/>
    <w:rsid w:val="0010143E"/>
    <w:rsid w:val="00101464"/>
    <w:rsid w:val="001018C4"/>
    <w:rsid w:val="001018FD"/>
    <w:rsid w:val="0010199B"/>
    <w:rsid w:val="00101AFA"/>
    <w:rsid w:val="00101C8F"/>
    <w:rsid w:val="00101F5C"/>
    <w:rsid w:val="00101F83"/>
    <w:rsid w:val="00101FAB"/>
    <w:rsid w:val="00102257"/>
    <w:rsid w:val="00102637"/>
    <w:rsid w:val="001027F1"/>
    <w:rsid w:val="001028D9"/>
    <w:rsid w:val="00102A6B"/>
    <w:rsid w:val="00102B41"/>
    <w:rsid w:val="00102B79"/>
    <w:rsid w:val="00102BBA"/>
    <w:rsid w:val="00102CAA"/>
    <w:rsid w:val="00102CB9"/>
    <w:rsid w:val="00102D51"/>
    <w:rsid w:val="00102EFA"/>
    <w:rsid w:val="00102F24"/>
    <w:rsid w:val="00102F71"/>
    <w:rsid w:val="001030B2"/>
    <w:rsid w:val="001030CC"/>
    <w:rsid w:val="00103279"/>
    <w:rsid w:val="0010334F"/>
    <w:rsid w:val="001033BC"/>
    <w:rsid w:val="001033BD"/>
    <w:rsid w:val="00103459"/>
    <w:rsid w:val="0010355D"/>
    <w:rsid w:val="0010364E"/>
    <w:rsid w:val="0010388C"/>
    <w:rsid w:val="00103A4D"/>
    <w:rsid w:val="00103A50"/>
    <w:rsid w:val="00103B21"/>
    <w:rsid w:val="00103B3E"/>
    <w:rsid w:val="00103C80"/>
    <w:rsid w:val="00103CA8"/>
    <w:rsid w:val="00104105"/>
    <w:rsid w:val="00104156"/>
    <w:rsid w:val="001043D3"/>
    <w:rsid w:val="001046F1"/>
    <w:rsid w:val="00104740"/>
    <w:rsid w:val="001047FC"/>
    <w:rsid w:val="0010480F"/>
    <w:rsid w:val="00104824"/>
    <w:rsid w:val="00104B3A"/>
    <w:rsid w:val="00104BCD"/>
    <w:rsid w:val="00104C15"/>
    <w:rsid w:val="00104C5A"/>
    <w:rsid w:val="00104D3F"/>
    <w:rsid w:val="00104D58"/>
    <w:rsid w:val="00104EF6"/>
    <w:rsid w:val="00104F85"/>
    <w:rsid w:val="00105155"/>
    <w:rsid w:val="00105395"/>
    <w:rsid w:val="00105460"/>
    <w:rsid w:val="00105531"/>
    <w:rsid w:val="00105594"/>
    <w:rsid w:val="00105625"/>
    <w:rsid w:val="00105875"/>
    <w:rsid w:val="001058E5"/>
    <w:rsid w:val="0010594D"/>
    <w:rsid w:val="00105D4D"/>
    <w:rsid w:val="00105E6E"/>
    <w:rsid w:val="00105F49"/>
    <w:rsid w:val="00106140"/>
    <w:rsid w:val="00106187"/>
    <w:rsid w:val="00106262"/>
    <w:rsid w:val="001063D9"/>
    <w:rsid w:val="00106485"/>
    <w:rsid w:val="0010657A"/>
    <w:rsid w:val="00106713"/>
    <w:rsid w:val="00106805"/>
    <w:rsid w:val="00106824"/>
    <w:rsid w:val="0010682E"/>
    <w:rsid w:val="00106835"/>
    <w:rsid w:val="0010687E"/>
    <w:rsid w:val="00106A5B"/>
    <w:rsid w:val="00106C35"/>
    <w:rsid w:val="00106CE0"/>
    <w:rsid w:val="00106EE7"/>
    <w:rsid w:val="00106F18"/>
    <w:rsid w:val="001070E7"/>
    <w:rsid w:val="00107228"/>
    <w:rsid w:val="001072FE"/>
    <w:rsid w:val="00107320"/>
    <w:rsid w:val="00107412"/>
    <w:rsid w:val="0010750E"/>
    <w:rsid w:val="00107569"/>
    <w:rsid w:val="0010756A"/>
    <w:rsid w:val="00107706"/>
    <w:rsid w:val="001077F8"/>
    <w:rsid w:val="00107AFD"/>
    <w:rsid w:val="00107D43"/>
    <w:rsid w:val="00107E67"/>
    <w:rsid w:val="00107EE3"/>
    <w:rsid w:val="001101C9"/>
    <w:rsid w:val="00110201"/>
    <w:rsid w:val="00110241"/>
    <w:rsid w:val="00110343"/>
    <w:rsid w:val="001104F6"/>
    <w:rsid w:val="001107B6"/>
    <w:rsid w:val="001109A1"/>
    <w:rsid w:val="001109BE"/>
    <w:rsid w:val="00110C69"/>
    <w:rsid w:val="00110CD1"/>
    <w:rsid w:val="00110D79"/>
    <w:rsid w:val="00110DA9"/>
    <w:rsid w:val="001113BF"/>
    <w:rsid w:val="001113FB"/>
    <w:rsid w:val="00111474"/>
    <w:rsid w:val="001115E7"/>
    <w:rsid w:val="00111609"/>
    <w:rsid w:val="00111ACD"/>
    <w:rsid w:val="00111B8E"/>
    <w:rsid w:val="00111C7E"/>
    <w:rsid w:val="00111C9A"/>
    <w:rsid w:val="00111D1E"/>
    <w:rsid w:val="00111D8A"/>
    <w:rsid w:val="00111F4F"/>
    <w:rsid w:val="00112179"/>
    <w:rsid w:val="001124A5"/>
    <w:rsid w:val="001125A7"/>
    <w:rsid w:val="001125FD"/>
    <w:rsid w:val="001126DB"/>
    <w:rsid w:val="00112736"/>
    <w:rsid w:val="001129BB"/>
    <w:rsid w:val="00112AEA"/>
    <w:rsid w:val="00112C65"/>
    <w:rsid w:val="00112CD9"/>
    <w:rsid w:val="00112E17"/>
    <w:rsid w:val="00112E94"/>
    <w:rsid w:val="00112ED3"/>
    <w:rsid w:val="00112F93"/>
    <w:rsid w:val="00113025"/>
    <w:rsid w:val="0011313A"/>
    <w:rsid w:val="00113235"/>
    <w:rsid w:val="0011340E"/>
    <w:rsid w:val="00113513"/>
    <w:rsid w:val="0011375A"/>
    <w:rsid w:val="001139BD"/>
    <w:rsid w:val="001139C7"/>
    <w:rsid w:val="00113ABB"/>
    <w:rsid w:val="00113C46"/>
    <w:rsid w:val="00113CD4"/>
    <w:rsid w:val="00113E6B"/>
    <w:rsid w:val="0011402B"/>
    <w:rsid w:val="0011431E"/>
    <w:rsid w:val="001144D3"/>
    <w:rsid w:val="00114513"/>
    <w:rsid w:val="001145BE"/>
    <w:rsid w:val="001145E1"/>
    <w:rsid w:val="001145E8"/>
    <w:rsid w:val="0011483F"/>
    <w:rsid w:val="00114845"/>
    <w:rsid w:val="00114D4A"/>
    <w:rsid w:val="00114DCC"/>
    <w:rsid w:val="00114EFA"/>
    <w:rsid w:val="00114FF7"/>
    <w:rsid w:val="001150F0"/>
    <w:rsid w:val="00115130"/>
    <w:rsid w:val="001153B5"/>
    <w:rsid w:val="001153DF"/>
    <w:rsid w:val="00115483"/>
    <w:rsid w:val="00115490"/>
    <w:rsid w:val="0011554E"/>
    <w:rsid w:val="001155A0"/>
    <w:rsid w:val="001155EA"/>
    <w:rsid w:val="001156E2"/>
    <w:rsid w:val="0011582C"/>
    <w:rsid w:val="00115CFD"/>
    <w:rsid w:val="00115D20"/>
    <w:rsid w:val="00115EF3"/>
    <w:rsid w:val="00115F6C"/>
    <w:rsid w:val="00115F70"/>
    <w:rsid w:val="00115FC5"/>
    <w:rsid w:val="0011605F"/>
    <w:rsid w:val="00116101"/>
    <w:rsid w:val="00116141"/>
    <w:rsid w:val="00116144"/>
    <w:rsid w:val="001161CE"/>
    <w:rsid w:val="00116378"/>
    <w:rsid w:val="001163CE"/>
    <w:rsid w:val="001164AD"/>
    <w:rsid w:val="00116550"/>
    <w:rsid w:val="0011658D"/>
    <w:rsid w:val="001165A2"/>
    <w:rsid w:val="0011665B"/>
    <w:rsid w:val="00116793"/>
    <w:rsid w:val="001167BD"/>
    <w:rsid w:val="0011687C"/>
    <w:rsid w:val="00116B96"/>
    <w:rsid w:val="00116D47"/>
    <w:rsid w:val="00116FEC"/>
    <w:rsid w:val="0011705D"/>
    <w:rsid w:val="001170F5"/>
    <w:rsid w:val="00117370"/>
    <w:rsid w:val="001176A2"/>
    <w:rsid w:val="001176BA"/>
    <w:rsid w:val="00117761"/>
    <w:rsid w:val="00117A80"/>
    <w:rsid w:val="00117AA9"/>
    <w:rsid w:val="00117B2D"/>
    <w:rsid w:val="00117C45"/>
    <w:rsid w:val="00117CF8"/>
    <w:rsid w:val="00117D36"/>
    <w:rsid w:val="00117DBA"/>
    <w:rsid w:val="00117F6C"/>
    <w:rsid w:val="00120161"/>
    <w:rsid w:val="00120392"/>
    <w:rsid w:val="001203FE"/>
    <w:rsid w:val="00120569"/>
    <w:rsid w:val="00120598"/>
    <w:rsid w:val="0012067F"/>
    <w:rsid w:val="001206BC"/>
    <w:rsid w:val="00120721"/>
    <w:rsid w:val="00120799"/>
    <w:rsid w:val="001207C0"/>
    <w:rsid w:val="001207C8"/>
    <w:rsid w:val="00120AF9"/>
    <w:rsid w:val="00120CA3"/>
    <w:rsid w:val="00120CF7"/>
    <w:rsid w:val="00120D04"/>
    <w:rsid w:val="00120F48"/>
    <w:rsid w:val="00120F8D"/>
    <w:rsid w:val="001210D0"/>
    <w:rsid w:val="0012114C"/>
    <w:rsid w:val="001211B1"/>
    <w:rsid w:val="0012120A"/>
    <w:rsid w:val="00121320"/>
    <w:rsid w:val="001213C5"/>
    <w:rsid w:val="0012150E"/>
    <w:rsid w:val="001216AD"/>
    <w:rsid w:val="00121B3D"/>
    <w:rsid w:val="00121B5B"/>
    <w:rsid w:val="00121CA2"/>
    <w:rsid w:val="00121D08"/>
    <w:rsid w:val="00121D28"/>
    <w:rsid w:val="00121E91"/>
    <w:rsid w:val="00121E98"/>
    <w:rsid w:val="00121EBE"/>
    <w:rsid w:val="00121F47"/>
    <w:rsid w:val="00122101"/>
    <w:rsid w:val="001223DD"/>
    <w:rsid w:val="0012244B"/>
    <w:rsid w:val="00122479"/>
    <w:rsid w:val="001226C8"/>
    <w:rsid w:val="00122808"/>
    <w:rsid w:val="00122868"/>
    <w:rsid w:val="0012296C"/>
    <w:rsid w:val="00122E1A"/>
    <w:rsid w:val="00122F87"/>
    <w:rsid w:val="001230AE"/>
    <w:rsid w:val="001230BF"/>
    <w:rsid w:val="0012325C"/>
    <w:rsid w:val="00123428"/>
    <w:rsid w:val="00123434"/>
    <w:rsid w:val="00123518"/>
    <w:rsid w:val="00123902"/>
    <w:rsid w:val="00123CE5"/>
    <w:rsid w:val="00123D96"/>
    <w:rsid w:val="00123FEA"/>
    <w:rsid w:val="0012414B"/>
    <w:rsid w:val="00124501"/>
    <w:rsid w:val="001245A0"/>
    <w:rsid w:val="001245C2"/>
    <w:rsid w:val="00124761"/>
    <w:rsid w:val="00124B04"/>
    <w:rsid w:val="00124B28"/>
    <w:rsid w:val="00124B3D"/>
    <w:rsid w:val="00124CCC"/>
    <w:rsid w:val="00124CEE"/>
    <w:rsid w:val="00124E5D"/>
    <w:rsid w:val="00124E6D"/>
    <w:rsid w:val="00124E7F"/>
    <w:rsid w:val="00124EC3"/>
    <w:rsid w:val="00125070"/>
    <w:rsid w:val="0012512E"/>
    <w:rsid w:val="001251A2"/>
    <w:rsid w:val="001257DA"/>
    <w:rsid w:val="00125A93"/>
    <w:rsid w:val="00125B27"/>
    <w:rsid w:val="00125F41"/>
    <w:rsid w:val="0012613D"/>
    <w:rsid w:val="0012614D"/>
    <w:rsid w:val="00126457"/>
    <w:rsid w:val="0012670C"/>
    <w:rsid w:val="001267E9"/>
    <w:rsid w:val="00126812"/>
    <w:rsid w:val="00126817"/>
    <w:rsid w:val="00126874"/>
    <w:rsid w:val="001268AF"/>
    <w:rsid w:val="001268DB"/>
    <w:rsid w:val="001268DE"/>
    <w:rsid w:val="00126A12"/>
    <w:rsid w:val="00126A1E"/>
    <w:rsid w:val="00126B4C"/>
    <w:rsid w:val="00126C2B"/>
    <w:rsid w:val="00126E36"/>
    <w:rsid w:val="00126F53"/>
    <w:rsid w:val="0012714D"/>
    <w:rsid w:val="0012718E"/>
    <w:rsid w:val="0012724F"/>
    <w:rsid w:val="001273A1"/>
    <w:rsid w:val="00127567"/>
    <w:rsid w:val="001275C3"/>
    <w:rsid w:val="0012761B"/>
    <w:rsid w:val="0012768E"/>
    <w:rsid w:val="001276AD"/>
    <w:rsid w:val="0012775D"/>
    <w:rsid w:val="0012786C"/>
    <w:rsid w:val="00127AF8"/>
    <w:rsid w:val="00127B57"/>
    <w:rsid w:val="00127D48"/>
    <w:rsid w:val="00127DB1"/>
    <w:rsid w:val="00127EDC"/>
    <w:rsid w:val="001301F6"/>
    <w:rsid w:val="00130324"/>
    <w:rsid w:val="00130344"/>
    <w:rsid w:val="00130363"/>
    <w:rsid w:val="001303A6"/>
    <w:rsid w:val="001304EC"/>
    <w:rsid w:val="0013070D"/>
    <w:rsid w:val="00130864"/>
    <w:rsid w:val="00130AF1"/>
    <w:rsid w:val="00130C72"/>
    <w:rsid w:val="00130DAC"/>
    <w:rsid w:val="00130E18"/>
    <w:rsid w:val="00130E4F"/>
    <w:rsid w:val="00130F9F"/>
    <w:rsid w:val="00131053"/>
    <w:rsid w:val="00131169"/>
    <w:rsid w:val="00131226"/>
    <w:rsid w:val="001312F7"/>
    <w:rsid w:val="0013142D"/>
    <w:rsid w:val="0013146A"/>
    <w:rsid w:val="001315D7"/>
    <w:rsid w:val="0013162D"/>
    <w:rsid w:val="00131643"/>
    <w:rsid w:val="001316A8"/>
    <w:rsid w:val="001316B3"/>
    <w:rsid w:val="001316F2"/>
    <w:rsid w:val="0013178E"/>
    <w:rsid w:val="00131877"/>
    <w:rsid w:val="00131898"/>
    <w:rsid w:val="00131913"/>
    <w:rsid w:val="001319C5"/>
    <w:rsid w:val="00131B1D"/>
    <w:rsid w:val="00131B37"/>
    <w:rsid w:val="00131B83"/>
    <w:rsid w:val="00131CB0"/>
    <w:rsid w:val="00131E5A"/>
    <w:rsid w:val="00131EBF"/>
    <w:rsid w:val="00131EF0"/>
    <w:rsid w:val="00131FE2"/>
    <w:rsid w:val="001320BF"/>
    <w:rsid w:val="001320F1"/>
    <w:rsid w:val="00132202"/>
    <w:rsid w:val="00132214"/>
    <w:rsid w:val="0013231B"/>
    <w:rsid w:val="001323AD"/>
    <w:rsid w:val="001324C3"/>
    <w:rsid w:val="0013251B"/>
    <w:rsid w:val="0013260E"/>
    <w:rsid w:val="0013263F"/>
    <w:rsid w:val="00132866"/>
    <w:rsid w:val="00132972"/>
    <w:rsid w:val="00132B8F"/>
    <w:rsid w:val="00132E46"/>
    <w:rsid w:val="00132FC5"/>
    <w:rsid w:val="00133012"/>
    <w:rsid w:val="00133078"/>
    <w:rsid w:val="001333E5"/>
    <w:rsid w:val="0013354C"/>
    <w:rsid w:val="001336B8"/>
    <w:rsid w:val="001336C6"/>
    <w:rsid w:val="001337A0"/>
    <w:rsid w:val="00133914"/>
    <w:rsid w:val="00133933"/>
    <w:rsid w:val="00133A35"/>
    <w:rsid w:val="00133B83"/>
    <w:rsid w:val="00133DD3"/>
    <w:rsid w:val="00134008"/>
    <w:rsid w:val="0013408F"/>
    <w:rsid w:val="00134099"/>
    <w:rsid w:val="001341D6"/>
    <w:rsid w:val="001342B9"/>
    <w:rsid w:val="0013445A"/>
    <w:rsid w:val="001344EC"/>
    <w:rsid w:val="00134557"/>
    <w:rsid w:val="00134634"/>
    <w:rsid w:val="0013464A"/>
    <w:rsid w:val="0013498C"/>
    <w:rsid w:val="00134B6F"/>
    <w:rsid w:val="00134F01"/>
    <w:rsid w:val="00135038"/>
    <w:rsid w:val="0013513B"/>
    <w:rsid w:val="00135147"/>
    <w:rsid w:val="00135437"/>
    <w:rsid w:val="00135517"/>
    <w:rsid w:val="001355A5"/>
    <w:rsid w:val="0013581D"/>
    <w:rsid w:val="00135827"/>
    <w:rsid w:val="00135B0D"/>
    <w:rsid w:val="00135B75"/>
    <w:rsid w:val="00135DA9"/>
    <w:rsid w:val="00135E13"/>
    <w:rsid w:val="00135E2D"/>
    <w:rsid w:val="00135F0B"/>
    <w:rsid w:val="00135FEF"/>
    <w:rsid w:val="00136237"/>
    <w:rsid w:val="00136281"/>
    <w:rsid w:val="00136309"/>
    <w:rsid w:val="00136428"/>
    <w:rsid w:val="001368F0"/>
    <w:rsid w:val="00136971"/>
    <w:rsid w:val="001369EF"/>
    <w:rsid w:val="00136A26"/>
    <w:rsid w:val="00136C87"/>
    <w:rsid w:val="00136EA0"/>
    <w:rsid w:val="00136F41"/>
    <w:rsid w:val="0013718D"/>
    <w:rsid w:val="001371B8"/>
    <w:rsid w:val="00137251"/>
    <w:rsid w:val="0013727E"/>
    <w:rsid w:val="001373B0"/>
    <w:rsid w:val="0013744E"/>
    <w:rsid w:val="001375E2"/>
    <w:rsid w:val="001379EB"/>
    <w:rsid w:val="00137A63"/>
    <w:rsid w:val="00137C89"/>
    <w:rsid w:val="00137D77"/>
    <w:rsid w:val="00137E72"/>
    <w:rsid w:val="00140006"/>
    <w:rsid w:val="00140127"/>
    <w:rsid w:val="00140173"/>
    <w:rsid w:val="00140197"/>
    <w:rsid w:val="00140292"/>
    <w:rsid w:val="00140314"/>
    <w:rsid w:val="00140415"/>
    <w:rsid w:val="0014067F"/>
    <w:rsid w:val="001406D9"/>
    <w:rsid w:val="001407D9"/>
    <w:rsid w:val="00140896"/>
    <w:rsid w:val="001408C4"/>
    <w:rsid w:val="0014095A"/>
    <w:rsid w:val="00140D1D"/>
    <w:rsid w:val="00140D8F"/>
    <w:rsid w:val="00140E5B"/>
    <w:rsid w:val="00140F2C"/>
    <w:rsid w:val="00141009"/>
    <w:rsid w:val="001410B7"/>
    <w:rsid w:val="00141207"/>
    <w:rsid w:val="00141257"/>
    <w:rsid w:val="00141349"/>
    <w:rsid w:val="0014155F"/>
    <w:rsid w:val="00141672"/>
    <w:rsid w:val="001417ED"/>
    <w:rsid w:val="00141859"/>
    <w:rsid w:val="0014199A"/>
    <w:rsid w:val="001419B2"/>
    <w:rsid w:val="001419E3"/>
    <w:rsid w:val="00141ADB"/>
    <w:rsid w:val="00141B84"/>
    <w:rsid w:val="00141BF9"/>
    <w:rsid w:val="00141E3B"/>
    <w:rsid w:val="00141E61"/>
    <w:rsid w:val="00141F87"/>
    <w:rsid w:val="00142033"/>
    <w:rsid w:val="00142106"/>
    <w:rsid w:val="00142221"/>
    <w:rsid w:val="0014229D"/>
    <w:rsid w:val="001423EB"/>
    <w:rsid w:val="00142454"/>
    <w:rsid w:val="00142546"/>
    <w:rsid w:val="0014280B"/>
    <w:rsid w:val="00142834"/>
    <w:rsid w:val="00142889"/>
    <w:rsid w:val="001428AD"/>
    <w:rsid w:val="001428EC"/>
    <w:rsid w:val="00142905"/>
    <w:rsid w:val="00142A67"/>
    <w:rsid w:val="00142AD1"/>
    <w:rsid w:val="00142ADE"/>
    <w:rsid w:val="00142C07"/>
    <w:rsid w:val="00142ED2"/>
    <w:rsid w:val="00142F09"/>
    <w:rsid w:val="00142F86"/>
    <w:rsid w:val="00143007"/>
    <w:rsid w:val="001430DF"/>
    <w:rsid w:val="00143213"/>
    <w:rsid w:val="001432CE"/>
    <w:rsid w:val="00143329"/>
    <w:rsid w:val="001433FA"/>
    <w:rsid w:val="0014377E"/>
    <w:rsid w:val="0014398E"/>
    <w:rsid w:val="00143A88"/>
    <w:rsid w:val="00143E11"/>
    <w:rsid w:val="00143E3F"/>
    <w:rsid w:val="00143E74"/>
    <w:rsid w:val="001443AD"/>
    <w:rsid w:val="001443CA"/>
    <w:rsid w:val="00144507"/>
    <w:rsid w:val="00144693"/>
    <w:rsid w:val="001446CE"/>
    <w:rsid w:val="00144701"/>
    <w:rsid w:val="00144915"/>
    <w:rsid w:val="00144AA3"/>
    <w:rsid w:val="00144B36"/>
    <w:rsid w:val="00144EEA"/>
    <w:rsid w:val="0014506B"/>
    <w:rsid w:val="00145189"/>
    <w:rsid w:val="001451F2"/>
    <w:rsid w:val="0014550B"/>
    <w:rsid w:val="00145694"/>
    <w:rsid w:val="0014591A"/>
    <w:rsid w:val="00145920"/>
    <w:rsid w:val="001459BA"/>
    <w:rsid w:val="00145C6D"/>
    <w:rsid w:val="00145D17"/>
    <w:rsid w:val="00145D36"/>
    <w:rsid w:val="00145DCA"/>
    <w:rsid w:val="00145FFE"/>
    <w:rsid w:val="001462A8"/>
    <w:rsid w:val="00146305"/>
    <w:rsid w:val="0014644D"/>
    <w:rsid w:val="00146493"/>
    <w:rsid w:val="00146783"/>
    <w:rsid w:val="00146791"/>
    <w:rsid w:val="0014686B"/>
    <w:rsid w:val="0014690B"/>
    <w:rsid w:val="001469B3"/>
    <w:rsid w:val="00146B40"/>
    <w:rsid w:val="00146D24"/>
    <w:rsid w:val="00146DD5"/>
    <w:rsid w:val="00146EAD"/>
    <w:rsid w:val="00146EB4"/>
    <w:rsid w:val="00146F18"/>
    <w:rsid w:val="00146FB2"/>
    <w:rsid w:val="00147007"/>
    <w:rsid w:val="0014720A"/>
    <w:rsid w:val="001477D8"/>
    <w:rsid w:val="00147861"/>
    <w:rsid w:val="001479E2"/>
    <w:rsid w:val="001479FD"/>
    <w:rsid w:val="00147ABD"/>
    <w:rsid w:val="00147ACD"/>
    <w:rsid w:val="00147B60"/>
    <w:rsid w:val="00147CFF"/>
    <w:rsid w:val="00150207"/>
    <w:rsid w:val="0015062E"/>
    <w:rsid w:val="00150700"/>
    <w:rsid w:val="00150CCE"/>
    <w:rsid w:val="00150D14"/>
    <w:rsid w:val="00150E6C"/>
    <w:rsid w:val="00151038"/>
    <w:rsid w:val="00151148"/>
    <w:rsid w:val="0015123D"/>
    <w:rsid w:val="00151254"/>
    <w:rsid w:val="0015148A"/>
    <w:rsid w:val="001514CF"/>
    <w:rsid w:val="0015181D"/>
    <w:rsid w:val="001518D1"/>
    <w:rsid w:val="00151913"/>
    <w:rsid w:val="00151A00"/>
    <w:rsid w:val="00151D0B"/>
    <w:rsid w:val="00151E41"/>
    <w:rsid w:val="00151E99"/>
    <w:rsid w:val="00151EB7"/>
    <w:rsid w:val="001521A0"/>
    <w:rsid w:val="001521AA"/>
    <w:rsid w:val="0015229B"/>
    <w:rsid w:val="001523E7"/>
    <w:rsid w:val="001524B4"/>
    <w:rsid w:val="001527B3"/>
    <w:rsid w:val="00152986"/>
    <w:rsid w:val="00152C30"/>
    <w:rsid w:val="00152E73"/>
    <w:rsid w:val="00152F19"/>
    <w:rsid w:val="0015303B"/>
    <w:rsid w:val="00153077"/>
    <w:rsid w:val="00153150"/>
    <w:rsid w:val="0015329B"/>
    <w:rsid w:val="001532A6"/>
    <w:rsid w:val="001533B7"/>
    <w:rsid w:val="0015355E"/>
    <w:rsid w:val="0015369A"/>
    <w:rsid w:val="001536A9"/>
    <w:rsid w:val="0015371A"/>
    <w:rsid w:val="0015375F"/>
    <w:rsid w:val="001537D9"/>
    <w:rsid w:val="00153823"/>
    <w:rsid w:val="0015382B"/>
    <w:rsid w:val="001538CF"/>
    <w:rsid w:val="0015394E"/>
    <w:rsid w:val="001539F7"/>
    <w:rsid w:val="00153ACE"/>
    <w:rsid w:val="00153DFC"/>
    <w:rsid w:val="00153EB4"/>
    <w:rsid w:val="00153EEF"/>
    <w:rsid w:val="00153F1A"/>
    <w:rsid w:val="001540AB"/>
    <w:rsid w:val="0015419E"/>
    <w:rsid w:val="001543C2"/>
    <w:rsid w:val="00154422"/>
    <w:rsid w:val="00154557"/>
    <w:rsid w:val="00154661"/>
    <w:rsid w:val="001546B0"/>
    <w:rsid w:val="001546BD"/>
    <w:rsid w:val="0015472D"/>
    <w:rsid w:val="00154911"/>
    <w:rsid w:val="00154A4E"/>
    <w:rsid w:val="00154ADD"/>
    <w:rsid w:val="00154B24"/>
    <w:rsid w:val="00154B51"/>
    <w:rsid w:val="00154CD5"/>
    <w:rsid w:val="00154E6F"/>
    <w:rsid w:val="00154ED9"/>
    <w:rsid w:val="001551A1"/>
    <w:rsid w:val="001551A4"/>
    <w:rsid w:val="001551DB"/>
    <w:rsid w:val="00155251"/>
    <w:rsid w:val="001552EE"/>
    <w:rsid w:val="00155392"/>
    <w:rsid w:val="00155420"/>
    <w:rsid w:val="001554DB"/>
    <w:rsid w:val="00155591"/>
    <w:rsid w:val="0015562F"/>
    <w:rsid w:val="001556EA"/>
    <w:rsid w:val="00155743"/>
    <w:rsid w:val="00155802"/>
    <w:rsid w:val="00155924"/>
    <w:rsid w:val="001559B8"/>
    <w:rsid w:val="00155A3C"/>
    <w:rsid w:val="00155A7D"/>
    <w:rsid w:val="00155BC0"/>
    <w:rsid w:val="00155C16"/>
    <w:rsid w:val="00155C4A"/>
    <w:rsid w:val="00155D04"/>
    <w:rsid w:val="00155FAA"/>
    <w:rsid w:val="001560FE"/>
    <w:rsid w:val="00156118"/>
    <w:rsid w:val="00156269"/>
    <w:rsid w:val="0015636E"/>
    <w:rsid w:val="001563F3"/>
    <w:rsid w:val="00156419"/>
    <w:rsid w:val="00156478"/>
    <w:rsid w:val="001565C5"/>
    <w:rsid w:val="001569DF"/>
    <w:rsid w:val="00156E52"/>
    <w:rsid w:val="00156E7D"/>
    <w:rsid w:val="00156E7F"/>
    <w:rsid w:val="00156F0B"/>
    <w:rsid w:val="00157016"/>
    <w:rsid w:val="001573D2"/>
    <w:rsid w:val="001574C7"/>
    <w:rsid w:val="00157598"/>
    <w:rsid w:val="00157834"/>
    <w:rsid w:val="00157857"/>
    <w:rsid w:val="00157B63"/>
    <w:rsid w:val="00157DC9"/>
    <w:rsid w:val="00157E22"/>
    <w:rsid w:val="00157EF8"/>
    <w:rsid w:val="0016008F"/>
    <w:rsid w:val="00160240"/>
    <w:rsid w:val="0016029B"/>
    <w:rsid w:val="001602BA"/>
    <w:rsid w:val="001603C2"/>
    <w:rsid w:val="001604B9"/>
    <w:rsid w:val="001604CA"/>
    <w:rsid w:val="0016063C"/>
    <w:rsid w:val="001606BD"/>
    <w:rsid w:val="001606D0"/>
    <w:rsid w:val="001606F9"/>
    <w:rsid w:val="001607AD"/>
    <w:rsid w:val="0016085A"/>
    <w:rsid w:val="001609F6"/>
    <w:rsid w:val="00160ADD"/>
    <w:rsid w:val="00160AEE"/>
    <w:rsid w:val="00160D30"/>
    <w:rsid w:val="00160D7F"/>
    <w:rsid w:val="00161075"/>
    <w:rsid w:val="001610FE"/>
    <w:rsid w:val="001612E5"/>
    <w:rsid w:val="0016132B"/>
    <w:rsid w:val="00161431"/>
    <w:rsid w:val="001614D7"/>
    <w:rsid w:val="00161571"/>
    <w:rsid w:val="001617C0"/>
    <w:rsid w:val="00161853"/>
    <w:rsid w:val="001618FA"/>
    <w:rsid w:val="001619FE"/>
    <w:rsid w:val="00161A0C"/>
    <w:rsid w:val="00161AB2"/>
    <w:rsid w:val="00161B83"/>
    <w:rsid w:val="00161C12"/>
    <w:rsid w:val="00161D6C"/>
    <w:rsid w:val="00161D87"/>
    <w:rsid w:val="00161EF8"/>
    <w:rsid w:val="0016206A"/>
    <w:rsid w:val="001620A8"/>
    <w:rsid w:val="001624BC"/>
    <w:rsid w:val="001625FA"/>
    <w:rsid w:val="0016288C"/>
    <w:rsid w:val="001628D7"/>
    <w:rsid w:val="00162A07"/>
    <w:rsid w:val="00162B61"/>
    <w:rsid w:val="00162C50"/>
    <w:rsid w:val="00162D3F"/>
    <w:rsid w:val="00162EDD"/>
    <w:rsid w:val="00162EE4"/>
    <w:rsid w:val="00162FD5"/>
    <w:rsid w:val="001630AE"/>
    <w:rsid w:val="00163199"/>
    <w:rsid w:val="00163202"/>
    <w:rsid w:val="001633B9"/>
    <w:rsid w:val="001633FB"/>
    <w:rsid w:val="00163408"/>
    <w:rsid w:val="0016344B"/>
    <w:rsid w:val="001634B1"/>
    <w:rsid w:val="001634CE"/>
    <w:rsid w:val="001634D6"/>
    <w:rsid w:val="00163512"/>
    <w:rsid w:val="001636F3"/>
    <w:rsid w:val="00163722"/>
    <w:rsid w:val="00163727"/>
    <w:rsid w:val="00163992"/>
    <w:rsid w:val="001639B9"/>
    <w:rsid w:val="001639C3"/>
    <w:rsid w:val="00163A41"/>
    <w:rsid w:val="00163C03"/>
    <w:rsid w:val="00163E17"/>
    <w:rsid w:val="001640AB"/>
    <w:rsid w:val="00164318"/>
    <w:rsid w:val="00164390"/>
    <w:rsid w:val="001643A8"/>
    <w:rsid w:val="001644D4"/>
    <w:rsid w:val="00164865"/>
    <w:rsid w:val="00164898"/>
    <w:rsid w:val="0016497A"/>
    <w:rsid w:val="00164AD0"/>
    <w:rsid w:val="00164C5F"/>
    <w:rsid w:val="0016501B"/>
    <w:rsid w:val="001651EB"/>
    <w:rsid w:val="00165357"/>
    <w:rsid w:val="001655C0"/>
    <w:rsid w:val="00165890"/>
    <w:rsid w:val="001658A8"/>
    <w:rsid w:val="00165B29"/>
    <w:rsid w:val="00165C25"/>
    <w:rsid w:val="00165FFC"/>
    <w:rsid w:val="001665F6"/>
    <w:rsid w:val="0016669E"/>
    <w:rsid w:val="00166766"/>
    <w:rsid w:val="001667DA"/>
    <w:rsid w:val="001667FF"/>
    <w:rsid w:val="00166800"/>
    <w:rsid w:val="00166868"/>
    <w:rsid w:val="00166885"/>
    <w:rsid w:val="001668BB"/>
    <w:rsid w:val="001669B9"/>
    <w:rsid w:val="00166D37"/>
    <w:rsid w:val="00166F9B"/>
    <w:rsid w:val="001670BD"/>
    <w:rsid w:val="001670D4"/>
    <w:rsid w:val="001670E4"/>
    <w:rsid w:val="001671CD"/>
    <w:rsid w:val="00167537"/>
    <w:rsid w:val="001675C6"/>
    <w:rsid w:val="001675C7"/>
    <w:rsid w:val="00167735"/>
    <w:rsid w:val="00167764"/>
    <w:rsid w:val="00167865"/>
    <w:rsid w:val="00167A15"/>
    <w:rsid w:val="00167AA5"/>
    <w:rsid w:val="00167AAF"/>
    <w:rsid w:val="00167B61"/>
    <w:rsid w:val="00167B86"/>
    <w:rsid w:val="00167E7A"/>
    <w:rsid w:val="00167F32"/>
    <w:rsid w:val="00170093"/>
    <w:rsid w:val="001700F4"/>
    <w:rsid w:val="00170228"/>
    <w:rsid w:val="00170424"/>
    <w:rsid w:val="001704CB"/>
    <w:rsid w:val="00170740"/>
    <w:rsid w:val="00170827"/>
    <w:rsid w:val="00170876"/>
    <w:rsid w:val="0017089C"/>
    <w:rsid w:val="00170A22"/>
    <w:rsid w:val="0017103C"/>
    <w:rsid w:val="00171062"/>
    <w:rsid w:val="00171284"/>
    <w:rsid w:val="00171365"/>
    <w:rsid w:val="001713A3"/>
    <w:rsid w:val="001713BB"/>
    <w:rsid w:val="001714AE"/>
    <w:rsid w:val="001714B7"/>
    <w:rsid w:val="00171A40"/>
    <w:rsid w:val="00171BB0"/>
    <w:rsid w:val="00171C64"/>
    <w:rsid w:val="00171D06"/>
    <w:rsid w:val="00171D0B"/>
    <w:rsid w:val="00172322"/>
    <w:rsid w:val="00172360"/>
    <w:rsid w:val="001724FE"/>
    <w:rsid w:val="00172678"/>
    <w:rsid w:val="001726A4"/>
    <w:rsid w:val="001727D9"/>
    <w:rsid w:val="001728B1"/>
    <w:rsid w:val="00172B1A"/>
    <w:rsid w:val="00172EC4"/>
    <w:rsid w:val="00172F6B"/>
    <w:rsid w:val="00172F91"/>
    <w:rsid w:val="00172FD6"/>
    <w:rsid w:val="00173105"/>
    <w:rsid w:val="0017329A"/>
    <w:rsid w:val="001732AF"/>
    <w:rsid w:val="0017341B"/>
    <w:rsid w:val="00173518"/>
    <w:rsid w:val="00173764"/>
    <w:rsid w:val="00173B31"/>
    <w:rsid w:val="00173C24"/>
    <w:rsid w:val="00173F27"/>
    <w:rsid w:val="0017418E"/>
    <w:rsid w:val="00174357"/>
    <w:rsid w:val="0017437C"/>
    <w:rsid w:val="00174415"/>
    <w:rsid w:val="0017449C"/>
    <w:rsid w:val="001745C9"/>
    <w:rsid w:val="00174648"/>
    <w:rsid w:val="0017468F"/>
    <w:rsid w:val="001749B1"/>
    <w:rsid w:val="00174A10"/>
    <w:rsid w:val="00174E62"/>
    <w:rsid w:val="00175085"/>
    <w:rsid w:val="001750E2"/>
    <w:rsid w:val="00175102"/>
    <w:rsid w:val="001751AB"/>
    <w:rsid w:val="001751F6"/>
    <w:rsid w:val="0017535F"/>
    <w:rsid w:val="00175459"/>
    <w:rsid w:val="00175502"/>
    <w:rsid w:val="0017555E"/>
    <w:rsid w:val="001757B3"/>
    <w:rsid w:val="001758A1"/>
    <w:rsid w:val="001758DC"/>
    <w:rsid w:val="00175A2F"/>
    <w:rsid w:val="00175A5E"/>
    <w:rsid w:val="00175ACF"/>
    <w:rsid w:val="00175B18"/>
    <w:rsid w:val="00175B58"/>
    <w:rsid w:val="00175B5B"/>
    <w:rsid w:val="00175BA6"/>
    <w:rsid w:val="00175DFD"/>
    <w:rsid w:val="00175F1D"/>
    <w:rsid w:val="001762F3"/>
    <w:rsid w:val="0017633C"/>
    <w:rsid w:val="0017640C"/>
    <w:rsid w:val="001764B3"/>
    <w:rsid w:val="00176C26"/>
    <w:rsid w:val="00176CF6"/>
    <w:rsid w:val="00176E25"/>
    <w:rsid w:val="00176F59"/>
    <w:rsid w:val="001773D0"/>
    <w:rsid w:val="0017754F"/>
    <w:rsid w:val="0017776E"/>
    <w:rsid w:val="00177821"/>
    <w:rsid w:val="00177A15"/>
    <w:rsid w:val="00177A3D"/>
    <w:rsid w:val="00177AD3"/>
    <w:rsid w:val="00177B8C"/>
    <w:rsid w:val="00177BA3"/>
    <w:rsid w:val="00177EC7"/>
    <w:rsid w:val="00177F97"/>
    <w:rsid w:val="00177FB2"/>
    <w:rsid w:val="00177FF2"/>
    <w:rsid w:val="001800A7"/>
    <w:rsid w:val="00180150"/>
    <w:rsid w:val="001801DF"/>
    <w:rsid w:val="00180274"/>
    <w:rsid w:val="001805F0"/>
    <w:rsid w:val="00180BC5"/>
    <w:rsid w:val="00180CAE"/>
    <w:rsid w:val="00180D1D"/>
    <w:rsid w:val="00180DC5"/>
    <w:rsid w:val="00180E0D"/>
    <w:rsid w:val="00180E2E"/>
    <w:rsid w:val="00180EC5"/>
    <w:rsid w:val="00180ED5"/>
    <w:rsid w:val="00180EDE"/>
    <w:rsid w:val="00181030"/>
    <w:rsid w:val="0018115C"/>
    <w:rsid w:val="001811D1"/>
    <w:rsid w:val="0018127B"/>
    <w:rsid w:val="00181585"/>
    <w:rsid w:val="00181B30"/>
    <w:rsid w:val="00181C06"/>
    <w:rsid w:val="00181EB5"/>
    <w:rsid w:val="00181EC6"/>
    <w:rsid w:val="00181FEE"/>
    <w:rsid w:val="00182016"/>
    <w:rsid w:val="001821A6"/>
    <w:rsid w:val="001822A5"/>
    <w:rsid w:val="00182397"/>
    <w:rsid w:val="001824A6"/>
    <w:rsid w:val="001824B2"/>
    <w:rsid w:val="001825E8"/>
    <w:rsid w:val="001826D5"/>
    <w:rsid w:val="001829C8"/>
    <w:rsid w:val="00182A4B"/>
    <w:rsid w:val="00182A7B"/>
    <w:rsid w:val="00182C9E"/>
    <w:rsid w:val="00182CC5"/>
    <w:rsid w:val="00182F4D"/>
    <w:rsid w:val="00182F93"/>
    <w:rsid w:val="00183360"/>
    <w:rsid w:val="001833C1"/>
    <w:rsid w:val="00183480"/>
    <w:rsid w:val="0018349E"/>
    <w:rsid w:val="00183807"/>
    <w:rsid w:val="00183D02"/>
    <w:rsid w:val="00183F16"/>
    <w:rsid w:val="00184164"/>
    <w:rsid w:val="001842E7"/>
    <w:rsid w:val="00184326"/>
    <w:rsid w:val="00184380"/>
    <w:rsid w:val="0018458F"/>
    <w:rsid w:val="001845AF"/>
    <w:rsid w:val="0018490F"/>
    <w:rsid w:val="00184958"/>
    <w:rsid w:val="001849E8"/>
    <w:rsid w:val="00184B51"/>
    <w:rsid w:val="00184CB1"/>
    <w:rsid w:val="00184D31"/>
    <w:rsid w:val="00184E69"/>
    <w:rsid w:val="00185221"/>
    <w:rsid w:val="0018526E"/>
    <w:rsid w:val="001852C3"/>
    <w:rsid w:val="001852E3"/>
    <w:rsid w:val="00185339"/>
    <w:rsid w:val="001853E4"/>
    <w:rsid w:val="0018545F"/>
    <w:rsid w:val="001857A3"/>
    <w:rsid w:val="001859F1"/>
    <w:rsid w:val="001859FE"/>
    <w:rsid w:val="00185ED4"/>
    <w:rsid w:val="001861D7"/>
    <w:rsid w:val="00186291"/>
    <w:rsid w:val="001863DE"/>
    <w:rsid w:val="00186679"/>
    <w:rsid w:val="001866D3"/>
    <w:rsid w:val="00186733"/>
    <w:rsid w:val="00186740"/>
    <w:rsid w:val="0018677C"/>
    <w:rsid w:val="001867B6"/>
    <w:rsid w:val="001869ED"/>
    <w:rsid w:val="00186C05"/>
    <w:rsid w:val="00186C39"/>
    <w:rsid w:val="00186C3B"/>
    <w:rsid w:val="00186D0A"/>
    <w:rsid w:val="00186D6C"/>
    <w:rsid w:val="00186DC1"/>
    <w:rsid w:val="00186E10"/>
    <w:rsid w:val="00186E66"/>
    <w:rsid w:val="00186F10"/>
    <w:rsid w:val="00186FAE"/>
    <w:rsid w:val="00187030"/>
    <w:rsid w:val="0018705C"/>
    <w:rsid w:val="00187320"/>
    <w:rsid w:val="00187324"/>
    <w:rsid w:val="00187404"/>
    <w:rsid w:val="001875B9"/>
    <w:rsid w:val="0018760C"/>
    <w:rsid w:val="001876DC"/>
    <w:rsid w:val="00187763"/>
    <w:rsid w:val="00187A30"/>
    <w:rsid w:val="00187B6B"/>
    <w:rsid w:val="00187BDC"/>
    <w:rsid w:val="00190010"/>
    <w:rsid w:val="00190073"/>
    <w:rsid w:val="0019013A"/>
    <w:rsid w:val="001902BD"/>
    <w:rsid w:val="001902C0"/>
    <w:rsid w:val="0019033B"/>
    <w:rsid w:val="0019040D"/>
    <w:rsid w:val="00190443"/>
    <w:rsid w:val="001905C0"/>
    <w:rsid w:val="00190746"/>
    <w:rsid w:val="001907DA"/>
    <w:rsid w:val="00190843"/>
    <w:rsid w:val="0019086A"/>
    <w:rsid w:val="001908A7"/>
    <w:rsid w:val="0019094D"/>
    <w:rsid w:val="00190AD9"/>
    <w:rsid w:val="00190D66"/>
    <w:rsid w:val="00190E5D"/>
    <w:rsid w:val="00191373"/>
    <w:rsid w:val="0019149A"/>
    <w:rsid w:val="0019186F"/>
    <w:rsid w:val="001918A2"/>
    <w:rsid w:val="001919F8"/>
    <w:rsid w:val="00191B36"/>
    <w:rsid w:val="00191F98"/>
    <w:rsid w:val="0019206C"/>
    <w:rsid w:val="001920B9"/>
    <w:rsid w:val="00192280"/>
    <w:rsid w:val="00192573"/>
    <w:rsid w:val="00192633"/>
    <w:rsid w:val="00192733"/>
    <w:rsid w:val="00192782"/>
    <w:rsid w:val="00192792"/>
    <w:rsid w:val="0019280C"/>
    <w:rsid w:val="00192878"/>
    <w:rsid w:val="0019292C"/>
    <w:rsid w:val="0019296A"/>
    <w:rsid w:val="00192AD8"/>
    <w:rsid w:val="00192F2B"/>
    <w:rsid w:val="00192F32"/>
    <w:rsid w:val="0019316E"/>
    <w:rsid w:val="00193271"/>
    <w:rsid w:val="00193335"/>
    <w:rsid w:val="00193456"/>
    <w:rsid w:val="001935C7"/>
    <w:rsid w:val="001935CD"/>
    <w:rsid w:val="00193733"/>
    <w:rsid w:val="001938C3"/>
    <w:rsid w:val="00193A22"/>
    <w:rsid w:val="00193AD8"/>
    <w:rsid w:val="00193B35"/>
    <w:rsid w:val="001941B6"/>
    <w:rsid w:val="001942A2"/>
    <w:rsid w:val="0019431C"/>
    <w:rsid w:val="00194399"/>
    <w:rsid w:val="00194473"/>
    <w:rsid w:val="0019457C"/>
    <w:rsid w:val="0019475F"/>
    <w:rsid w:val="001948C4"/>
    <w:rsid w:val="001949C5"/>
    <w:rsid w:val="00194BB7"/>
    <w:rsid w:val="00194C76"/>
    <w:rsid w:val="00194CD2"/>
    <w:rsid w:val="00194DC5"/>
    <w:rsid w:val="00194E99"/>
    <w:rsid w:val="00194F8B"/>
    <w:rsid w:val="00194FDB"/>
    <w:rsid w:val="001954D0"/>
    <w:rsid w:val="00195751"/>
    <w:rsid w:val="001958A3"/>
    <w:rsid w:val="001959D1"/>
    <w:rsid w:val="00195B27"/>
    <w:rsid w:val="00195CCB"/>
    <w:rsid w:val="00195D71"/>
    <w:rsid w:val="00195E88"/>
    <w:rsid w:val="00195FA4"/>
    <w:rsid w:val="0019628A"/>
    <w:rsid w:val="0019635E"/>
    <w:rsid w:val="001963DB"/>
    <w:rsid w:val="0019647D"/>
    <w:rsid w:val="00196507"/>
    <w:rsid w:val="0019658A"/>
    <w:rsid w:val="001965C3"/>
    <w:rsid w:val="00196739"/>
    <w:rsid w:val="0019681D"/>
    <w:rsid w:val="00196847"/>
    <w:rsid w:val="00196B11"/>
    <w:rsid w:val="00196EC4"/>
    <w:rsid w:val="00196EE2"/>
    <w:rsid w:val="00196F87"/>
    <w:rsid w:val="00197111"/>
    <w:rsid w:val="0019711D"/>
    <w:rsid w:val="00197194"/>
    <w:rsid w:val="00197200"/>
    <w:rsid w:val="00197279"/>
    <w:rsid w:val="00197387"/>
    <w:rsid w:val="001973D7"/>
    <w:rsid w:val="00197463"/>
    <w:rsid w:val="00197510"/>
    <w:rsid w:val="00197616"/>
    <w:rsid w:val="00197684"/>
    <w:rsid w:val="001978EC"/>
    <w:rsid w:val="00197BF0"/>
    <w:rsid w:val="00197EF4"/>
    <w:rsid w:val="00197F59"/>
    <w:rsid w:val="00197F72"/>
    <w:rsid w:val="001A0103"/>
    <w:rsid w:val="001A0146"/>
    <w:rsid w:val="001A06C1"/>
    <w:rsid w:val="001A071C"/>
    <w:rsid w:val="001A086C"/>
    <w:rsid w:val="001A0937"/>
    <w:rsid w:val="001A09AB"/>
    <w:rsid w:val="001A0B06"/>
    <w:rsid w:val="001A0CF5"/>
    <w:rsid w:val="001A0D01"/>
    <w:rsid w:val="001A0E1C"/>
    <w:rsid w:val="001A0EDA"/>
    <w:rsid w:val="001A0F21"/>
    <w:rsid w:val="001A1007"/>
    <w:rsid w:val="001A100C"/>
    <w:rsid w:val="001A106C"/>
    <w:rsid w:val="001A10DF"/>
    <w:rsid w:val="001A1387"/>
    <w:rsid w:val="001A13D7"/>
    <w:rsid w:val="001A14E3"/>
    <w:rsid w:val="001A1585"/>
    <w:rsid w:val="001A15BE"/>
    <w:rsid w:val="001A17D0"/>
    <w:rsid w:val="001A189A"/>
    <w:rsid w:val="001A1935"/>
    <w:rsid w:val="001A196E"/>
    <w:rsid w:val="001A19D1"/>
    <w:rsid w:val="001A1A68"/>
    <w:rsid w:val="001A1A80"/>
    <w:rsid w:val="001A1ADD"/>
    <w:rsid w:val="001A1E8B"/>
    <w:rsid w:val="001A1F1E"/>
    <w:rsid w:val="001A21A4"/>
    <w:rsid w:val="001A21E6"/>
    <w:rsid w:val="001A22F1"/>
    <w:rsid w:val="001A22F4"/>
    <w:rsid w:val="001A241D"/>
    <w:rsid w:val="001A25F2"/>
    <w:rsid w:val="001A286C"/>
    <w:rsid w:val="001A2B43"/>
    <w:rsid w:val="001A2E13"/>
    <w:rsid w:val="001A3040"/>
    <w:rsid w:val="001A31BA"/>
    <w:rsid w:val="001A3202"/>
    <w:rsid w:val="001A33B4"/>
    <w:rsid w:val="001A34DD"/>
    <w:rsid w:val="001A368C"/>
    <w:rsid w:val="001A36B7"/>
    <w:rsid w:val="001A387B"/>
    <w:rsid w:val="001A3974"/>
    <w:rsid w:val="001A3C13"/>
    <w:rsid w:val="001A3E00"/>
    <w:rsid w:val="001A427C"/>
    <w:rsid w:val="001A4421"/>
    <w:rsid w:val="001A48CE"/>
    <w:rsid w:val="001A49B2"/>
    <w:rsid w:val="001A4B34"/>
    <w:rsid w:val="001A4CB4"/>
    <w:rsid w:val="001A4D13"/>
    <w:rsid w:val="001A4D61"/>
    <w:rsid w:val="001A4D80"/>
    <w:rsid w:val="001A4FD9"/>
    <w:rsid w:val="001A500E"/>
    <w:rsid w:val="001A5075"/>
    <w:rsid w:val="001A5119"/>
    <w:rsid w:val="001A525B"/>
    <w:rsid w:val="001A52A8"/>
    <w:rsid w:val="001A52FF"/>
    <w:rsid w:val="001A54C3"/>
    <w:rsid w:val="001A5585"/>
    <w:rsid w:val="001A55A5"/>
    <w:rsid w:val="001A566E"/>
    <w:rsid w:val="001A5ABD"/>
    <w:rsid w:val="001A5C3A"/>
    <w:rsid w:val="001A5D72"/>
    <w:rsid w:val="001A62D2"/>
    <w:rsid w:val="001A6353"/>
    <w:rsid w:val="001A6417"/>
    <w:rsid w:val="001A6467"/>
    <w:rsid w:val="001A6496"/>
    <w:rsid w:val="001A64F6"/>
    <w:rsid w:val="001A65EE"/>
    <w:rsid w:val="001A66A2"/>
    <w:rsid w:val="001A66BB"/>
    <w:rsid w:val="001A6769"/>
    <w:rsid w:val="001A67CC"/>
    <w:rsid w:val="001A6834"/>
    <w:rsid w:val="001A697D"/>
    <w:rsid w:val="001A6B43"/>
    <w:rsid w:val="001A6B54"/>
    <w:rsid w:val="001A6D42"/>
    <w:rsid w:val="001A6D9A"/>
    <w:rsid w:val="001A6F3A"/>
    <w:rsid w:val="001A6F62"/>
    <w:rsid w:val="001A6FB1"/>
    <w:rsid w:val="001A6FBC"/>
    <w:rsid w:val="001A70F7"/>
    <w:rsid w:val="001A7102"/>
    <w:rsid w:val="001A7219"/>
    <w:rsid w:val="001A7302"/>
    <w:rsid w:val="001A746A"/>
    <w:rsid w:val="001A7517"/>
    <w:rsid w:val="001A7555"/>
    <w:rsid w:val="001A7A3D"/>
    <w:rsid w:val="001A7A55"/>
    <w:rsid w:val="001A7D5E"/>
    <w:rsid w:val="001A7D6B"/>
    <w:rsid w:val="001A7DD3"/>
    <w:rsid w:val="001A7E8A"/>
    <w:rsid w:val="001A7F19"/>
    <w:rsid w:val="001A7F79"/>
    <w:rsid w:val="001A7FED"/>
    <w:rsid w:val="001B007F"/>
    <w:rsid w:val="001B0171"/>
    <w:rsid w:val="001B0243"/>
    <w:rsid w:val="001B0330"/>
    <w:rsid w:val="001B03AF"/>
    <w:rsid w:val="001B040B"/>
    <w:rsid w:val="001B05FC"/>
    <w:rsid w:val="001B070B"/>
    <w:rsid w:val="001B08A9"/>
    <w:rsid w:val="001B09F6"/>
    <w:rsid w:val="001B09FC"/>
    <w:rsid w:val="001B0A86"/>
    <w:rsid w:val="001B0CE0"/>
    <w:rsid w:val="001B0CFF"/>
    <w:rsid w:val="001B0D7A"/>
    <w:rsid w:val="001B0DF4"/>
    <w:rsid w:val="001B103E"/>
    <w:rsid w:val="001B132A"/>
    <w:rsid w:val="001B1349"/>
    <w:rsid w:val="001B141F"/>
    <w:rsid w:val="001B15B0"/>
    <w:rsid w:val="001B1631"/>
    <w:rsid w:val="001B18CF"/>
    <w:rsid w:val="001B1927"/>
    <w:rsid w:val="001B1983"/>
    <w:rsid w:val="001B1AB0"/>
    <w:rsid w:val="001B1AFB"/>
    <w:rsid w:val="001B1B5B"/>
    <w:rsid w:val="001B1CB6"/>
    <w:rsid w:val="001B1E58"/>
    <w:rsid w:val="001B1F6B"/>
    <w:rsid w:val="001B20E3"/>
    <w:rsid w:val="001B24C0"/>
    <w:rsid w:val="001B252E"/>
    <w:rsid w:val="001B264A"/>
    <w:rsid w:val="001B2AA4"/>
    <w:rsid w:val="001B2B9D"/>
    <w:rsid w:val="001B2C66"/>
    <w:rsid w:val="001B2DCB"/>
    <w:rsid w:val="001B2E1C"/>
    <w:rsid w:val="001B2E76"/>
    <w:rsid w:val="001B318F"/>
    <w:rsid w:val="001B35F3"/>
    <w:rsid w:val="001B3C3F"/>
    <w:rsid w:val="001B3DD6"/>
    <w:rsid w:val="001B3E29"/>
    <w:rsid w:val="001B3F71"/>
    <w:rsid w:val="001B3FA9"/>
    <w:rsid w:val="001B41AC"/>
    <w:rsid w:val="001B423C"/>
    <w:rsid w:val="001B42F9"/>
    <w:rsid w:val="001B458F"/>
    <w:rsid w:val="001B45B4"/>
    <w:rsid w:val="001B466B"/>
    <w:rsid w:val="001B46A9"/>
    <w:rsid w:val="001B4704"/>
    <w:rsid w:val="001B4733"/>
    <w:rsid w:val="001B47F4"/>
    <w:rsid w:val="001B49F6"/>
    <w:rsid w:val="001B4A5D"/>
    <w:rsid w:val="001B4C8F"/>
    <w:rsid w:val="001B4DD5"/>
    <w:rsid w:val="001B4F78"/>
    <w:rsid w:val="001B4F9E"/>
    <w:rsid w:val="001B505F"/>
    <w:rsid w:val="001B517C"/>
    <w:rsid w:val="001B51AC"/>
    <w:rsid w:val="001B51DB"/>
    <w:rsid w:val="001B5334"/>
    <w:rsid w:val="001B536A"/>
    <w:rsid w:val="001B5667"/>
    <w:rsid w:val="001B56C1"/>
    <w:rsid w:val="001B580F"/>
    <w:rsid w:val="001B5995"/>
    <w:rsid w:val="001B5B87"/>
    <w:rsid w:val="001B5BFA"/>
    <w:rsid w:val="001B5E3D"/>
    <w:rsid w:val="001B5F6F"/>
    <w:rsid w:val="001B606B"/>
    <w:rsid w:val="001B640A"/>
    <w:rsid w:val="001B6699"/>
    <w:rsid w:val="001B6D44"/>
    <w:rsid w:val="001B6E9E"/>
    <w:rsid w:val="001B6F38"/>
    <w:rsid w:val="001B7025"/>
    <w:rsid w:val="001B75BA"/>
    <w:rsid w:val="001B763E"/>
    <w:rsid w:val="001B7751"/>
    <w:rsid w:val="001B7CB4"/>
    <w:rsid w:val="001B7E72"/>
    <w:rsid w:val="001B7ED5"/>
    <w:rsid w:val="001B7EE0"/>
    <w:rsid w:val="001C00CB"/>
    <w:rsid w:val="001C00EF"/>
    <w:rsid w:val="001C0587"/>
    <w:rsid w:val="001C0A72"/>
    <w:rsid w:val="001C0B2F"/>
    <w:rsid w:val="001C0B6B"/>
    <w:rsid w:val="001C0BA1"/>
    <w:rsid w:val="001C0C55"/>
    <w:rsid w:val="001C0CAC"/>
    <w:rsid w:val="001C0D09"/>
    <w:rsid w:val="001C0E06"/>
    <w:rsid w:val="001C0E17"/>
    <w:rsid w:val="001C0F93"/>
    <w:rsid w:val="001C0FB1"/>
    <w:rsid w:val="001C0FE9"/>
    <w:rsid w:val="001C1130"/>
    <w:rsid w:val="001C122C"/>
    <w:rsid w:val="001C1256"/>
    <w:rsid w:val="001C1379"/>
    <w:rsid w:val="001C13DB"/>
    <w:rsid w:val="001C16B6"/>
    <w:rsid w:val="001C16EC"/>
    <w:rsid w:val="001C19D6"/>
    <w:rsid w:val="001C19E5"/>
    <w:rsid w:val="001C1A4E"/>
    <w:rsid w:val="001C1ADC"/>
    <w:rsid w:val="001C1B61"/>
    <w:rsid w:val="001C1BF7"/>
    <w:rsid w:val="001C1C6B"/>
    <w:rsid w:val="001C1F24"/>
    <w:rsid w:val="001C1F9E"/>
    <w:rsid w:val="001C2025"/>
    <w:rsid w:val="001C2027"/>
    <w:rsid w:val="001C21DA"/>
    <w:rsid w:val="001C24BF"/>
    <w:rsid w:val="001C2570"/>
    <w:rsid w:val="001C262B"/>
    <w:rsid w:val="001C2788"/>
    <w:rsid w:val="001C28C6"/>
    <w:rsid w:val="001C2909"/>
    <w:rsid w:val="001C2BAA"/>
    <w:rsid w:val="001C2BB5"/>
    <w:rsid w:val="001C2C4F"/>
    <w:rsid w:val="001C2D65"/>
    <w:rsid w:val="001C2D6F"/>
    <w:rsid w:val="001C2F71"/>
    <w:rsid w:val="001C3021"/>
    <w:rsid w:val="001C3163"/>
    <w:rsid w:val="001C318E"/>
    <w:rsid w:val="001C31AB"/>
    <w:rsid w:val="001C31D3"/>
    <w:rsid w:val="001C3208"/>
    <w:rsid w:val="001C3252"/>
    <w:rsid w:val="001C3558"/>
    <w:rsid w:val="001C3B0D"/>
    <w:rsid w:val="001C3E1A"/>
    <w:rsid w:val="001C40D7"/>
    <w:rsid w:val="001C4245"/>
    <w:rsid w:val="001C4284"/>
    <w:rsid w:val="001C4291"/>
    <w:rsid w:val="001C42E3"/>
    <w:rsid w:val="001C448C"/>
    <w:rsid w:val="001C4494"/>
    <w:rsid w:val="001C4540"/>
    <w:rsid w:val="001C45B2"/>
    <w:rsid w:val="001C460C"/>
    <w:rsid w:val="001C4612"/>
    <w:rsid w:val="001C47C8"/>
    <w:rsid w:val="001C48FB"/>
    <w:rsid w:val="001C4AA8"/>
    <w:rsid w:val="001C4B87"/>
    <w:rsid w:val="001C4C84"/>
    <w:rsid w:val="001C4E7F"/>
    <w:rsid w:val="001C4F51"/>
    <w:rsid w:val="001C4FB4"/>
    <w:rsid w:val="001C5078"/>
    <w:rsid w:val="001C515B"/>
    <w:rsid w:val="001C522D"/>
    <w:rsid w:val="001C5249"/>
    <w:rsid w:val="001C53C5"/>
    <w:rsid w:val="001C53E6"/>
    <w:rsid w:val="001C53ED"/>
    <w:rsid w:val="001C54DA"/>
    <w:rsid w:val="001C560D"/>
    <w:rsid w:val="001C566B"/>
    <w:rsid w:val="001C573B"/>
    <w:rsid w:val="001C58CC"/>
    <w:rsid w:val="001C591D"/>
    <w:rsid w:val="001C5967"/>
    <w:rsid w:val="001C5A47"/>
    <w:rsid w:val="001C5BF8"/>
    <w:rsid w:val="001C5D52"/>
    <w:rsid w:val="001C5D73"/>
    <w:rsid w:val="001C5E8B"/>
    <w:rsid w:val="001C6096"/>
    <w:rsid w:val="001C612C"/>
    <w:rsid w:val="001C627E"/>
    <w:rsid w:val="001C63F1"/>
    <w:rsid w:val="001C657F"/>
    <w:rsid w:val="001C6589"/>
    <w:rsid w:val="001C65CB"/>
    <w:rsid w:val="001C66E0"/>
    <w:rsid w:val="001C67C6"/>
    <w:rsid w:val="001C69D6"/>
    <w:rsid w:val="001C6B4D"/>
    <w:rsid w:val="001C6CBD"/>
    <w:rsid w:val="001C6F27"/>
    <w:rsid w:val="001C6FEF"/>
    <w:rsid w:val="001C70C1"/>
    <w:rsid w:val="001C74B0"/>
    <w:rsid w:val="001C756A"/>
    <w:rsid w:val="001C75CB"/>
    <w:rsid w:val="001C7649"/>
    <w:rsid w:val="001C7700"/>
    <w:rsid w:val="001C78BE"/>
    <w:rsid w:val="001C79BD"/>
    <w:rsid w:val="001C7A63"/>
    <w:rsid w:val="001C7A83"/>
    <w:rsid w:val="001C7AA3"/>
    <w:rsid w:val="001C7B4A"/>
    <w:rsid w:val="001C7C33"/>
    <w:rsid w:val="001C7CE1"/>
    <w:rsid w:val="001C7DD9"/>
    <w:rsid w:val="001C7EAD"/>
    <w:rsid w:val="001C7FA2"/>
    <w:rsid w:val="001C7FBF"/>
    <w:rsid w:val="001C7FC8"/>
    <w:rsid w:val="001D0013"/>
    <w:rsid w:val="001D002B"/>
    <w:rsid w:val="001D01F0"/>
    <w:rsid w:val="001D0225"/>
    <w:rsid w:val="001D0413"/>
    <w:rsid w:val="001D04C4"/>
    <w:rsid w:val="001D0546"/>
    <w:rsid w:val="001D061B"/>
    <w:rsid w:val="001D07A6"/>
    <w:rsid w:val="001D0870"/>
    <w:rsid w:val="001D08A2"/>
    <w:rsid w:val="001D0925"/>
    <w:rsid w:val="001D09C7"/>
    <w:rsid w:val="001D0E11"/>
    <w:rsid w:val="001D0E2C"/>
    <w:rsid w:val="001D10B7"/>
    <w:rsid w:val="001D1100"/>
    <w:rsid w:val="001D1130"/>
    <w:rsid w:val="001D1152"/>
    <w:rsid w:val="001D128E"/>
    <w:rsid w:val="001D13CE"/>
    <w:rsid w:val="001D14B9"/>
    <w:rsid w:val="001D153F"/>
    <w:rsid w:val="001D15A6"/>
    <w:rsid w:val="001D17F9"/>
    <w:rsid w:val="001D1B2E"/>
    <w:rsid w:val="001D1C85"/>
    <w:rsid w:val="001D1DC4"/>
    <w:rsid w:val="001D1EC5"/>
    <w:rsid w:val="001D1EED"/>
    <w:rsid w:val="001D1FD9"/>
    <w:rsid w:val="001D2345"/>
    <w:rsid w:val="001D23DD"/>
    <w:rsid w:val="001D24FA"/>
    <w:rsid w:val="001D26EC"/>
    <w:rsid w:val="001D285B"/>
    <w:rsid w:val="001D29AE"/>
    <w:rsid w:val="001D2A9E"/>
    <w:rsid w:val="001D2B09"/>
    <w:rsid w:val="001D2B25"/>
    <w:rsid w:val="001D2B39"/>
    <w:rsid w:val="001D2BA8"/>
    <w:rsid w:val="001D2C1B"/>
    <w:rsid w:val="001D2DFA"/>
    <w:rsid w:val="001D30F3"/>
    <w:rsid w:val="001D335F"/>
    <w:rsid w:val="001D3512"/>
    <w:rsid w:val="001D3839"/>
    <w:rsid w:val="001D3989"/>
    <w:rsid w:val="001D39D6"/>
    <w:rsid w:val="001D3A23"/>
    <w:rsid w:val="001D3F92"/>
    <w:rsid w:val="001D4105"/>
    <w:rsid w:val="001D4590"/>
    <w:rsid w:val="001D466E"/>
    <w:rsid w:val="001D46E7"/>
    <w:rsid w:val="001D475D"/>
    <w:rsid w:val="001D4771"/>
    <w:rsid w:val="001D48E1"/>
    <w:rsid w:val="001D498B"/>
    <w:rsid w:val="001D49F2"/>
    <w:rsid w:val="001D4D9D"/>
    <w:rsid w:val="001D4F95"/>
    <w:rsid w:val="001D4FB4"/>
    <w:rsid w:val="001D4FDA"/>
    <w:rsid w:val="001D50F6"/>
    <w:rsid w:val="001D521C"/>
    <w:rsid w:val="001D52A2"/>
    <w:rsid w:val="001D536A"/>
    <w:rsid w:val="001D54DE"/>
    <w:rsid w:val="001D54EC"/>
    <w:rsid w:val="001D56C8"/>
    <w:rsid w:val="001D570B"/>
    <w:rsid w:val="001D579D"/>
    <w:rsid w:val="001D57C9"/>
    <w:rsid w:val="001D5A9F"/>
    <w:rsid w:val="001D5B7D"/>
    <w:rsid w:val="001D5F68"/>
    <w:rsid w:val="001D66C2"/>
    <w:rsid w:val="001D66ED"/>
    <w:rsid w:val="001D6953"/>
    <w:rsid w:val="001D6A0E"/>
    <w:rsid w:val="001D6CB2"/>
    <w:rsid w:val="001D6D84"/>
    <w:rsid w:val="001D6DC9"/>
    <w:rsid w:val="001D6E5E"/>
    <w:rsid w:val="001D7437"/>
    <w:rsid w:val="001D7686"/>
    <w:rsid w:val="001D7826"/>
    <w:rsid w:val="001D7845"/>
    <w:rsid w:val="001D79FE"/>
    <w:rsid w:val="001D7A05"/>
    <w:rsid w:val="001D7B7E"/>
    <w:rsid w:val="001D7BD7"/>
    <w:rsid w:val="001D7CA6"/>
    <w:rsid w:val="001D7DA5"/>
    <w:rsid w:val="001D7E15"/>
    <w:rsid w:val="001D7ED8"/>
    <w:rsid w:val="001E03D4"/>
    <w:rsid w:val="001E04DA"/>
    <w:rsid w:val="001E053B"/>
    <w:rsid w:val="001E0643"/>
    <w:rsid w:val="001E08C0"/>
    <w:rsid w:val="001E0986"/>
    <w:rsid w:val="001E098E"/>
    <w:rsid w:val="001E0CCB"/>
    <w:rsid w:val="001E0D25"/>
    <w:rsid w:val="001E0E9E"/>
    <w:rsid w:val="001E0EE0"/>
    <w:rsid w:val="001E107A"/>
    <w:rsid w:val="001E1095"/>
    <w:rsid w:val="001E10F9"/>
    <w:rsid w:val="001E119D"/>
    <w:rsid w:val="001E1288"/>
    <w:rsid w:val="001E141C"/>
    <w:rsid w:val="001E141D"/>
    <w:rsid w:val="001E1624"/>
    <w:rsid w:val="001E17C1"/>
    <w:rsid w:val="001E19CF"/>
    <w:rsid w:val="001E19DB"/>
    <w:rsid w:val="001E1B6A"/>
    <w:rsid w:val="001E1C7D"/>
    <w:rsid w:val="001E1CD7"/>
    <w:rsid w:val="001E1D8A"/>
    <w:rsid w:val="001E1DF4"/>
    <w:rsid w:val="001E1E28"/>
    <w:rsid w:val="001E1EB4"/>
    <w:rsid w:val="001E1FF2"/>
    <w:rsid w:val="001E2019"/>
    <w:rsid w:val="001E2363"/>
    <w:rsid w:val="001E23E4"/>
    <w:rsid w:val="001E251A"/>
    <w:rsid w:val="001E2655"/>
    <w:rsid w:val="001E269F"/>
    <w:rsid w:val="001E2705"/>
    <w:rsid w:val="001E280C"/>
    <w:rsid w:val="001E2883"/>
    <w:rsid w:val="001E2928"/>
    <w:rsid w:val="001E2972"/>
    <w:rsid w:val="001E2A5E"/>
    <w:rsid w:val="001E2C1D"/>
    <w:rsid w:val="001E2CED"/>
    <w:rsid w:val="001E2E45"/>
    <w:rsid w:val="001E2E71"/>
    <w:rsid w:val="001E303A"/>
    <w:rsid w:val="001E30EC"/>
    <w:rsid w:val="001E310A"/>
    <w:rsid w:val="001E3117"/>
    <w:rsid w:val="001E3163"/>
    <w:rsid w:val="001E32DC"/>
    <w:rsid w:val="001E3454"/>
    <w:rsid w:val="001E3505"/>
    <w:rsid w:val="001E3622"/>
    <w:rsid w:val="001E367F"/>
    <w:rsid w:val="001E36EB"/>
    <w:rsid w:val="001E3863"/>
    <w:rsid w:val="001E3B31"/>
    <w:rsid w:val="001E3D0E"/>
    <w:rsid w:val="001E3D12"/>
    <w:rsid w:val="001E3D79"/>
    <w:rsid w:val="001E3E81"/>
    <w:rsid w:val="001E3FB2"/>
    <w:rsid w:val="001E404D"/>
    <w:rsid w:val="001E4195"/>
    <w:rsid w:val="001E41D8"/>
    <w:rsid w:val="001E4225"/>
    <w:rsid w:val="001E43FB"/>
    <w:rsid w:val="001E4483"/>
    <w:rsid w:val="001E44E8"/>
    <w:rsid w:val="001E4552"/>
    <w:rsid w:val="001E45CD"/>
    <w:rsid w:val="001E4640"/>
    <w:rsid w:val="001E468E"/>
    <w:rsid w:val="001E4918"/>
    <w:rsid w:val="001E49E6"/>
    <w:rsid w:val="001E4B4D"/>
    <w:rsid w:val="001E4DBA"/>
    <w:rsid w:val="001E4FD5"/>
    <w:rsid w:val="001E50F1"/>
    <w:rsid w:val="001E531B"/>
    <w:rsid w:val="001E535A"/>
    <w:rsid w:val="001E57CF"/>
    <w:rsid w:val="001E5848"/>
    <w:rsid w:val="001E5AAD"/>
    <w:rsid w:val="001E5B6B"/>
    <w:rsid w:val="001E5C54"/>
    <w:rsid w:val="001E5CA1"/>
    <w:rsid w:val="001E5E76"/>
    <w:rsid w:val="001E5E7B"/>
    <w:rsid w:val="001E5FA9"/>
    <w:rsid w:val="001E5FC6"/>
    <w:rsid w:val="001E6088"/>
    <w:rsid w:val="001E633B"/>
    <w:rsid w:val="001E63AA"/>
    <w:rsid w:val="001E6462"/>
    <w:rsid w:val="001E6651"/>
    <w:rsid w:val="001E668F"/>
    <w:rsid w:val="001E66A0"/>
    <w:rsid w:val="001E67B1"/>
    <w:rsid w:val="001E6884"/>
    <w:rsid w:val="001E6894"/>
    <w:rsid w:val="001E6981"/>
    <w:rsid w:val="001E6A06"/>
    <w:rsid w:val="001E6A13"/>
    <w:rsid w:val="001E6AE4"/>
    <w:rsid w:val="001E6B21"/>
    <w:rsid w:val="001E6D7B"/>
    <w:rsid w:val="001E7011"/>
    <w:rsid w:val="001E70F2"/>
    <w:rsid w:val="001E7260"/>
    <w:rsid w:val="001E7276"/>
    <w:rsid w:val="001E748D"/>
    <w:rsid w:val="001E7710"/>
    <w:rsid w:val="001E7789"/>
    <w:rsid w:val="001E7797"/>
    <w:rsid w:val="001E7828"/>
    <w:rsid w:val="001E786C"/>
    <w:rsid w:val="001E796C"/>
    <w:rsid w:val="001E7A2A"/>
    <w:rsid w:val="001E7AA8"/>
    <w:rsid w:val="001E7AB9"/>
    <w:rsid w:val="001E7BDC"/>
    <w:rsid w:val="001E7CDC"/>
    <w:rsid w:val="001E7D7F"/>
    <w:rsid w:val="001E7FB5"/>
    <w:rsid w:val="001F00AA"/>
    <w:rsid w:val="001F00B9"/>
    <w:rsid w:val="001F00C5"/>
    <w:rsid w:val="001F023B"/>
    <w:rsid w:val="001F02AC"/>
    <w:rsid w:val="001F037D"/>
    <w:rsid w:val="001F0513"/>
    <w:rsid w:val="001F0762"/>
    <w:rsid w:val="001F07A0"/>
    <w:rsid w:val="001F0AF8"/>
    <w:rsid w:val="001F0BFB"/>
    <w:rsid w:val="001F0ECA"/>
    <w:rsid w:val="001F0EF8"/>
    <w:rsid w:val="001F0FC7"/>
    <w:rsid w:val="001F101E"/>
    <w:rsid w:val="001F11C4"/>
    <w:rsid w:val="001F123F"/>
    <w:rsid w:val="001F136F"/>
    <w:rsid w:val="001F154F"/>
    <w:rsid w:val="001F16AE"/>
    <w:rsid w:val="001F1951"/>
    <w:rsid w:val="001F1A0E"/>
    <w:rsid w:val="001F1AA8"/>
    <w:rsid w:val="001F1AEF"/>
    <w:rsid w:val="001F1FF8"/>
    <w:rsid w:val="001F213D"/>
    <w:rsid w:val="001F22F5"/>
    <w:rsid w:val="001F26B4"/>
    <w:rsid w:val="001F2877"/>
    <w:rsid w:val="001F28FA"/>
    <w:rsid w:val="001F29C9"/>
    <w:rsid w:val="001F29EE"/>
    <w:rsid w:val="001F29F0"/>
    <w:rsid w:val="001F2A78"/>
    <w:rsid w:val="001F2B74"/>
    <w:rsid w:val="001F2E1E"/>
    <w:rsid w:val="001F2E5E"/>
    <w:rsid w:val="001F2E66"/>
    <w:rsid w:val="001F2F07"/>
    <w:rsid w:val="001F2FE9"/>
    <w:rsid w:val="001F303B"/>
    <w:rsid w:val="001F3301"/>
    <w:rsid w:val="001F3320"/>
    <w:rsid w:val="001F37D0"/>
    <w:rsid w:val="001F38C8"/>
    <w:rsid w:val="001F38E9"/>
    <w:rsid w:val="001F3971"/>
    <w:rsid w:val="001F3993"/>
    <w:rsid w:val="001F3AE4"/>
    <w:rsid w:val="001F3B62"/>
    <w:rsid w:val="001F3B7D"/>
    <w:rsid w:val="001F3C07"/>
    <w:rsid w:val="001F3C7C"/>
    <w:rsid w:val="001F3CFA"/>
    <w:rsid w:val="001F3D2C"/>
    <w:rsid w:val="001F40E5"/>
    <w:rsid w:val="001F416C"/>
    <w:rsid w:val="001F437A"/>
    <w:rsid w:val="001F438E"/>
    <w:rsid w:val="001F4669"/>
    <w:rsid w:val="001F4768"/>
    <w:rsid w:val="001F4814"/>
    <w:rsid w:val="001F4832"/>
    <w:rsid w:val="001F4A8D"/>
    <w:rsid w:val="001F4BEA"/>
    <w:rsid w:val="001F4BFE"/>
    <w:rsid w:val="001F4C51"/>
    <w:rsid w:val="001F4CE5"/>
    <w:rsid w:val="001F4E83"/>
    <w:rsid w:val="001F4EBE"/>
    <w:rsid w:val="001F4F6E"/>
    <w:rsid w:val="001F509E"/>
    <w:rsid w:val="001F50C6"/>
    <w:rsid w:val="001F511B"/>
    <w:rsid w:val="001F520C"/>
    <w:rsid w:val="001F5246"/>
    <w:rsid w:val="001F5280"/>
    <w:rsid w:val="001F5538"/>
    <w:rsid w:val="001F5683"/>
    <w:rsid w:val="001F5778"/>
    <w:rsid w:val="001F58B6"/>
    <w:rsid w:val="001F5A77"/>
    <w:rsid w:val="001F5AAB"/>
    <w:rsid w:val="001F5B13"/>
    <w:rsid w:val="001F5B2A"/>
    <w:rsid w:val="001F5CCE"/>
    <w:rsid w:val="001F5D5B"/>
    <w:rsid w:val="001F5DE8"/>
    <w:rsid w:val="001F5E51"/>
    <w:rsid w:val="001F5E6A"/>
    <w:rsid w:val="001F5F15"/>
    <w:rsid w:val="001F5F1A"/>
    <w:rsid w:val="001F5FFD"/>
    <w:rsid w:val="001F5FFE"/>
    <w:rsid w:val="001F60A5"/>
    <w:rsid w:val="001F63CF"/>
    <w:rsid w:val="001F6680"/>
    <w:rsid w:val="001F68D7"/>
    <w:rsid w:val="001F6B65"/>
    <w:rsid w:val="001F6B68"/>
    <w:rsid w:val="001F6BC1"/>
    <w:rsid w:val="001F6C17"/>
    <w:rsid w:val="001F6D06"/>
    <w:rsid w:val="001F6ED3"/>
    <w:rsid w:val="001F6F4A"/>
    <w:rsid w:val="001F71D6"/>
    <w:rsid w:val="001F73D5"/>
    <w:rsid w:val="001F745D"/>
    <w:rsid w:val="001F7488"/>
    <w:rsid w:val="001F74FD"/>
    <w:rsid w:val="001F77AA"/>
    <w:rsid w:val="001F77F3"/>
    <w:rsid w:val="001F78D5"/>
    <w:rsid w:val="001F7928"/>
    <w:rsid w:val="001F7A4B"/>
    <w:rsid w:val="001F7ADC"/>
    <w:rsid w:val="001F7AEF"/>
    <w:rsid w:val="001F7DD9"/>
    <w:rsid w:val="00200091"/>
    <w:rsid w:val="00200144"/>
    <w:rsid w:val="0020026F"/>
    <w:rsid w:val="002002D2"/>
    <w:rsid w:val="0020037A"/>
    <w:rsid w:val="002003AF"/>
    <w:rsid w:val="0020046D"/>
    <w:rsid w:val="002004B3"/>
    <w:rsid w:val="00200507"/>
    <w:rsid w:val="00200870"/>
    <w:rsid w:val="00200945"/>
    <w:rsid w:val="00200984"/>
    <w:rsid w:val="00200B45"/>
    <w:rsid w:val="00200E92"/>
    <w:rsid w:val="00200F03"/>
    <w:rsid w:val="00200FCE"/>
    <w:rsid w:val="00201150"/>
    <w:rsid w:val="002011D7"/>
    <w:rsid w:val="00201358"/>
    <w:rsid w:val="00201420"/>
    <w:rsid w:val="002014ED"/>
    <w:rsid w:val="0020154A"/>
    <w:rsid w:val="00201574"/>
    <w:rsid w:val="0020158B"/>
    <w:rsid w:val="00201594"/>
    <w:rsid w:val="00201864"/>
    <w:rsid w:val="002019D5"/>
    <w:rsid w:val="00201AB0"/>
    <w:rsid w:val="00201AF2"/>
    <w:rsid w:val="00201B10"/>
    <w:rsid w:val="00201E4F"/>
    <w:rsid w:val="00201EBA"/>
    <w:rsid w:val="00201F07"/>
    <w:rsid w:val="0020206B"/>
    <w:rsid w:val="0020215D"/>
    <w:rsid w:val="002024D4"/>
    <w:rsid w:val="002025EC"/>
    <w:rsid w:val="002026FB"/>
    <w:rsid w:val="00202800"/>
    <w:rsid w:val="00202B30"/>
    <w:rsid w:val="00202BD3"/>
    <w:rsid w:val="00202ED7"/>
    <w:rsid w:val="00202F05"/>
    <w:rsid w:val="00202F4E"/>
    <w:rsid w:val="002034AF"/>
    <w:rsid w:val="002035AD"/>
    <w:rsid w:val="0020361D"/>
    <w:rsid w:val="0020362D"/>
    <w:rsid w:val="002036A6"/>
    <w:rsid w:val="002036E0"/>
    <w:rsid w:val="002036F0"/>
    <w:rsid w:val="0020389C"/>
    <w:rsid w:val="00203979"/>
    <w:rsid w:val="00203B89"/>
    <w:rsid w:val="00203B99"/>
    <w:rsid w:val="00203CF9"/>
    <w:rsid w:val="00203EDF"/>
    <w:rsid w:val="00203F3D"/>
    <w:rsid w:val="00204354"/>
    <w:rsid w:val="0020436A"/>
    <w:rsid w:val="0020454E"/>
    <w:rsid w:val="00204627"/>
    <w:rsid w:val="0020475A"/>
    <w:rsid w:val="00204A6C"/>
    <w:rsid w:val="00204CE6"/>
    <w:rsid w:val="00204D15"/>
    <w:rsid w:val="0020505C"/>
    <w:rsid w:val="0020527F"/>
    <w:rsid w:val="002052E8"/>
    <w:rsid w:val="0020542D"/>
    <w:rsid w:val="0020545B"/>
    <w:rsid w:val="00205648"/>
    <w:rsid w:val="0020577A"/>
    <w:rsid w:val="002059FB"/>
    <w:rsid w:val="00205B8B"/>
    <w:rsid w:val="00205E79"/>
    <w:rsid w:val="00205E8C"/>
    <w:rsid w:val="00205F31"/>
    <w:rsid w:val="00205F61"/>
    <w:rsid w:val="00205FE6"/>
    <w:rsid w:val="002061E9"/>
    <w:rsid w:val="0020622A"/>
    <w:rsid w:val="00206236"/>
    <w:rsid w:val="002064A3"/>
    <w:rsid w:val="002064AB"/>
    <w:rsid w:val="00206568"/>
    <w:rsid w:val="002065FE"/>
    <w:rsid w:val="00206857"/>
    <w:rsid w:val="00207136"/>
    <w:rsid w:val="00207146"/>
    <w:rsid w:val="00207227"/>
    <w:rsid w:val="00207348"/>
    <w:rsid w:val="00207432"/>
    <w:rsid w:val="002074FF"/>
    <w:rsid w:val="00207987"/>
    <w:rsid w:val="00207994"/>
    <w:rsid w:val="00207AA2"/>
    <w:rsid w:val="00207C1F"/>
    <w:rsid w:val="00207D2F"/>
    <w:rsid w:val="00207D36"/>
    <w:rsid w:val="00207E0A"/>
    <w:rsid w:val="00207F4B"/>
    <w:rsid w:val="00207FB9"/>
    <w:rsid w:val="002100D1"/>
    <w:rsid w:val="00210183"/>
    <w:rsid w:val="002102CD"/>
    <w:rsid w:val="00210320"/>
    <w:rsid w:val="0021045E"/>
    <w:rsid w:val="002104E5"/>
    <w:rsid w:val="00210611"/>
    <w:rsid w:val="00210680"/>
    <w:rsid w:val="00210769"/>
    <w:rsid w:val="002108BF"/>
    <w:rsid w:val="00210939"/>
    <w:rsid w:val="002109AC"/>
    <w:rsid w:val="00210A75"/>
    <w:rsid w:val="00210CFE"/>
    <w:rsid w:val="00211622"/>
    <w:rsid w:val="00211671"/>
    <w:rsid w:val="00211719"/>
    <w:rsid w:val="0021181E"/>
    <w:rsid w:val="00211949"/>
    <w:rsid w:val="00211BF6"/>
    <w:rsid w:val="00211F9D"/>
    <w:rsid w:val="002120D7"/>
    <w:rsid w:val="0021216B"/>
    <w:rsid w:val="002122D6"/>
    <w:rsid w:val="002124CD"/>
    <w:rsid w:val="002124D8"/>
    <w:rsid w:val="002124F7"/>
    <w:rsid w:val="00212546"/>
    <w:rsid w:val="0021256D"/>
    <w:rsid w:val="002128A0"/>
    <w:rsid w:val="0021294E"/>
    <w:rsid w:val="00212A8D"/>
    <w:rsid w:val="00212AA7"/>
    <w:rsid w:val="00212E19"/>
    <w:rsid w:val="00212FB9"/>
    <w:rsid w:val="00213081"/>
    <w:rsid w:val="00213205"/>
    <w:rsid w:val="00213632"/>
    <w:rsid w:val="00213D85"/>
    <w:rsid w:val="00213EBE"/>
    <w:rsid w:val="00213EFF"/>
    <w:rsid w:val="0021401F"/>
    <w:rsid w:val="00214033"/>
    <w:rsid w:val="002140C4"/>
    <w:rsid w:val="002140DF"/>
    <w:rsid w:val="002141CE"/>
    <w:rsid w:val="0021435C"/>
    <w:rsid w:val="002143F9"/>
    <w:rsid w:val="002145B6"/>
    <w:rsid w:val="00214694"/>
    <w:rsid w:val="002146B9"/>
    <w:rsid w:val="002147D5"/>
    <w:rsid w:val="0021480C"/>
    <w:rsid w:val="0021484C"/>
    <w:rsid w:val="002148F7"/>
    <w:rsid w:val="00214954"/>
    <w:rsid w:val="00214970"/>
    <w:rsid w:val="00214ABB"/>
    <w:rsid w:val="00214B2F"/>
    <w:rsid w:val="00215021"/>
    <w:rsid w:val="0021503A"/>
    <w:rsid w:val="002150A0"/>
    <w:rsid w:val="002150EF"/>
    <w:rsid w:val="00215193"/>
    <w:rsid w:val="002153CC"/>
    <w:rsid w:val="00215491"/>
    <w:rsid w:val="0021549E"/>
    <w:rsid w:val="00215A44"/>
    <w:rsid w:val="00215AA6"/>
    <w:rsid w:val="00215D78"/>
    <w:rsid w:val="00215E48"/>
    <w:rsid w:val="00215EC4"/>
    <w:rsid w:val="00216161"/>
    <w:rsid w:val="00216485"/>
    <w:rsid w:val="002166C6"/>
    <w:rsid w:val="00216701"/>
    <w:rsid w:val="002168A7"/>
    <w:rsid w:val="002169C9"/>
    <w:rsid w:val="00216A73"/>
    <w:rsid w:val="00216ADF"/>
    <w:rsid w:val="00216BB3"/>
    <w:rsid w:val="00216C04"/>
    <w:rsid w:val="00216CAA"/>
    <w:rsid w:val="00216D5F"/>
    <w:rsid w:val="00216D6A"/>
    <w:rsid w:val="00216D96"/>
    <w:rsid w:val="0021720E"/>
    <w:rsid w:val="00217338"/>
    <w:rsid w:val="00217657"/>
    <w:rsid w:val="0021771C"/>
    <w:rsid w:val="002177F3"/>
    <w:rsid w:val="002177FE"/>
    <w:rsid w:val="00217C6F"/>
    <w:rsid w:val="00217D25"/>
    <w:rsid w:val="0022012A"/>
    <w:rsid w:val="0022017C"/>
    <w:rsid w:val="00220182"/>
    <w:rsid w:val="0022018E"/>
    <w:rsid w:val="002201BF"/>
    <w:rsid w:val="002202EB"/>
    <w:rsid w:val="00220322"/>
    <w:rsid w:val="002203A0"/>
    <w:rsid w:val="00220433"/>
    <w:rsid w:val="0022059C"/>
    <w:rsid w:val="002205B0"/>
    <w:rsid w:val="002206C0"/>
    <w:rsid w:val="00220746"/>
    <w:rsid w:val="00220876"/>
    <w:rsid w:val="00220B3D"/>
    <w:rsid w:val="00220B58"/>
    <w:rsid w:val="00220BD9"/>
    <w:rsid w:val="0022118D"/>
    <w:rsid w:val="00221253"/>
    <w:rsid w:val="002212A4"/>
    <w:rsid w:val="002212DA"/>
    <w:rsid w:val="00221352"/>
    <w:rsid w:val="0022145E"/>
    <w:rsid w:val="002216EA"/>
    <w:rsid w:val="002218F9"/>
    <w:rsid w:val="002219ED"/>
    <w:rsid w:val="00221AC9"/>
    <w:rsid w:val="00221BDA"/>
    <w:rsid w:val="00221EB5"/>
    <w:rsid w:val="002220C9"/>
    <w:rsid w:val="002220F1"/>
    <w:rsid w:val="0022213D"/>
    <w:rsid w:val="002221DA"/>
    <w:rsid w:val="002221FD"/>
    <w:rsid w:val="002225DC"/>
    <w:rsid w:val="00222635"/>
    <w:rsid w:val="00222746"/>
    <w:rsid w:val="00222817"/>
    <w:rsid w:val="00222826"/>
    <w:rsid w:val="00222874"/>
    <w:rsid w:val="00222876"/>
    <w:rsid w:val="00222C2E"/>
    <w:rsid w:val="00222D0D"/>
    <w:rsid w:val="00222D0E"/>
    <w:rsid w:val="00222DC8"/>
    <w:rsid w:val="00222F43"/>
    <w:rsid w:val="00222F61"/>
    <w:rsid w:val="00223077"/>
    <w:rsid w:val="002230E2"/>
    <w:rsid w:val="002233A3"/>
    <w:rsid w:val="002235C6"/>
    <w:rsid w:val="00223A59"/>
    <w:rsid w:val="00223B0B"/>
    <w:rsid w:val="00223BEB"/>
    <w:rsid w:val="00223C30"/>
    <w:rsid w:val="00223D0F"/>
    <w:rsid w:val="00223DF0"/>
    <w:rsid w:val="00223EC8"/>
    <w:rsid w:val="00223F05"/>
    <w:rsid w:val="00223F6B"/>
    <w:rsid w:val="00223FC5"/>
    <w:rsid w:val="002243A8"/>
    <w:rsid w:val="0022467C"/>
    <w:rsid w:val="0022481B"/>
    <w:rsid w:val="00224898"/>
    <w:rsid w:val="00224984"/>
    <w:rsid w:val="00224A45"/>
    <w:rsid w:val="00224AEA"/>
    <w:rsid w:val="00224B23"/>
    <w:rsid w:val="00224B40"/>
    <w:rsid w:val="00224C23"/>
    <w:rsid w:val="00224C5A"/>
    <w:rsid w:val="00224C80"/>
    <w:rsid w:val="00224F18"/>
    <w:rsid w:val="00224FDD"/>
    <w:rsid w:val="00225070"/>
    <w:rsid w:val="0022512E"/>
    <w:rsid w:val="0022515D"/>
    <w:rsid w:val="00225481"/>
    <w:rsid w:val="002254AF"/>
    <w:rsid w:val="0022567C"/>
    <w:rsid w:val="0022570E"/>
    <w:rsid w:val="002258FF"/>
    <w:rsid w:val="00225B4E"/>
    <w:rsid w:val="00225E98"/>
    <w:rsid w:val="00225EC5"/>
    <w:rsid w:val="00225F70"/>
    <w:rsid w:val="00225F94"/>
    <w:rsid w:val="00226068"/>
    <w:rsid w:val="00226507"/>
    <w:rsid w:val="002266A7"/>
    <w:rsid w:val="0022694C"/>
    <w:rsid w:val="00226B3A"/>
    <w:rsid w:val="00226B68"/>
    <w:rsid w:val="00226C08"/>
    <w:rsid w:val="00226E0F"/>
    <w:rsid w:val="00226EBB"/>
    <w:rsid w:val="00226F09"/>
    <w:rsid w:val="00226F20"/>
    <w:rsid w:val="00226FEF"/>
    <w:rsid w:val="00227024"/>
    <w:rsid w:val="002270EA"/>
    <w:rsid w:val="00227203"/>
    <w:rsid w:val="00227259"/>
    <w:rsid w:val="002273B3"/>
    <w:rsid w:val="002273CE"/>
    <w:rsid w:val="002273E0"/>
    <w:rsid w:val="00227614"/>
    <w:rsid w:val="00227675"/>
    <w:rsid w:val="002276AD"/>
    <w:rsid w:val="00227732"/>
    <w:rsid w:val="002277A9"/>
    <w:rsid w:val="00227897"/>
    <w:rsid w:val="00227CBD"/>
    <w:rsid w:val="00227D77"/>
    <w:rsid w:val="00227E77"/>
    <w:rsid w:val="00227EFA"/>
    <w:rsid w:val="00227F2E"/>
    <w:rsid w:val="00230042"/>
    <w:rsid w:val="002301F1"/>
    <w:rsid w:val="0023020A"/>
    <w:rsid w:val="0023023A"/>
    <w:rsid w:val="0023029E"/>
    <w:rsid w:val="00230322"/>
    <w:rsid w:val="0023043C"/>
    <w:rsid w:val="002305FF"/>
    <w:rsid w:val="00230692"/>
    <w:rsid w:val="0023070B"/>
    <w:rsid w:val="00230893"/>
    <w:rsid w:val="00230913"/>
    <w:rsid w:val="00230BAB"/>
    <w:rsid w:val="00230E70"/>
    <w:rsid w:val="00231004"/>
    <w:rsid w:val="002313C0"/>
    <w:rsid w:val="002313D0"/>
    <w:rsid w:val="002313F6"/>
    <w:rsid w:val="00231507"/>
    <w:rsid w:val="0023152C"/>
    <w:rsid w:val="002316E4"/>
    <w:rsid w:val="0023170B"/>
    <w:rsid w:val="0023184E"/>
    <w:rsid w:val="00231976"/>
    <w:rsid w:val="002319D4"/>
    <w:rsid w:val="00231B2C"/>
    <w:rsid w:val="00231BAC"/>
    <w:rsid w:val="00231F99"/>
    <w:rsid w:val="002320E1"/>
    <w:rsid w:val="0023242E"/>
    <w:rsid w:val="00232556"/>
    <w:rsid w:val="00232564"/>
    <w:rsid w:val="00232887"/>
    <w:rsid w:val="00232897"/>
    <w:rsid w:val="00232940"/>
    <w:rsid w:val="00232990"/>
    <w:rsid w:val="00232BDE"/>
    <w:rsid w:val="00232E82"/>
    <w:rsid w:val="00232F29"/>
    <w:rsid w:val="00232F64"/>
    <w:rsid w:val="00232F7E"/>
    <w:rsid w:val="00233003"/>
    <w:rsid w:val="002330D7"/>
    <w:rsid w:val="00233149"/>
    <w:rsid w:val="002331D0"/>
    <w:rsid w:val="002335D0"/>
    <w:rsid w:val="002335FD"/>
    <w:rsid w:val="002339ED"/>
    <w:rsid w:val="00233A7F"/>
    <w:rsid w:val="00233D52"/>
    <w:rsid w:val="00233D61"/>
    <w:rsid w:val="00233E5A"/>
    <w:rsid w:val="00233F1C"/>
    <w:rsid w:val="0023402F"/>
    <w:rsid w:val="0023414C"/>
    <w:rsid w:val="002341F0"/>
    <w:rsid w:val="002343CA"/>
    <w:rsid w:val="00234535"/>
    <w:rsid w:val="002345E6"/>
    <w:rsid w:val="00234647"/>
    <w:rsid w:val="00234882"/>
    <w:rsid w:val="00234898"/>
    <w:rsid w:val="00234A83"/>
    <w:rsid w:val="00234B82"/>
    <w:rsid w:val="00234BA8"/>
    <w:rsid w:val="00234C61"/>
    <w:rsid w:val="00234E82"/>
    <w:rsid w:val="0023514E"/>
    <w:rsid w:val="0023537E"/>
    <w:rsid w:val="002354B0"/>
    <w:rsid w:val="00235549"/>
    <w:rsid w:val="00235582"/>
    <w:rsid w:val="00235619"/>
    <w:rsid w:val="0023565D"/>
    <w:rsid w:val="002356AC"/>
    <w:rsid w:val="00235780"/>
    <w:rsid w:val="00235A7D"/>
    <w:rsid w:val="00235D25"/>
    <w:rsid w:val="00235D4F"/>
    <w:rsid w:val="00235DBE"/>
    <w:rsid w:val="00235E5C"/>
    <w:rsid w:val="00236056"/>
    <w:rsid w:val="00236100"/>
    <w:rsid w:val="00236112"/>
    <w:rsid w:val="0023666A"/>
    <w:rsid w:val="002366E2"/>
    <w:rsid w:val="00236929"/>
    <w:rsid w:val="00236B7F"/>
    <w:rsid w:val="00236BC1"/>
    <w:rsid w:val="00236BF0"/>
    <w:rsid w:val="00236C63"/>
    <w:rsid w:val="00236DD8"/>
    <w:rsid w:val="00236E24"/>
    <w:rsid w:val="00236E2D"/>
    <w:rsid w:val="00236E9E"/>
    <w:rsid w:val="00236F22"/>
    <w:rsid w:val="00236F8D"/>
    <w:rsid w:val="0023707F"/>
    <w:rsid w:val="00237091"/>
    <w:rsid w:val="002371BD"/>
    <w:rsid w:val="0023725A"/>
    <w:rsid w:val="002372C3"/>
    <w:rsid w:val="002373AF"/>
    <w:rsid w:val="0023770A"/>
    <w:rsid w:val="0023770E"/>
    <w:rsid w:val="00237933"/>
    <w:rsid w:val="002379FA"/>
    <w:rsid w:val="00237A17"/>
    <w:rsid w:val="00237B92"/>
    <w:rsid w:val="00237BF8"/>
    <w:rsid w:val="00237C44"/>
    <w:rsid w:val="00237CE4"/>
    <w:rsid w:val="00237E69"/>
    <w:rsid w:val="00240061"/>
    <w:rsid w:val="00240444"/>
    <w:rsid w:val="0024048A"/>
    <w:rsid w:val="00240942"/>
    <w:rsid w:val="002409BF"/>
    <w:rsid w:val="00240A31"/>
    <w:rsid w:val="00240A52"/>
    <w:rsid w:val="00240A59"/>
    <w:rsid w:val="00240A5B"/>
    <w:rsid w:val="00240A6C"/>
    <w:rsid w:val="00240AF8"/>
    <w:rsid w:val="00240D0C"/>
    <w:rsid w:val="00240E1B"/>
    <w:rsid w:val="00240E29"/>
    <w:rsid w:val="00240E5F"/>
    <w:rsid w:val="00241025"/>
    <w:rsid w:val="002410FD"/>
    <w:rsid w:val="0024110A"/>
    <w:rsid w:val="00241336"/>
    <w:rsid w:val="00241456"/>
    <w:rsid w:val="002415E7"/>
    <w:rsid w:val="002416C8"/>
    <w:rsid w:val="00241B0B"/>
    <w:rsid w:val="00241B1A"/>
    <w:rsid w:val="00241DDD"/>
    <w:rsid w:val="00241F11"/>
    <w:rsid w:val="00242231"/>
    <w:rsid w:val="002423A3"/>
    <w:rsid w:val="0024245F"/>
    <w:rsid w:val="002425B3"/>
    <w:rsid w:val="002425CF"/>
    <w:rsid w:val="0024263A"/>
    <w:rsid w:val="0024289C"/>
    <w:rsid w:val="00242933"/>
    <w:rsid w:val="002429D0"/>
    <w:rsid w:val="002429E4"/>
    <w:rsid w:val="00242A81"/>
    <w:rsid w:val="00242B2E"/>
    <w:rsid w:val="00242B33"/>
    <w:rsid w:val="00242C66"/>
    <w:rsid w:val="00242CBC"/>
    <w:rsid w:val="00242D15"/>
    <w:rsid w:val="00242D71"/>
    <w:rsid w:val="00242E52"/>
    <w:rsid w:val="00242E85"/>
    <w:rsid w:val="00242F13"/>
    <w:rsid w:val="00242FD9"/>
    <w:rsid w:val="0024304A"/>
    <w:rsid w:val="00243084"/>
    <w:rsid w:val="002431C7"/>
    <w:rsid w:val="0024347B"/>
    <w:rsid w:val="00243490"/>
    <w:rsid w:val="0024349D"/>
    <w:rsid w:val="002435AA"/>
    <w:rsid w:val="002435CF"/>
    <w:rsid w:val="0024375A"/>
    <w:rsid w:val="00243C40"/>
    <w:rsid w:val="00243C68"/>
    <w:rsid w:val="00243D48"/>
    <w:rsid w:val="00243F77"/>
    <w:rsid w:val="00244099"/>
    <w:rsid w:val="00244258"/>
    <w:rsid w:val="00244316"/>
    <w:rsid w:val="00244373"/>
    <w:rsid w:val="00244550"/>
    <w:rsid w:val="00244559"/>
    <w:rsid w:val="0024455D"/>
    <w:rsid w:val="002445CE"/>
    <w:rsid w:val="002445DE"/>
    <w:rsid w:val="00244852"/>
    <w:rsid w:val="00244972"/>
    <w:rsid w:val="00244A81"/>
    <w:rsid w:val="00244B55"/>
    <w:rsid w:val="00244DB0"/>
    <w:rsid w:val="00244F75"/>
    <w:rsid w:val="002450A9"/>
    <w:rsid w:val="002450AA"/>
    <w:rsid w:val="002450B4"/>
    <w:rsid w:val="002452AF"/>
    <w:rsid w:val="00245337"/>
    <w:rsid w:val="00245497"/>
    <w:rsid w:val="0024551B"/>
    <w:rsid w:val="00245628"/>
    <w:rsid w:val="00245637"/>
    <w:rsid w:val="002456E6"/>
    <w:rsid w:val="00245722"/>
    <w:rsid w:val="0024581B"/>
    <w:rsid w:val="00245970"/>
    <w:rsid w:val="00245AB4"/>
    <w:rsid w:val="00245B16"/>
    <w:rsid w:val="00245B80"/>
    <w:rsid w:val="00245BD1"/>
    <w:rsid w:val="00245FDE"/>
    <w:rsid w:val="00245FEF"/>
    <w:rsid w:val="0024614E"/>
    <w:rsid w:val="0024629B"/>
    <w:rsid w:val="002462C4"/>
    <w:rsid w:val="00246462"/>
    <w:rsid w:val="002465E2"/>
    <w:rsid w:val="0024668A"/>
    <w:rsid w:val="00246729"/>
    <w:rsid w:val="002467B9"/>
    <w:rsid w:val="00246A01"/>
    <w:rsid w:val="00246B89"/>
    <w:rsid w:val="00246C0A"/>
    <w:rsid w:val="00246C95"/>
    <w:rsid w:val="00246E34"/>
    <w:rsid w:val="00246E40"/>
    <w:rsid w:val="00246F05"/>
    <w:rsid w:val="00246F4C"/>
    <w:rsid w:val="00246FE6"/>
    <w:rsid w:val="00247092"/>
    <w:rsid w:val="00247269"/>
    <w:rsid w:val="002473A2"/>
    <w:rsid w:val="0024748B"/>
    <w:rsid w:val="00247568"/>
    <w:rsid w:val="002475AF"/>
    <w:rsid w:val="00247653"/>
    <w:rsid w:val="002477FD"/>
    <w:rsid w:val="0024790E"/>
    <w:rsid w:val="0024795E"/>
    <w:rsid w:val="00247A54"/>
    <w:rsid w:val="00247D0A"/>
    <w:rsid w:val="00247DED"/>
    <w:rsid w:val="00247E31"/>
    <w:rsid w:val="00247FC0"/>
    <w:rsid w:val="00250057"/>
    <w:rsid w:val="002500D3"/>
    <w:rsid w:val="0025020F"/>
    <w:rsid w:val="0025025A"/>
    <w:rsid w:val="002502CB"/>
    <w:rsid w:val="0025036D"/>
    <w:rsid w:val="0025045D"/>
    <w:rsid w:val="002504D7"/>
    <w:rsid w:val="00250541"/>
    <w:rsid w:val="002505A3"/>
    <w:rsid w:val="002505B1"/>
    <w:rsid w:val="0025061A"/>
    <w:rsid w:val="0025062C"/>
    <w:rsid w:val="00250751"/>
    <w:rsid w:val="00250790"/>
    <w:rsid w:val="002507A6"/>
    <w:rsid w:val="0025081A"/>
    <w:rsid w:val="0025083C"/>
    <w:rsid w:val="00250ABA"/>
    <w:rsid w:val="00250C53"/>
    <w:rsid w:val="00250CC3"/>
    <w:rsid w:val="00250D1C"/>
    <w:rsid w:val="00250D3E"/>
    <w:rsid w:val="00250E17"/>
    <w:rsid w:val="00250E41"/>
    <w:rsid w:val="00251055"/>
    <w:rsid w:val="0025112C"/>
    <w:rsid w:val="0025115F"/>
    <w:rsid w:val="002511BF"/>
    <w:rsid w:val="002511DC"/>
    <w:rsid w:val="0025120C"/>
    <w:rsid w:val="002513F4"/>
    <w:rsid w:val="00251469"/>
    <w:rsid w:val="00251546"/>
    <w:rsid w:val="00251708"/>
    <w:rsid w:val="002518A0"/>
    <w:rsid w:val="00251930"/>
    <w:rsid w:val="00251AEB"/>
    <w:rsid w:val="00251B11"/>
    <w:rsid w:val="00251B6F"/>
    <w:rsid w:val="00251EB1"/>
    <w:rsid w:val="00251F93"/>
    <w:rsid w:val="00252008"/>
    <w:rsid w:val="0025208B"/>
    <w:rsid w:val="00252122"/>
    <w:rsid w:val="0025217E"/>
    <w:rsid w:val="002521D6"/>
    <w:rsid w:val="00252327"/>
    <w:rsid w:val="002523AF"/>
    <w:rsid w:val="0025245F"/>
    <w:rsid w:val="0025255D"/>
    <w:rsid w:val="00252B7F"/>
    <w:rsid w:val="00252BFD"/>
    <w:rsid w:val="00252C65"/>
    <w:rsid w:val="00252D52"/>
    <w:rsid w:val="00252D92"/>
    <w:rsid w:val="00252E3D"/>
    <w:rsid w:val="0025304E"/>
    <w:rsid w:val="002530B6"/>
    <w:rsid w:val="00253266"/>
    <w:rsid w:val="00253268"/>
    <w:rsid w:val="0025326B"/>
    <w:rsid w:val="002533D4"/>
    <w:rsid w:val="0025349C"/>
    <w:rsid w:val="002534B2"/>
    <w:rsid w:val="0025358B"/>
    <w:rsid w:val="00253679"/>
    <w:rsid w:val="002536B8"/>
    <w:rsid w:val="00253729"/>
    <w:rsid w:val="00253911"/>
    <w:rsid w:val="0025395F"/>
    <w:rsid w:val="002539CD"/>
    <w:rsid w:val="00253A77"/>
    <w:rsid w:val="00253AF5"/>
    <w:rsid w:val="00253DC6"/>
    <w:rsid w:val="00253E76"/>
    <w:rsid w:val="00253EAA"/>
    <w:rsid w:val="002540DC"/>
    <w:rsid w:val="00254442"/>
    <w:rsid w:val="0025481C"/>
    <w:rsid w:val="00254910"/>
    <w:rsid w:val="002549A3"/>
    <w:rsid w:val="00254A3D"/>
    <w:rsid w:val="00254D76"/>
    <w:rsid w:val="00254EB4"/>
    <w:rsid w:val="00254F9F"/>
    <w:rsid w:val="00255053"/>
    <w:rsid w:val="00255131"/>
    <w:rsid w:val="0025514C"/>
    <w:rsid w:val="00255190"/>
    <w:rsid w:val="002551AC"/>
    <w:rsid w:val="002553F1"/>
    <w:rsid w:val="00255522"/>
    <w:rsid w:val="002555E4"/>
    <w:rsid w:val="002557E5"/>
    <w:rsid w:val="00255995"/>
    <w:rsid w:val="00255A02"/>
    <w:rsid w:val="00255CB1"/>
    <w:rsid w:val="00255D7E"/>
    <w:rsid w:val="0025604B"/>
    <w:rsid w:val="0025611B"/>
    <w:rsid w:val="0025621D"/>
    <w:rsid w:val="00256253"/>
    <w:rsid w:val="00256567"/>
    <w:rsid w:val="0025689F"/>
    <w:rsid w:val="002569D0"/>
    <w:rsid w:val="00256AB1"/>
    <w:rsid w:val="00256AEA"/>
    <w:rsid w:val="00256AED"/>
    <w:rsid w:val="00256B85"/>
    <w:rsid w:val="00256D51"/>
    <w:rsid w:val="00256E44"/>
    <w:rsid w:val="00256F99"/>
    <w:rsid w:val="00257182"/>
    <w:rsid w:val="0025723F"/>
    <w:rsid w:val="0025726A"/>
    <w:rsid w:val="00257443"/>
    <w:rsid w:val="002574B9"/>
    <w:rsid w:val="002574D2"/>
    <w:rsid w:val="002577FA"/>
    <w:rsid w:val="00257855"/>
    <w:rsid w:val="00257AEE"/>
    <w:rsid w:val="00257B01"/>
    <w:rsid w:val="00257BD4"/>
    <w:rsid w:val="00257E1F"/>
    <w:rsid w:val="002601FB"/>
    <w:rsid w:val="00260218"/>
    <w:rsid w:val="0026025D"/>
    <w:rsid w:val="00260295"/>
    <w:rsid w:val="00260628"/>
    <w:rsid w:val="002607FA"/>
    <w:rsid w:val="00260826"/>
    <w:rsid w:val="00260902"/>
    <w:rsid w:val="00260A59"/>
    <w:rsid w:val="00260A85"/>
    <w:rsid w:val="00260B01"/>
    <w:rsid w:val="00260DC7"/>
    <w:rsid w:val="00260E80"/>
    <w:rsid w:val="00260F7A"/>
    <w:rsid w:val="002611D2"/>
    <w:rsid w:val="0026137D"/>
    <w:rsid w:val="00261418"/>
    <w:rsid w:val="002614AF"/>
    <w:rsid w:val="0026173D"/>
    <w:rsid w:val="002617C4"/>
    <w:rsid w:val="002617EB"/>
    <w:rsid w:val="002618CA"/>
    <w:rsid w:val="00261B36"/>
    <w:rsid w:val="00261F0A"/>
    <w:rsid w:val="00262105"/>
    <w:rsid w:val="00262470"/>
    <w:rsid w:val="0026256D"/>
    <w:rsid w:val="00262877"/>
    <w:rsid w:val="00262AD4"/>
    <w:rsid w:val="00262B30"/>
    <w:rsid w:val="00262F28"/>
    <w:rsid w:val="002633E3"/>
    <w:rsid w:val="00263544"/>
    <w:rsid w:val="00263641"/>
    <w:rsid w:val="002636AE"/>
    <w:rsid w:val="00263A32"/>
    <w:rsid w:val="00263A4D"/>
    <w:rsid w:val="00263B43"/>
    <w:rsid w:val="00263C9C"/>
    <w:rsid w:val="00263F8D"/>
    <w:rsid w:val="0026411F"/>
    <w:rsid w:val="00264232"/>
    <w:rsid w:val="002647DF"/>
    <w:rsid w:val="002648CF"/>
    <w:rsid w:val="00264966"/>
    <w:rsid w:val="00264977"/>
    <w:rsid w:val="00264B90"/>
    <w:rsid w:val="00264CE6"/>
    <w:rsid w:val="00264D08"/>
    <w:rsid w:val="00264DF9"/>
    <w:rsid w:val="00264F84"/>
    <w:rsid w:val="00265060"/>
    <w:rsid w:val="0026517C"/>
    <w:rsid w:val="0026527F"/>
    <w:rsid w:val="002652A7"/>
    <w:rsid w:val="00265A1C"/>
    <w:rsid w:val="00265CC6"/>
    <w:rsid w:val="00265D1D"/>
    <w:rsid w:val="00265D8B"/>
    <w:rsid w:val="00265F62"/>
    <w:rsid w:val="0026603C"/>
    <w:rsid w:val="002660A1"/>
    <w:rsid w:val="0026616A"/>
    <w:rsid w:val="0026617B"/>
    <w:rsid w:val="00266283"/>
    <w:rsid w:val="0026635C"/>
    <w:rsid w:val="002664E7"/>
    <w:rsid w:val="00266625"/>
    <w:rsid w:val="002666BE"/>
    <w:rsid w:val="002667CD"/>
    <w:rsid w:val="002668E0"/>
    <w:rsid w:val="00266B25"/>
    <w:rsid w:val="00266CE6"/>
    <w:rsid w:val="00266E27"/>
    <w:rsid w:val="002670B7"/>
    <w:rsid w:val="0026725E"/>
    <w:rsid w:val="00267297"/>
    <w:rsid w:val="002674E5"/>
    <w:rsid w:val="002675A6"/>
    <w:rsid w:val="002675B8"/>
    <w:rsid w:val="002676E7"/>
    <w:rsid w:val="002676E8"/>
    <w:rsid w:val="002677F8"/>
    <w:rsid w:val="002679A2"/>
    <w:rsid w:val="00267A1F"/>
    <w:rsid w:val="00267A3B"/>
    <w:rsid w:val="00267A4D"/>
    <w:rsid w:val="00267C49"/>
    <w:rsid w:val="00267E8F"/>
    <w:rsid w:val="00267F6A"/>
    <w:rsid w:val="00270021"/>
    <w:rsid w:val="002700E5"/>
    <w:rsid w:val="00270523"/>
    <w:rsid w:val="002705C5"/>
    <w:rsid w:val="00270674"/>
    <w:rsid w:val="002707C4"/>
    <w:rsid w:val="002707E3"/>
    <w:rsid w:val="00270874"/>
    <w:rsid w:val="00270896"/>
    <w:rsid w:val="00270B90"/>
    <w:rsid w:val="00270DCC"/>
    <w:rsid w:val="00270EE9"/>
    <w:rsid w:val="00271364"/>
    <w:rsid w:val="002713A2"/>
    <w:rsid w:val="0027150F"/>
    <w:rsid w:val="00271559"/>
    <w:rsid w:val="0027168F"/>
    <w:rsid w:val="0027176C"/>
    <w:rsid w:val="00271792"/>
    <w:rsid w:val="00271810"/>
    <w:rsid w:val="00271871"/>
    <w:rsid w:val="002719D9"/>
    <w:rsid w:val="00271A75"/>
    <w:rsid w:val="00271B18"/>
    <w:rsid w:val="00271C93"/>
    <w:rsid w:val="00271D4F"/>
    <w:rsid w:val="00271D9F"/>
    <w:rsid w:val="00271E32"/>
    <w:rsid w:val="00271EE4"/>
    <w:rsid w:val="00271FA5"/>
    <w:rsid w:val="0027205A"/>
    <w:rsid w:val="00272163"/>
    <w:rsid w:val="00272182"/>
    <w:rsid w:val="00272218"/>
    <w:rsid w:val="0027224E"/>
    <w:rsid w:val="00272292"/>
    <w:rsid w:val="00272346"/>
    <w:rsid w:val="00272656"/>
    <w:rsid w:val="0027266C"/>
    <w:rsid w:val="002726C5"/>
    <w:rsid w:val="00272738"/>
    <w:rsid w:val="002727C9"/>
    <w:rsid w:val="002728A3"/>
    <w:rsid w:val="002729E1"/>
    <w:rsid w:val="00272BB4"/>
    <w:rsid w:val="00272D1A"/>
    <w:rsid w:val="00272DD6"/>
    <w:rsid w:val="0027308D"/>
    <w:rsid w:val="00273126"/>
    <w:rsid w:val="002731D7"/>
    <w:rsid w:val="0027321C"/>
    <w:rsid w:val="0027327E"/>
    <w:rsid w:val="002732B2"/>
    <w:rsid w:val="0027339E"/>
    <w:rsid w:val="002733CB"/>
    <w:rsid w:val="00273506"/>
    <w:rsid w:val="00273514"/>
    <w:rsid w:val="0027354D"/>
    <w:rsid w:val="002736D3"/>
    <w:rsid w:val="002738EB"/>
    <w:rsid w:val="00273A02"/>
    <w:rsid w:val="00273EAC"/>
    <w:rsid w:val="00273FD8"/>
    <w:rsid w:val="00273FEF"/>
    <w:rsid w:val="00274047"/>
    <w:rsid w:val="00274418"/>
    <w:rsid w:val="0027442F"/>
    <w:rsid w:val="002744B0"/>
    <w:rsid w:val="002747B6"/>
    <w:rsid w:val="002749BF"/>
    <w:rsid w:val="00274B3A"/>
    <w:rsid w:val="00274B3E"/>
    <w:rsid w:val="00274BA1"/>
    <w:rsid w:val="00274C8B"/>
    <w:rsid w:val="00274E7A"/>
    <w:rsid w:val="00274F54"/>
    <w:rsid w:val="00274FDE"/>
    <w:rsid w:val="0027508E"/>
    <w:rsid w:val="00275300"/>
    <w:rsid w:val="0027544B"/>
    <w:rsid w:val="002754D1"/>
    <w:rsid w:val="0027553D"/>
    <w:rsid w:val="002755E7"/>
    <w:rsid w:val="002759F6"/>
    <w:rsid w:val="00275A3C"/>
    <w:rsid w:val="00275B8D"/>
    <w:rsid w:val="00275C9B"/>
    <w:rsid w:val="00276021"/>
    <w:rsid w:val="00276081"/>
    <w:rsid w:val="002761A9"/>
    <w:rsid w:val="002761B0"/>
    <w:rsid w:val="002762EE"/>
    <w:rsid w:val="002762EF"/>
    <w:rsid w:val="00276486"/>
    <w:rsid w:val="00276726"/>
    <w:rsid w:val="00276860"/>
    <w:rsid w:val="00276999"/>
    <w:rsid w:val="00276A5F"/>
    <w:rsid w:val="00276BB4"/>
    <w:rsid w:val="00276C1C"/>
    <w:rsid w:val="00276D4F"/>
    <w:rsid w:val="00276ECC"/>
    <w:rsid w:val="0027735C"/>
    <w:rsid w:val="002773C4"/>
    <w:rsid w:val="00277461"/>
    <w:rsid w:val="00277489"/>
    <w:rsid w:val="00277713"/>
    <w:rsid w:val="00277766"/>
    <w:rsid w:val="0027789E"/>
    <w:rsid w:val="002778A9"/>
    <w:rsid w:val="00277A16"/>
    <w:rsid w:val="00277BB3"/>
    <w:rsid w:val="00277D58"/>
    <w:rsid w:val="00277E15"/>
    <w:rsid w:val="00277E4F"/>
    <w:rsid w:val="00277EC3"/>
    <w:rsid w:val="00277F61"/>
    <w:rsid w:val="00277FA6"/>
    <w:rsid w:val="00277FC4"/>
    <w:rsid w:val="00280102"/>
    <w:rsid w:val="002801E0"/>
    <w:rsid w:val="00280270"/>
    <w:rsid w:val="00280278"/>
    <w:rsid w:val="002802BF"/>
    <w:rsid w:val="002803E3"/>
    <w:rsid w:val="002804BD"/>
    <w:rsid w:val="002804C8"/>
    <w:rsid w:val="002806CF"/>
    <w:rsid w:val="002806F2"/>
    <w:rsid w:val="0028087E"/>
    <w:rsid w:val="00280A75"/>
    <w:rsid w:val="00280BDD"/>
    <w:rsid w:val="00280C1D"/>
    <w:rsid w:val="00280CE6"/>
    <w:rsid w:val="00280DB7"/>
    <w:rsid w:val="00280EE8"/>
    <w:rsid w:val="00280F5E"/>
    <w:rsid w:val="0028101B"/>
    <w:rsid w:val="0028103B"/>
    <w:rsid w:val="0028121B"/>
    <w:rsid w:val="002813D9"/>
    <w:rsid w:val="00281541"/>
    <w:rsid w:val="00281743"/>
    <w:rsid w:val="00281748"/>
    <w:rsid w:val="00281A4E"/>
    <w:rsid w:val="00281A6E"/>
    <w:rsid w:val="00281C6D"/>
    <w:rsid w:val="00281C82"/>
    <w:rsid w:val="00281DD0"/>
    <w:rsid w:val="00281F56"/>
    <w:rsid w:val="00282032"/>
    <w:rsid w:val="00282235"/>
    <w:rsid w:val="002823E3"/>
    <w:rsid w:val="00282584"/>
    <w:rsid w:val="00282657"/>
    <w:rsid w:val="00282898"/>
    <w:rsid w:val="0028298B"/>
    <w:rsid w:val="002829E0"/>
    <w:rsid w:val="002829F0"/>
    <w:rsid w:val="00282DE7"/>
    <w:rsid w:val="002830CD"/>
    <w:rsid w:val="0028312D"/>
    <w:rsid w:val="00283131"/>
    <w:rsid w:val="00283183"/>
    <w:rsid w:val="00283407"/>
    <w:rsid w:val="00283501"/>
    <w:rsid w:val="0028360D"/>
    <w:rsid w:val="00283734"/>
    <w:rsid w:val="0028387E"/>
    <w:rsid w:val="002838B0"/>
    <w:rsid w:val="00283A83"/>
    <w:rsid w:val="00283ACF"/>
    <w:rsid w:val="00283D0D"/>
    <w:rsid w:val="00283EED"/>
    <w:rsid w:val="00283F2E"/>
    <w:rsid w:val="00283FB9"/>
    <w:rsid w:val="00284019"/>
    <w:rsid w:val="00284197"/>
    <w:rsid w:val="0028424B"/>
    <w:rsid w:val="002846B9"/>
    <w:rsid w:val="002846BD"/>
    <w:rsid w:val="00284A35"/>
    <w:rsid w:val="00284B59"/>
    <w:rsid w:val="00284E25"/>
    <w:rsid w:val="00284F3B"/>
    <w:rsid w:val="002850BD"/>
    <w:rsid w:val="0028512F"/>
    <w:rsid w:val="002851F7"/>
    <w:rsid w:val="0028523E"/>
    <w:rsid w:val="00285592"/>
    <w:rsid w:val="002855C7"/>
    <w:rsid w:val="002856CE"/>
    <w:rsid w:val="0028570D"/>
    <w:rsid w:val="0028578B"/>
    <w:rsid w:val="002859AA"/>
    <w:rsid w:val="00285A87"/>
    <w:rsid w:val="00285C94"/>
    <w:rsid w:val="00285C9D"/>
    <w:rsid w:val="00285CCF"/>
    <w:rsid w:val="00285D3C"/>
    <w:rsid w:val="00285D67"/>
    <w:rsid w:val="00285DF4"/>
    <w:rsid w:val="00285E05"/>
    <w:rsid w:val="00285EE8"/>
    <w:rsid w:val="00285FF0"/>
    <w:rsid w:val="00286079"/>
    <w:rsid w:val="002862FF"/>
    <w:rsid w:val="00286419"/>
    <w:rsid w:val="00286561"/>
    <w:rsid w:val="0028657A"/>
    <w:rsid w:val="002865C1"/>
    <w:rsid w:val="002867D8"/>
    <w:rsid w:val="002867EE"/>
    <w:rsid w:val="00286B84"/>
    <w:rsid w:val="00286D49"/>
    <w:rsid w:val="00286D94"/>
    <w:rsid w:val="00287004"/>
    <w:rsid w:val="00287140"/>
    <w:rsid w:val="002871B7"/>
    <w:rsid w:val="0028727B"/>
    <w:rsid w:val="002872C7"/>
    <w:rsid w:val="002874AA"/>
    <w:rsid w:val="002876E9"/>
    <w:rsid w:val="0028775C"/>
    <w:rsid w:val="0028795E"/>
    <w:rsid w:val="00287A11"/>
    <w:rsid w:val="00287AAC"/>
    <w:rsid w:val="00287DAA"/>
    <w:rsid w:val="00287DD9"/>
    <w:rsid w:val="00290240"/>
    <w:rsid w:val="002903CE"/>
    <w:rsid w:val="002906E0"/>
    <w:rsid w:val="00290742"/>
    <w:rsid w:val="00290A45"/>
    <w:rsid w:val="00290C86"/>
    <w:rsid w:val="00290CE9"/>
    <w:rsid w:val="00290D42"/>
    <w:rsid w:val="00290DC4"/>
    <w:rsid w:val="00290EB1"/>
    <w:rsid w:val="00290EC7"/>
    <w:rsid w:val="00290F96"/>
    <w:rsid w:val="00290FC4"/>
    <w:rsid w:val="0029107B"/>
    <w:rsid w:val="0029107D"/>
    <w:rsid w:val="002911E1"/>
    <w:rsid w:val="00291258"/>
    <w:rsid w:val="002912B7"/>
    <w:rsid w:val="00291302"/>
    <w:rsid w:val="00291369"/>
    <w:rsid w:val="0029146F"/>
    <w:rsid w:val="002915F0"/>
    <w:rsid w:val="002917E0"/>
    <w:rsid w:val="00291B20"/>
    <w:rsid w:val="00291B57"/>
    <w:rsid w:val="00291C92"/>
    <w:rsid w:val="002921BD"/>
    <w:rsid w:val="002922EB"/>
    <w:rsid w:val="002922EF"/>
    <w:rsid w:val="00292471"/>
    <w:rsid w:val="002924EC"/>
    <w:rsid w:val="00292517"/>
    <w:rsid w:val="00292537"/>
    <w:rsid w:val="00292589"/>
    <w:rsid w:val="00292653"/>
    <w:rsid w:val="00292708"/>
    <w:rsid w:val="002927EF"/>
    <w:rsid w:val="002928E1"/>
    <w:rsid w:val="00292CA3"/>
    <w:rsid w:val="00292CCC"/>
    <w:rsid w:val="00292CE7"/>
    <w:rsid w:val="00292E80"/>
    <w:rsid w:val="00293042"/>
    <w:rsid w:val="002930EA"/>
    <w:rsid w:val="0029316A"/>
    <w:rsid w:val="0029316C"/>
    <w:rsid w:val="00293180"/>
    <w:rsid w:val="002931C6"/>
    <w:rsid w:val="0029323D"/>
    <w:rsid w:val="00293245"/>
    <w:rsid w:val="0029332C"/>
    <w:rsid w:val="002936D8"/>
    <w:rsid w:val="00293787"/>
    <w:rsid w:val="002938C6"/>
    <w:rsid w:val="00293B36"/>
    <w:rsid w:val="00293C7A"/>
    <w:rsid w:val="00293C93"/>
    <w:rsid w:val="00293CFA"/>
    <w:rsid w:val="00293DDD"/>
    <w:rsid w:val="00293E13"/>
    <w:rsid w:val="00293E38"/>
    <w:rsid w:val="00293ED2"/>
    <w:rsid w:val="00293F2D"/>
    <w:rsid w:val="00294039"/>
    <w:rsid w:val="0029404F"/>
    <w:rsid w:val="00294267"/>
    <w:rsid w:val="00294316"/>
    <w:rsid w:val="00294385"/>
    <w:rsid w:val="002943B2"/>
    <w:rsid w:val="002943FD"/>
    <w:rsid w:val="0029451A"/>
    <w:rsid w:val="002945E1"/>
    <w:rsid w:val="0029460F"/>
    <w:rsid w:val="002946A0"/>
    <w:rsid w:val="00294818"/>
    <w:rsid w:val="0029488B"/>
    <w:rsid w:val="00294A04"/>
    <w:rsid w:val="00294BCA"/>
    <w:rsid w:val="00294BF7"/>
    <w:rsid w:val="00294C09"/>
    <w:rsid w:val="00294E48"/>
    <w:rsid w:val="00294FE7"/>
    <w:rsid w:val="00295048"/>
    <w:rsid w:val="00295129"/>
    <w:rsid w:val="002951D2"/>
    <w:rsid w:val="00295402"/>
    <w:rsid w:val="0029551B"/>
    <w:rsid w:val="00295615"/>
    <w:rsid w:val="0029571A"/>
    <w:rsid w:val="0029573E"/>
    <w:rsid w:val="00295960"/>
    <w:rsid w:val="00295971"/>
    <w:rsid w:val="00295ADE"/>
    <w:rsid w:val="00295B0C"/>
    <w:rsid w:val="00295D0A"/>
    <w:rsid w:val="00295DE9"/>
    <w:rsid w:val="00295EE1"/>
    <w:rsid w:val="00295FEB"/>
    <w:rsid w:val="0029602D"/>
    <w:rsid w:val="0029604B"/>
    <w:rsid w:val="002960D1"/>
    <w:rsid w:val="0029640D"/>
    <w:rsid w:val="0029664B"/>
    <w:rsid w:val="00296810"/>
    <w:rsid w:val="002968CA"/>
    <w:rsid w:val="00296B4D"/>
    <w:rsid w:val="00296CC9"/>
    <w:rsid w:val="00296EEC"/>
    <w:rsid w:val="00297094"/>
    <w:rsid w:val="00297392"/>
    <w:rsid w:val="002973A3"/>
    <w:rsid w:val="0029745E"/>
    <w:rsid w:val="002975AC"/>
    <w:rsid w:val="00297632"/>
    <w:rsid w:val="00297725"/>
    <w:rsid w:val="002977F4"/>
    <w:rsid w:val="00297986"/>
    <w:rsid w:val="00297BF4"/>
    <w:rsid w:val="00297CBD"/>
    <w:rsid w:val="00297E1E"/>
    <w:rsid w:val="00297E6F"/>
    <w:rsid w:val="00297E86"/>
    <w:rsid w:val="00297FD5"/>
    <w:rsid w:val="002A0008"/>
    <w:rsid w:val="002A00A9"/>
    <w:rsid w:val="002A00E1"/>
    <w:rsid w:val="002A0145"/>
    <w:rsid w:val="002A0338"/>
    <w:rsid w:val="002A0342"/>
    <w:rsid w:val="002A0349"/>
    <w:rsid w:val="002A0352"/>
    <w:rsid w:val="002A0426"/>
    <w:rsid w:val="002A069E"/>
    <w:rsid w:val="002A06B3"/>
    <w:rsid w:val="002A0A0E"/>
    <w:rsid w:val="002A0C4F"/>
    <w:rsid w:val="002A10E0"/>
    <w:rsid w:val="002A1255"/>
    <w:rsid w:val="002A1364"/>
    <w:rsid w:val="002A1406"/>
    <w:rsid w:val="002A147D"/>
    <w:rsid w:val="002A14B2"/>
    <w:rsid w:val="002A1508"/>
    <w:rsid w:val="002A158C"/>
    <w:rsid w:val="002A1A12"/>
    <w:rsid w:val="002A1BE7"/>
    <w:rsid w:val="002A1BFF"/>
    <w:rsid w:val="002A1C93"/>
    <w:rsid w:val="002A1D14"/>
    <w:rsid w:val="002A1D61"/>
    <w:rsid w:val="002A1F9F"/>
    <w:rsid w:val="002A2062"/>
    <w:rsid w:val="002A2114"/>
    <w:rsid w:val="002A2243"/>
    <w:rsid w:val="002A2244"/>
    <w:rsid w:val="002A22B9"/>
    <w:rsid w:val="002A22C6"/>
    <w:rsid w:val="002A239F"/>
    <w:rsid w:val="002A2587"/>
    <w:rsid w:val="002A26BD"/>
    <w:rsid w:val="002A2894"/>
    <w:rsid w:val="002A2A29"/>
    <w:rsid w:val="002A2AA3"/>
    <w:rsid w:val="002A2B13"/>
    <w:rsid w:val="002A2D08"/>
    <w:rsid w:val="002A2F56"/>
    <w:rsid w:val="002A30D4"/>
    <w:rsid w:val="002A31B2"/>
    <w:rsid w:val="002A343B"/>
    <w:rsid w:val="002A3550"/>
    <w:rsid w:val="002A3689"/>
    <w:rsid w:val="002A3757"/>
    <w:rsid w:val="002A389B"/>
    <w:rsid w:val="002A3A32"/>
    <w:rsid w:val="002A3B34"/>
    <w:rsid w:val="002A3BD5"/>
    <w:rsid w:val="002A3C89"/>
    <w:rsid w:val="002A3CA0"/>
    <w:rsid w:val="002A3ECC"/>
    <w:rsid w:val="002A3F49"/>
    <w:rsid w:val="002A40AA"/>
    <w:rsid w:val="002A40D9"/>
    <w:rsid w:val="002A41DA"/>
    <w:rsid w:val="002A4301"/>
    <w:rsid w:val="002A44A1"/>
    <w:rsid w:val="002A44EF"/>
    <w:rsid w:val="002A47CD"/>
    <w:rsid w:val="002A4A28"/>
    <w:rsid w:val="002A4C97"/>
    <w:rsid w:val="002A4CD4"/>
    <w:rsid w:val="002A4ECA"/>
    <w:rsid w:val="002A4FB8"/>
    <w:rsid w:val="002A5046"/>
    <w:rsid w:val="002A50E5"/>
    <w:rsid w:val="002A51C4"/>
    <w:rsid w:val="002A5441"/>
    <w:rsid w:val="002A5452"/>
    <w:rsid w:val="002A5755"/>
    <w:rsid w:val="002A581C"/>
    <w:rsid w:val="002A5866"/>
    <w:rsid w:val="002A5AA4"/>
    <w:rsid w:val="002A5AAC"/>
    <w:rsid w:val="002A5CBE"/>
    <w:rsid w:val="002A5DA3"/>
    <w:rsid w:val="002A5DAB"/>
    <w:rsid w:val="002A5F54"/>
    <w:rsid w:val="002A603B"/>
    <w:rsid w:val="002A60C1"/>
    <w:rsid w:val="002A60E6"/>
    <w:rsid w:val="002A611A"/>
    <w:rsid w:val="002A625F"/>
    <w:rsid w:val="002A62A5"/>
    <w:rsid w:val="002A62EE"/>
    <w:rsid w:val="002A66AC"/>
    <w:rsid w:val="002A6784"/>
    <w:rsid w:val="002A6CAD"/>
    <w:rsid w:val="002A6CC3"/>
    <w:rsid w:val="002A6E99"/>
    <w:rsid w:val="002A7235"/>
    <w:rsid w:val="002A7261"/>
    <w:rsid w:val="002A748F"/>
    <w:rsid w:val="002A77C2"/>
    <w:rsid w:val="002A7849"/>
    <w:rsid w:val="002A78EA"/>
    <w:rsid w:val="002A7A2B"/>
    <w:rsid w:val="002A7B26"/>
    <w:rsid w:val="002A7B67"/>
    <w:rsid w:val="002A7CA5"/>
    <w:rsid w:val="002A7D2D"/>
    <w:rsid w:val="002A7EB9"/>
    <w:rsid w:val="002A7EFF"/>
    <w:rsid w:val="002B0036"/>
    <w:rsid w:val="002B012C"/>
    <w:rsid w:val="002B013E"/>
    <w:rsid w:val="002B021B"/>
    <w:rsid w:val="002B03DF"/>
    <w:rsid w:val="002B04B4"/>
    <w:rsid w:val="002B04F7"/>
    <w:rsid w:val="002B0559"/>
    <w:rsid w:val="002B0563"/>
    <w:rsid w:val="002B06FB"/>
    <w:rsid w:val="002B0776"/>
    <w:rsid w:val="002B0778"/>
    <w:rsid w:val="002B0946"/>
    <w:rsid w:val="002B0AAB"/>
    <w:rsid w:val="002B0BC9"/>
    <w:rsid w:val="002B0C36"/>
    <w:rsid w:val="002B0CF6"/>
    <w:rsid w:val="002B0DF6"/>
    <w:rsid w:val="002B0EA6"/>
    <w:rsid w:val="002B100E"/>
    <w:rsid w:val="002B10A5"/>
    <w:rsid w:val="002B1135"/>
    <w:rsid w:val="002B136B"/>
    <w:rsid w:val="002B144C"/>
    <w:rsid w:val="002B14E5"/>
    <w:rsid w:val="002B1538"/>
    <w:rsid w:val="002B173C"/>
    <w:rsid w:val="002B1D8D"/>
    <w:rsid w:val="002B1DCA"/>
    <w:rsid w:val="002B1F8D"/>
    <w:rsid w:val="002B216A"/>
    <w:rsid w:val="002B219A"/>
    <w:rsid w:val="002B21EF"/>
    <w:rsid w:val="002B22DE"/>
    <w:rsid w:val="002B2C60"/>
    <w:rsid w:val="002B2DFB"/>
    <w:rsid w:val="002B2EE8"/>
    <w:rsid w:val="002B300E"/>
    <w:rsid w:val="002B303C"/>
    <w:rsid w:val="002B30B0"/>
    <w:rsid w:val="002B30DC"/>
    <w:rsid w:val="002B32D6"/>
    <w:rsid w:val="002B32F0"/>
    <w:rsid w:val="002B3305"/>
    <w:rsid w:val="002B3315"/>
    <w:rsid w:val="002B34FD"/>
    <w:rsid w:val="002B3553"/>
    <w:rsid w:val="002B35A0"/>
    <w:rsid w:val="002B35DB"/>
    <w:rsid w:val="002B3800"/>
    <w:rsid w:val="002B3812"/>
    <w:rsid w:val="002B3849"/>
    <w:rsid w:val="002B38F1"/>
    <w:rsid w:val="002B3A4B"/>
    <w:rsid w:val="002B3BB2"/>
    <w:rsid w:val="002B3CCF"/>
    <w:rsid w:val="002B3DF7"/>
    <w:rsid w:val="002B3E37"/>
    <w:rsid w:val="002B416A"/>
    <w:rsid w:val="002B4280"/>
    <w:rsid w:val="002B43E4"/>
    <w:rsid w:val="002B4471"/>
    <w:rsid w:val="002B4485"/>
    <w:rsid w:val="002B456C"/>
    <w:rsid w:val="002B482B"/>
    <w:rsid w:val="002B49A8"/>
    <w:rsid w:val="002B4DBD"/>
    <w:rsid w:val="002B4E93"/>
    <w:rsid w:val="002B5034"/>
    <w:rsid w:val="002B51CB"/>
    <w:rsid w:val="002B522E"/>
    <w:rsid w:val="002B5335"/>
    <w:rsid w:val="002B53A1"/>
    <w:rsid w:val="002B5461"/>
    <w:rsid w:val="002B5463"/>
    <w:rsid w:val="002B5495"/>
    <w:rsid w:val="002B54E4"/>
    <w:rsid w:val="002B55AB"/>
    <w:rsid w:val="002B55B5"/>
    <w:rsid w:val="002B55D4"/>
    <w:rsid w:val="002B56FF"/>
    <w:rsid w:val="002B5704"/>
    <w:rsid w:val="002B57C4"/>
    <w:rsid w:val="002B57FC"/>
    <w:rsid w:val="002B593A"/>
    <w:rsid w:val="002B5ADD"/>
    <w:rsid w:val="002B5D03"/>
    <w:rsid w:val="002B6007"/>
    <w:rsid w:val="002B619D"/>
    <w:rsid w:val="002B62DE"/>
    <w:rsid w:val="002B635F"/>
    <w:rsid w:val="002B636B"/>
    <w:rsid w:val="002B6415"/>
    <w:rsid w:val="002B647F"/>
    <w:rsid w:val="002B64E6"/>
    <w:rsid w:val="002B65E2"/>
    <w:rsid w:val="002B6667"/>
    <w:rsid w:val="002B6924"/>
    <w:rsid w:val="002B6A82"/>
    <w:rsid w:val="002B6B00"/>
    <w:rsid w:val="002B6B9E"/>
    <w:rsid w:val="002B6BE0"/>
    <w:rsid w:val="002B6CCA"/>
    <w:rsid w:val="002B6D9A"/>
    <w:rsid w:val="002B6DD7"/>
    <w:rsid w:val="002B6EC2"/>
    <w:rsid w:val="002B6F49"/>
    <w:rsid w:val="002B71B6"/>
    <w:rsid w:val="002B73C9"/>
    <w:rsid w:val="002B766B"/>
    <w:rsid w:val="002B76D6"/>
    <w:rsid w:val="002B77B3"/>
    <w:rsid w:val="002B77CD"/>
    <w:rsid w:val="002B7806"/>
    <w:rsid w:val="002B798C"/>
    <w:rsid w:val="002B7A6B"/>
    <w:rsid w:val="002B7AFD"/>
    <w:rsid w:val="002B7B2C"/>
    <w:rsid w:val="002B7D29"/>
    <w:rsid w:val="002B7E12"/>
    <w:rsid w:val="002B7F15"/>
    <w:rsid w:val="002C003C"/>
    <w:rsid w:val="002C0082"/>
    <w:rsid w:val="002C013D"/>
    <w:rsid w:val="002C0306"/>
    <w:rsid w:val="002C0328"/>
    <w:rsid w:val="002C0662"/>
    <w:rsid w:val="002C0AE0"/>
    <w:rsid w:val="002C0B89"/>
    <w:rsid w:val="002C0C8D"/>
    <w:rsid w:val="002C0D4F"/>
    <w:rsid w:val="002C0D9A"/>
    <w:rsid w:val="002C0E0A"/>
    <w:rsid w:val="002C0F60"/>
    <w:rsid w:val="002C132D"/>
    <w:rsid w:val="002C1653"/>
    <w:rsid w:val="002C1798"/>
    <w:rsid w:val="002C1A79"/>
    <w:rsid w:val="002C1AF1"/>
    <w:rsid w:val="002C1C56"/>
    <w:rsid w:val="002C1CD5"/>
    <w:rsid w:val="002C1CD9"/>
    <w:rsid w:val="002C1D44"/>
    <w:rsid w:val="002C1E16"/>
    <w:rsid w:val="002C1E34"/>
    <w:rsid w:val="002C1F65"/>
    <w:rsid w:val="002C1FAF"/>
    <w:rsid w:val="002C1FBE"/>
    <w:rsid w:val="002C23A2"/>
    <w:rsid w:val="002C2604"/>
    <w:rsid w:val="002C2652"/>
    <w:rsid w:val="002C26D9"/>
    <w:rsid w:val="002C273D"/>
    <w:rsid w:val="002C290C"/>
    <w:rsid w:val="002C2A3D"/>
    <w:rsid w:val="002C2BD2"/>
    <w:rsid w:val="002C2BEB"/>
    <w:rsid w:val="002C2D2A"/>
    <w:rsid w:val="002C2DB5"/>
    <w:rsid w:val="002C322B"/>
    <w:rsid w:val="002C324D"/>
    <w:rsid w:val="002C3260"/>
    <w:rsid w:val="002C327D"/>
    <w:rsid w:val="002C32D4"/>
    <w:rsid w:val="002C3321"/>
    <w:rsid w:val="002C3373"/>
    <w:rsid w:val="002C33D4"/>
    <w:rsid w:val="002C3566"/>
    <w:rsid w:val="002C3638"/>
    <w:rsid w:val="002C36B2"/>
    <w:rsid w:val="002C3983"/>
    <w:rsid w:val="002C3999"/>
    <w:rsid w:val="002C3CC5"/>
    <w:rsid w:val="002C3D4D"/>
    <w:rsid w:val="002C3D73"/>
    <w:rsid w:val="002C3E98"/>
    <w:rsid w:val="002C3EA9"/>
    <w:rsid w:val="002C4049"/>
    <w:rsid w:val="002C40DB"/>
    <w:rsid w:val="002C417C"/>
    <w:rsid w:val="002C4327"/>
    <w:rsid w:val="002C449B"/>
    <w:rsid w:val="002C44E1"/>
    <w:rsid w:val="002C44F3"/>
    <w:rsid w:val="002C458E"/>
    <w:rsid w:val="002C45EF"/>
    <w:rsid w:val="002C467F"/>
    <w:rsid w:val="002C4BCB"/>
    <w:rsid w:val="002C4D4B"/>
    <w:rsid w:val="002C4DA4"/>
    <w:rsid w:val="002C4E2C"/>
    <w:rsid w:val="002C4E82"/>
    <w:rsid w:val="002C4EA0"/>
    <w:rsid w:val="002C4F6A"/>
    <w:rsid w:val="002C50D4"/>
    <w:rsid w:val="002C5301"/>
    <w:rsid w:val="002C5413"/>
    <w:rsid w:val="002C54C0"/>
    <w:rsid w:val="002C5811"/>
    <w:rsid w:val="002C59BC"/>
    <w:rsid w:val="002C5B44"/>
    <w:rsid w:val="002C5E45"/>
    <w:rsid w:val="002C5ED4"/>
    <w:rsid w:val="002C5EDB"/>
    <w:rsid w:val="002C5FD9"/>
    <w:rsid w:val="002C6136"/>
    <w:rsid w:val="002C6187"/>
    <w:rsid w:val="002C62D0"/>
    <w:rsid w:val="002C6313"/>
    <w:rsid w:val="002C6318"/>
    <w:rsid w:val="002C6333"/>
    <w:rsid w:val="002C6425"/>
    <w:rsid w:val="002C67CE"/>
    <w:rsid w:val="002C67ED"/>
    <w:rsid w:val="002C689C"/>
    <w:rsid w:val="002C68D2"/>
    <w:rsid w:val="002C690C"/>
    <w:rsid w:val="002C6B93"/>
    <w:rsid w:val="002C6C31"/>
    <w:rsid w:val="002C6DF5"/>
    <w:rsid w:val="002C6E67"/>
    <w:rsid w:val="002C705B"/>
    <w:rsid w:val="002C70E3"/>
    <w:rsid w:val="002C7109"/>
    <w:rsid w:val="002C7273"/>
    <w:rsid w:val="002C740D"/>
    <w:rsid w:val="002C7DAD"/>
    <w:rsid w:val="002C7DCC"/>
    <w:rsid w:val="002C7EB1"/>
    <w:rsid w:val="002C7EDE"/>
    <w:rsid w:val="002C7F1A"/>
    <w:rsid w:val="002C7FF9"/>
    <w:rsid w:val="002D0014"/>
    <w:rsid w:val="002D002E"/>
    <w:rsid w:val="002D003A"/>
    <w:rsid w:val="002D0141"/>
    <w:rsid w:val="002D01B2"/>
    <w:rsid w:val="002D027B"/>
    <w:rsid w:val="002D0346"/>
    <w:rsid w:val="002D0541"/>
    <w:rsid w:val="002D056D"/>
    <w:rsid w:val="002D057E"/>
    <w:rsid w:val="002D0671"/>
    <w:rsid w:val="002D0709"/>
    <w:rsid w:val="002D0804"/>
    <w:rsid w:val="002D08C1"/>
    <w:rsid w:val="002D0B49"/>
    <w:rsid w:val="002D0BB9"/>
    <w:rsid w:val="002D0BDD"/>
    <w:rsid w:val="002D0C73"/>
    <w:rsid w:val="002D10FF"/>
    <w:rsid w:val="002D1177"/>
    <w:rsid w:val="002D127D"/>
    <w:rsid w:val="002D1302"/>
    <w:rsid w:val="002D15A7"/>
    <w:rsid w:val="002D163B"/>
    <w:rsid w:val="002D163C"/>
    <w:rsid w:val="002D16B4"/>
    <w:rsid w:val="002D1801"/>
    <w:rsid w:val="002D1DDF"/>
    <w:rsid w:val="002D1E71"/>
    <w:rsid w:val="002D1F47"/>
    <w:rsid w:val="002D2036"/>
    <w:rsid w:val="002D214F"/>
    <w:rsid w:val="002D21EA"/>
    <w:rsid w:val="002D23F8"/>
    <w:rsid w:val="002D2478"/>
    <w:rsid w:val="002D2565"/>
    <w:rsid w:val="002D2725"/>
    <w:rsid w:val="002D282B"/>
    <w:rsid w:val="002D2C08"/>
    <w:rsid w:val="002D2C40"/>
    <w:rsid w:val="002D2DD7"/>
    <w:rsid w:val="002D2FA7"/>
    <w:rsid w:val="002D3084"/>
    <w:rsid w:val="002D31FB"/>
    <w:rsid w:val="002D32E5"/>
    <w:rsid w:val="002D332A"/>
    <w:rsid w:val="002D33F0"/>
    <w:rsid w:val="002D3407"/>
    <w:rsid w:val="002D34AE"/>
    <w:rsid w:val="002D3591"/>
    <w:rsid w:val="002D3605"/>
    <w:rsid w:val="002D3716"/>
    <w:rsid w:val="002D37A0"/>
    <w:rsid w:val="002D38FB"/>
    <w:rsid w:val="002D3924"/>
    <w:rsid w:val="002D3950"/>
    <w:rsid w:val="002D3961"/>
    <w:rsid w:val="002D3A08"/>
    <w:rsid w:val="002D3C57"/>
    <w:rsid w:val="002D3C91"/>
    <w:rsid w:val="002D3E97"/>
    <w:rsid w:val="002D3F30"/>
    <w:rsid w:val="002D4371"/>
    <w:rsid w:val="002D4517"/>
    <w:rsid w:val="002D45B6"/>
    <w:rsid w:val="002D47E6"/>
    <w:rsid w:val="002D4BFC"/>
    <w:rsid w:val="002D4C23"/>
    <w:rsid w:val="002D4C31"/>
    <w:rsid w:val="002D4CC8"/>
    <w:rsid w:val="002D4DC6"/>
    <w:rsid w:val="002D4DDB"/>
    <w:rsid w:val="002D4EA7"/>
    <w:rsid w:val="002D4F1E"/>
    <w:rsid w:val="002D4F64"/>
    <w:rsid w:val="002D5048"/>
    <w:rsid w:val="002D5122"/>
    <w:rsid w:val="002D5186"/>
    <w:rsid w:val="002D51BB"/>
    <w:rsid w:val="002D52C7"/>
    <w:rsid w:val="002D54D7"/>
    <w:rsid w:val="002D5549"/>
    <w:rsid w:val="002D5677"/>
    <w:rsid w:val="002D5781"/>
    <w:rsid w:val="002D5926"/>
    <w:rsid w:val="002D59AF"/>
    <w:rsid w:val="002D5A24"/>
    <w:rsid w:val="002D5A44"/>
    <w:rsid w:val="002D5A74"/>
    <w:rsid w:val="002D5EEC"/>
    <w:rsid w:val="002D5EFF"/>
    <w:rsid w:val="002D5FB1"/>
    <w:rsid w:val="002D60E9"/>
    <w:rsid w:val="002D61C4"/>
    <w:rsid w:val="002D631C"/>
    <w:rsid w:val="002D6648"/>
    <w:rsid w:val="002D66BA"/>
    <w:rsid w:val="002D66DC"/>
    <w:rsid w:val="002D6938"/>
    <w:rsid w:val="002D6A99"/>
    <w:rsid w:val="002D6B2E"/>
    <w:rsid w:val="002D6EF0"/>
    <w:rsid w:val="002D6F84"/>
    <w:rsid w:val="002D7046"/>
    <w:rsid w:val="002D718A"/>
    <w:rsid w:val="002D71C3"/>
    <w:rsid w:val="002D72E7"/>
    <w:rsid w:val="002D7497"/>
    <w:rsid w:val="002D7585"/>
    <w:rsid w:val="002D77B7"/>
    <w:rsid w:val="002D77FB"/>
    <w:rsid w:val="002D7854"/>
    <w:rsid w:val="002D78C5"/>
    <w:rsid w:val="002D7968"/>
    <w:rsid w:val="002D799B"/>
    <w:rsid w:val="002D7A85"/>
    <w:rsid w:val="002D7AD1"/>
    <w:rsid w:val="002D7AE7"/>
    <w:rsid w:val="002D7D75"/>
    <w:rsid w:val="002D7D80"/>
    <w:rsid w:val="002D7DAA"/>
    <w:rsid w:val="002D7E26"/>
    <w:rsid w:val="002D7E86"/>
    <w:rsid w:val="002E00BA"/>
    <w:rsid w:val="002E0207"/>
    <w:rsid w:val="002E02B2"/>
    <w:rsid w:val="002E0449"/>
    <w:rsid w:val="002E0576"/>
    <w:rsid w:val="002E059A"/>
    <w:rsid w:val="002E07E6"/>
    <w:rsid w:val="002E08C0"/>
    <w:rsid w:val="002E0971"/>
    <w:rsid w:val="002E0A24"/>
    <w:rsid w:val="002E0BC7"/>
    <w:rsid w:val="002E0DD7"/>
    <w:rsid w:val="002E0E55"/>
    <w:rsid w:val="002E0EA1"/>
    <w:rsid w:val="002E0F22"/>
    <w:rsid w:val="002E0F87"/>
    <w:rsid w:val="002E1004"/>
    <w:rsid w:val="002E1077"/>
    <w:rsid w:val="002E111A"/>
    <w:rsid w:val="002E127F"/>
    <w:rsid w:val="002E12C1"/>
    <w:rsid w:val="002E1313"/>
    <w:rsid w:val="002E1582"/>
    <w:rsid w:val="002E15A8"/>
    <w:rsid w:val="002E15CB"/>
    <w:rsid w:val="002E1623"/>
    <w:rsid w:val="002E170A"/>
    <w:rsid w:val="002E1762"/>
    <w:rsid w:val="002E179A"/>
    <w:rsid w:val="002E17B5"/>
    <w:rsid w:val="002E17F8"/>
    <w:rsid w:val="002E199D"/>
    <w:rsid w:val="002E1A27"/>
    <w:rsid w:val="002E1B86"/>
    <w:rsid w:val="002E1BE2"/>
    <w:rsid w:val="002E1D8F"/>
    <w:rsid w:val="002E206E"/>
    <w:rsid w:val="002E20B4"/>
    <w:rsid w:val="002E210C"/>
    <w:rsid w:val="002E2113"/>
    <w:rsid w:val="002E223C"/>
    <w:rsid w:val="002E2294"/>
    <w:rsid w:val="002E232B"/>
    <w:rsid w:val="002E23B8"/>
    <w:rsid w:val="002E24EA"/>
    <w:rsid w:val="002E267B"/>
    <w:rsid w:val="002E2686"/>
    <w:rsid w:val="002E2708"/>
    <w:rsid w:val="002E2813"/>
    <w:rsid w:val="002E2C8C"/>
    <w:rsid w:val="002E2DD6"/>
    <w:rsid w:val="002E2EFA"/>
    <w:rsid w:val="002E2F0C"/>
    <w:rsid w:val="002E2F47"/>
    <w:rsid w:val="002E30AC"/>
    <w:rsid w:val="002E31C3"/>
    <w:rsid w:val="002E32E4"/>
    <w:rsid w:val="002E343D"/>
    <w:rsid w:val="002E34F7"/>
    <w:rsid w:val="002E35BC"/>
    <w:rsid w:val="002E3970"/>
    <w:rsid w:val="002E39A6"/>
    <w:rsid w:val="002E3A0D"/>
    <w:rsid w:val="002E3AF0"/>
    <w:rsid w:val="002E3B86"/>
    <w:rsid w:val="002E3BEB"/>
    <w:rsid w:val="002E3C74"/>
    <w:rsid w:val="002E3D07"/>
    <w:rsid w:val="002E4029"/>
    <w:rsid w:val="002E42A4"/>
    <w:rsid w:val="002E4451"/>
    <w:rsid w:val="002E4554"/>
    <w:rsid w:val="002E483B"/>
    <w:rsid w:val="002E487A"/>
    <w:rsid w:val="002E48A2"/>
    <w:rsid w:val="002E498D"/>
    <w:rsid w:val="002E49DA"/>
    <w:rsid w:val="002E4B82"/>
    <w:rsid w:val="002E4BF1"/>
    <w:rsid w:val="002E4C42"/>
    <w:rsid w:val="002E4D9A"/>
    <w:rsid w:val="002E4E1C"/>
    <w:rsid w:val="002E5360"/>
    <w:rsid w:val="002E53AF"/>
    <w:rsid w:val="002E542D"/>
    <w:rsid w:val="002E5471"/>
    <w:rsid w:val="002E573D"/>
    <w:rsid w:val="002E58E9"/>
    <w:rsid w:val="002E5920"/>
    <w:rsid w:val="002E5BF0"/>
    <w:rsid w:val="002E5CC1"/>
    <w:rsid w:val="002E5DEE"/>
    <w:rsid w:val="002E5DFC"/>
    <w:rsid w:val="002E5FFB"/>
    <w:rsid w:val="002E6254"/>
    <w:rsid w:val="002E63A3"/>
    <w:rsid w:val="002E6435"/>
    <w:rsid w:val="002E64C1"/>
    <w:rsid w:val="002E674C"/>
    <w:rsid w:val="002E6756"/>
    <w:rsid w:val="002E6825"/>
    <w:rsid w:val="002E68C9"/>
    <w:rsid w:val="002E6983"/>
    <w:rsid w:val="002E6984"/>
    <w:rsid w:val="002E69DF"/>
    <w:rsid w:val="002E6B60"/>
    <w:rsid w:val="002E6BAF"/>
    <w:rsid w:val="002E6D47"/>
    <w:rsid w:val="002E6DC8"/>
    <w:rsid w:val="002E7216"/>
    <w:rsid w:val="002E74A9"/>
    <w:rsid w:val="002E752A"/>
    <w:rsid w:val="002E7697"/>
    <w:rsid w:val="002E7773"/>
    <w:rsid w:val="002E77C4"/>
    <w:rsid w:val="002E77D7"/>
    <w:rsid w:val="002E7813"/>
    <w:rsid w:val="002E784F"/>
    <w:rsid w:val="002E78F7"/>
    <w:rsid w:val="002E7A3E"/>
    <w:rsid w:val="002E7B6A"/>
    <w:rsid w:val="002E7CAF"/>
    <w:rsid w:val="002E7E54"/>
    <w:rsid w:val="002E7FD1"/>
    <w:rsid w:val="002F0288"/>
    <w:rsid w:val="002F02F7"/>
    <w:rsid w:val="002F0492"/>
    <w:rsid w:val="002F0496"/>
    <w:rsid w:val="002F053F"/>
    <w:rsid w:val="002F0558"/>
    <w:rsid w:val="002F0608"/>
    <w:rsid w:val="002F063B"/>
    <w:rsid w:val="002F070C"/>
    <w:rsid w:val="002F0741"/>
    <w:rsid w:val="002F088E"/>
    <w:rsid w:val="002F0922"/>
    <w:rsid w:val="002F09AC"/>
    <w:rsid w:val="002F0CBD"/>
    <w:rsid w:val="002F0D3B"/>
    <w:rsid w:val="002F0D96"/>
    <w:rsid w:val="002F0DE1"/>
    <w:rsid w:val="002F0EFC"/>
    <w:rsid w:val="002F10C0"/>
    <w:rsid w:val="002F11FD"/>
    <w:rsid w:val="002F126E"/>
    <w:rsid w:val="002F13A8"/>
    <w:rsid w:val="002F13CB"/>
    <w:rsid w:val="002F1447"/>
    <w:rsid w:val="002F153D"/>
    <w:rsid w:val="002F17FE"/>
    <w:rsid w:val="002F195A"/>
    <w:rsid w:val="002F19E0"/>
    <w:rsid w:val="002F1A95"/>
    <w:rsid w:val="002F1AE7"/>
    <w:rsid w:val="002F1B8D"/>
    <w:rsid w:val="002F1D27"/>
    <w:rsid w:val="002F1E2C"/>
    <w:rsid w:val="002F1E38"/>
    <w:rsid w:val="002F1E53"/>
    <w:rsid w:val="002F1F6A"/>
    <w:rsid w:val="002F204E"/>
    <w:rsid w:val="002F20B9"/>
    <w:rsid w:val="002F212E"/>
    <w:rsid w:val="002F21B8"/>
    <w:rsid w:val="002F2265"/>
    <w:rsid w:val="002F24C4"/>
    <w:rsid w:val="002F256F"/>
    <w:rsid w:val="002F25AA"/>
    <w:rsid w:val="002F2632"/>
    <w:rsid w:val="002F2644"/>
    <w:rsid w:val="002F2744"/>
    <w:rsid w:val="002F282B"/>
    <w:rsid w:val="002F291C"/>
    <w:rsid w:val="002F2953"/>
    <w:rsid w:val="002F2968"/>
    <w:rsid w:val="002F29D8"/>
    <w:rsid w:val="002F2A66"/>
    <w:rsid w:val="002F2B11"/>
    <w:rsid w:val="002F2CBA"/>
    <w:rsid w:val="002F2CBD"/>
    <w:rsid w:val="002F2D04"/>
    <w:rsid w:val="002F2D8A"/>
    <w:rsid w:val="002F3172"/>
    <w:rsid w:val="002F328E"/>
    <w:rsid w:val="002F3416"/>
    <w:rsid w:val="002F345C"/>
    <w:rsid w:val="002F3477"/>
    <w:rsid w:val="002F3524"/>
    <w:rsid w:val="002F36ED"/>
    <w:rsid w:val="002F37F3"/>
    <w:rsid w:val="002F38D6"/>
    <w:rsid w:val="002F3931"/>
    <w:rsid w:val="002F3E30"/>
    <w:rsid w:val="002F400B"/>
    <w:rsid w:val="002F40F5"/>
    <w:rsid w:val="002F426C"/>
    <w:rsid w:val="002F4338"/>
    <w:rsid w:val="002F437D"/>
    <w:rsid w:val="002F4528"/>
    <w:rsid w:val="002F48C3"/>
    <w:rsid w:val="002F49AE"/>
    <w:rsid w:val="002F4A1E"/>
    <w:rsid w:val="002F4C61"/>
    <w:rsid w:val="002F4C9C"/>
    <w:rsid w:val="002F4E97"/>
    <w:rsid w:val="002F53E6"/>
    <w:rsid w:val="002F5468"/>
    <w:rsid w:val="002F548D"/>
    <w:rsid w:val="002F54EE"/>
    <w:rsid w:val="002F558C"/>
    <w:rsid w:val="002F5E5E"/>
    <w:rsid w:val="002F5FEA"/>
    <w:rsid w:val="002F60DD"/>
    <w:rsid w:val="002F6240"/>
    <w:rsid w:val="002F6264"/>
    <w:rsid w:val="002F6294"/>
    <w:rsid w:val="002F63E6"/>
    <w:rsid w:val="002F68E8"/>
    <w:rsid w:val="002F6A0A"/>
    <w:rsid w:val="002F6C32"/>
    <w:rsid w:val="002F6C72"/>
    <w:rsid w:val="002F6E13"/>
    <w:rsid w:val="002F6EE3"/>
    <w:rsid w:val="002F7035"/>
    <w:rsid w:val="002F7064"/>
    <w:rsid w:val="002F714E"/>
    <w:rsid w:val="002F7160"/>
    <w:rsid w:val="002F7184"/>
    <w:rsid w:val="002F7235"/>
    <w:rsid w:val="002F7247"/>
    <w:rsid w:val="002F74AB"/>
    <w:rsid w:val="002F74B8"/>
    <w:rsid w:val="002F761F"/>
    <w:rsid w:val="002F7732"/>
    <w:rsid w:val="002F792E"/>
    <w:rsid w:val="002F7A48"/>
    <w:rsid w:val="002F7C1D"/>
    <w:rsid w:val="002F7E09"/>
    <w:rsid w:val="002F7E6B"/>
    <w:rsid w:val="002F7EA0"/>
    <w:rsid w:val="002F7F8A"/>
    <w:rsid w:val="00300053"/>
    <w:rsid w:val="0030015E"/>
    <w:rsid w:val="0030030D"/>
    <w:rsid w:val="003003F2"/>
    <w:rsid w:val="0030044A"/>
    <w:rsid w:val="003005F8"/>
    <w:rsid w:val="0030060C"/>
    <w:rsid w:val="003008B4"/>
    <w:rsid w:val="00300B96"/>
    <w:rsid w:val="00300BDC"/>
    <w:rsid w:val="00300CD9"/>
    <w:rsid w:val="00300E42"/>
    <w:rsid w:val="00300EAC"/>
    <w:rsid w:val="00300ECB"/>
    <w:rsid w:val="00300F97"/>
    <w:rsid w:val="003010A7"/>
    <w:rsid w:val="003011AC"/>
    <w:rsid w:val="0030128E"/>
    <w:rsid w:val="0030135C"/>
    <w:rsid w:val="003014EE"/>
    <w:rsid w:val="00301572"/>
    <w:rsid w:val="00301609"/>
    <w:rsid w:val="0030166C"/>
    <w:rsid w:val="003016DA"/>
    <w:rsid w:val="003018B6"/>
    <w:rsid w:val="0030191F"/>
    <w:rsid w:val="00301A3E"/>
    <w:rsid w:val="00301A6B"/>
    <w:rsid w:val="00301BF4"/>
    <w:rsid w:val="00301BFC"/>
    <w:rsid w:val="00301E20"/>
    <w:rsid w:val="00301EA7"/>
    <w:rsid w:val="00302210"/>
    <w:rsid w:val="003022E6"/>
    <w:rsid w:val="00302420"/>
    <w:rsid w:val="0030258E"/>
    <w:rsid w:val="003025B6"/>
    <w:rsid w:val="00302746"/>
    <w:rsid w:val="003027CC"/>
    <w:rsid w:val="00302C4B"/>
    <w:rsid w:val="00302DCF"/>
    <w:rsid w:val="00302ED3"/>
    <w:rsid w:val="00302F02"/>
    <w:rsid w:val="003031A8"/>
    <w:rsid w:val="0030323E"/>
    <w:rsid w:val="003032AD"/>
    <w:rsid w:val="00303369"/>
    <w:rsid w:val="003033F2"/>
    <w:rsid w:val="00303536"/>
    <w:rsid w:val="00303589"/>
    <w:rsid w:val="003036D9"/>
    <w:rsid w:val="00303776"/>
    <w:rsid w:val="003037BA"/>
    <w:rsid w:val="003039FA"/>
    <w:rsid w:val="00303A1E"/>
    <w:rsid w:val="00303A24"/>
    <w:rsid w:val="00303A42"/>
    <w:rsid w:val="00303CF1"/>
    <w:rsid w:val="00303F47"/>
    <w:rsid w:val="0030419F"/>
    <w:rsid w:val="00304283"/>
    <w:rsid w:val="003043C2"/>
    <w:rsid w:val="00304542"/>
    <w:rsid w:val="003045E0"/>
    <w:rsid w:val="003045F3"/>
    <w:rsid w:val="00304609"/>
    <w:rsid w:val="0030469B"/>
    <w:rsid w:val="00304703"/>
    <w:rsid w:val="00304705"/>
    <w:rsid w:val="0030475F"/>
    <w:rsid w:val="0030480B"/>
    <w:rsid w:val="0030493F"/>
    <w:rsid w:val="00304A75"/>
    <w:rsid w:val="00304B69"/>
    <w:rsid w:val="00304C8B"/>
    <w:rsid w:val="00304E38"/>
    <w:rsid w:val="00304F97"/>
    <w:rsid w:val="003053EA"/>
    <w:rsid w:val="003053ED"/>
    <w:rsid w:val="0030553D"/>
    <w:rsid w:val="00305587"/>
    <w:rsid w:val="00305672"/>
    <w:rsid w:val="0030568F"/>
    <w:rsid w:val="003056C6"/>
    <w:rsid w:val="003056C7"/>
    <w:rsid w:val="003057BC"/>
    <w:rsid w:val="0030582F"/>
    <w:rsid w:val="0030591B"/>
    <w:rsid w:val="00305A6E"/>
    <w:rsid w:val="00305A9F"/>
    <w:rsid w:val="00305B41"/>
    <w:rsid w:val="00305B56"/>
    <w:rsid w:val="00305BDB"/>
    <w:rsid w:val="00305C14"/>
    <w:rsid w:val="00305C71"/>
    <w:rsid w:val="00305E9F"/>
    <w:rsid w:val="00305EC7"/>
    <w:rsid w:val="003065F6"/>
    <w:rsid w:val="0030688A"/>
    <w:rsid w:val="00306926"/>
    <w:rsid w:val="00306986"/>
    <w:rsid w:val="00306C4D"/>
    <w:rsid w:val="00306CA3"/>
    <w:rsid w:val="003070EB"/>
    <w:rsid w:val="003071BD"/>
    <w:rsid w:val="0030730A"/>
    <w:rsid w:val="0030730F"/>
    <w:rsid w:val="003074F0"/>
    <w:rsid w:val="00307576"/>
    <w:rsid w:val="00307858"/>
    <w:rsid w:val="0030791D"/>
    <w:rsid w:val="00307B76"/>
    <w:rsid w:val="00307C13"/>
    <w:rsid w:val="00307C1B"/>
    <w:rsid w:val="00307C23"/>
    <w:rsid w:val="00307C7F"/>
    <w:rsid w:val="00307CFB"/>
    <w:rsid w:val="00307DA1"/>
    <w:rsid w:val="00307E2D"/>
    <w:rsid w:val="0031016E"/>
    <w:rsid w:val="00310187"/>
    <w:rsid w:val="003101AE"/>
    <w:rsid w:val="00310229"/>
    <w:rsid w:val="00310305"/>
    <w:rsid w:val="00310404"/>
    <w:rsid w:val="00310487"/>
    <w:rsid w:val="00310570"/>
    <w:rsid w:val="0031066E"/>
    <w:rsid w:val="00310800"/>
    <w:rsid w:val="0031086A"/>
    <w:rsid w:val="00310895"/>
    <w:rsid w:val="003108BE"/>
    <w:rsid w:val="00310B4D"/>
    <w:rsid w:val="003110D1"/>
    <w:rsid w:val="00311200"/>
    <w:rsid w:val="0031138B"/>
    <w:rsid w:val="0031142F"/>
    <w:rsid w:val="003115CA"/>
    <w:rsid w:val="003115F0"/>
    <w:rsid w:val="003118C0"/>
    <w:rsid w:val="003119DF"/>
    <w:rsid w:val="00311A58"/>
    <w:rsid w:val="00311CB5"/>
    <w:rsid w:val="00311CF8"/>
    <w:rsid w:val="003120AB"/>
    <w:rsid w:val="00312458"/>
    <w:rsid w:val="00312460"/>
    <w:rsid w:val="00312549"/>
    <w:rsid w:val="00312562"/>
    <w:rsid w:val="00312755"/>
    <w:rsid w:val="0031286F"/>
    <w:rsid w:val="003129FD"/>
    <w:rsid w:val="00312A6D"/>
    <w:rsid w:val="00312BE3"/>
    <w:rsid w:val="00312CB5"/>
    <w:rsid w:val="00312EE3"/>
    <w:rsid w:val="00312EE5"/>
    <w:rsid w:val="00312FE9"/>
    <w:rsid w:val="00313064"/>
    <w:rsid w:val="00313070"/>
    <w:rsid w:val="003130F5"/>
    <w:rsid w:val="0031316D"/>
    <w:rsid w:val="003131E8"/>
    <w:rsid w:val="00313242"/>
    <w:rsid w:val="0031327B"/>
    <w:rsid w:val="003132A6"/>
    <w:rsid w:val="00313464"/>
    <w:rsid w:val="00313867"/>
    <w:rsid w:val="00313887"/>
    <w:rsid w:val="00313DC6"/>
    <w:rsid w:val="00314177"/>
    <w:rsid w:val="003142D4"/>
    <w:rsid w:val="00314345"/>
    <w:rsid w:val="00314431"/>
    <w:rsid w:val="00314576"/>
    <w:rsid w:val="003145AD"/>
    <w:rsid w:val="0031460B"/>
    <w:rsid w:val="0031474C"/>
    <w:rsid w:val="0031477D"/>
    <w:rsid w:val="0031485C"/>
    <w:rsid w:val="00314972"/>
    <w:rsid w:val="00314A79"/>
    <w:rsid w:val="00314ACB"/>
    <w:rsid w:val="00314C4E"/>
    <w:rsid w:val="00314CA8"/>
    <w:rsid w:val="00314CAE"/>
    <w:rsid w:val="00314CBF"/>
    <w:rsid w:val="00314D8B"/>
    <w:rsid w:val="00314DDC"/>
    <w:rsid w:val="00314E12"/>
    <w:rsid w:val="00314F1C"/>
    <w:rsid w:val="003152E2"/>
    <w:rsid w:val="00315346"/>
    <w:rsid w:val="0031546B"/>
    <w:rsid w:val="00315604"/>
    <w:rsid w:val="00315662"/>
    <w:rsid w:val="003157C3"/>
    <w:rsid w:val="00315906"/>
    <w:rsid w:val="00315A43"/>
    <w:rsid w:val="00315A4A"/>
    <w:rsid w:val="00315B2F"/>
    <w:rsid w:val="00315C74"/>
    <w:rsid w:val="00315D7D"/>
    <w:rsid w:val="00315ED5"/>
    <w:rsid w:val="003160CA"/>
    <w:rsid w:val="003162D4"/>
    <w:rsid w:val="0031669D"/>
    <w:rsid w:val="0031677B"/>
    <w:rsid w:val="003167E1"/>
    <w:rsid w:val="0031691B"/>
    <w:rsid w:val="00316934"/>
    <w:rsid w:val="0031699C"/>
    <w:rsid w:val="00316AFC"/>
    <w:rsid w:val="00316BE5"/>
    <w:rsid w:val="00316CF1"/>
    <w:rsid w:val="00316F9B"/>
    <w:rsid w:val="00316FA4"/>
    <w:rsid w:val="00316FEF"/>
    <w:rsid w:val="00317021"/>
    <w:rsid w:val="00317100"/>
    <w:rsid w:val="00317158"/>
    <w:rsid w:val="003176D6"/>
    <w:rsid w:val="00317706"/>
    <w:rsid w:val="00317AAD"/>
    <w:rsid w:val="00317B6E"/>
    <w:rsid w:val="00317DA4"/>
    <w:rsid w:val="00317FED"/>
    <w:rsid w:val="0032001F"/>
    <w:rsid w:val="00320142"/>
    <w:rsid w:val="0032017E"/>
    <w:rsid w:val="003201DC"/>
    <w:rsid w:val="00320218"/>
    <w:rsid w:val="00320774"/>
    <w:rsid w:val="00320800"/>
    <w:rsid w:val="00320A32"/>
    <w:rsid w:val="00320B2F"/>
    <w:rsid w:val="00320BD5"/>
    <w:rsid w:val="00320C78"/>
    <w:rsid w:val="00320DA0"/>
    <w:rsid w:val="00320E73"/>
    <w:rsid w:val="003210B9"/>
    <w:rsid w:val="003213C7"/>
    <w:rsid w:val="003213CB"/>
    <w:rsid w:val="003214AA"/>
    <w:rsid w:val="00321677"/>
    <w:rsid w:val="00321678"/>
    <w:rsid w:val="0032178E"/>
    <w:rsid w:val="003217B7"/>
    <w:rsid w:val="00321B54"/>
    <w:rsid w:val="00321C39"/>
    <w:rsid w:val="00321C77"/>
    <w:rsid w:val="00321CFB"/>
    <w:rsid w:val="00321E7B"/>
    <w:rsid w:val="00321EAE"/>
    <w:rsid w:val="00321F0F"/>
    <w:rsid w:val="00321F12"/>
    <w:rsid w:val="00321F91"/>
    <w:rsid w:val="00322379"/>
    <w:rsid w:val="00322443"/>
    <w:rsid w:val="0032258C"/>
    <w:rsid w:val="003227A6"/>
    <w:rsid w:val="003227F1"/>
    <w:rsid w:val="003227FB"/>
    <w:rsid w:val="003228B4"/>
    <w:rsid w:val="0032299F"/>
    <w:rsid w:val="00322A12"/>
    <w:rsid w:val="00322B72"/>
    <w:rsid w:val="00323337"/>
    <w:rsid w:val="003233D6"/>
    <w:rsid w:val="003234EC"/>
    <w:rsid w:val="003238FF"/>
    <w:rsid w:val="00323907"/>
    <w:rsid w:val="00323BCB"/>
    <w:rsid w:val="00323CC7"/>
    <w:rsid w:val="00323D24"/>
    <w:rsid w:val="00323E06"/>
    <w:rsid w:val="00323F90"/>
    <w:rsid w:val="0032417A"/>
    <w:rsid w:val="0032417C"/>
    <w:rsid w:val="00324198"/>
    <w:rsid w:val="00324218"/>
    <w:rsid w:val="003242E0"/>
    <w:rsid w:val="00324356"/>
    <w:rsid w:val="00324399"/>
    <w:rsid w:val="0032440C"/>
    <w:rsid w:val="0032457C"/>
    <w:rsid w:val="003246C6"/>
    <w:rsid w:val="00324787"/>
    <w:rsid w:val="00324816"/>
    <w:rsid w:val="00324827"/>
    <w:rsid w:val="00324976"/>
    <w:rsid w:val="00324A4F"/>
    <w:rsid w:val="00324A96"/>
    <w:rsid w:val="00324D2A"/>
    <w:rsid w:val="00324DD2"/>
    <w:rsid w:val="00324E0F"/>
    <w:rsid w:val="00324EA0"/>
    <w:rsid w:val="00324FA8"/>
    <w:rsid w:val="00324FBF"/>
    <w:rsid w:val="0032530B"/>
    <w:rsid w:val="00325545"/>
    <w:rsid w:val="00325819"/>
    <w:rsid w:val="003258CA"/>
    <w:rsid w:val="003258E0"/>
    <w:rsid w:val="003259A9"/>
    <w:rsid w:val="00325B9F"/>
    <w:rsid w:val="00325CFF"/>
    <w:rsid w:val="00325DFC"/>
    <w:rsid w:val="003261DC"/>
    <w:rsid w:val="00326298"/>
    <w:rsid w:val="003262E5"/>
    <w:rsid w:val="0032633E"/>
    <w:rsid w:val="00326532"/>
    <w:rsid w:val="00326547"/>
    <w:rsid w:val="0032660B"/>
    <w:rsid w:val="00326844"/>
    <w:rsid w:val="003268C6"/>
    <w:rsid w:val="00326A23"/>
    <w:rsid w:val="00326B24"/>
    <w:rsid w:val="00326C7F"/>
    <w:rsid w:val="00326D86"/>
    <w:rsid w:val="00326E05"/>
    <w:rsid w:val="00327070"/>
    <w:rsid w:val="00327157"/>
    <w:rsid w:val="0032715C"/>
    <w:rsid w:val="003272C4"/>
    <w:rsid w:val="00327500"/>
    <w:rsid w:val="003276AB"/>
    <w:rsid w:val="00327743"/>
    <w:rsid w:val="003277B0"/>
    <w:rsid w:val="00327904"/>
    <w:rsid w:val="00327A69"/>
    <w:rsid w:val="00327B6B"/>
    <w:rsid w:val="00327BAA"/>
    <w:rsid w:val="00327C81"/>
    <w:rsid w:val="00327D20"/>
    <w:rsid w:val="00327EC7"/>
    <w:rsid w:val="00327F0A"/>
    <w:rsid w:val="00327F59"/>
    <w:rsid w:val="00327FF5"/>
    <w:rsid w:val="003300B5"/>
    <w:rsid w:val="003300CD"/>
    <w:rsid w:val="003301B7"/>
    <w:rsid w:val="00330341"/>
    <w:rsid w:val="003303DC"/>
    <w:rsid w:val="00330473"/>
    <w:rsid w:val="0033057B"/>
    <w:rsid w:val="00330661"/>
    <w:rsid w:val="003307B4"/>
    <w:rsid w:val="003307F1"/>
    <w:rsid w:val="00330864"/>
    <w:rsid w:val="0033099A"/>
    <w:rsid w:val="00330B02"/>
    <w:rsid w:val="00330B26"/>
    <w:rsid w:val="00330B59"/>
    <w:rsid w:val="00330B5C"/>
    <w:rsid w:val="00330BB3"/>
    <w:rsid w:val="00330C5F"/>
    <w:rsid w:val="00330D04"/>
    <w:rsid w:val="00330D3D"/>
    <w:rsid w:val="0033108B"/>
    <w:rsid w:val="003310EB"/>
    <w:rsid w:val="00331246"/>
    <w:rsid w:val="003315A3"/>
    <w:rsid w:val="003315DE"/>
    <w:rsid w:val="003317F8"/>
    <w:rsid w:val="00331AA8"/>
    <w:rsid w:val="00331DBB"/>
    <w:rsid w:val="00331DD7"/>
    <w:rsid w:val="00331EA9"/>
    <w:rsid w:val="00331F34"/>
    <w:rsid w:val="00331FF5"/>
    <w:rsid w:val="0033207D"/>
    <w:rsid w:val="003320AA"/>
    <w:rsid w:val="003320E8"/>
    <w:rsid w:val="003320E9"/>
    <w:rsid w:val="0033243A"/>
    <w:rsid w:val="003324DC"/>
    <w:rsid w:val="00332567"/>
    <w:rsid w:val="00332608"/>
    <w:rsid w:val="00332710"/>
    <w:rsid w:val="0033276F"/>
    <w:rsid w:val="003327A8"/>
    <w:rsid w:val="00332863"/>
    <w:rsid w:val="00332864"/>
    <w:rsid w:val="003328E5"/>
    <w:rsid w:val="00332962"/>
    <w:rsid w:val="00332A15"/>
    <w:rsid w:val="00332A4B"/>
    <w:rsid w:val="00332B38"/>
    <w:rsid w:val="00332F8D"/>
    <w:rsid w:val="00332FA4"/>
    <w:rsid w:val="00333307"/>
    <w:rsid w:val="00333394"/>
    <w:rsid w:val="003334FD"/>
    <w:rsid w:val="0033353A"/>
    <w:rsid w:val="0033369E"/>
    <w:rsid w:val="003338B1"/>
    <w:rsid w:val="00333903"/>
    <w:rsid w:val="00333A0E"/>
    <w:rsid w:val="00333AA9"/>
    <w:rsid w:val="00333B1E"/>
    <w:rsid w:val="00333BF9"/>
    <w:rsid w:val="00333C0C"/>
    <w:rsid w:val="003340E8"/>
    <w:rsid w:val="0033415F"/>
    <w:rsid w:val="0033423D"/>
    <w:rsid w:val="00334350"/>
    <w:rsid w:val="003344B7"/>
    <w:rsid w:val="003345B3"/>
    <w:rsid w:val="003345D2"/>
    <w:rsid w:val="0033467A"/>
    <w:rsid w:val="003347AA"/>
    <w:rsid w:val="00334C75"/>
    <w:rsid w:val="00334D86"/>
    <w:rsid w:val="00335006"/>
    <w:rsid w:val="003350A0"/>
    <w:rsid w:val="003350EE"/>
    <w:rsid w:val="00335149"/>
    <w:rsid w:val="003354F7"/>
    <w:rsid w:val="003355B7"/>
    <w:rsid w:val="00335677"/>
    <w:rsid w:val="00335992"/>
    <w:rsid w:val="00335ACA"/>
    <w:rsid w:val="00335C97"/>
    <w:rsid w:val="00335CBF"/>
    <w:rsid w:val="00336579"/>
    <w:rsid w:val="00336727"/>
    <w:rsid w:val="0033676E"/>
    <w:rsid w:val="0033699B"/>
    <w:rsid w:val="00336A41"/>
    <w:rsid w:val="00336B73"/>
    <w:rsid w:val="00336B86"/>
    <w:rsid w:val="00336C90"/>
    <w:rsid w:val="00336D76"/>
    <w:rsid w:val="00336E38"/>
    <w:rsid w:val="00336E88"/>
    <w:rsid w:val="00336EA1"/>
    <w:rsid w:val="00336EBA"/>
    <w:rsid w:val="00336FB0"/>
    <w:rsid w:val="0033702F"/>
    <w:rsid w:val="003371E9"/>
    <w:rsid w:val="0033727A"/>
    <w:rsid w:val="0033739A"/>
    <w:rsid w:val="003373C4"/>
    <w:rsid w:val="00337443"/>
    <w:rsid w:val="003374C8"/>
    <w:rsid w:val="00337564"/>
    <w:rsid w:val="003375CA"/>
    <w:rsid w:val="003376F5"/>
    <w:rsid w:val="003376FD"/>
    <w:rsid w:val="00337742"/>
    <w:rsid w:val="00337799"/>
    <w:rsid w:val="00337B73"/>
    <w:rsid w:val="00337DEC"/>
    <w:rsid w:val="00337E43"/>
    <w:rsid w:val="00337EC3"/>
    <w:rsid w:val="00337F74"/>
    <w:rsid w:val="00337FB8"/>
    <w:rsid w:val="00340190"/>
    <w:rsid w:val="003401FB"/>
    <w:rsid w:val="00340277"/>
    <w:rsid w:val="003402F1"/>
    <w:rsid w:val="003402F8"/>
    <w:rsid w:val="00340449"/>
    <w:rsid w:val="003405E5"/>
    <w:rsid w:val="003407E1"/>
    <w:rsid w:val="00340811"/>
    <w:rsid w:val="00340897"/>
    <w:rsid w:val="00340C72"/>
    <w:rsid w:val="00340D07"/>
    <w:rsid w:val="00340D64"/>
    <w:rsid w:val="00340D92"/>
    <w:rsid w:val="003410D5"/>
    <w:rsid w:val="003411A3"/>
    <w:rsid w:val="00341287"/>
    <w:rsid w:val="003413CB"/>
    <w:rsid w:val="00341545"/>
    <w:rsid w:val="0034169D"/>
    <w:rsid w:val="003416B3"/>
    <w:rsid w:val="00341826"/>
    <w:rsid w:val="00341856"/>
    <w:rsid w:val="00341A3C"/>
    <w:rsid w:val="00341D01"/>
    <w:rsid w:val="00341D35"/>
    <w:rsid w:val="00341FA0"/>
    <w:rsid w:val="00342092"/>
    <w:rsid w:val="0034221D"/>
    <w:rsid w:val="00342272"/>
    <w:rsid w:val="003422D5"/>
    <w:rsid w:val="0034256F"/>
    <w:rsid w:val="00342753"/>
    <w:rsid w:val="00342A47"/>
    <w:rsid w:val="00342D8F"/>
    <w:rsid w:val="00342F73"/>
    <w:rsid w:val="003430FC"/>
    <w:rsid w:val="0034327B"/>
    <w:rsid w:val="0034328C"/>
    <w:rsid w:val="003435CD"/>
    <w:rsid w:val="003435F1"/>
    <w:rsid w:val="00343669"/>
    <w:rsid w:val="00343739"/>
    <w:rsid w:val="00343844"/>
    <w:rsid w:val="00343B3E"/>
    <w:rsid w:val="00343B70"/>
    <w:rsid w:val="00343BB6"/>
    <w:rsid w:val="00343CB4"/>
    <w:rsid w:val="00343CD7"/>
    <w:rsid w:val="00343CE6"/>
    <w:rsid w:val="00343DCB"/>
    <w:rsid w:val="00343E85"/>
    <w:rsid w:val="00343ECC"/>
    <w:rsid w:val="0034429A"/>
    <w:rsid w:val="003442CA"/>
    <w:rsid w:val="00344889"/>
    <w:rsid w:val="00344933"/>
    <w:rsid w:val="0034499D"/>
    <w:rsid w:val="00344B38"/>
    <w:rsid w:val="00344B6F"/>
    <w:rsid w:val="00344C5E"/>
    <w:rsid w:val="00344CA4"/>
    <w:rsid w:val="00344CBC"/>
    <w:rsid w:val="00344DBF"/>
    <w:rsid w:val="00344DC9"/>
    <w:rsid w:val="00344EC5"/>
    <w:rsid w:val="00344EE8"/>
    <w:rsid w:val="00344F02"/>
    <w:rsid w:val="00344F25"/>
    <w:rsid w:val="00345002"/>
    <w:rsid w:val="003450DA"/>
    <w:rsid w:val="00345100"/>
    <w:rsid w:val="0034545B"/>
    <w:rsid w:val="00345953"/>
    <w:rsid w:val="00345AC3"/>
    <w:rsid w:val="00345AEA"/>
    <w:rsid w:val="00345D1D"/>
    <w:rsid w:val="00345D82"/>
    <w:rsid w:val="00345E2B"/>
    <w:rsid w:val="00345ECE"/>
    <w:rsid w:val="00346038"/>
    <w:rsid w:val="00346062"/>
    <w:rsid w:val="00346181"/>
    <w:rsid w:val="0034632B"/>
    <w:rsid w:val="00346343"/>
    <w:rsid w:val="0034643C"/>
    <w:rsid w:val="00346473"/>
    <w:rsid w:val="00346748"/>
    <w:rsid w:val="0034678E"/>
    <w:rsid w:val="003468FB"/>
    <w:rsid w:val="0034693F"/>
    <w:rsid w:val="003469B7"/>
    <w:rsid w:val="00346B95"/>
    <w:rsid w:val="00346D11"/>
    <w:rsid w:val="00346D63"/>
    <w:rsid w:val="00346DC7"/>
    <w:rsid w:val="00346E5C"/>
    <w:rsid w:val="00346FEC"/>
    <w:rsid w:val="00347091"/>
    <w:rsid w:val="003471AA"/>
    <w:rsid w:val="003471B1"/>
    <w:rsid w:val="003472CC"/>
    <w:rsid w:val="003472E4"/>
    <w:rsid w:val="0034750C"/>
    <w:rsid w:val="00347538"/>
    <w:rsid w:val="00347584"/>
    <w:rsid w:val="00347705"/>
    <w:rsid w:val="0034777D"/>
    <w:rsid w:val="00347A32"/>
    <w:rsid w:val="00347B66"/>
    <w:rsid w:val="00347C4F"/>
    <w:rsid w:val="00347CDF"/>
    <w:rsid w:val="00347CF1"/>
    <w:rsid w:val="00347D8E"/>
    <w:rsid w:val="00347D9A"/>
    <w:rsid w:val="00347DB5"/>
    <w:rsid w:val="0035015E"/>
    <w:rsid w:val="003501F9"/>
    <w:rsid w:val="003502CB"/>
    <w:rsid w:val="003502D4"/>
    <w:rsid w:val="00350310"/>
    <w:rsid w:val="003503A9"/>
    <w:rsid w:val="003503F4"/>
    <w:rsid w:val="00350502"/>
    <w:rsid w:val="003505F2"/>
    <w:rsid w:val="003507E6"/>
    <w:rsid w:val="003509B9"/>
    <w:rsid w:val="003509BA"/>
    <w:rsid w:val="003509EB"/>
    <w:rsid w:val="00350A5E"/>
    <w:rsid w:val="00350BED"/>
    <w:rsid w:val="00350C7A"/>
    <w:rsid w:val="00350E04"/>
    <w:rsid w:val="00350F1A"/>
    <w:rsid w:val="00350F81"/>
    <w:rsid w:val="00351292"/>
    <w:rsid w:val="00351361"/>
    <w:rsid w:val="00351486"/>
    <w:rsid w:val="003514B2"/>
    <w:rsid w:val="003514B8"/>
    <w:rsid w:val="0035158C"/>
    <w:rsid w:val="00351606"/>
    <w:rsid w:val="00351708"/>
    <w:rsid w:val="003517EB"/>
    <w:rsid w:val="00351834"/>
    <w:rsid w:val="003519B2"/>
    <w:rsid w:val="00351B7A"/>
    <w:rsid w:val="00351C07"/>
    <w:rsid w:val="00351D50"/>
    <w:rsid w:val="00351E3A"/>
    <w:rsid w:val="003520F9"/>
    <w:rsid w:val="0035246B"/>
    <w:rsid w:val="003524DA"/>
    <w:rsid w:val="003525C4"/>
    <w:rsid w:val="00352996"/>
    <w:rsid w:val="00352A6F"/>
    <w:rsid w:val="00352D8D"/>
    <w:rsid w:val="00352E91"/>
    <w:rsid w:val="00353061"/>
    <w:rsid w:val="003533FE"/>
    <w:rsid w:val="0035340A"/>
    <w:rsid w:val="0035345E"/>
    <w:rsid w:val="00353D38"/>
    <w:rsid w:val="00353D98"/>
    <w:rsid w:val="00353E8A"/>
    <w:rsid w:val="00353F8E"/>
    <w:rsid w:val="003541E1"/>
    <w:rsid w:val="00354371"/>
    <w:rsid w:val="0035454A"/>
    <w:rsid w:val="003547F1"/>
    <w:rsid w:val="00354A12"/>
    <w:rsid w:val="00354BC3"/>
    <w:rsid w:val="00354C9E"/>
    <w:rsid w:val="00354CC8"/>
    <w:rsid w:val="00354D39"/>
    <w:rsid w:val="00354D41"/>
    <w:rsid w:val="003552FD"/>
    <w:rsid w:val="003553CF"/>
    <w:rsid w:val="0035561D"/>
    <w:rsid w:val="003558B3"/>
    <w:rsid w:val="003558D3"/>
    <w:rsid w:val="003558D5"/>
    <w:rsid w:val="00355A1B"/>
    <w:rsid w:val="00355C97"/>
    <w:rsid w:val="00355CFF"/>
    <w:rsid w:val="00355D20"/>
    <w:rsid w:val="00355D85"/>
    <w:rsid w:val="00355EA6"/>
    <w:rsid w:val="00355F16"/>
    <w:rsid w:val="00355F4E"/>
    <w:rsid w:val="00355FE9"/>
    <w:rsid w:val="003565BF"/>
    <w:rsid w:val="003567C4"/>
    <w:rsid w:val="0035696E"/>
    <w:rsid w:val="003569A6"/>
    <w:rsid w:val="00356A0E"/>
    <w:rsid w:val="00356A7D"/>
    <w:rsid w:val="00356AF2"/>
    <w:rsid w:val="00356C8F"/>
    <w:rsid w:val="00356D3F"/>
    <w:rsid w:val="00356DB5"/>
    <w:rsid w:val="00356E55"/>
    <w:rsid w:val="00356EE8"/>
    <w:rsid w:val="00356EEC"/>
    <w:rsid w:val="003570EF"/>
    <w:rsid w:val="003570F8"/>
    <w:rsid w:val="00357375"/>
    <w:rsid w:val="0035752D"/>
    <w:rsid w:val="0035753F"/>
    <w:rsid w:val="00357566"/>
    <w:rsid w:val="003579B6"/>
    <w:rsid w:val="00357B3B"/>
    <w:rsid w:val="00357C86"/>
    <w:rsid w:val="00357D33"/>
    <w:rsid w:val="00357D3F"/>
    <w:rsid w:val="00357F47"/>
    <w:rsid w:val="0036004F"/>
    <w:rsid w:val="003601D4"/>
    <w:rsid w:val="003601DA"/>
    <w:rsid w:val="00360269"/>
    <w:rsid w:val="003602F3"/>
    <w:rsid w:val="00360536"/>
    <w:rsid w:val="003605BA"/>
    <w:rsid w:val="003607C2"/>
    <w:rsid w:val="00360840"/>
    <w:rsid w:val="00360998"/>
    <w:rsid w:val="003609DC"/>
    <w:rsid w:val="00360A1E"/>
    <w:rsid w:val="00360B04"/>
    <w:rsid w:val="00360BAF"/>
    <w:rsid w:val="00360CD5"/>
    <w:rsid w:val="00360D3D"/>
    <w:rsid w:val="00360DEC"/>
    <w:rsid w:val="003611F8"/>
    <w:rsid w:val="00361336"/>
    <w:rsid w:val="0036145A"/>
    <w:rsid w:val="003614F0"/>
    <w:rsid w:val="003615B9"/>
    <w:rsid w:val="00361966"/>
    <w:rsid w:val="00361BA8"/>
    <w:rsid w:val="00361C33"/>
    <w:rsid w:val="00361C6E"/>
    <w:rsid w:val="00361E88"/>
    <w:rsid w:val="00361FC1"/>
    <w:rsid w:val="00362315"/>
    <w:rsid w:val="0036233B"/>
    <w:rsid w:val="00362565"/>
    <w:rsid w:val="00362611"/>
    <w:rsid w:val="003626A8"/>
    <w:rsid w:val="003626EC"/>
    <w:rsid w:val="0036282C"/>
    <w:rsid w:val="003628F8"/>
    <w:rsid w:val="003628FB"/>
    <w:rsid w:val="0036298E"/>
    <w:rsid w:val="003629A5"/>
    <w:rsid w:val="003629FA"/>
    <w:rsid w:val="00362A75"/>
    <w:rsid w:val="00362C11"/>
    <w:rsid w:val="00362C19"/>
    <w:rsid w:val="00362C1F"/>
    <w:rsid w:val="00362D88"/>
    <w:rsid w:val="00362E3C"/>
    <w:rsid w:val="00362F93"/>
    <w:rsid w:val="00362FC0"/>
    <w:rsid w:val="00362FEC"/>
    <w:rsid w:val="0036313B"/>
    <w:rsid w:val="003631B3"/>
    <w:rsid w:val="003635A2"/>
    <w:rsid w:val="003635E8"/>
    <w:rsid w:val="00363808"/>
    <w:rsid w:val="00363809"/>
    <w:rsid w:val="00363839"/>
    <w:rsid w:val="003638A4"/>
    <w:rsid w:val="003638F6"/>
    <w:rsid w:val="00363903"/>
    <w:rsid w:val="00363988"/>
    <w:rsid w:val="00363AB0"/>
    <w:rsid w:val="00363AFC"/>
    <w:rsid w:val="00363CDC"/>
    <w:rsid w:val="00363D9D"/>
    <w:rsid w:val="00363E87"/>
    <w:rsid w:val="00363F25"/>
    <w:rsid w:val="00363F63"/>
    <w:rsid w:val="00364129"/>
    <w:rsid w:val="0036415D"/>
    <w:rsid w:val="00364277"/>
    <w:rsid w:val="003645C6"/>
    <w:rsid w:val="003647D2"/>
    <w:rsid w:val="003647EF"/>
    <w:rsid w:val="003648FE"/>
    <w:rsid w:val="00364A20"/>
    <w:rsid w:val="00364B0E"/>
    <w:rsid w:val="00364BF8"/>
    <w:rsid w:val="00364CC5"/>
    <w:rsid w:val="00364D51"/>
    <w:rsid w:val="00364D89"/>
    <w:rsid w:val="00364EA6"/>
    <w:rsid w:val="00364F92"/>
    <w:rsid w:val="00365022"/>
    <w:rsid w:val="0036514B"/>
    <w:rsid w:val="00365158"/>
    <w:rsid w:val="0036525F"/>
    <w:rsid w:val="0036526D"/>
    <w:rsid w:val="003654EF"/>
    <w:rsid w:val="003655E6"/>
    <w:rsid w:val="003656E8"/>
    <w:rsid w:val="003657D5"/>
    <w:rsid w:val="0036594A"/>
    <w:rsid w:val="00365CAC"/>
    <w:rsid w:val="00365E0E"/>
    <w:rsid w:val="00365E12"/>
    <w:rsid w:val="00365E47"/>
    <w:rsid w:val="003660B3"/>
    <w:rsid w:val="003660DC"/>
    <w:rsid w:val="0036613F"/>
    <w:rsid w:val="0036630E"/>
    <w:rsid w:val="003663D5"/>
    <w:rsid w:val="003664A5"/>
    <w:rsid w:val="00366612"/>
    <w:rsid w:val="00366621"/>
    <w:rsid w:val="003668E1"/>
    <w:rsid w:val="00366981"/>
    <w:rsid w:val="00366BFE"/>
    <w:rsid w:val="00366F54"/>
    <w:rsid w:val="00366FB8"/>
    <w:rsid w:val="00367373"/>
    <w:rsid w:val="00367552"/>
    <w:rsid w:val="003678DF"/>
    <w:rsid w:val="00367BBB"/>
    <w:rsid w:val="00367DDC"/>
    <w:rsid w:val="00367E8B"/>
    <w:rsid w:val="00367F5A"/>
    <w:rsid w:val="00370162"/>
    <w:rsid w:val="00370221"/>
    <w:rsid w:val="00370319"/>
    <w:rsid w:val="00370337"/>
    <w:rsid w:val="003703C7"/>
    <w:rsid w:val="003703F5"/>
    <w:rsid w:val="00370402"/>
    <w:rsid w:val="0037047E"/>
    <w:rsid w:val="003705C5"/>
    <w:rsid w:val="00370641"/>
    <w:rsid w:val="003706A6"/>
    <w:rsid w:val="00370750"/>
    <w:rsid w:val="003709A7"/>
    <w:rsid w:val="00370A7C"/>
    <w:rsid w:val="00370AF3"/>
    <w:rsid w:val="00370AF8"/>
    <w:rsid w:val="00370CDD"/>
    <w:rsid w:val="00370CF3"/>
    <w:rsid w:val="003710BA"/>
    <w:rsid w:val="003710BC"/>
    <w:rsid w:val="0037111D"/>
    <w:rsid w:val="0037125F"/>
    <w:rsid w:val="0037129F"/>
    <w:rsid w:val="003712B8"/>
    <w:rsid w:val="0037138B"/>
    <w:rsid w:val="003714D3"/>
    <w:rsid w:val="003716CD"/>
    <w:rsid w:val="00371805"/>
    <w:rsid w:val="003718A9"/>
    <w:rsid w:val="003718C8"/>
    <w:rsid w:val="003718DF"/>
    <w:rsid w:val="00371A86"/>
    <w:rsid w:val="00371B6D"/>
    <w:rsid w:val="00371BAA"/>
    <w:rsid w:val="00371BE9"/>
    <w:rsid w:val="00371E08"/>
    <w:rsid w:val="00371F2B"/>
    <w:rsid w:val="00371F7A"/>
    <w:rsid w:val="00372183"/>
    <w:rsid w:val="003722E8"/>
    <w:rsid w:val="0037238C"/>
    <w:rsid w:val="0037251A"/>
    <w:rsid w:val="003725AC"/>
    <w:rsid w:val="00372606"/>
    <w:rsid w:val="00372707"/>
    <w:rsid w:val="00372883"/>
    <w:rsid w:val="00372AF8"/>
    <w:rsid w:val="00372B3D"/>
    <w:rsid w:val="00372CA3"/>
    <w:rsid w:val="00372D16"/>
    <w:rsid w:val="00372D60"/>
    <w:rsid w:val="00372DC8"/>
    <w:rsid w:val="00373113"/>
    <w:rsid w:val="003732DA"/>
    <w:rsid w:val="00373457"/>
    <w:rsid w:val="003734DC"/>
    <w:rsid w:val="003736DE"/>
    <w:rsid w:val="00373841"/>
    <w:rsid w:val="00373950"/>
    <w:rsid w:val="00373B08"/>
    <w:rsid w:val="00373B81"/>
    <w:rsid w:val="00373D15"/>
    <w:rsid w:val="00373D45"/>
    <w:rsid w:val="00373DFD"/>
    <w:rsid w:val="00374075"/>
    <w:rsid w:val="003744CF"/>
    <w:rsid w:val="003744EE"/>
    <w:rsid w:val="00374605"/>
    <w:rsid w:val="00374733"/>
    <w:rsid w:val="0037489A"/>
    <w:rsid w:val="003748D5"/>
    <w:rsid w:val="003749D5"/>
    <w:rsid w:val="003749FC"/>
    <w:rsid w:val="00374AA2"/>
    <w:rsid w:val="00374BF8"/>
    <w:rsid w:val="00374C61"/>
    <w:rsid w:val="00374D34"/>
    <w:rsid w:val="0037512D"/>
    <w:rsid w:val="00375300"/>
    <w:rsid w:val="00375317"/>
    <w:rsid w:val="0037545A"/>
    <w:rsid w:val="00375589"/>
    <w:rsid w:val="003756AB"/>
    <w:rsid w:val="003756C0"/>
    <w:rsid w:val="00375713"/>
    <w:rsid w:val="00375897"/>
    <w:rsid w:val="003759BF"/>
    <w:rsid w:val="003759C0"/>
    <w:rsid w:val="003759D1"/>
    <w:rsid w:val="00375B1A"/>
    <w:rsid w:val="00375B68"/>
    <w:rsid w:val="00375C6E"/>
    <w:rsid w:val="00375C97"/>
    <w:rsid w:val="00375CD6"/>
    <w:rsid w:val="00375DCD"/>
    <w:rsid w:val="00375E74"/>
    <w:rsid w:val="0037609A"/>
    <w:rsid w:val="00376258"/>
    <w:rsid w:val="0037648A"/>
    <w:rsid w:val="003764ED"/>
    <w:rsid w:val="003766CF"/>
    <w:rsid w:val="00376A57"/>
    <w:rsid w:val="00376A61"/>
    <w:rsid w:val="00376A87"/>
    <w:rsid w:val="00376B0D"/>
    <w:rsid w:val="00376BB2"/>
    <w:rsid w:val="00376E39"/>
    <w:rsid w:val="00376E9C"/>
    <w:rsid w:val="00376F5E"/>
    <w:rsid w:val="0037716C"/>
    <w:rsid w:val="00377216"/>
    <w:rsid w:val="003772BC"/>
    <w:rsid w:val="0037731B"/>
    <w:rsid w:val="003773EB"/>
    <w:rsid w:val="003775AC"/>
    <w:rsid w:val="0037776D"/>
    <w:rsid w:val="0037784D"/>
    <w:rsid w:val="00377894"/>
    <w:rsid w:val="00377967"/>
    <w:rsid w:val="00377A29"/>
    <w:rsid w:val="00377AE5"/>
    <w:rsid w:val="00377BE3"/>
    <w:rsid w:val="00377C00"/>
    <w:rsid w:val="00377E6E"/>
    <w:rsid w:val="00377E8B"/>
    <w:rsid w:val="00377EEB"/>
    <w:rsid w:val="00380067"/>
    <w:rsid w:val="003801E5"/>
    <w:rsid w:val="003802DD"/>
    <w:rsid w:val="00380306"/>
    <w:rsid w:val="003804E0"/>
    <w:rsid w:val="003804F1"/>
    <w:rsid w:val="003805DE"/>
    <w:rsid w:val="00380720"/>
    <w:rsid w:val="003808EB"/>
    <w:rsid w:val="0038092B"/>
    <w:rsid w:val="003809BE"/>
    <w:rsid w:val="00380A10"/>
    <w:rsid w:val="00380A46"/>
    <w:rsid w:val="00380D2E"/>
    <w:rsid w:val="00380D93"/>
    <w:rsid w:val="00380DD1"/>
    <w:rsid w:val="00381113"/>
    <w:rsid w:val="0038133D"/>
    <w:rsid w:val="0038153E"/>
    <w:rsid w:val="0038154B"/>
    <w:rsid w:val="0038162F"/>
    <w:rsid w:val="00381790"/>
    <w:rsid w:val="003817BE"/>
    <w:rsid w:val="00381806"/>
    <w:rsid w:val="003819A2"/>
    <w:rsid w:val="00381D51"/>
    <w:rsid w:val="00381F8C"/>
    <w:rsid w:val="003821A3"/>
    <w:rsid w:val="00382361"/>
    <w:rsid w:val="0038250A"/>
    <w:rsid w:val="00382698"/>
    <w:rsid w:val="00382AD0"/>
    <w:rsid w:val="00382AD4"/>
    <w:rsid w:val="00382C60"/>
    <w:rsid w:val="00382CAA"/>
    <w:rsid w:val="00382D11"/>
    <w:rsid w:val="00382D53"/>
    <w:rsid w:val="00382F0C"/>
    <w:rsid w:val="00382F20"/>
    <w:rsid w:val="00382F23"/>
    <w:rsid w:val="00383353"/>
    <w:rsid w:val="0038361B"/>
    <w:rsid w:val="0038369B"/>
    <w:rsid w:val="003837E6"/>
    <w:rsid w:val="0038397A"/>
    <w:rsid w:val="00383A37"/>
    <w:rsid w:val="00383B8F"/>
    <w:rsid w:val="00383F4C"/>
    <w:rsid w:val="00384041"/>
    <w:rsid w:val="00384205"/>
    <w:rsid w:val="00384296"/>
    <w:rsid w:val="0038436D"/>
    <w:rsid w:val="003843A1"/>
    <w:rsid w:val="003845A4"/>
    <w:rsid w:val="003846E4"/>
    <w:rsid w:val="00384956"/>
    <w:rsid w:val="003849F2"/>
    <w:rsid w:val="00384B1B"/>
    <w:rsid w:val="00384CAC"/>
    <w:rsid w:val="00384E72"/>
    <w:rsid w:val="00384ED7"/>
    <w:rsid w:val="0038506C"/>
    <w:rsid w:val="003850D0"/>
    <w:rsid w:val="0038510C"/>
    <w:rsid w:val="00385123"/>
    <w:rsid w:val="00385152"/>
    <w:rsid w:val="003854ED"/>
    <w:rsid w:val="00385586"/>
    <w:rsid w:val="00385744"/>
    <w:rsid w:val="003859AB"/>
    <w:rsid w:val="00385B47"/>
    <w:rsid w:val="00385DF0"/>
    <w:rsid w:val="00385E78"/>
    <w:rsid w:val="00385FA7"/>
    <w:rsid w:val="003860C1"/>
    <w:rsid w:val="003863C0"/>
    <w:rsid w:val="0038640D"/>
    <w:rsid w:val="00386440"/>
    <w:rsid w:val="00386513"/>
    <w:rsid w:val="00386515"/>
    <w:rsid w:val="003865B4"/>
    <w:rsid w:val="00386739"/>
    <w:rsid w:val="003867D4"/>
    <w:rsid w:val="00386863"/>
    <w:rsid w:val="003868C4"/>
    <w:rsid w:val="00386B22"/>
    <w:rsid w:val="00386D14"/>
    <w:rsid w:val="0038707F"/>
    <w:rsid w:val="00387349"/>
    <w:rsid w:val="003873B0"/>
    <w:rsid w:val="0038767B"/>
    <w:rsid w:val="00387701"/>
    <w:rsid w:val="0038779C"/>
    <w:rsid w:val="00387C03"/>
    <w:rsid w:val="00387C86"/>
    <w:rsid w:val="00387CED"/>
    <w:rsid w:val="00387D14"/>
    <w:rsid w:val="00387D40"/>
    <w:rsid w:val="00387D6A"/>
    <w:rsid w:val="00387E28"/>
    <w:rsid w:val="00387EC7"/>
    <w:rsid w:val="00387ED5"/>
    <w:rsid w:val="00390029"/>
    <w:rsid w:val="00390106"/>
    <w:rsid w:val="003902B1"/>
    <w:rsid w:val="00390336"/>
    <w:rsid w:val="00390542"/>
    <w:rsid w:val="00390591"/>
    <w:rsid w:val="003905D5"/>
    <w:rsid w:val="00390655"/>
    <w:rsid w:val="003908B9"/>
    <w:rsid w:val="003908C7"/>
    <w:rsid w:val="003909BA"/>
    <w:rsid w:val="00390AE6"/>
    <w:rsid w:val="00390BFA"/>
    <w:rsid w:val="00390E20"/>
    <w:rsid w:val="00390FC3"/>
    <w:rsid w:val="00390FCD"/>
    <w:rsid w:val="00391117"/>
    <w:rsid w:val="00391118"/>
    <w:rsid w:val="003911D3"/>
    <w:rsid w:val="0039121A"/>
    <w:rsid w:val="0039137C"/>
    <w:rsid w:val="0039145F"/>
    <w:rsid w:val="003914DB"/>
    <w:rsid w:val="00391509"/>
    <w:rsid w:val="003917D4"/>
    <w:rsid w:val="00391892"/>
    <w:rsid w:val="00391941"/>
    <w:rsid w:val="00391B09"/>
    <w:rsid w:val="00391B0D"/>
    <w:rsid w:val="00391B6E"/>
    <w:rsid w:val="00391C90"/>
    <w:rsid w:val="00391E33"/>
    <w:rsid w:val="00391EA9"/>
    <w:rsid w:val="00391F47"/>
    <w:rsid w:val="0039206F"/>
    <w:rsid w:val="003920A1"/>
    <w:rsid w:val="00392197"/>
    <w:rsid w:val="0039283E"/>
    <w:rsid w:val="0039288D"/>
    <w:rsid w:val="003928BE"/>
    <w:rsid w:val="00392906"/>
    <w:rsid w:val="003929DC"/>
    <w:rsid w:val="00392C75"/>
    <w:rsid w:val="00392CFF"/>
    <w:rsid w:val="00392D21"/>
    <w:rsid w:val="00392E9C"/>
    <w:rsid w:val="00392E9E"/>
    <w:rsid w:val="00392EF8"/>
    <w:rsid w:val="00392F45"/>
    <w:rsid w:val="0039304A"/>
    <w:rsid w:val="0039305B"/>
    <w:rsid w:val="003930AB"/>
    <w:rsid w:val="0039322C"/>
    <w:rsid w:val="003932AC"/>
    <w:rsid w:val="003933D9"/>
    <w:rsid w:val="00393510"/>
    <w:rsid w:val="0039360A"/>
    <w:rsid w:val="003939A1"/>
    <w:rsid w:val="00393ECB"/>
    <w:rsid w:val="00393EE9"/>
    <w:rsid w:val="0039410E"/>
    <w:rsid w:val="0039425B"/>
    <w:rsid w:val="0039445F"/>
    <w:rsid w:val="003947D1"/>
    <w:rsid w:val="0039492E"/>
    <w:rsid w:val="00394B81"/>
    <w:rsid w:val="00394C5B"/>
    <w:rsid w:val="00394D84"/>
    <w:rsid w:val="00394E90"/>
    <w:rsid w:val="00394FF4"/>
    <w:rsid w:val="003950F9"/>
    <w:rsid w:val="00395172"/>
    <w:rsid w:val="003951AB"/>
    <w:rsid w:val="0039524B"/>
    <w:rsid w:val="003952ED"/>
    <w:rsid w:val="00395336"/>
    <w:rsid w:val="00395432"/>
    <w:rsid w:val="0039554C"/>
    <w:rsid w:val="003955A9"/>
    <w:rsid w:val="00395623"/>
    <w:rsid w:val="003956AD"/>
    <w:rsid w:val="003956DB"/>
    <w:rsid w:val="00395713"/>
    <w:rsid w:val="0039595E"/>
    <w:rsid w:val="003959A1"/>
    <w:rsid w:val="00395B39"/>
    <w:rsid w:val="00395B61"/>
    <w:rsid w:val="00395C51"/>
    <w:rsid w:val="00395C54"/>
    <w:rsid w:val="00395CC2"/>
    <w:rsid w:val="00395D33"/>
    <w:rsid w:val="00395FB2"/>
    <w:rsid w:val="00396180"/>
    <w:rsid w:val="00396357"/>
    <w:rsid w:val="00396458"/>
    <w:rsid w:val="00396546"/>
    <w:rsid w:val="00396672"/>
    <w:rsid w:val="003966E1"/>
    <w:rsid w:val="003968AD"/>
    <w:rsid w:val="0039692F"/>
    <w:rsid w:val="00396952"/>
    <w:rsid w:val="00396A45"/>
    <w:rsid w:val="00396BC3"/>
    <w:rsid w:val="00396D6F"/>
    <w:rsid w:val="00397181"/>
    <w:rsid w:val="003971A8"/>
    <w:rsid w:val="003971F0"/>
    <w:rsid w:val="0039732C"/>
    <w:rsid w:val="00397625"/>
    <w:rsid w:val="00397779"/>
    <w:rsid w:val="003977C4"/>
    <w:rsid w:val="003977F7"/>
    <w:rsid w:val="00397A8B"/>
    <w:rsid w:val="00397C5A"/>
    <w:rsid w:val="00397D4C"/>
    <w:rsid w:val="00397EC3"/>
    <w:rsid w:val="00397F77"/>
    <w:rsid w:val="003A00C9"/>
    <w:rsid w:val="003A01E8"/>
    <w:rsid w:val="003A0229"/>
    <w:rsid w:val="003A04D2"/>
    <w:rsid w:val="003A04D3"/>
    <w:rsid w:val="003A05EB"/>
    <w:rsid w:val="003A0743"/>
    <w:rsid w:val="003A07F2"/>
    <w:rsid w:val="003A07F7"/>
    <w:rsid w:val="003A0B40"/>
    <w:rsid w:val="003A0CB0"/>
    <w:rsid w:val="003A0DED"/>
    <w:rsid w:val="003A1296"/>
    <w:rsid w:val="003A1406"/>
    <w:rsid w:val="003A15EE"/>
    <w:rsid w:val="003A1655"/>
    <w:rsid w:val="003A17DB"/>
    <w:rsid w:val="003A17F4"/>
    <w:rsid w:val="003A19E6"/>
    <w:rsid w:val="003A1A17"/>
    <w:rsid w:val="003A1B2E"/>
    <w:rsid w:val="003A1C15"/>
    <w:rsid w:val="003A1DBA"/>
    <w:rsid w:val="003A1E20"/>
    <w:rsid w:val="003A1F41"/>
    <w:rsid w:val="003A21FE"/>
    <w:rsid w:val="003A2570"/>
    <w:rsid w:val="003A2700"/>
    <w:rsid w:val="003A275A"/>
    <w:rsid w:val="003A2810"/>
    <w:rsid w:val="003A2AA5"/>
    <w:rsid w:val="003A2B67"/>
    <w:rsid w:val="003A2C19"/>
    <w:rsid w:val="003A2CB3"/>
    <w:rsid w:val="003A2D86"/>
    <w:rsid w:val="003A3015"/>
    <w:rsid w:val="003A3062"/>
    <w:rsid w:val="003A317B"/>
    <w:rsid w:val="003A3194"/>
    <w:rsid w:val="003A33FF"/>
    <w:rsid w:val="003A341C"/>
    <w:rsid w:val="003A34C8"/>
    <w:rsid w:val="003A3539"/>
    <w:rsid w:val="003A3785"/>
    <w:rsid w:val="003A378C"/>
    <w:rsid w:val="003A379B"/>
    <w:rsid w:val="003A3878"/>
    <w:rsid w:val="003A398B"/>
    <w:rsid w:val="003A3B66"/>
    <w:rsid w:val="003A3D9A"/>
    <w:rsid w:val="003A3DB9"/>
    <w:rsid w:val="003A4007"/>
    <w:rsid w:val="003A4302"/>
    <w:rsid w:val="003A4398"/>
    <w:rsid w:val="003A4475"/>
    <w:rsid w:val="003A46C1"/>
    <w:rsid w:val="003A4AC5"/>
    <w:rsid w:val="003A4B1F"/>
    <w:rsid w:val="003A4B77"/>
    <w:rsid w:val="003A4D29"/>
    <w:rsid w:val="003A4E51"/>
    <w:rsid w:val="003A50FC"/>
    <w:rsid w:val="003A5141"/>
    <w:rsid w:val="003A52B6"/>
    <w:rsid w:val="003A5476"/>
    <w:rsid w:val="003A555C"/>
    <w:rsid w:val="003A56E0"/>
    <w:rsid w:val="003A5712"/>
    <w:rsid w:val="003A5764"/>
    <w:rsid w:val="003A58B6"/>
    <w:rsid w:val="003A594B"/>
    <w:rsid w:val="003A5B72"/>
    <w:rsid w:val="003A5C84"/>
    <w:rsid w:val="003A5CCB"/>
    <w:rsid w:val="003A5D37"/>
    <w:rsid w:val="003A5D45"/>
    <w:rsid w:val="003A5E1A"/>
    <w:rsid w:val="003A5EE1"/>
    <w:rsid w:val="003A6135"/>
    <w:rsid w:val="003A6201"/>
    <w:rsid w:val="003A6281"/>
    <w:rsid w:val="003A6506"/>
    <w:rsid w:val="003A6527"/>
    <w:rsid w:val="003A6AD4"/>
    <w:rsid w:val="003A6B67"/>
    <w:rsid w:val="003A6DCF"/>
    <w:rsid w:val="003A6DF1"/>
    <w:rsid w:val="003A6E55"/>
    <w:rsid w:val="003A6F4A"/>
    <w:rsid w:val="003A6FB7"/>
    <w:rsid w:val="003A71AB"/>
    <w:rsid w:val="003A7393"/>
    <w:rsid w:val="003A74A2"/>
    <w:rsid w:val="003A7621"/>
    <w:rsid w:val="003A7806"/>
    <w:rsid w:val="003A7843"/>
    <w:rsid w:val="003A7902"/>
    <w:rsid w:val="003A7A67"/>
    <w:rsid w:val="003A7B6E"/>
    <w:rsid w:val="003A7DC0"/>
    <w:rsid w:val="003A7E24"/>
    <w:rsid w:val="003B0118"/>
    <w:rsid w:val="003B011F"/>
    <w:rsid w:val="003B0210"/>
    <w:rsid w:val="003B0444"/>
    <w:rsid w:val="003B045E"/>
    <w:rsid w:val="003B077C"/>
    <w:rsid w:val="003B081F"/>
    <w:rsid w:val="003B0829"/>
    <w:rsid w:val="003B08D1"/>
    <w:rsid w:val="003B09E4"/>
    <w:rsid w:val="003B09FF"/>
    <w:rsid w:val="003B0A30"/>
    <w:rsid w:val="003B0A54"/>
    <w:rsid w:val="003B0BEA"/>
    <w:rsid w:val="003B0D17"/>
    <w:rsid w:val="003B0D60"/>
    <w:rsid w:val="003B1242"/>
    <w:rsid w:val="003B1257"/>
    <w:rsid w:val="003B1297"/>
    <w:rsid w:val="003B1385"/>
    <w:rsid w:val="003B1771"/>
    <w:rsid w:val="003B1798"/>
    <w:rsid w:val="003B1937"/>
    <w:rsid w:val="003B19AC"/>
    <w:rsid w:val="003B1D2F"/>
    <w:rsid w:val="003B1D58"/>
    <w:rsid w:val="003B2101"/>
    <w:rsid w:val="003B2129"/>
    <w:rsid w:val="003B221F"/>
    <w:rsid w:val="003B234D"/>
    <w:rsid w:val="003B238D"/>
    <w:rsid w:val="003B2416"/>
    <w:rsid w:val="003B2583"/>
    <w:rsid w:val="003B2661"/>
    <w:rsid w:val="003B2676"/>
    <w:rsid w:val="003B2773"/>
    <w:rsid w:val="003B284D"/>
    <w:rsid w:val="003B28E9"/>
    <w:rsid w:val="003B28F3"/>
    <w:rsid w:val="003B2991"/>
    <w:rsid w:val="003B2A28"/>
    <w:rsid w:val="003B2C6F"/>
    <w:rsid w:val="003B2C7E"/>
    <w:rsid w:val="003B2FF3"/>
    <w:rsid w:val="003B311E"/>
    <w:rsid w:val="003B3193"/>
    <w:rsid w:val="003B354B"/>
    <w:rsid w:val="003B356A"/>
    <w:rsid w:val="003B37F2"/>
    <w:rsid w:val="003B38D2"/>
    <w:rsid w:val="003B390A"/>
    <w:rsid w:val="003B3BFA"/>
    <w:rsid w:val="003B3C78"/>
    <w:rsid w:val="003B3C7B"/>
    <w:rsid w:val="003B3E08"/>
    <w:rsid w:val="003B3E5F"/>
    <w:rsid w:val="003B4009"/>
    <w:rsid w:val="003B40D5"/>
    <w:rsid w:val="003B410F"/>
    <w:rsid w:val="003B4194"/>
    <w:rsid w:val="003B41A3"/>
    <w:rsid w:val="003B43F4"/>
    <w:rsid w:val="003B4414"/>
    <w:rsid w:val="003B45B8"/>
    <w:rsid w:val="003B4602"/>
    <w:rsid w:val="003B4735"/>
    <w:rsid w:val="003B4748"/>
    <w:rsid w:val="003B47A1"/>
    <w:rsid w:val="003B48C6"/>
    <w:rsid w:val="003B4AB1"/>
    <w:rsid w:val="003B4B5B"/>
    <w:rsid w:val="003B4BED"/>
    <w:rsid w:val="003B4E30"/>
    <w:rsid w:val="003B500E"/>
    <w:rsid w:val="003B502A"/>
    <w:rsid w:val="003B515E"/>
    <w:rsid w:val="003B5233"/>
    <w:rsid w:val="003B5305"/>
    <w:rsid w:val="003B53E0"/>
    <w:rsid w:val="003B5439"/>
    <w:rsid w:val="003B5507"/>
    <w:rsid w:val="003B5514"/>
    <w:rsid w:val="003B55C6"/>
    <w:rsid w:val="003B575A"/>
    <w:rsid w:val="003B58C5"/>
    <w:rsid w:val="003B5F25"/>
    <w:rsid w:val="003B5F37"/>
    <w:rsid w:val="003B614B"/>
    <w:rsid w:val="003B6215"/>
    <w:rsid w:val="003B6230"/>
    <w:rsid w:val="003B62D4"/>
    <w:rsid w:val="003B637D"/>
    <w:rsid w:val="003B6397"/>
    <w:rsid w:val="003B6417"/>
    <w:rsid w:val="003B64BE"/>
    <w:rsid w:val="003B66FF"/>
    <w:rsid w:val="003B6788"/>
    <w:rsid w:val="003B6795"/>
    <w:rsid w:val="003B6C2F"/>
    <w:rsid w:val="003B6C6A"/>
    <w:rsid w:val="003B6CA2"/>
    <w:rsid w:val="003B6D64"/>
    <w:rsid w:val="003B6EB5"/>
    <w:rsid w:val="003B6EB8"/>
    <w:rsid w:val="003B6EBF"/>
    <w:rsid w:val="003B7178"/>
    <w:rsid w:val="003B71E9"/>
    <w:rsid w:val="003B723A"/>
    <w:rsid w:val="003B7439"/>
    <w:rsid w:val="003B7614"/>
    <w:rsid w:val="003B7641"/>
    <w:rsid w:val="003B771C"/>
    <w:rsid w:val="003B7876"/>
    <w:rsid w:val="003B7945"/>
    <w:rsid w:val="003B7A0B"/>
    <w:rsid w:val="003B7AEB"/>
    <w:rsid w:val="003B7EB6"/>
    <w:rsid w:val="003B7FDD"/>
    <w:rsid w:val="003C0005"/>
    <w:rsid w:val="003C008A"/>
    <w:rsid w:val="003C021D"/>
    <w:rsid w:val="003C035D"/>
    <w:rsid w:val="003C03A3"/>
    <w:rsid w:val="003C08CD"/>
    <w:rsid w:val="003C0904"/>
    <w:rsid w:val="003C0A9D"/>
    <w:rsid w:val="003C0BA2"/>
    <w:rsid w:val="003C0BDC"/>
    <w:rsid w:val="003C0BFF"/>
    <w:rsid w:val="003C0C75"/>
    <w:rsid w:val="003C0DF8"/>
    <w:rsid w:val="003C0FAD"/>
    <w:rsid w:val="003C10F3"/>
    <w:rsid w:val="003C1114"/>
    <w:rsid w:val="003C1175"/>
    <w:rsid w:val="003C11AE"/>
    <w:rsid w:val="003C11F4"/>
    <w:rsid w:val="003C121F"/>
    <w:rsid w:val="003C1259"/>
    <w:rsid w:val="003C16C9"/>
    <w:rsid w:val="003C17DB"/>
    <w:rsid w:val="003C18FF"/>
    <w:rsid w:val="003C1970"/>
    <w:rsid w:val="003C1B90"/>
    <w:rsid w:val="003C1BBA"/>
    <w:rsid w:val="003C1DF9"/>
    <w:rsid w:val="003C1E7E"/>
    <w:rsid w:val="003C1F23"/>
    <w:rsid w:val="003C2197"/>
    <w:rsid w:val="003C21E5"/>
    <w:rsid w:val="003C220F"/>
    <w:rsid w:val="003C2325"/>
    <w:rsid w:val="003C2563"/>
    <w:rsid w:val="003C25FF"/>
    <w:rsid w:val="003C2656"/>
    <w:rsid w:val="003C2681"/>
    <w:rsid w:val="003C2721"/>
    <w:rsid w:val="003C27A8"/>
    <w:rsid w:val="003C28BD"/>
    <w:rsid w:val="003C28D2"/>
    <w:rsid w:val="003C28D8"/>
    <w:rsid w:val="003C2A2F"/>
    <w:rsid w:val="003C2B9C"/>
    <w:rsid w:val="003C2BB6"/>
    <w:rsid w:val="003C2F20"/>
    <w:rsid w:val="003C2FAE"/>
    <w:rsid w:val="003C2FC1"/>
    <w:rsid w:val="003C2FE3"/>
    <w:rsid w:val="003C2FF9"/>
    <w:rsid w:val="003C307E"/>
    <w:rsid w:val="003C30B2"/>
    <w:rsid w:val="003C31DF"/>
    <w:rsid w:val="003C3262"/>
    <w:rsid w:val="003C327F"/>
    <w:rsid w:val="003C34C6"/>
    <w:rsid w:val="003C35D2"/>
    <w:rsid w:val="003C3707"/>
    <w:rsid w:val="003C371E"/>
    <w:rsid w:val="003C37A0"/>
    <w:rsid w:val="003C3A1B"/>
    <w:rsid w:val="003C3A95"/>
    <w:rsid w:val="003C3D37"/>
    <w:rsid w:val="003C3DF7"/>
    <w:rsid w:val="003C3E0E"/>
    <w:rsid w:val="003C3E47"/>
    <w:rsid w:val="003C3F74"/>
    <w:rsid w:val="003C3F82"/>
    <w:rsid w:val="003C3FCB"/>
    <w:rsid w:val="003C4134"/>
    <w:rsid w:val="003C41D8"/>
    <w:rsid w:val="003C433A"/>
    <w:rsid w:val="003C43E9"/>
    <w:rsid w:val="003C4577"/>
    <w:rsid w:val="003C457E"/>
    <w:rsid w:val="003C478A"/>
    <w:rsid w:val="003C4991"/>
    <w:rsid w:val="003C4A6A"/>
    <w:rsid w:val="003C4AD7"/>
    <w:rsid w:val="003C4BA4"/>
    <w:rsid w:val="003C4BF5"/>
    <w:rsid w:val="003C50EF"/>
    <w:rsid w:val="003C51FA"/>
    <w:rsid w:val="003C53FD"/>
    <w:rsid w:val="003C5423"/>
    <w:rsid w:val="003C5438"/>
    <w:rsid w:val="003C548D"/>
    <w:rsid w:val="003C548F"/>
    <w:rsid w:val="003C5557"/>
    <w:rsid w:val="003C55C0"/>
    <w:rsid w:val="003C55F5"/>
    <w:rsid w:val="003C5682"/>
    <w:rsid w:val="003C568C"/>
    <w:rsid w:val="003C5999"/>
    <w:rsid w:val="003C59D0"/>
    <w:rsid w:val="003C5B15"/>
    <w:rsid w:val="003C5B19"/>
    <w:rsid w:val="003C5B22"/>
    <w:rsid w:val="003C5C8D"/>
    <w:rsid w:val="003C5D04"/>
    <w:rsid w:val="003C5F23"/>
    <w:rsid w:val="003C5F60"/>
    <w:rsid w:val="003C6185"/>
    <w:rsid w:val="003C623F"/>
    <w:rsid w:val="003C627C"/>
    <w:rsid w:val="003C63BE"/>
    <w:rsid w:val="003C643D"/>
    <w:rsid w:val="003C657C"/>
    <w:rsid w:val="003C657F"/>
    <w:rsid w:val="003C66CA"/>
    <w:rsid w:val="003C695E"/>
    <w:rsid w:val="003C697C"/>
    <w:rsid w:val="003C6B03"/>
    <w:rsid w:val="003C6EA5"/>
    <w:rsid w:val="003C6EF4"/>
    <w:rsid w:val="003C7054"/>
    <w:rsid w:val="003C7071"/>
    <w:rsid w:val="003C7420"/>
    <w:rsid w:val="003C7508"/>
    <w:rsid w:val="003C75F3"/>
    <w:rsid w:val="003C768C"/>
    <w:rsid w:val="003C7830"/>
    <w:rsid w:val="003C7847"/>
    <w:rsid w:val="003C78AA"/>
    <w:rsid w:val="003C7988"/>
    <w:rsid w:val="003C7B4E"/>
    <w:rsid w:val="003C7BF9"/>
    <w:rsid w:val="003C7CFE"/>
    <w:rsid w:val="003D008A"/>
    <w:rsid w:val="003D00FA"/>
    <w:rsid w:val="003D01B5"/>
    <w:rsid w:val="003D01CF"/>
    <w:rsid w:val="003D01FF"/>
    <w:rsid w:val="003D095E"/>
    <w:rsid w:val="003D0A45"/>
    <w:rsid w:val="003D0A4B"/>
    <w:rsid w:val="003D0AA3"/>
    <w:rsid w:val="003D0AD2"/>
    <w:rsid w:val="003D0AF5"/>
    <w:rsid w:val="003D0B6D"/>
    <w:rsid w:val="003D0B90"/>
    <w:rsid w:val="003D0D2F"/>
    <w:rsid w:val="003D0D7E"/>
    <w:rsid w:val="003D0DF5"/>
    <w:rsid w:val="003D137C"/>
    <w:rsid w:val="003D13B9"/>
    <w:rsid w:val="003D14C7"/>
    <w:rsid w:val="003D1562"/>
    <w:rsid w:val="003D17D9"/>
    <w:rsid w:val="003D185C"/>
    <w:rsid w:val="003D197D"/>
    <w:rsid w:val="003D1993"/>
    <w:rsid w:val="003D1A00"/>
    <w:rsid w:val="003D1B36"/>
    <w:rsid w:val="003D1B6B"/>
    <w:rsid w:val="003D1C9E"/>
    <w:rsid w:val="003D2102"/>
    <w:rsid w:val="003D25A1"/>
    <w:rsid w:val="003D25E0"/>
    <w:rsid w:val="003D269A"/>
    <w:rsid w:val="003D26AD"/>
    <w:rsid w:val="003D27B8"/>
    <w:rsid w:val="003D2952"/>
    <w:rsid w:val="003D2A77"/>
    <w:rsid w:val="003D2C23"/>
    <w:rsid w:val="003D2C78"/>
    <w:rsid w:val="003D2CDD"/>
    <w:rsid w:val="003D2E3E"/>
    <w:rsid w:val="003D2E4D"/>
    <w:rsid w:val="003D30AF"/>
    <w:rsid w:val="003D3458"/>
    <w:rsid w:val="003D3591"/>
    <w:rsid w:val="003D3785"/>
    <w:rsid w:val="003D37A3"/>
    <w:rsid w:val="003D38B2"/>
    <w:rsid w:val="003D3954"/>
    <w:rsid w:val="003D3997"/>
    <w:rsid w:val="003D39C1"/>
    <w:rsid w:val="003D39D6"/>
    <w:rsid w:val="003D3CBC"/>
    <w:rsid w:val="003D3D37"/>
    <w:rsid w:val="003D3F79"/>
    <w:rsid w:val="003D4083"/>
    <w:rsid w:val="003D41B9"/>
    <w:rsid w:val="003D438B"/>
    <w:rsid w:val="003D450D"/>
    <w:rsid w:val="003D4589"/>
    <w:rsid w:val="003D45CE"/>
    <w:rsid w:val="003D47C5"/>
    <w:rsid w:val="003D47DF"/>
    <w:rsid w:val="003D48DD"/>
    <w:rsid w:val="003D48E6"/>
    <w:rsid w:val="003D4943"/>
    <w:rsid w:val="003D4D74"/>
    <w:rsid w:val="003D4DE1"/>
    <w:rsid w:val="003D504C"/>
    <w:rsid w:val="003D506F"/>
    <w:rsid w:val="003D5095"/>
    <w:rsid w:val="003D541D"/>
    <w:rsid w:val="003D5580"/>
    <w:rsid w:val="003D573E"/>
    <w:rsid w:val="003D57C5"/>
    <w:rsid w:val="003D57EB"/>
    <w:rsid w:val="003D5A65"/>
    <w:rsid w:val="003D5B5F"/>
    <w:rsid w:val="003D5B85"/>
    <w:rsid w:val="003D5C6F"/>
    <w:rsid w:val="003D5F6C"/>
    <w:rsid w:val="003D611A"/>
    <w:rsid w:val="003D6194"/>
    <w:rsid w:val="003D6431"/>
    <w:rsid w:val="003D64C0"/>
    <w:rsid w:val="003D64E5"/>
    <w:rsid w:val="003D668B"/>
    <w:rsid w:val="003D66D5"/>
    <w:rsid w:val="003D6822"/>
    <w:rsid w:val="003D695E"/>
    <w:rsid w:val="003D6BF7"/>
    <w:rsid w:val="003D6D7B"/>
    <w:rsid w:val="003D6F16"/>
    <w:rsid w:val="003D6F27"/>
    <w:rsid w:val="003D6F7E"/>
    <w:rsid w:val="003D7081"/>
    <w:rsid w:val="003D71E7"/>
    <w:rsid w:val="003D7240"/>
    <w:rsid w:val="003D72FD"/>
    <w:rsid w:val="003D7338"/>
    <w:rsid w:val="003D73B9"/>
    <w:rsid w:val="003D754D"/>
    <w:rsid w:val="003D76B3"/>
    <w:rsid w:val="003D776B"/>
    <w:rsid w:val="003D7A19"/>
    <w:rsid w:val="003D7A98"/>
    <w:rsid w:val="003D7B7C"/>
    <w:rsid w:val="003D7C7D"/>
    <w:rsid w:val="003D7D32"/>
    <w:rsid w:val="003D7DC7"/>
    <w:rsid w:val="003D7E2F"/>
    <w:rsid w:val="003D7FF1"/>
    <w:rsid w:val="003E0214"/>
    <w:rsid w:val="003E0330"/>
    <w:rsid w:val="003E03C2"/>
    <w:rsid w:val="003E03F5"/>
    <w:rsid w:val="003E0575"/>
    <w:rsid w:val="003E05C2"/>
    <w:rsid w:val="003E0623"/>
    <w:rsid w:val="003E0688"/>
    <w:rsid w:val="003E07D2"/>
    <w:rsid w:val="003E087D"/>
    <w:rsid w:val="003E08EE"/>
    <w:rsid w:val="003E09C2"/>
    <w:rsid w:val="003E0A06"/>
    <w:rsid w:val="003E0AD6"/>
    <w:rsid w:val="003E0C65"/>
    <w:rsid w:val="003E0E05"/>
    <w:rsid w:val="003E0EF6"/>
    <w:rsid w:val="003E0F5B"/>
    <w:rsid w:val="003E0FD9"/>
    <w:rsid w:val="003E129A"/>
    <w:rsid w:val="003E14C7"/>
    <w:rsid w:val="003E179F"/>
    <w:rsid w:val="003E17F9"/>
    <w:rsid w:val="003E1972"/>
    <w:rsid w:val="003E19AE"/>
    <w:rsid w:val="003E19CC"/>
    <w:rsid w:val="003E1AE9"/>
    <w:rsid w:val="003E1B60"/>
    <w:rsid w:val="003E1BE8"/>
    <w:rsid w:val="003E1BF6"/>
    <w:rsid w:val="003E217F"/>
    <w:rsid w:val="003E21D5"/>
    <w:rsid w:val="003E2315"/>
    <w:rsid w:val="003E23E6"/>
    <w:rsid w:val="003E2481"/>
    <w:rsid w:val="003E248C"/>
    <w:rsid w:val="003E279A"/>
    <w:rsid w:val="003E27D1"/>
    <w:rsid w:val="003E2988"/>
    <w:rsid w:val="003E29C0"/>
    <w:rsid w:val="003E2BFF"/>
    <w:rsid w:val="003E2CCF"/>
    <w:rsid w:val="003E2D3F"/>
    <w:rsid w:val="003E2EF4"/>
    <w:rsid w:val="003E2FC8"/>
    <w:rsid w:val="003E306E"/>
    <w:rsid w:val="003E30A3"/>
    <w:rsid w:val="003E30AA"/>
    <w:rsid w:val="003E314F"/>
    <w:rsid w:val="003E31C8"/>
    <w:rsid w:val="003E31D7"/>
    <w:rsid w:val="003E3211"/>
    <w:rsid w:val="003E32D3"/>
    <w:rsid w:val="003E34C8"/>
    <w:rsid w:val="003E3617"/>
    <w:rsid w:val="003E389C"/>
    <w:rsid w:val="003E38A7"/>
    <w:rsid w:val="003E3A97"/>
    <w:rsid w:val="003E3C10"/>
    <w:rsid w:val="003E3C83"/>
    <w:rsid w:val="003E3D60"/>
    <w:rsid w:val="003E3F2B"/>
    <w:rsid w:val="003E3F64"/>
    <w:rsid w:val="003E3FF3"/>
    <w:rsid w:val="003E4010"/>
    <w:rsid w:val="003E403B"/>
    <w:rsid w:val="003E4118"/>
    <w:rsid w:val="003E434D"/>
    <w:rsid w:val="003E453A"/>
    <w:rsid w:val="003E4709"/>
    <w:rsid w:val="003E4879"/>
    <w:rsid w:val="003E48E8"/>
    <w:rsid w:val="003E49EB"/>
    <w:rsid w:val="003E4A13"/>
    <w:rsid w:val="003E4A99"/>
    <w:rsid w:val="003E4F9B"/>
    <w:rsid w:val="003E4FB0"/>
    <w:rsid w:val="003E5190"/>
    <w:rsid w:val="003E521E"/>
    <w:rsid w:val="003E5258"/>
    <w:rsid w:val="003E54CF"/>
    <w:rsid w:val="003E5504"/>
    <w:rsid w:val="003E5576"/>
    <w:rsid w:val="003E57A3"/>
    <w:rsid w:val="003E5828"/>
    <w:rsid w:val="003E584B"/>
    <w:rsid w:val="003E5AB8"/>
    <w:rsid w:val="003E5AFB"/>
    <w:rsid w:val="003E5B74"/>
    <w:rsid w:val="003E5BF7"/>
    <w:rsid w:val="003E5D21"/>
    <w:rsid w:val="003E5D5B"/>
    <w:rsid w:val="003E5D6D"/>
    <w:rsid w:val="003E5DA4"/>
    <w:rsid w:val="003E5EDE"/>
    <w:rsid w:val="003E5F59"/>
    <w:rsid w:val="003E605F"/>
    <w:rsid w:val="003E6200"/>
    <w:rsid w:val="003E62CB"/>
    <w:rsid w:val="003E6320"/>
    <w:rsid w:val="003E6914"/>
    <w:rsid w:val="003E6A7D"/>
    <w:rsid w:val="003E6BD1"/>
    <w:rsid w:val="003E6EBC"/>
    <w:rsid w:val="003E6F5A"/>
    <w:rsid w:val="003E6F5F"/>
    <w:rsid w:val="003E7344"/>
    <w:rsid w:val="003E74CA"/>
    <w:rsid w:val="003E758F"/>
    <w:rsid w:val="003E760B"/>
    <w:rsid w:val="003E765C"/>
    <w:rsid w:val="003E78F4"/>
    <w:rsid w:val="003E7924"/>
    <w:rsid w:val="003E7AE8"/>
    <w:rsid w:val="003E7AF4"/>
    <w:rsid w:val="003E7C57"/>
    <w:rsid w:val="003E7E86"/>
    <w:rsid w:val="003F0030"/>
    <w:rsid w:val="003F00F7"/>
    <w:rsid w:val="003F01E6"/>
    <w:rsid w:val="003F02A5"/>
    <w:rsid w:val="003F02F3"/>
    <w:rsid w:val="003F05A9"/>
    <w:rsid w:val="003F06E4"/>
    <w:rsid w:val="003F09C2"/>
    <w:rsid w:val="003F0AA2"/>
    <w:rsid w:val="003F0DD2"/>
    <w:rsid w:val="003F0E68"/>
    <w:rsid w:val="003F1185"/>
    <w:rsid w:val="003F11BA"/>
    <w:rsid w:val="003F11D4"/>
    <w:rsid w:val="003F1528"/>
    <w:rsid w:val="003F1788"/>
    <w:rsid w:val="003F1836"/>
    <w:rsid w:val="003F184A"/>
    <w:rsid w:val="003F1A02"/>
    <w:rsid w:val="003F1A88"/>
    <w:rsid w:val="003F1B8E"/>
    <w:rsid w:val="003F1C15"/>
    <w:rsid w:val="003F1D79"/>
    <w:rsid w:val="003F1E98"/>
    <w:rsid w:val="003F2108"/>
    <w:rsid w:val="003F21D2"/>
    <w:rsid w:val="003F229B"/>
    <w:rsid w:val="003F22DE"/>
    <w:rsid w:val="003F232C"/>
    <w:rsid w:val="003F2523"/>
    <w:rsid w:val="003F25B3"/>
    <w:rsid w:val="003F261B"/>
    <w:rsid w:val="003F27A4"/>
    <w:rsid w:val="003F29CD"/>
    <w:rsid w:val="003F2BBD"/>
    <w:rsid w:val="003F30ED"/>
    <w:rsid w:val="003F336C"/>
    <w:rsid w:val="003F36BC"/>
    <w:rsid w:val="003F36CF"/>
    <w:rsid w:val="003F3826"/>
    <w:rsid w:val="003F3923"/>
    <w:rsid w:val="003F3BEB"/>
    <w:rsid w:val="003F3C8F"/>
    <w:rsid w:val="003F3DBF"/>
    <w:rsid w:val="003F409D"/>
    <w:rsid w:val="003F4118"/>
    <w:rsid w:val="003F4131"/>
    <w:rsid w:val="003F4253"/>
    <w:rsid w:val="003F42B4"/>
    <w:rsid w:val="003F4428"/>
    <w:rsid w:val="003F4546"/>
    <w:rsid w:val="003F4569"/>
    <w:rsid w:val="003F4635"/>
    <w:rsid w:val="003F4741"/>
    <w:rsid w:val="003F474B"/>
    <w:rsid w:val="003F4750"/>
    <w:rsid w:val="003F485D"/>
    <w:rsid w:val="003F4961"/>
    <w:rsid w:val="003F4967"/>
    <w:rsid w:val="003F4A5B"/>
    <w:rsid w:val="003F4B7A"/>
    <w:rsid w:val="003F4E2B"/>
    <w:rsid w:val="003F512E"/>
    <w:rsid w:val="003F56CE"/>
    <w:rsid w:val="003F56CF"/>
    <w:rsid w:val="003F595E"/>
    <w:rsid w:val="003F5C5C"/>
    <w:rsid w:val="003F5CFE"/>
    <w:rsid w:val="003F5D8E"/>
    <w:rsid w:val="003F5DA8"/>
    <w:rsid w:val="003F5E63"/>
    <w:rsid w:val="003F5F73"/>
    <w:rsid w:val="003F5FAB"/>
    <w:rsid w:val="003F60C6"/>
    <w:rsid w:val="003F6134"/>
    <w:rsid w:val="003F61E1"/>
    <w:rsid w:val="003F6280"/>
    <w:rsid w:val="003F62FC"/>
    <w:rsid w:val="003F6367"/>
    <w:rsid w:val="003F6442"/>
    <w:rsid w:val="003F664D"/>
    <w:rsid w:val="003F6690"/>
    <w:rsid w:val="003F672A"/>
    <w:rsid w:val="003F6732"/>
    <w:rsid w:val="003F6766"/>
    <w:rsid w:val="003F68DE"/>
    <w:rsid w:val="003F69CF"/>
    <w:rsid w:val="003F6B27"/>
    <w:rsid w:val="003F6B96"/>
    <w:rsid w:val="003F6F5E"/>
    <w:rsid w:val="003F71CA"/>
    <w:rsid w:val="003F730A"/>
    <w:rsid w:val="003F73A9"/>
    <w:rsid w:val="003F73DF"/>
    <w:rsid w:val="003F74C2"/>
    <w:rsid w:val="003F74FD"/>
    <w:rsid w:val="003F762E"/>
    <w:rsid w:val="003F774F"/>
    <w:rsid w:val="003F78F6"/>
    <w:rsid w:val="003F790C"/>
    <w:rsid w:val="003F791E"/>
    <w:rsid w:val="003F7A8E"/>
    <w:rsid w:val="003F7CDA"/>
    <w:rsid w:val="003F7D04"/>
    <w:rsid w:val="003F7EC0"/>
    <w:rsid w:val="003F7EC4"/>
    <w:rsid w:val="003F7EC7"/>
    <w:rsid w:val="003F7F9A"/>
    <w:rsid w:val="004000AF"/>
    <w:rsid w:val="00400179"/>
    <w:rsid w:val="00400572"/>
    <w:rsid w:val="0040060C"/>
    <w:rsid w:val="004006A9"/>
    <w:rsid w:val="0040082F"/>
    <w:rsid w:val="00400935"/>
    <w:rsid w:val="00400986"/>
    <w:rsid w:val="00400CE8"/>
    <w:rsid w:val="00400D09"/>
    <w:rsid w:val="00400F24"/>
    <w:rsid w:val="00400F53"/>
    <w:rsid w:val="004010EF"/>
    <w:rsid w:val="00401258"/>
    <w:rsid w:val="0040129C"/>
    <w:rsid w:val="0040129F"/>
    <w:rsid w:val="00401627"/>
    <w:rsid w:val="0040171C"/>
    <w:rsid w:val="004017D2"/>
    <w:rsid w:val="004017D4"/>
    <w:rsid w:val="004017EA"/>
    <w:rsid w:val="0040184B"/>
    <w:rsid w:val="00401873"/>
    <w:rsid w:val="0040196F"/>
    <w:rsid w:val="004019F4"/>
    <w:rsid w:val="00401A35"/>
    <w:rsid w:val="00401A4E"/>
    <w:rsid w:val="00401CE1"/>
    <w:rsid w:val="00401D2C"/>
    <w:rsid w:val="00401E24"/>
    <w:rsid w:val="00401F99"/>
    <w:rsid w:val="00402064"/>
    <w:rsid w:val="0040220A"/>
    <w:rsid w:val="00402332"/>
    <w:rsid w:val="00402416"/>
    <w:rsid w:val="0040247D"/>
    <w:rsid w:val="00402507"/>
    <w:rsid w:val="00402643"/>
    <w:rsid w:val="00402785"/>
    <w:rsid w:val="004027F6"/>
    <w:rsid w:val="00402885"/>
    <w:rsid w:val="004029AC"/>
    <w:rsid w:val="004029C6"/>
    <w:rsid w:val="00402B7E"/>
    <w:rsid w:val="00402CFE"/>
    <w:rsid w:val="00402D18"/>
    <w:rsid w:val="00403053"/>
    <w:rsid w:val="004032ED"/>
    <w:rsid w:val="0040331D"/>
    <w:rsid w:val="0040337A"/>
    <w:rsid w:val="004034E9"/>
    <w:rsid w:val="0040375D"/>
    <w:rsid w:val="00403843"/>
    <w:rsid w:val="00403881"/>
    <w:rsid w:val="00403B00"/>
    <w:rsid w:val="00403BBD"/>
    <w:rsid w:val="00403C1B"/>
    <w:rsid w:val="00403EB3"/>
    <w:rsid w:val="00403F95"/>
    <w:rsid w:val="0040400C"/>
    <w:rsid w:val="00404027"/>
    <w:rsid w:val="00404359"/>
    <w:rsid w:val="0040447D"/>
    <w:rsid w:val="00404623"/>
    <w:rsid w:val="00404687"/>
    <w:rsid w:val="0040474A"/>
    <w:rsid w:val="00404792"/>
    <w:rsid w:val="00404973"/>
    <w:rsid w:val="00404A67"/>
    <w:rsid w:val="00404E16"/>
    <w:rsid w:val="00404EB7"/>
    <w:rsid w:val="00404FAA"/>
    <w:rsid w:val="004051B7"/>
    <w:rsid w:val="004051E7"/>
    <w:rsid w:val="004054BD"/>
    <w:rsid w:val="0040552B"/>
    <w:rsid w:val="00405598"/>
    <w:rsid w:val="00405682"/>
    <w:rsid w:val="00405848"/>
    <w:rsid w:val="004058D4"/>
    <w:rsid w:val="0040591A"/>
    <w:rsid w:val="004059FD"/>
    <w:rsid w:val="00405B97"/>
    <w:rsid w:val="004061A8"/>
    <w:rsid w:val="0040651B"/>
    <w:rsid w:val="00406674"/>
    <w:rsid w:val="00406766"/>
    <w:rsid w:val="004068F9"/>
    <w:rsid w:val="00406A41"/>
    <w:rsid w:val="00406A44"/>
    <w:rsid w:val="00406AB6"/>
    <w:rsid w:val="00406B5C"/>
    <w:rsid w:val="00406C06"/>
    <w:rsid w:val="00406C2A"/>
    <w:rsid w:val="00406C61"/>
    <w:rsid w:val="00406ED8"/>
    <w:rsid w:val="004070F8"/>
    <w:rsid w:val="00407201"/>
    <w:rsid w:val="0040724B"/>
    <w:rsid w:val="004072BD"/>
    <w:rsid w:val="004073B5"/>
    <w:rsid w:val="00407507"/>
    <w:rsid w:val="004075CE"/>
    <w:rsid w:val="004075E4"/>
    <w:rsid w:val="0040761A"/>
    <w:rsid w:val="004076FD"/>
    <w:rsid w:val="00407790"/>
    <w:rsid w:val="004079C3"/>
    <w:rsid w:val="00407AEA"/>
    <w:rsid w:val="00407D25"/>
    <w:rsid w:val="00407DF8"/>
    <w:rsid w:val="00407E2C"/>
    <w:rsid w:val="00407E47"/>
    <w:rsid w:val="00407E57"/>
    <w:rsid w:val="00407EC5"/>
    <w:rsid w:val="00407F21"/>
    <w:rsid w:val="0041009B"/>
    <w:rsid w:val="004102C3"/>
    <w:rsid w:val="004103D8"/>
    <w:rsid w:val="00410504"/>
    <w:rsid w:val="004106FB"/>
    <w:rsid w:val="004107B6"/>
    <w:rsid w:val="00410AC6"/>
    <w:rsid w:val="00410D5D"/>
    <w:rsid w:val="00410D91"/>
    <w:rsid w:val="00410E72"/>
    <w:rsid w:val="00411015"/>
    <w:rsid w:val="00411031"/>
    <w:rsid w:val="00411095"/>
    <w:rsid w:val="0041122B"/>
    <w:rsid w:val="0041133F"/>
    <w:rsid w:val="004113B5"/>
    <w:rsid w:val="004113D1"/>
    <w:rsid w:val="004114CC"/>
    <w:rsid w:val="004115B9"/>
    <w:rsid w:val="004115E7"/>
    <w:rsid w:val="00411736"/>
    <w:rsid w:val="004117E6"/>
    <w:rsid w:val="00411851"/>
    <w:rsid w:val="004118A9"/>
    <w:rsid w:val="00411C7C"/>
    <w:rsid w:val="00411DA7"/>
    <w:rsid w:val="00411EAE"/>
    <w:rsid w:val="00411F51"/>
    <w:rsid w:val="00411F8D"/>
    <w:rsid w:val="00412115"/>
    <w:rsid w:val="00412305"/>
    <w:rsid w:val="0041231B"/>
    <w:rsid w:val="004123CF"/>
    <w:rsid w:val="00412734"/>
    <w:rsid w:val="00412833"/>
    <w:rsid w:val="00412915"/>
    <w:rsid w:val="004129D3"/>
    <w:rsid w:val="00412A89"/>
    <w:rsid w:val="00412B1A"/>
    <w:rsid w:val="00412E7F"/>
    <w:rsid w:val="0041301E"/>
    <w:rsid w:val="004133FF"/>
    <w:rsid w:val="004136FB"/>
    <w:rsid w:val="0041375A"/>
    <w:rsid w:val="0041382F"/>
    <w:rsid w:val="00413A04"/>
    <w:rsid w:val="00413A76"/>
    <w:rsid w:val="00413AC4"/>
    <w:rsid w:val="00413BEA"/>
    <w:rsid w:val="00413C6E"/>
    <w:rsid w:val="00413D36"/>
    <w:rsid w:val="00413DFF"/>
    <w:rsid w:val="00413F3D"/>
    <w:rsid w:val="0041427B"/>
    <w:rsid w:val="004143F2"/>
    <w:rsid w:val="00414478"/>
    <w:rsid w:val="004147F2"/>
    <w:rsid w:val="00414852"/>
    <w:rsid w:val="00414858"/>
    <w:rsid w:val="0041485E"/>
    <w:rsid w:val="004149A5"/>
    <w:rsid w:val="00414A55"/>
    <w:rsid w:val="00414D22"/>
    <w:rsid w:val="00414DFA"/>
    <w:rsid w:val="00414F52"/>
    <w:rsid w:val="00414F53"/>
    <w:rsid w:val="00415167"/>
    <w:rsid w:val="0041517F"/>
    <w:rsid w:val="00415182"/>
    <w:rsid w:val="004154D6"/>
    <w:rsid w:val="00415519"/>
    <w:rsid w:val="0041556F"/>
    <w:rsid w:val="004155C2"/>
    <w:rsid w:val="00415724"/>
    <w:rsid w:val="0041576A"/>
    <w:rsid w:val="00415770"/>
    <w:rsid w:val="00415830"/>
    <w:rsid w:val="0041586B"/>
    <w:rsid w:val="004158E8"/>
    <w:rsid w:val="00415929"/>
    <w:rsid w:val="00415942"/>
    <w:rsid w:val="00415B05"/>
    <w:rsid w:val="00415B1F"/>
    <w:rsid w:val="00415C30"/>
    <w:rsid w:val="00415EA5"/>
    <w:rsid w:val="0041601A"/>
    <w:rsid w:val="00416153"/>
    <w:rsid w:val="004163FB"/>
    <w:rsid w:val="00416838"/>
    <w:rsid w:val="004168BB"/>
    <w:rsid w:val="00416948"/>
    <w:rsid w:val="00416C28"/>
    <w:rsid w:val="00416C83"/>
    <w:rsid w:val="00416C8F"/>
    <w:rsid w:val="00416D71"/>
    <w:rsid w:val="00416DA7"/>
    <w:rsid w:val="00417134"/>
    <w:rsid w:val="00417212"/>
    <w:rsid w:val="00417241"/>
    <w:rsid w:val="0041730B"/>
    <w:rsid w:val="004173A4"/>
    <w:rsid w:val="004173E4"/>
    <w:rsid w:val="00417616"/>
    <w:rsid w:val="004177EC"/>
    <w:rsid w:val="004177F2"/>
    <w:rsid w:val="00417A84"/>
    <w:rsid w:val="00417B3D"/>
    <w:rsid w:val="00417FF5"/>
    <w:rsid w:val="00420155"/>
    <w:rsid w:val="00420254"/>
    <w:rsid w:val="0042039D"/>
    <w:rsid w:val="004205CA"/>
    <w:rsid w:val="004206DF"/>
    <w:rsid w:val="0042075C"/>
    <w:rsid w:val="00420833"/>
    <w:rsid w:val="00420B50"/>
    <w:rsid w:val="00420BE6"/>
    <w:rsid w:val="00420D9E"/>
    <w:rsid w:val="00420E0D"/>
    <w:rsid w:val="0042110C"/>
    <w:rsid w:val="00421158"/>
    <w:rsid w:val="0042115C"/>
    <w:rsid w:val="004211B8"/>
    <w:rsid w:val="00421230"/>
    <w:rsid w:val="004213E3"/>
    <w:rsid w:val="00421549"/>
    <w:rsid w:val="00421727"/>
    <w:rsid w:val="00421848"/>
    <w:rsid w:val="00421AD9"/>
    <w:rsid w:val="00421ADA"/>
    <w:rsid w:val="00421E06"/>
    <w:rsid w:val="00421E6F"/>
    <w:rsid w:val="00421E96"/>
    <w:rsid w:val="0042204A"/>
    <w:rsid w:val="00422237"/>
    <w:rsid w:val="00422277"/>
    <w:rsid w:val="0042228E"/>
    <w:rsid w:val="00422370"/>
    <w:rsid w:val="004223C0"/>
    <w:rsid w:val="0042247D"/>
    <w:rsid w:val="0042264B"/>
    <w:rsid w:val="004226D4"/>
    <w:rsid w:val="00422785"/>
    <w:rsid w:val="00422962"/>
    <w:rsid w:val="0042299E"/>
    <w:rsid w:val="004229E6"/>
    <w:rsid w:val="004229ED"/>
    <w:rsid w:val="00422BBF"/>
    <w:rsid w:val="00422C49"/>
    <w:rsid w:val="00422D88"/>
    <w:rsid w:val="00422EA0"/>
    <w:rsid w:val="00422F01"/>
    <w:rsid w:val="00422FB9"/>
    <w:rsid w:val="0042308D"/>
    <w:rsid w:val="0042331B"/>
    <w:rsid w:val="00423696"/>
    <w:rsid w:val="004236D2"/>
    <w:rsid w:val="0042382F"/>
    <w:rsid w:val="00423ACA"/>
    <w:rsid w:val="00423B47"/>
    <w:rsid w:val="00423C0E"/>
    <w:rsid w:val="00423C55"/>
    <w:rsid w:val="00423DF0"/>
    <w:rsid w:val="004240F0"/>
    <w:rsid w:val="00424204"/>
    <w:rsid w:val="00424337"/>
    <w:rsid w:val="004244F9"/>
    <w:rsid w:val="004246A6"/>
    <w:rsid w:val="004248C7"/>
    <w:rsid w:val="004248D5"/>
    <w:rsid w:val="00424C11"/>
    <w:rsid w:val="00424D42"/>
    <w:rsid w:val="00424E0A"/>
    <w:rsid w:val="00425109"/>
    <w:rsid w:val="00425272"/>
    <w:rsid w:val="004254B9"/>
    <w:rsid w:val="0042555A"/>
    <w:rsid w:val="004256CB"/>
    <w:rsid w:val="00425772"/>
    <w:rsid w:val="004257F2"/>
    <w:rsid w:val="00425904"/>
    <w:rsid w:val="004259CF"/>
    <w:rsid w:val="00425C32"/>
    <w:rsid w:val="00425C81"/>
    <w:rsid w:val="00425DCD"/>
    <w:rsid w:val="00425E28"/>
    <w:rsid w:val="0042602C"/>
    <w:rsid w:val="00426145"/>
    <w:rsid w:val="00426303"/>
    <w:rsid w:val="00426397"/>
    <w:rsid w:val="0042646B"/>
    <w:rsid w:val="004266E7"/>
    <w:rsid w:val="0042670D"/>
    <w:rsid w:val="00426A0A"/>
    <w:rsid w:val="00426A3D"/>
    <w:rsid w:val="00426B1B"/>
    <w:rsid w:val="00426BEF"/>
    <w:rsid w:val="00426C17"/>
    <w:rsid w:val="00426C2A"/>
    <w:rsid w:val="00426D89"/>
    <w:rsid w:val="00426E58"/>
    <w:rsid w:val="00426F08"/>
    <w:rsid w:val="00426FA6"/>
    <w:rsid w:val="0042715D"/>
    <w:rsid w:val="00427228"/>
    <w:rsid w:val="00427285"/>
    <w:rsid w:val="00427354"/>
    <w:rsid w:val="00427377"/>
    <w:rsid w:val="004273A9"/>
    <w:rsid w:val="004273E4"/>
    <w:rsid w:val="00427485"/>
    <w:rsid w:val="004275BE"/>
    <w:rsid w:val="004276F8"/>
    <w:rsid w:val="00427787"/>
    <w:rsid w:val="004277A0"/>
    <w:rsid w:val="00427874"/>
    <w:rsid w:val="004278C0"/>
    <w:rsid w:val="0042795E"/>
    <w:rsid w:val="00427AFC"/>
    <w:rsid w:val="00427BCC"/>
    <w:rsid w:val="00427D67"/>
    <w:rsid w:val="00427D6F"/>
    <w:rsid w:val="00427E1D"/>
    <w:rsid w:val="00427F7B"/>
    <w:rsid w:val="00430000"/>
    <w:rsid w:val="00430109"/>
    <w:rsid w:val="004301BC"/>
    <w:rsid w:val="004305FB"/>
    <w:rsid w:val="0043069A"/>
    <w:rsid w:val="00430752"/>
    <w:rsid w:val="00430772"/>
    <w:rsid w:val="00430B49"/>
    <w:rsid w:val="00430CA9"/>
    <w:rsid w:val="00430E15"/>
    <w:rsid w:val="00430E18"/>
    <w:rsid w:val="00430E30"/>
    <w:rsid w:val="00430E35"/>
    <w:rsid w:val="00430E57"/>
    <w:rsid w:val="00431013"/>
    <w:rsid w:val="0043134B"/>
    <w:rsid w:val="00431373"/>
    <w:rsid w:val="004315C8"/>
    <w:rsid w:val="004316AB"/>
    <w:rsid w:val="004318EF"/>
    <w:rsid w:val="004318F3"/>
    <w:rsid w:val="00431984"/>
    <w:rsid w:val="00431E3E"/>
    <w:rsid w:val="0043226A"/>
    <w:rsid w:val="004322D3"/>
    <w:rsid w:val="00432336"/>
    <w:rsid w:val="0043242F"/>
    <w:rsid w:val="004324AC"/>
    <w:rsid w:val="004324D9"/>
    <w:rsid w:val="004325FD"/>
    <w:rsid w:val="0043277F"/>
    <w:rsid w:val="004327DE"/>
    <w:rsid w:val="00432841"/>
    <w:rsid w:val="00432989"/>
    <w:rsid w:val="00432D1F"/>
    <w:rsid w:val="00432EF1"/>
    <w:rsid w:val="0043330C"/>
    <w:rsid w:val="00433470"/>
    <w:rsid w:val="00433B4E"/>
    <w:rsid w:val="00433D82"/>
    <w:rsid w:val="00433DB3"/>
    <w:rsid w:val="00433E4A"/>
    <w:rsid w:val="00433F51"/>
    <w:rsid w:val="00433FBF"/>
    <w:rsid w:val="00433FDD"/>
    <w:rsid w:val="00434318"/>
    <w:rsid w:val="004343E1"/>
    <w:rsid w:val="004344C2"/>
    <w:rsid w:val="0043463F"/>
    <w:rsid w:val="00434696"/>
    <w:rsid w:val="00434791"/>
    <w:rsid w:val="00434866"/>
    <w:rsid w:val="0043494D"/>
    <w:rsid w:val="004349BE"/>
    <w:rsid w:val="00434BDB"/>
    <w:rsid w:val="00435003"/>
    <w:rsid w:val="00435036"/>
    <w:rsid w:val="00435149"/>
    <w:rsid w:val="0043514E"/>
    <w:rsid w:val="004352AE"/>
    <w:rsid w:val="004353E0"/>
    <w:rsid w:val="00435715"/>
    <w:rsid w:val="0043582D"/>
    <w:rsid w:val="00435ABF"/>
    <w:rsid w:val="00435BAE"/>
    <w:rsid w:val="00435C47"/>
    <w:rsid w:val="00435CE0"/>
    <w:rsid w:val="00435EF4"/>
    <w:rsid w:val="00435FE6"/>
    <w:rsid w:val="004361C4"/>
    <w:rsid w:val="004364A6"/>
    <w:rsid w:val="0043656C"/>
    <w:rsid w:val="00436687"/>
    <w:rsid w:val="0043677D"/>
    <w:rsid w:val="00436A41"/>
    <w:rsid w:val="00436C00"/>
    <w:rsid w:val="00436CDD"/>
    <w:rsid w:val="00436E69"/>
    <w:rsid w:val="00436EF4"/>
    <w:rsid w:val="00436FAB"/>
    <w:rsid w:val="004371CE"/>
    <w:rsid w:val="00437215"/>
    <w:rsid w:val="00437781"/>
    <w:rsid w:val="00437866"/>
    <w:rsid w:val="004378B0"/>
    <w:rsid w:val="0043797C"/>
    <w:rsid w:val="00437B59"/>
    <w:rsid w:val="00437BCD"/>
    <w:rsid w:val="00437D97"/>
    <w:rsid w:val="00437FD7"/>
    <w:rsid w:val="0044004B"/>
    <w:rsid w:val="0044010C"/>
    <w:rsid w:val="004401D2"/>
    <w:rsid w:val="00440232"/>
    <w:rsid w:val="004403AD"/>
    <w:rsid w:val="0044048B"/>
    <w:rsid w:val="004404BE"/>
    <w:rsid w:val="0044052B"/>
    <w:rsid w:val="00440616"/>
    <w:rsid w:val="00440669"/>
    <w:rsid w:val="004406AF"/>
    <w:rsid w:val="00440906"/>
    <w:rsid w:val="00440A8B"/>
    <w:rsid w:val="00440A95"/>
    <w:rsid w:val="00440AB3"/>
    <w:rsid w:val="00440B4D"/>
    <w:rsid w:val="00440B53"/>
    <w:rsid w:val="00440C57"/>
    <w:rsid w:val="00440DCF"/>
    <w:rsid w:val="004410F8"/>
    <w:rsid w:val="00441336"/>
    <w:rsid w:val="00441425"/>
    <w:rsid w:val="0044150A"/>
    <w:rsid w:val="00441996"/>
    <w:rsid w:val="004419ED"/>
    <w:rsid w:val="00441A24"/>
    <w:rsid w:val="00441BF1"/>
    <w:rsid w:val="00441C4C"/>
    <w:rsid w:val="00441CDB"/>
    <w:rsid w:val="00441DDA"/>
    <w:rsid w:val="00441E2E"/>
    <w:rsid w:val="00441EA7"/>
    <w:rsid w:val="00441EAF"/>
    <w:rsid w:val="0044208F"/>
    <w:rsid w:val="0044249E"/>
    <w:rsid w:val="004426A3"/>
    <w:rsid w:val="004426BE"/>
    <w:rsid w:val="00442707"/>
    <w:rsid w:val="00442860"/>
    <w:rsid w:val="00442864"/>
    <w:rsid w:val="004428BA"/>
    <w:rsid w:val="00442A8A"/>
    <w:rsid w:val="00442BA2"/>
    <w:rsid w:val="00442E58"/>
    <w:rsid w:val="00442E6C"/>
    <w:rsid w:val="00442FB4"/>
    <w:rsid w:val="00443008"/>
    <w:rsid w:val="004430CC"/>
    <w:rsid w:val="0044353A"/>
    <w:rsid w:val="0044368C"/>
    <w:rsid w:val="00443830"/>
    <w:rsid w:val="00443895"/>
    <w:rsid w:val="00443A36"/>
    <w:rsid w:val="00443ADF"/>
    <w:rsid w:val="00443B3F"/>
    <w:rsid w:val="00443D61"/>
    <w:rsid w:val="00443E26"/>
    <w:rsid w:val="00443E7E"/>
    <w:rsid w:val="00443FAA"/>
    <w:rsid w:val="00443FD3"/>
    <w:rsid w:val="0044400D"/>
    <w:rsid w:val="00444076"/>
    <w:rsid w:val="0044433A"/>
    <w:rsid w:val="00444344"/>
    <w:rsid w:val="004445CD"/>
    <w:rsid w:val="00444697"/>
    <w:rsid w:val="0044496B"/>
    <w:rsid w:val="00444C03"/>
    <w:rsid w:val="00444C3D"/>
    <w:rsid w:val="00444D0E"/>
    <w:rsid w:val="00444D6B"/>
    <w:rsid w:val="00444D81"/>
    <w:rsid w:val="00444DD8"/>
    <w:rsid w:val="0044505A"/>
    <w:rsid w:val="00445118"/>
    <w:rsid w:val="00445447"/>
    <w:rsid w:val="004454B2"/>
    <w:rsid w:val="00445647"/>
    <w:rsid w:val="004456F8"/>
    <w:rsid w:val="00445928"/>
    <w:rsid w:val="00445A21"/>
    <w:rsid w:val="00445D44"/>
    <w:rsid w:val="00445D4B"/>
    <w:rsid w:val="00445D88"/>
    <w:rsid w:val="00446012"/>
    <w:rsid w:val="004461E8"/>
    <w:rsid w:val="0044633C"/>
    <w:rsid w:val="004465B3"/>
    <w:rsid w:val="0044663B"/>
    <w:rsid w:val="0044676E"/>
    <w:rsid w:val="00446833"/>
    <w:rsid w:val="004468FC"/>
    <w:rsid w:val="00446987"/>
    <w:rsid w:val="00446A1E"/>
    <w:rsid w:val="00446A4F"/>
    <w:rsid w:val="00446AEA"/>
    <w:rsid w:val="00446B14"/>
    <w:rsid w:val="00446B1C"/>
    <w:rsid w:val="00446BD9"/>
    <w:rsid w:val="004471F4"/>
    <w:rsid w:val="00447323"/>
    <w:rsid w:val="00447617"/>
    <w:rsid w:val="004476CF"/>
    <w:rsid w:val="004476E4"/>
    <w:rsid w:val="00447913"/>
    <w:rsid w:val="00447A60"/>
    <w:rsid w:val="00447A7D"/>
    <w:rsid w:val="00447AA9"/>
    <w:rsid w:val="00447AFC"/>
    <w:rsid w:val="00447B18"/>
    <w:rsid w:val="00447CD2"/>
    <w:rsid w:val="00447DD2"/>
    <w:rsid w:val="00447E5D"/>
    <w:rsid w:val="00447F0E"/>
    <w:rsid w:val="004500C0"/>
    <w:rsid w:val="004500CD"/>
    <w:rsid w:val="00450399"/>
    <w:rsid w:val="00450402"/>
    <w:rsid w:val="0045067D"/>
    <w:rsid w:val="00450C30"/>
    <w:rsid w:val="00450C76"/>
    <w:rsid w:val="00450C79"/>
    <w:rsid w:val="00450DBE"/>
    <w:rsid w:val="00451117"/>
    <w:rsid w:val="00451156"/>
    <w:rsid w:val="0045122E"/>
    <w:rsid w:val="004512C8"/>
    <w:rsid w:val="004513AC"/>
    <w:rsid w:val="0045144A"/>
    <w:rsid w:val="0045157D"/>
    <w:rsid w:val="004517C4"/>
    <w:rsid w:val="00451A72"/>
    <w:rsid w:val="00451A8B"/>
    <w:rsid w:val="00451C05"/>
    <w:rsid w:val="00452230"/>
    <w:rsid w:val="0045226D"/>
    <w:rsid w:val="0045236C"/>
    <w:rsid w:val="004525EE"/>
    <w:rsid w:val="0045261C"/>
    <w:rsid w:val="004526C6"/>
    <w:rsid w:val="0045284A"/>
    <w:rsid w:val="004528CE"/>
    <w:rsid w:val="00452AC4"/>
    <w:rsid w:val="00452C10"/>
    <w:rsid w:val="00452CD3"/>
    <w:rsid w:val="00452CE5"/>
    <w:rsid w:val="00452E2B"/>
    <w:rsid w:val="00452EB4"/>
    <w:rsid w:val="00453349"/>
    <w:rsid w:val="0045334F"/>
    <w:rsid w:val="0045345D"/>
    <w:rsid w:val="004537BD"/>
    <w:rsid w:val="0045381F"/>
    <w:rsid w:val="004539A5"/>
    <w:rsid w:val="00453AA7"/>
    <w:rsid w:val="00453B04"/>
    <w:rsid w:val="00453C56"/>
    <w:rsid w:val="00453C86"/>
    <w:rsid w:val="00453C9D"/>
    <w:rsid w:val="00453D06"/>
    <w:rsid w:val="00453F54"/>
    <w:rsid w:val="0045411E"/>
    <w:rsid w:val="00454246"/>
    <w:rsid w:val="00454372"/>
    <w:rsid w:val="004543E6"/>
    <w:rsid w:val="004545A6"/>
    <w:rsid w:val="00454667"/>
    <w:rsid w:val="0045473A"/>
    <w:rsid w:val="004547F9"/>
    <w:rsid w:val="004548C0"/>
    <w:rsid w:val="00454C29"/>
    <w:rsid w:val="00454D4B"/>
    <w:rsid w:val="00454D8D"/>
    <w:rsid w:val="00454E3A"/>
    <w:rsid w:val="00454F26"/>
    <w:rsid w:val="00454F79"/>
    <w:rsid w:val="00455106"/>
    <w:rsid w:val="0045518F"/>
    <w:rsid w:val="0045522F"/>
    <w:rsid w:val="0045537E"/>
    <w:rsid w:val="0045555D"/>
    <w:rsid w:val="004555B1"/>
    <w:rsid w:val="004555B2"/>
    <w:rsid w:val="00455818"/>
    <w:rsid w:val="0045589E"/>
    <w:rsid w:val="00455EA6"/>
    <w:rsid w:val="00455F80"/>
    <w:rsid w:val="0045613D"/>
    <w:rsid w:val="0045631A"/>
    <w:rsid w:val="004563CD"/>
    <w:rsid w:val="00456608"/>
    <w:rsid w:val="00456849"/>
    <w:rsid w:val="004568AF"/>
    <w:rsid w:val="00456B37"/>
    <w:rsid w:val="00456BF4"/>
    <w:rsid w:val="0045705F"/>
    <w:rsid w:val="0045706B"/>
    <w:rsid w:val="00457070"/>
    <w:rsid w:val="004570A8"/>
    <w:rsid w:val="0045712A"/>
    <w:rsid w:val="00457151"/>
    <w:rsid w:val="004572B1"/>
    <w:rsid w:val="00457336"/>
    <w:rsid w:val="00457860"/>
    <w:rsid w:val="00457A16"/>
    <w:rsid w:val="00457A89"/>
    <w:rsid w:val="00457B10"/>
    <w:rsid w:val="00457D2D"/>
    <w:rsid w:val="00457D9B"/>
    <w:rsid w:val="00457DE8"/>
    <w:rsid w:val="00457E8E"/>
    <w:rsid w:val="004601A4"/>
    <w:rsid w:val="004602F1"/>
    <w:rsid w:val="004603A8"/>
    <w:rsid w:val="004603E2"/>
    <w:rsid w:val="00460433"/>
    <w:rsid w:val="00460596"/>
    <w:rsid w:val="0046064B"/>
    <w:rsid w:val="004607CB"/>
    <w:rsid w:val="00460A5E"/>
    <w:rsid w:val="00460B81"/>
    <w:rsid w:val="00460CBC"/>
    <w:rsid w:val="00460CD6"/>
    <w:rsid w:val="00460DED"/>
    <w:rsid w:val="00460FB1"/>
    <w:rsid w:val="0046101F"/>
    <w:rsid w:val="00461265"/>
    <w:rsid w:val="00461266"/>
    <w:rsid w:val="004612C3"/>
    <w:rsid w:val="0046158E"/>
    <w:rsid w:val="00461630"/>
    <w:rsid w:val="0046168C"/>
    <w:rsid w:val="00461792"/>
    <w:rsid w:val="00461800"/>
    <w:rsid w:val="004618D6"/>
    <w:rsid w:val="004619C1"/>
    <w:rsid w:val="00461B0D"/>
    <w:rsid w:val="00461B7B"/>
    <w:rsid w:val="00461BC3"/>
    <w:rsid w:val="00461CB7"/>
    <w:rsid w:val="00461E14"/>
    <w:rsid w:val="00462172"/>
    <w:rsid w:val="004622E2"/>
    <w:rsid w:val="00462346"/>
    <w:rsid w:val="004625EE"/>
    <w:rsid w:val="00462608"/>
    <w:rsid w:val="00462618"/>
    <w:rsid w:val="00462664"/>
    <w:rsid w:val="00462688"/>
    <w:rsid w:val="004626E1"/>
    <w:rsid w:val="00462946"/>
    <w:rsid w:val="00462951"/>
    <w:rsid w:val="004629A5"/>
    <w:rsid w:val="00462B19"/>
    <w:rsid w:val="00462B88"/>
    <w:rsid w:val="00462BAB"/>
    <w:rsid w:val="00462ECE"/>
    <w:rsid w:val="0046307E"/>
    <w:rsid w:val="004630A6"/>
    <w:rsid w:val="004630CA"/>
    <w:rsid w:val="0046320C"/>
    <w:rsid w:val="004632BA"/>
    <w:rsid w:val="004633BE"/>
    <w:rsid w:val="004635CF"/>
    <w:rsid w:val="004637F4"/>
    <w:rsid w:val="00463895"/>
    <w:rsid w:val="004638A2"/>
    <w:rsid w:val="0046397C"/>
    <w:rsid w:val="00463A5C"/>
    <w:rsid w:val="00463A73"/>
    <w:rsid w:val="00463AA3"/>
    <w:rsid w:val="00463C40"/>
    <w:rsid w:val="00463C72"/>
    <w:rsid w:val="00463D68"/>
    <w:rsid w:val="00463EF8"/>
    <w:rsid w:val="004640A3"/>
    <w:rsid w:val="00464135"/>
    <w:rsid w:val="004642E2"/>
    <w:rsid w:val="004642E6"/>
    <w:rsid w:val="004644EB"/>
    <w:rsid w:val="00464757"/>
    <w:rsid w:val="004649A9"/>
    <w:rsid w:val="004649F9"/>
    <w:rsid w:val="00464C96"/>
    <w:rsid w:val="00464CF4"/>
    <w:rsid w:val="00464CFE"/>
    <w:rsid w:val="00464DC1"/>
    <w:rsid w:val="00464E15"/>
    <w:rsid w:val="00464EF9"/>
    <w:rsid w:val="00464F19"/>
    <w:rsid w:val="00464F52"/>
    <w:rsid w:val="004651CD"/>
    <w:rsid w:val="0046523F"/>
    <w:rsid w:val="00465330"/>
    <w:rsid w:val="00465550"/>
    <w:rsid w:val="004656F2"/>
    <w:rsid w:val="00465734"/>
    <w:rsid w:val="00465A26"/>
    <w:rsid w:val="00465D0D"/>
    <w:rsid w:val="00465E75"/>
    <w:rsid w:val="00465F51"/>
    <w:rsid w:val="00465FA8"/>
    <w:rsid w:val="00466052"/>
    <w:rsid w:val="00466092"/>
    <w:rsid w:val="004663FA"/>
    <w:rsid w:val="00466524"/>
    <w:rsid w:val="004668E1"/>
    <w:rsid w:val="00466A13"/>
    <w:rsid w:val="00466B99"/>
    <w:rsid w:val="00466D0B"/>
    <w:rsid w:val="00466E8F"/>
    <w:rsid w:val="00466EAA"/>
    <w:rsid w:val="00466F4B"/>
    <w:rsid w:val="00466F54"/>
    <w:rsid w:val="00466FD8"/>
    <w:rsid w:val="0046748B"/>
    <w:rsid w:val="00467525"/>
    <w:rsid w:val="00467589"/>
    <w:rsid w:val="004675BB"/>
    <w:rsid w:val="00467661"/>
    <w:rsid w:val="00467759"/>
    <w:rsid w:val="00467856"/>
    <w:rsid w:val="00467972"/>
    <w:rsid w:val="00467980"/>
    <w:rsid w:val="00467BC3"/>
    <w:rsid w:val="00467D34"/>
    <w:rsid w:val="00467EC1"/>
    <w:rsid w:val="00470131"/>
    <w:rsid w:val="00470268"/>
    <w:rsid w:val="00470313"/>
    <w:rsid w:val="00470369"/>
    <w:rsid w:val="0047039B"/>
    <w:rsid w:val="004703A4"/>
    <w:rsid w:val="004703D4"/>
    <w:rsid w:val="0047040C"/>
    <w:rsid w:val="004705FF"/>
    <w:rsid w:val="00470643"/>
    <w:rsid w:val="00470736"/>
    <w:rsid w:val="0047082C"/>
    <w:rsid w:val="004708AB"/>
    <w:rsid w:val="004709AE"/>
    <w:rsid w:val="00470CFA"/>
    <w:rsid w:val="00470DFA"/>
    <w:rsid w:val="00470F07"/>
    <w:rsid w:val="00470F0A"/>
    <w:rsid w:val="00470F54"/>
    <w:rsid w:val="00471060"/>
    <w:rsid w:val="0047111D"/>
    <w:rsid w:val="0047113D"/>
    <w:rsid w:val="00471196"/>
    <w:rsid w:val="004712AF"/>
    <w:rsid w:val="004713C9"/>
    <w:rsid w:val="00471563"/>
    <w:rsid w:val="00471804"/>
    <w:rsid w:val="00471BA5"/>
    <w:rsid w:val="00471D1B"/>
    <w:rsid w:val="00471DC8"/>
    <w:rsid w:val="00471F99"/>
    <w:rsid w:val="0047206E"/>
    <w:rsid w:val="00472170"/>
    <w:rsid w:val="0047223C"/>
    <w:rsid w:val="004722D4"/>
    <w:rsid w:val="00472388"/>
    <w:rsid w:val="0047244D"/>
    <w:rsid w:val="004725DB"/>
    <w:rsid w:val="00472727"/>
    <w:rsid w:val="0047276C"/>
    <w:rsid w:val="0047277E"/>
    <w:rsid w:val="00472949"/>
    <w:rsid w:val="00472A34"/>
    <w:rsid w:val="00472A6A"/>
    <w:rsid w:val="00472ABB"/>
    <w:rsid w:val="00472C6B"/>
    <w:rsid w:val="00472CE2"/>
    <w:rsid w:val="00472E3A"/>
    <w:rsid w:val="00472F49"/>
    <w:rsid w:val="00473090"/>
    <w:rsid w:val="004730E0"/>
    <w:rsid w:val="00473176"/>
    <w:rsid w:val="00473248"/>
    <w:rsid w:val="0047324A"/>
    <w:rsid w:val="00473280"/>
    <w:rsid w:val="004732C4"/>
    <w:rsid w:val="0047352F"/>
    <w:rsid w:val="004735B7"/>
    <w:rsid w:val="004736C7"/>
    <w:rsid w:val="00473708"/>
    <w:rsid w:val="004739B1"/>
    <w:rsid w:val="00473B26"/>
    <w:rsid w:val="00473DE8"/>
    <w:rsid w:val="00473EBA"/>
    <w:rsid w:val="0047405F"/>
    <w:rsid w:val="00474072"/>
    <w:rsid w:val="004740DC"/>
    <w:rsid w:val="004743BC"/>
    <w:rsid w:val="00474499"/>
    <w:rsid w:val="004744D6"/>
    <w:rsid w:val="004746D0"/>
    <w:rsid w:val="004746E0"/>
    <w:rsid w:val="0047475A"/>
    <w:rsid w:val="0047476E"/>
    <w:rsid w:val="00474833"/>
    <w:rsid w:val="00474E81"/>
    <w:rsid w:val="00474E8F"/>
    <w:rsid w:val="0047500F"/>
    <w:rsid w:val="00475118"/>
    <w:rsid w:val="00475256"/>
    <w:rsid w:val="004752AE"/>
    <w:rsid w:val="004753A3"/>
    <w:rsid w:val="004754D1"/>
    <w:rsid w:val="004757DA"/>
    <w:rsid w:val="00475810"/>
    <w:rsid w:val="00475957"/>
    <w:rsid w:val="00475974"/>
    <w:rsid w:val="004759D2"/>
    <w:rsid w:val="00475A34"/>
    <w:rsid w:val="00475A45"/>
    <w:rsid w:val="00475A6D"/>
    <w:rsid w:val="00475C46"/>
    <w:rsid w:val="00475CBD"/>
    <w:rsid w:val="00475E7F"/>
    <w:rsid w:val="00475F06"/>
    <w:rsid w:val="00475F84"/>
    <w:rsid w:val="00476123"/>
    <w:rsid w:val="004761A8"/>
    <w:rsid w:val="004761BE"/>
    <w:rsid w:val="004763C3"/>
    <w:rsid w:val="004763E6"/>
    <w:rsid w:val="00476504"/>
    <w:rsid w:val="00476552"/>
    <w:rsid w:val="00476566"/>
    <w:rsid w:val="00476652"/>
    <w:rsid w:val="00476829"/>
    <w:rsid w:val="00476A57"/>
    <w:rsid w:val="00476B53"/>
    <w:rsid w:val="00476C72"/>
    <w:rsid w:val="00477117"/>
    <w:rsid w:val="004771A2"/>
    <w:rsid w:val="004771D2"/>
    <w:rsid w:val="00477309"/>
    <w:rsid w:val="00477377"/>
    <w:rsid w:val="004773EF"/>
    <w:rsid w:val="004774A5"/>
    <w:rsid w:val="004774A6"/>
    <w:rsid w:val="004775D8"/>
    <w:rsid w:val="0047769B"/>
    <w:rsid w:val="00477795"/>
    <w:rsid w:val="00477990"/>
    <w:rsid w:val="00477B05"/>
    <w:rsid w:val="00477C8C"/>
    <w:rsid w:val="00477E7C"/>
    <w:rsid w:val="00477F0D"/>
    <w:rsid w:val="00477F53"/>
    <w:rsid w:val="004800D7"/>
    <w:rsid w:val="004801F7"/>
    <w:rsid w:val="004801FE"/>
    <w:rsid w:val="00480252"/>
    <w:rsid w:val="00480383"/>
    <w:rsid w:val="004803F1"/>
    <w:rsid w:val="004804AD"/>
    <w:rsid w:val="004804D6"/>
    <w:rsid w:val="0048052E"/>
    <w:rsid w:val="00480580"/>
    <w:rsid w:val="0048058A"/>
    <w:rsid w:val="004805C2"/>
    <w:rsid w:val="00480839"/>
    <w:rsid w:val="004809A8"/>
    <w:rsid w:val="00480AB3"/>
    <w:rsid w:val="00480B77"/>
    <w:rsid w:val="00480C5B"/>
    <w:rsid w:val="00480D7F"/>
    <w:rsid w:val="00480EB5"/>
    <w:rsid w:val="0048129B"/>
    <w:rsid w:val="0048140F"/>
    <w:rsid w:val="0048143D"/>
    <w:rsid w:val="00481490"/>
    <w:rsid w:val="004817D6"/>
    <w:rsid w:val="00481D41"/>
    <w:rsid w:val="004820BC"/>
    <w:rsid w:val="00482151"/>
    <w:rsid w:val="004821CA"/>
    <w:rsid w:val="00482485"/>
    <w:rsid w:val="0048263A"/>
    <w:rsid w:val="0048266D"/>
    <w:rsid w:val="00482702"/>
    <w:rsid w:val="00482A25"/>
    <w:rsid w:val="00482A91"/>
    <w:rsid w:val="00482BC6"/>
    <w:rsid w:val="00482CF4"/>
    <w:rsid w:val="00482D9C"/>
    <w:rsid w:val="00482EB3"/>
    <w:rsid w:val="00483404"/>
    <w:rsid w:val="004834C8"/>
    <w:rsid w:val="00483602"/>
    <w:rsid w:val="0048398A"/>
    <w:rsid w:val="00483B73"/>
    <w:rsid w:val="00483BA8"/>
    <w:rsid w:val="00483DD1"/>
    <w:rsid w:val="00483E04"/>
    <w:rsid w:val="00483E5F"/>
    <w:rsid w:val="00484349"/>
    <w:rsid w:val="0048453E"/>
    <w:rsid w:val="004846F2"/>
    <w:rsid w:val="0048479C"/>
    <w:rsid w:val="0048482D"/>
    <w:rsid w:val="004848E9"/>
    <w:rsid w:val="004849AB"/>
    <w:rsid w:val="00484ADF"/>
    <w:rsid w:val="00484B7D"/>
    <w:rsid w:val="00484D6A"/>
    <w:rsid w:val="004850A8"/>
    <w:rsid w:val="0048535E"/>
    <w:rsid w:val="00485459"/>
    <w:rsid w:val="004858AB"/>
    <w:rsid w:val="00485A38"/>
    <w:rsid w:val="00485B6E"/>
    <w:rsid w:val="00485F3E"/>
    <w:rsid w:val="00485F4C"/>
    <w:rsid w:val="00485F9D"/>
    <w:rsid w:val="004861E7"/>
    <w:rsid w:val="00486228"/>
    <w:rsid w:val="004862AD"/>
    <w:rsid w:val="00486453"/>
    <w:rsid w:val="00486460"/>
    <w:rsid w:val="00486623"/>
    <w:rsid w:val="004866A7"/>
    <w:rsid w:val="004866C8"/>
    <w:rsid w:val="0048671F"/>
    <w:rsid w:val="0048690F"/>
    <w:rsid w:val="00486B46"/>
    <w:rsid w:val="00486C20"/>
    <w:rsid w:val="00486D0E"/>
    <w:rsid w:val="00486D5A"/>
    <w:rsid w:val="00486E35"/>
    <w:rsid w:val="00486FF8"/>
    <w:rsid w:val="00487268"/>
    <w:rsid w:val="004872E4"/>
    <w:rsid w:val="0048737B"/>
    <w:rsid w:val="0048739D"/>
    <w:rsid w:val="004873A4"/>
    <w:rsid w:val="004873F1"/>
    <w:rsid w:val="00487570"/>
    <w:rsid w:val="004876B3"/>
    <w:rsid w:val="0048784A"/>
    <w:rsid w:val="00487851"/>
    <w:rsid w:val="00487885"/>
    <w:rsid w:val="004878A3"/>
    <w:rsid w:val="00487A87"/>
    <w:rsid w:val="00487C69"/>
    <w:rsid w:val="00487DF2"/>
    <w:rsid w:val="00487EB4"/>
    <w:rsid w:val="00490183"/>
    <w:rsid w:val="00490249"/>
    <w:rsid w:val="004902FB"/>
    <w:rsid w:val="00490361"/>
    <w:rsid w:val="004906A1"/>
    <w:rsid w:val="004906A6"/>
    <w:rsid w:val="004906FB"/>
    <w:rsid w:val="004907A6"/>
    <w:rsid w:val="004907C6"/>
    <w:rsid w:val="00490843"/>
    <w:rsid w:val="00490E3B"/>
    <w:rsid w:val="00490E8D"/>
    <w:rsid w:val="004910A8"/>
    <w:rsid w:val="004910BE"/>
    <w:rsid w:val="004910C0"/>
    <w:rsid w:val="004911A9"/>
    <w:rsid w:val="004911EC"/>
    <w:rsid w:val="004912FF"/>
    <w:rsid w:val="004914CC"/>
    <w:rsid w:val="00491749"/>
    <w:rsid w:val="00491869"/>
    <w:rsid w:val="004918C4"/>
    <w:rsid w:val="0049191D"/>
    <w:rsid w:val="00491CF8"/>
    <w:rsid w:val="00491DE7"/>
    <w:rsid w:val="00491E09"/>
    <w:rsid w:val="00491FCD"/>
    <w:rsid w:val="00492064"/>
    <w:rsid w:val="0049218E"/>
    <w:rsid w:val="00492248"/>
    <w:rsid w:val="004923E6"/>
    <w:rsid w:val="00492569"/>
    <w:rsid w:val="0049271C"/>
    <w:rsid w:val="004927E1"/>
    <w:rsid w:val="00492865"/>
    <w:rsid w:val="004929EF"/>
    <w:rsid w:val="00492A88"/>
    <w:rsid w:val="00492B23"/>
    <w:rsid w:val="00492B6C"/>
    <w:rsid w:val="00492C31"/>
    <w:rsid w:val="00492DAB"/>
    <w:rsid w:val="00492E35"/>
    <w:rsid w:val="00492ED0"/>
    <w:rsid w:val="00492F4C"/>
    <w:rsid w:val="00493093"/>
    <w:rsid w:val="004930E8"/>
    <w:rsid w:val="004932EB"/>
    <w:rsid w:val="0049340A"/>
    <w:rsid w:val="0049348F"/>
    <w:rsid w:val="004936A9"/>
    <w:rsid w:val="004936FF"/>
    <w:rsid w:val="00493704"/>
    <w:rsid w:val="00493709"/>
    <w:rsid w:val="004937C5"/>
    <w:rsid w:val="00493A1B"/>
    <w:rsid w:val="00493ABB"/>
    <w:rsid w:val="00493AF3"/>
    <w:rsid w:val="00493CBD"/>
    <w:rsid w:val="00493CCE"/>
    <w:rsid w:val="00494051"/>
    <w:rsid w:val="004941E4"/>
    <w:rsid w:val="004945C7"/>
    <w:rsid w:val="0049469E"/>
    <w:rsid w:val="00494784"/>
    <w:rsid w:val="0049516D"/>
    <w:rsid w:val="004952C9"/>
    <w:rsid w:val="00495307"/>
    <w:rsid w:val="00495339"/>
    <w:rsid w:val="00495528"/>
    <w:rsid w:val="00495673"/>
    <w:rsid w:val="004956C3"/>
    <w:rsid w:val="004956FC"/>
    <w:rsid w:val="0049584A"/>
    <w:rsid w:val="004958BF"/>
    <w:rsid w:val="004958C4"/>
    <w:rsid w:val="004958CD"/>
    <w:rsid w:val="00495968"/>
    <w:rsid w:val="004959A8"/>
    <w:rsid w:val="00495B0C"/>
    <w:rsid w:val="00495B61"/>
    <w:rsid w:val="00495BE5"/>
    <w:rsid w:val="00495E4B"/>
    <w:rsid w:val="00495E6C"/>
    <w:rsid w:val="004960B5"/>
    <w:rsid w:val="00496129"/>
    <w:rsid w:val="004961C1"/>
    <w:rsid w:val="00496253"/>
    <w:rsid w:val="00496429"/>
    <w:rsid w:val="004965CA"/>
    <w:rsid w:val="00496772"/>
    <w:rsid w:val="0049687E"/>
    <w:rsid w:val="00496880"/>
    <w:rsid w:val="004969BC"/>
    <w:rsid w:val="00496A8E"/>
    <w:rsid w:val="00496CEF"/>
    <w:rsid w:val="00496E93"/>
    <w:rsid w:val="00497059"/>
    <w:rsid w:val="0049714B"/>
    <w:rsid w:val="004971F9"/>
    <w:rsid w:val="00497593"/>
    <w:rsid w:val="00497BFA"/>
    <w:rsid w:val="00497C57"/>
    <w:rsid w:val="00497ED6"/>
    <w:rsid w:val="00497F5F"/>
    <w:rsid w:val="004A00B5"/>
    <w:rsid w:val="004A00DC"/>
    <w:rsid w:val="004A0129"/>
    <w:rsid w:val="004A0138"/>
    <w:rsid w:val="004A0400"/>
    <w:rsid w:val="004A047F"/>
    <w:rsid w:val="004A04C8"/>
    <w:rsid w:val="004A04D2"/>
    <w:rsid w:val="004A0838"/>
    <w:rsid w:val="004A08D4"/>
    <w:rsid w:val="004A0A02"/>
    <w:rsid w:val="004A0A89"/>
    <w:rsid w:val="004A1131"/>
    <w:rsid w:val="004A123C"/>
    <w:rsid w:val="004A127B"/>
    <w:rsid w:val="004A1291"/>
    <w:rsid w:val="004A1539"/>
    <w:rsid w:val="004A18D7"/>
    <w:rsid w:val="004A1934"/>
    <w:rsid w:val="004A1A27"/>
    <w:rsid w:val="004A1F7D"/>
    <w:rsid w:val="004A1FFB"/>
    <w:rsid w:val="004A20E2"/>
    <w:rsid w:val="004A2147"/>
    <w:rsid w:val="004A2196"/>
    <w:rsid w:val="004A2216"/>
    <w:rsid w:val="004A25EF"/>
    <w:rsid w:val="004A276E"/>
    <w:rsid w:val="004A286B"/>
    <w:rsid w:val="004A2948"/>
    <w:rsid w:val="004A29F6"/>
    <w:rsid w:val="004A2A73"/>
    <w:rsid w:val="004A2D37"/>
    <w:rsid w:val="004A2FD7"/>
    <w:rsid w:val="004A304A"/>
    <w:rsid w:val="004A31CC"/>
    <w:rsid w:val="004A3202"/>
    <w:rsid w:val="004A3408"/>
    <w:rsid w:val="004A3607"/>
    <w:rsid w:val="004A3983"/>
    <w:rsid w:val="004A39F9"/>
    <w:rsid w:val="004A3F05"/>
    <w:rsid w:val="004A4044"/>
    <w:rsid w:val="004A4064"/>
    <w:rsid w:val="004A41C5"/>
    <w:rsid w:val="004A4223"/>
    <w:rsid w:val="004A44A1"/>
    <w:rsid w:val="004A46FD"/>
    <w:rsid w:val="004A485E"/>
    <w:rsid w:val="004A48EA"/>
    <w:rsid w:val="004A4B97"/>
    <w:rsid w:val="004A4BE4"/>
    <w:rsid w:val="004A4C2A"/>
    <w:rsid w:val="004A4CA7"/>
    <w:rsid w:val="004A4D76"/>
    <w:rsid w:val="004A4E53"/>
    <w:rsid w:val="004A4E7A"/>
    <w:rsid w:val="004A5331"/>
    <w:rsid w:val="004A5523"/>
    <w:rsid w:val="004A553C"/>
    <w:rsid w:val="004A57F2"/>
    <w:rsid w:val="004A58C2"/>
    <w:rsid w:val="004A593F"/>
    <w:rsid w:val="004A5946"/>
    <w:rsid w:val="004A5960"/>
    <w:rsid w:val="004A5A08"/>
    <w:rsid w:val="004A5A18"/>
    <w:rsid w:val="004A5AC5"/>
    <w:rsid w:val="004A5BBB"/>
    <w:rsid w:val="004A5C28"/>
    <w:rsid w:val="004A5DC4"/>
    <w:rsid w:val="004A61B0"/>
    <w:rsid w:val="004A622A"/>
    <w:rsid w:val="004A6464"/>
    <w:rsid w:val="004A64D3"/>
    <w:rsid w:val="004A6547"/>
    <w:rsid w:val="004A66D0"/>
    <w:rsid w:val="004A6B9B"/>
    <w:rsid w:val="004A6DE6"/>
    <w:rsid w:val="004A7066"/>
    <w:rsid w:val="004A71FD"/>
    <w:rsid w:val="004A746D"/>
    <w:rsid w:val="004A74BD"/>
    <w:rsid w:val="004A752B"/>
    <w:rsid w:val="004A7896"/>
    <w:rsid w:val="004A7982"/>
    <w:rsid w:val="004A79D2"/>
    <w:rsid w:val="004A7C45"/>
    <w:rsid w:val="004A7D06"/>
    <w:rsid w:val="004A7E16"/>
    <w:rsid w:val="004A7E38"/>
    <w:rsid w:val="004A7EA7"/>
    <w:rsid w:val="004A7EBF"/>
    <w:rsid w:val="004A7F48"/>
    <w:rsid w:val="004B0170"/>
    <w:rsid w:val="004B0203"/>
    <w:rsid w:val="004B0313"/>
    <w:rsid w:val="004B0716"/>
    <w:rsid w:val="004B07F6"/>
    <w:rsid w:val="004B08EE"/>
    <w:rsid w:val="004B0EEC"/>
    <w:rsid w:val="004B0FD4"/>
    <w:rsid w:val="004B118A"/>
    <w:rsid w:val="004B11A9"/>
    <w:rsid w:val="004B124C"/>
    <w:rsid w:val="004B12E7"/>
    <w:rsid w:val="004B134C"/>
    <w:rsid w:val="004B13B0"/>
    <w:rsid w:val="004B1425"/>
    <w:rsid w:val="004B1547"/>
    <w:rsid w:val="004B1641"/>
    <w:rsid w:val="004B1819"/>
    <w:rsid w:val="004B1A10"/>
    <w:rsid w:val="004B1A4D"/>
    <w:rsid w:val="004B1D00"/>
    <w:rsid w:val="004B1DBA"/>
    <w:rsid w:val="004B1FDC"/>
    <w:rsid w:val="004B218B"/>
    <w:rsid w:val="004B21A8"/>
    <w:rsid w:val="004B2362"/>
    <w:rsid w:val="004B2371"/>
    <w:rsid w:val="004B23A8"/>
    <w:rsid w:val="004B277A"/>
    <w:rsid w:val="004B27FE"/>
    <w:rsid w:val="004B286E"/>
    <w:rsid w:val="004B2A59"/>
    <w:rsid w:val="004B2AAE"/>
    <w:rsid w:val="004B2D39"/>
    <w:rsid w:val="004B2EC8"/>
    <w:rsid w:val="004B3414"/>
    <w:rsid w:val="004B3467"/>
    <w:rsid w:val="004B3605"/>
    <w:rsid w:val="004B38BD"/>
    <w:rsid w:val="004B3902"/>
    <w:rsid w:val="004B3AD5"/>
    <w:rsid w:val="004B3BB2"/>
    <w:rsid w:val="004B3BC4"/>
    <w:rsid w:val="004B3C54"/>
    <w:rsid w:val="004B3D2C"/>
    <w:rsid w:val="004B3DA2"/>
    <w:rsid w:val="004B3E29"/>
    <w:rsid w:val="004B4212"/>
    <w:rsid w:val="004B4269"/>
    <w:rsid w:val="004B435E"/>
    <w:rsid w:val="004B438A"/>
    <w:rsid w:val="004B43A2"/>
    <w:rsid w:val="004B4409"/>
    <w:rsid w:val="004B4533"/>
    <w:rsid w:val="004B46C7"/>
    <w:rsid w:val="004B46E2"/>
    <w:rsid w:val="004B4724"/>
    <w:rsid w:val="004B47D7"/>
    <w:rsid w:val="004B47E2"/>
    <w:rsid w:val="004B497D"/>
    <w:rsid w:val="004B497F"/>
    <w:rsid w:val="004B4A51"/>
    <w:rsid w:val="004B4E1B"/>
    <w:rsid w:val="004B4EEF"/>
    <w:rsid w:val="004B4EF0"/>
    <w:rsid w:val="004B4FB1"/>
    <w:rsid w:val="004B4FC0"/>
    <w:rsid w:val="004B503A"/>
    <w:rsid w:val="004B511B"/>
    <w:rsid w:val="004B5189"/>
    <w:rsid w:val="004B52B9"/>
    <w:rsid w:val="004B5393"/>
    <w:rsid w:val="004B53D4"/>
    <w:rsid w:val="004B5417"/>
    <w:rsid w:val="004B5509"/>
    <w:rsid w:val="004B563E"/>
    <w:rsid w:val="004B570F"/>
    <w:rsid w:val="004B575D"/>
    <w:rsid w:val="004B57C6"/>
    <w:rsid w:val="004B5949"/>
    <w:rsid w:val="004B5B61"/>
    <w:rsid w:val="004B5BE9"/>
    <w:rsid w:val="004B5C5F"/>
    <w:rsid w:val="004B5E08"/>
    <w:rsid w:val="004B5FDE"/>
    <w:rsid w:val="004B6003"/>
    <w:rsid w:val="004B60FB"/>
    <w:rsid w:val="004B61F3"/>
    <w:rsid w:val="004B63DB"/>
    <w:rsid w:val="004B652D"/>
    <w:rsid w:val="004B65FF"/>
    <w:rsid w:val="004B661A"/>
    <w:rsid w:val="004B67DC"/>
    <w:rsid w:val="004B68A8"/>
    <w:rsid w:val="004B6A2C"/>
    <w:rsid w:val="004B6ACF"/>
    <w:rsid w:val="004B6BB7"/>
    <w:rsid w:val="004B6D09"/>
    <w:rsid w:val="004B6E43"/>
    <w:rsid w:val="004B6FA3"/>
    <w:rsid w:val="004B713D"/>
    <w:rsid w:val="004B7142"/>
    <w:rsid w:val="004B7169"/>
    <w:rsid w:val="004B7207"/>
    <w:rsid w:val="004B721E"/>
    <w:rsid w:val="004B725B"/>
    <w:rsid w:val="004B75CF"/>
    <w:rsid w:val="004B75D8"/>
    <w:rsid w:val="004B77D1"/>
    <w:rsid w:val="004B781A"/>
    <w:rsid w:val="004B7B0F"/>
    <w:rsid w:val="004B7B34"/>
    <w:rsid w:val="004B7C4F"/>
    <w:rsid w:val="004B7D21"/>
    <w:rsid w:val="004B7EDF"/>
    <w:rsid w:val="004B7FDA"/>
    <w:rsid w:val="004C0360"/>
    <w:rsid w:val="004C043E"/>
    <w:rsid w:val="004C04EB"/>
    <w:rsid w:val="004C05C3"/>
    <w:rsid w:val="004C06A9"/>
    <w:rsid w:val="004C0740"/>
    <w:rsid w:val="004C07B8"/>
    <w:rsid w:val="004C0814"/>
    <w:rsid w:val="004C08BF"/>
    <w:rsid w:val="004C0908"/>
    <w:rsid w:val="004C0A73"/>
    <w:rsid w:val="004C0ACD"/>
    <w:rsid w:val="004C0BCF"/>
    <w:rsid w:val="004C0CA4"/>
    <w:rsid w:val="004C0D18"/>
    <w:rsid w:val="004C0F64"/>
    <w:rsid w:val="004C0F85"/>
    <w:rsid w:val="004C0F91"/>
    <w:rsid w:val="004C0F9B"/>
    <w:rsid w:val="004C1093"/>
    <w:rsid w:val="004C1099"/>
    <w:rsid w:val="004C12BE"/>
    <w:rsid w:val="004C1336"/>
    <w:rsid w:val="004C138B"/>
    <w:rsid w:val="004C1390"/>
    <w:rsid w:val="004C13C7"/>
    <w:rsid w:val="004C13DF"/>
    <w:rsid w:val="004C179D"/>
    <w:rsid w:val="004C18A2"/>
    <w:rsid w:val="004C19D1"/>
    <w:rsid w:val="004C19E8"/>
    <w:rsid w:val="004C1A27"/>
    <w:rsid w:val="004C2334"/>
    <w:rsid w:val="004C2343"/>
    <w:rsid w:val="004C265E"/>
    <w:rsid w:val="004C270D"/>
    <w:rsid w:val="004C294F"/>
    <w:rsid w:val="004C2A45"/>
    <w:rsid w:val="004C2A6B"/>
    <w:rsid w:val="004C2B37"/>
    <w:rsid w:val="004C2CE1"/>
    <w:rsid w:val="004C2E7D"/>
    <w:rsid w:val="004C2E7F"/>
    <w:rsid w:val="004C2EA8"/>
    <w:rsid w:val="004C2F6C"/>
    <w:rsid w:val="004C312E"/>
    <w:rsid w:val="004C34BE"/>
    <w:rsid w:val="004C3517"/>
    <w:rsid w:val="004C3662"/>
    <w:rsid w:val="004C36B0"/>
    <w:rsid w:val="004C386F"/>
    <w:rsid w:val="004C38C3"/>
    <w:rsid w:val="004C3AFD"/>
    <w:rsid w:val="004C3BBB"/>
    <w:rsid w:val="004C3C1A"/>
    <w:rsid w:val="004C3C20"/>
    <w:rsid w:val="004C3D2B"/>
    <w:rsid w:val="004C3D3F"/>
    <w:rsid w:val="004C3D5B"/>
    <w:rsid w:val="004C3E07"/>
    <w:rsid w:val="004C4137"/>
    <w:rsid w:val="004C4432"/>
    <w:rsid w:val="004C4744"/>
    <w:rsid w:val="004C4855"/>
    <w:rsid w:val="004C4B06"/>
    <w:rsid w:val="004C4B97"/>
    <w:rsid w:val="004C4C36"/>
    <w:rsid w:val="004C4CF9"/>
    <w:rsid w:val="004C4D4F"/>
    <w:rsid w:val="004C4E05"/>
    <w:rsid w:val="004C4FA7"/>
    <w:rsid w:val="004C50C8"/>
    <w:rsid w:val="004C52A4"/>
    <w:rsid w:val="004C52AD"/>
    <w:rsid w:val="004C53BC"/>
    <w:rsid w:val="004C5644"/>
    <w:rsid w:val="004C5645"/>
    <w:rsid w:val="004C5A0F"/>
    <w:rsid w:val="004C5A1B"/>
    <w:rsid w:val="004C5AFE"/>
    <w:rsid w:val="004C5EA6"/>
    <w:rsid w:val="004C5F45"/>
    <w:rsid w:val="004C60D9"/>
    <w:rsid w:val="004C6402"/>
    <w:rsid w:val="004C648E"/>
    <w:rsid w:val="004C667A"/>
    <w:rsid w:val="004C6690"/>
    <w:rsid w:val="004C66C1"/>
    <w:rsid w:val="004C66FB"/>
    <w:rsid w:val="004C6825"/>
    <w:rsid w:val="004C689A"/>
    <w:rsid w:val="004C68CC"/>
    <w:rsid w:val="004C6947"/>
    <w:rsid w:val="004C694F"/>
    <w:rsid w:val="004C69FC"/>
    <w:rsid w:val="004C6A8B"/>
    <w:rsid w:val="004C6C63"/>
    <w:rsid w:val="004C6E97"/>
    <w:rsid w:val="004C708C"/>
    <w:rsid w:val="004C7192"/>
    <w:rsid w:val="004C7204"/>
    <w:rsid w:val="004C75E4"/>
    <w:rsid w:val="004C76D2"/>
    <w:rsid w:val="004C7706"/>
    <w:rsid w:val="004C778D"/>
    <w:rsid w:val="004C77A6"/>
    <w:rsid w:val="004C77EF"/>
    <w:rsid w:val="004C7802"/>
    <w:rsid w:val="004C7869"/>
    <w:rsid w:val="004C7883"/>
    <w:rsid w:val="004C7984"/>
    <w:rsid w:val="004C799A"/>
    <w:rsid w:val="004C7A53"/>
    <w:rsid w:val="004C7DB7"/>
    <w:rsid w:val="004D00BE"/>
    <w:rsid w:val="004D01E5"/>
    <w:rsid w:val="004D0221"/>
    <w:rsid w:val="004D024C"/>
    <w:rsid w:val="004D05CD"/>
    <w:rsid w:val="004D0787"/>
    <w:rsid w:val="004D078C"/>
    <w:rsid w:val="004D084E"/>
    <w:rsid w:val="004D0A15"/>
    <w:rsid w:val="004D0A9D"/>
    <w:rsid w:val="004D0D0B"/>
    <w:rsid w:val="004D0DF0"/>
    <w:rsid w:val="004D0F6D"/>
    <w:rsid w:val="004D11B3"/>
    <w:rsid w:val="004D1211"/>
    <w:rsid w:val="004D1465"/>
    <w:rsid w:val="004D15CF"/>
    <w:rsid w:val="004D1863"/>
    <w:rsid w:val="004D19CD"/>
    <w:rsid w:val="004D1AF5"/>
    <w:rsid w:val="004D1C24"/>
    <w:rsid w:val="004D1D66"/>
    <w:rsid w:val="004D1DEC"/>
    <w:rsid w:val="004D1E3C"/>
    <w:rsid w:val="004D2006"/>
    <w:rsid w:val="004D2125"/>
    <w:rsid w:val="004D2170"/>
    <w:rsid w:val="004D2232"/>
    <w:rsid w:val="004D2261"/>
    <w:rsid w:val="004D2409"/>
    <w:rsid w:val="004D24CC"/>
    <w:rsid w:val="004D24E2"/>
    <w:rsid w:val="004D252D"/>
    <w:rsid w:val="004D257A"/>
    <w:rsid w:val="004D2700"/>
    <w:rsid w:val="004D2730"/>
    <w:rsid w:val="004D27A8"/>
    <w:rsid w:val="004D27FD"/>
    <w:rsid w:val="004D28B1"/>
    <w:rsid w:val="004D28C4"/>
    <w:rsid w:val="004D2BDA"/>
    <w:rsid w:val="004D2CA7"/>
    <w:rsid w:val="004D2CA9"/>
    <w:rsid w:val="004D2E04"/>
    <w:rsid w:val="004D2F6A"/>
    <w:rsid w:val="004D3067"/>
    <w:rsid w:val="004D31C5"/>
    <w:rsid w:val="004D3228"/>
    <w:rsid w:val="004D331D"/>
    <w:rsid w:val="004D336C"/>
    <w:rsid w:val="004D353E"/>
    <w:rsid w:val="004D359A"/>
    <w:rsid w:val="004D3722"/>
    <w:rsid w:val="004D3977"/>
    <w:rsid w:val="004D3DF1"/>
    <w:rsid w:val="004D3E09"/>
    <w:rsid w:val="004D3E5F"/>
    <w:rsid w:val="004D3F20"/>
    <w:rsid w:val="004D40A2"/>
    <w:rsid w:val="004D41EC"/>
    <w:rsid w:val="004D4423"/>
    <w:rsid w:val="004D4456"/>
    <w:rsid w:val="004D445F"/>
    <w:rsid w:val="004D446F"/>
    <w:rsid w:val="004D4683"/>
    <w:rsid w:val="004D47D1"/>
    <w:rsid w:val="004D48CF"/>
    <w:rsid w:val="004D4A10"/>
    <w:rsid w:val="004D4A2A"/>
    <w:rsid w:val="004D4A53"/>
    <w:rsid w:val="004D4D49"/>
    <w:rsid w:val="004D4E26"/>
    <w:rsid w:val="004D4E65"/>
    <w:rsid w:val="004D4E81"/>
    <w:rsid w:val="004D4F18"/>
    <w:rsid w:val="004D4F29"/>
    <w:rsid w:val="004D50CC"/>
    <w:rsid w:val="004D51C9"/>
    <w:rsid w:val="004D51D0"/>
    <w:rsid w:val="004D51ED"/>
    <w:rsid w:val="004D522F"/>
    <w:rsid w:val="004D538E"/>
    <w:rsid w:val="004D5430"/>
    <w:rsid w:val="004D5772"/>
    <w:rsid w:val="004D57EF"/>
    <w:rsid w:val="004D582D"/>
    <w:rsid w:val="004D58E2"/>
    <w:rsid w:val="004D5ABA"/>
    <w:rsid w:val="004D5B13"/>
    <w:rsid w:val="004D5BB5"/>
    <w:rsid w:val="004D5C5C"/>
    <w:rsid w:val="004D5CC4"/>
    <w:rsid w:val="004D5DC1"/>
    <w:rsid w:val="004D5E96"/>
    <w:rsid w:val="004D6176"/>
    <w:rsid w:val="004D6446"/>
    <w:rsid w:val="004D65C6"/>
    <w:rsid w:val="004D66AC"/>
    <w:rsid w:val="004D6B75"/>
    <w:rsid w:val="004D6E37"/>
    <w:rsid w:val="004D6FD3"/>
    <w:rsid w:val="004D7287"/>
    <w:rsid w:val="004D73E9"/>
    <w:rsid w:val="004D7521"/>
    <w:rsid w:val="004D7543"/>
    <w:rsid w:val="004D755F"/>
    <w:rsid w:val="004D757C"/>
    <w:rsid w:val="004D760F"/>
    <w:rsid w:val="004D77B2"/>
    <w:rsid w:val="004D7833"/>
    <w:rsid w:val="004D791A"/>
    <w:rsid w:val="004D7974"/>
    <w:rsid w:val="004D7BD5"/>
    <w:rsid w:val="004D7BEE"/>
    <w:rsid w:val="004D7ECD"/>
    <w:rsid w:val="004D7EE6"/>
    <w:rsid w:val="004D7F60"/>
    <w:rsid w:val="004E0266"/>
    <w:rsid w:val="004E028D"/>
    <w:rsid w:val="004E02D0"/>
    <w:rsid w:val="004E0343"/>
    <w:rsid w:val="004E0687"/>
    <w:rsid w:val="004E06AD"/>
    <w:rsid w:val="004E06C2"/>
    <w:rsid w:val="004E078F"/>
    <w:rsid w:val="004E0838"/>
    <w:rsid w:val="004E083B"/>
    <w:rsid w:val="004E08F4"/>
    <w:rsid w:val="004E09AB"/>
    <w:rsid w:val="004E09C7"/>
    <w:rsid w:val="004E0C0D"/>
    <w:rsid w:val="004E0CDC"/>
    <w:rsid w:val="004E0D2B"/>
    <w:rsid w:val="004E0DBE"/>
    <w:rsid w:val="004E0DBF"/>
    <w:rsid w:val="004E0E25"/>
    <w:rsid w:val="004E0EFD"/>
    <w:rsid w:val="004E1380"/>
    <w:rsid w:val="004E148F"/>
    <w:rsid w:val="004E14BC"/>
    <w:rsid w:val="004E1567"/>
    <w:rsid w:val="004E1627"/>
    <w:rsid w:val="004E1732"/>
    <w:rsid w:val="004E1B1F"/>
    <w:rsid w:val="004E1D3B"/>
    <w:rsid w:val="004E1E7B"/>
    <w:rsid w:val="004E1F11"/>
    <w:rsid w:val="004E1F7D"/>
    <w:rsid w:val="004E20A4"/>
    <w:rsid w:val="004E2152"/>
    <w:rsid w:val="004E2176"/>
    <w:rsid w:val="004E2177"/>
    <w:rsid w:val="004E2272"/>
    <w:rsid w:val="004E2364"/>
    <w:rsid w:val="004E24A8"/>
    <w:rsid w:val="004E24B9"/>
    <w:rsid w:val="004E2660"/>
    <w:rsid w:val="004E2729"/>
    <w:rsid w:val="004E288D"/>
    <w:rsid w:val="004E28AD"/>
    <w:rsid w:val="004E28CB"/>
    <w:rsid w:val="004E28D2"/>
    <w:rsid w:val="004E2A57"/>
    <w:rsid w:val="004E2A7D"/>
    <w:rsid w:val="004E2A82"/>
    <w:rsid w:val="004E2AE5"/>
    <w:rsid w:val="004E2AE8"/>
    <w:rsid w:val="004E2CB6"/>
    <w:rsid w:val="004E2E1F"/>
    <w:rsid w:val="004E2E31"/>
    <w:rsid w:val="004E2ED6"/>
    <w:rsid w:val="004E2F32"/>
    <w:rsid w:val="004E31F2"/>
    <w:rsid w:val="004E3349"/>
    <w:rsid w:val="004E3534"/>
    <w:rsid w:val="004E355C"/>
    <w:rsid w:val="004E3697"/>
    <w:rsid w:val="004E375F"/>
    <w:rsid w:val="004E3A0E"/>
    <w:rsid w:val="004E3A39"/>
    <w:rsid w:val="004E3C4A"/>
    <w:rsid w:val="004E3C8A"/>
    <w:rsid w:val="004E4211"/>
    <w:rsid w:val="004E43A5"/>
    <w:rsid w:val="004E4545"/>
    <w:rsid w:val="004E4584"/>
    <w:rsid w:val="004E4CC9"/>
    <w:rsid w:val="004E4E7F"/>
    <w:rsid w:val="004E4FF2"/>
    <w:rsid w:val="004E5113"/>
    <w:rsid w:val="004E514D"/>
    <w:rsid w:val="004E51D4"/>
    <w:rsid w:val="004E52B0"/>
    <w:rsid w:val="004E532C"/>
    <w:rsid w:val="004E5576"/>
    <w:rsid w:val="004E5BC0"/>
    <w:rsid w:val="004E5BD0"/>
    <w:rsid w:val="004E5C60"/>
    <w:rsid w:val="004E5D71"/>
    <w:rsid w:val="004E5E23"/>
    <w:rsid w:val="004E5F26"/>
    <w:rsid w:val="004E6108"/>
    <w:rsid w:val="004E640A"/>
    <w:rsid w:val="004E6503"/>
    <w:rsid w:val="004E6644"/>
    <w:rsid w:val="004E6813"/>
    <w:rsid w:val="004E68A8"/>
    <w:rsid w:val="004E68C9"/>
    <w:rsid w:val="004E69D2"/>
    <w:rsid w:val="004E69E6"/>
    <w:rsid w:val="004E6AC5"/>
    <w:rsid w:val="004E6AF5"/>
    <w:rsid w:val="004E6BDC"/>
    <w:rsid w:val="004E6DF5"/>
    <w:rsid w:val="004E6F87"/>
    <w:rsid w:val="004E7082"/>
    <w:rsid w:val="004E7223"/>
    <w:rsid w:val="004E7236"/>
    <w:rsid w:val="004E725F"/>
    <w:rsid w:val="004E73A1"/>
    <w:rsid w:val="004E7436"/>
    <w:rsid w:val="004E7537"/>
    <w:rsid w:val="004E75AF"/>
    <w:rsid w:val="004E7861"/>
    <w:rsid w:val="004E798E"/>
    <w:rsid w:val="004E79C2"/>
    <w:rsid w:val="004E79E3"/>
    <w:rsid w:val="004E7AD9"/>
    <w:rsid w:val="004E7B72"/>
    <w:rsid w:val="004E7D7D"/>
    <w:rsid w:val="004E7EC6"/>
    <w:rsid w:val="004E7EF8"/>
    <w:rsid w:val="004E7F02"/>
    <w:rsid w:val="004E7FB2"/>
    <w:rsid w:val="004F0051"/>
    <w:rsid w:val="004F01AE"/>
    <w:rsid w:val="004F01FF"/>
    <w:rsid w:val="004F04D8"/>
    <w:rsid w:val="004F074F"/>
    <w:rsid w:val="004F081D"/>
    <w:rsid w:val="004F0918"/>
    <w:rsid w:val="004F0A42"/>
    <w:rsid w:val="004F0A4E"/>
    <w:rsid w:val="004F0B3B"/>
    <w:rsid w:val="004F0C1D"/>
    <w:rsid w:val="004F0E56"/>
    <w:rsid w:val="004F0F8A"/>
    <w:rsid w:val="004F1A6F"/>
    <w:rsid w:val="004F1A94"/>
    <w:rsid w:val="004F1BB6"/>
    <w:rsid w:val="004F1C05"/>
    <w:rsid w:val="004F1CB4"/>
    <w:rsid w:val="004F1F3E"/>
    <w:rsid w:val="004F1FC3"/>
    <w:rsid w:val="004F201C"/>
    <w:rsid w:val="004F211E"/>
    <w:rsid w:val="004F21FF"/>
    <w:rsid w:val="004F227B"/>
    <w:rsid w:val="004F2765"/>
    <w:rsid w:val="004F285D"/>
    <w:rsid w:val="004F28B9"/>
    <w:rsid w:val="004F2A31"/>
    <w:rsid w:val="004F2A68"/>
    <w:rsid w:val="004F2AE5"/>
    <w:rsid w:val="004F2C19"/>
    <w:rsid w:val="004F2D80"/>
    <w:rsid w:val="004F2DAC"/>
    <w:rsid w:val="004F2FBF"/>
    <w:rsid w:val="004F3066"/>
    <w:rsid w:val="004F3094"/>
    <w:rsid w:val="004F3680"/>
    <w:rsid w:val="004F36EE"/>
    <w:rsid w:val="004F39B3"/>
    <w:rsid w:val="004F39D9"/>
    <w:rsid w:val="004F3B1C"/>
    <w:rsid w:val="004F3C55"/>
    <w:rsid w:val="004F3F3A"/>
    <w:rsid w:val="004F3FD9"/>
    <w:rsid w:val="004F42E1"/>
    <w:rsid w:val="004F432F"/>
    <w:rsid w:val="004F43C9"/>
    <w:rsid w:val="004F43F9"/>
    <w:rsid w:val="004F4446"/>
    <w:rsid w:val="004F4750"/>
    <w:rsid w:val="004F4789"/>
    <w:rsid w:val="004F5016"/>
    <w:rsid w:val="004F52EB"/>
    <w:rsid w:val="004F5397"/>
    <w:rsid w:val="004F54E6"/>
    <w:rsid w:val="004F567A"/>
    <w:rsid w:val="004F586D"/>
    <w:rsid w:val="004F5884"/>
    <w:rsid w:val="004F59AF"/>
    <w:rsid w:val="004F59DC"/>
    <w:rsid w:val="004F5A34"/>
    <w:rsid w:val="004F5B4E"/>
    <w:rsid w:val="004F5CCC"/>
    <w:rsid w:val="004F5E55"/>
    <w:rsid w:val="004F5FE2"/>
    <w:rsid w:val="004F60E4"/>
    <w:rsid w:val="004F60F8"/>
    <w:rsid w:val="004F61F1"/>
    <w:rsid w:val="004F6234"/>
    <w:rsid w:val="004F62AF"/>
    <w:rsid w:val="004F67B0"/>
    <w:rsid w:val="004F6C8E"/>
    <w:rsid w:val="004F7013"/>
    <w:rsid w:val="004F738C"/>
    <w:rsid w:val="004F74EA"/>
    <w:rsid w:val="004F75F9"/>
    <w:rsid w:val="004F7A42"/>
    <w:rsid w:val="004F7B87"/>
    <w:rsid w:val="004F7DF6"/>
    <w:rsid w:val="004F7E41"/>
    <w:rsid w:val="0050020F"/>
    <w:rsid w:val="0050026E"/>
    <w:rsid w:val="005004A6"/>
    <w:rsid w:val="00500559"/>
    <w:rsid w:val="00500738"/>
    <w:rsid w:val="0050076C"/>
    <w:rsid w:val="00500A37"/>
    <w:rsid w:val="00500FDB"/>
    <w:rsid w:val="0050104D"/>
    <w:rsid w:val="0050107B"/>
    <w:rsid w:val="00501236"/>
    <w:rsid w:val="00501272"/>
    <w:rsid w:val="005012E7"/>
    <w:rsid w:val="00501392"/>
    <w:rsid w:val="00501555"/>
    <w:rsid w:val="00501608"/>
    <w:rsid w:val="0050178B"/>
    <w:rsid w:val="0050190E"/>
    <w:rsid w:val="005019BF"/>
    <w:rsid w:val="00501A5C"/>
    <w:rsid w:val="00501C60"/>
    <w:rsid w:val="00501D3A"/>
    <w:rsid w:val="00501D3F"/>
    <w:rsid w:val="00501FE1"/>
    <w:rsid w:val="0050221A"/>
    <w:rsid w:val="00502270"/>
    <w:rsid w:val="00502298"/>
    <w:rsid w:val="005023F4"/>
    <w:rsid w:val="005023F5"/>
    <w:rsid w:val="0050247E"/>
    <w:rsid w:val="00502522"/>
    <w:rsid w:val="005026CC"/>
    <w:rsid w:val="005027C0"/>
    <w:rsid w:val="005028E1"/>
    <w:rsid w:val="005029DB"/>
    <w:rsid w:val="00502C89"/>
    <w:rsid w:val="00503109"/>
    <w:rsid w:val="00503346"/>
    <w:rsid w:val="005033B6"/>
    <w:rsid w:val="005033FA"/>
    <w:rsid w:val="00503446"/>
    <w:rsid w:val="005037C3"/>
    <w:rsid w:val="005037D1"/>
    <w:rsid w:val="00503913"/>
    <w:rsid w:val="00503972"/>
    <w:rsid w:val="00503B50"/>
    <w:rsid w:val="00503B93"/>
    <w:rsid w:val="00503C97"/>
    <w:rsid w:val="00503CB8"/>
    <w:rsid w:val="00503D3A"/>
    <w:rsid w:val="00503FF2"/>
    <w:rsid w:val="0050403C"/>
    <w:rsid w:val="00504147"/>
    <w:rsid w:val="00504371"/>
    <w:rsid w:val="00504479"/>
    <w:rsid w:val="005044EE"/>
    <w:rsid w:val="0050461B"/>
    <w:rsid w:val="005048B3"/>
    <w:rsid w:val="00504956"/>
    <w:rsid w:val="00504A9D"/>
    <w:rsid w:val="00504B04"/>
    <w:rsid w:val="00504B96"/>
    <w:rsid w:val="00504D91"/>
    <w:rsid w:val="00504F85"/>
    <w:rsid w:val="00505031"/>
    <w:rsid w:val="0050506E"/>
    <w:rsid w:val="00505120"/>
    <w:rsid w:val="00505379"/>
    <w:rsid w:val="00505387"/>
    <w:rsid w:val="005053F2"/>
    <w:rsid w:val="0050540F"/>
    <w:rsid w:val="005055C2"/>
    <w:rsid w:val="00505640"/>
    <w:rsid w:val="00505782"/>
    <w:rsid w:val="00505885"/>
    <w:rsid w:val="005058E7"/>
    <w:rsid w:val="00505C4A"/>
    <w:rsid w:val="00505E9C"/>
    <w:rsid w:val="00505F4C"/>
    <w:rsid w:val="00506090"/>
    <w:rsid w:val="0050609B"/>
    <w:rsid w:val="005060AB"/>
    <w:rsid w:val="005060B9"/>
    <w:rsid w:val="005060D9"/>
    <w:rsid w:val="005061AE"/>
    <w:rsid w:val="0050626E"/>
    <w:rsid w:val="005065EB"/>
    <w:rsid w:val="0050662B"/>
    <w:rsid w:val="0050675F"/>
    <w:rsid w:val="00506786"/>
    <w:rsid w:val="005067A1"/>
    <w:rsid w:val="005067F5"/>
    <w:rsid w:val="0050685A"/>
    <w:rsid w:val="00506BB8"/>
    <w:rsid w:val="00506C79"/>
    <w:rsid w:val="00506EE4"/>
    <w:rsid w:val="00506FE1"/>
    <w:rsid w:val="00506FF5"/>
    <w:rsid w:val="00506FF9"/>
    <w:rsid w:val="0050710B"/>
    <w:rsid w:val="0050725D"/>
    <w:rsid w:val="00507289"/>
    <w:rsid w:val="0050738B"/>
    <w:rsid w:val="005074F3"/>
    <w:rsid w:val="005075B7"/>
    <w:rsid w:val="00507718"/>
    <w:rsid w:val="0050774E"/>
    <w:rsid w:val="005077BD"/>
    <w:rsid w:val="0050799A"/>
    <w:rsid w:val="00507A71"/>
    <w:rsid w:val="00507DBE"/>
    <w:rsid w:val="00507F5F"/>
    <w:rsid w:val="00510022"/>
    <w:rsid w:val="00510153"/>
    <w:rsid w:val="0051025B"/>
    <w:rsid w:val="005105BE"/>
    <w:rsid w:val="00510651"/>
    <w:rsid w:val="005106E3"/>
    <w:rsid w:val="0051070A"/>
    <w:rsid w:val="00510793"/>
    <w:rsid w:val="00510843"/>
    <w:rsid w:val="00510951"/>
    <w:rsid w:val="00510B79"/>
    <w:rsid w:val="00510B82"/>
    <w:rsid w:val="00510C6A"/>
    <w:rsid w:val="00510CA5"/>
    <w:rsid w:val="00510F41"/>
    <w:rsid w:val="005111EB"/>
    <w:rsid w:val="0051123A"/>
    <w:rsid w:val="00511546"/>
    <w:rsid w:val="005116CC"/>
    <w:rsid w:val="0051176A"/>
    <w:rsid w:val="005117B7"/>
    <w:rsid w:val="005118A1"/>
    <w:rsid w:val="0051193C"/>
    <w:rsid w:val="005119B4"/>
    <w:rsid w:val="00511A4C"/>
    <w:rsid w:val="00511AA9"/>
    <w:rsid w:val="00511AE2"/>
    <w:rsid w:val="00511BC9"/>
    <w:rsid w:val="00511C3E"/>
    <w:rsid w:val="00511E08"/>
    <w:rsid w:val="00511E94"/>
    <w:rsid w:val="00511F33"/>
    <w:rsid w:val="005120D4"/>
    <w:rsid w:val="00512179"/>
    <w:rsid w:val="00512262"/>
    <w:rsid w:val="0051234B"/>
    <w:rsid w:val="005123A5"/>
    <w:rsid w:val="005124D9"/>
    <w:rsid w:val="00512561"/>
    <w:rsid w:val="005125C8"/>
    <w:rsid w:val="00512675"/>
    <w:rsid w:val="005126D4"/>
    <w:rsid w:val="00512771"/>
    <w:rsid w:val="00512865"/>
    <w:rsid w:val="0051287D"/>
    <w:rsid w:val="005128BC"/>
    <w:rsid w:val="00512948"/>
    <w:rsid w:val="005129A3"/>
    <w:rsid w:val="00512A55"/>
    <w:rsid w:val="00512B78"/>
    <w:rsid w:val="00512C0B"/>
    <w:rsid w:val="00513116"/>
    <w:rsid w:val="005131AB"/>
    <w:rsid w:val="005131B6"/>
    <w:rsid w:val="005131D1"/>
    <w:rsid w:val="00513372"/>
    <w:rsid w:val="00513403"/>
    <w:rsid w:val="005137BB"/>
    <w:rsid w:val="00513843"/>
    <w:rsid w:val="00513AB1"/>
    <w:rsid w:val="00513B60"/>
    <w:rsid w:val="00513C0A"/>
    <w:rsid w:val="00513C12"/>
    <w:rsid w:val="00513E97"/>
    <w:rsid w:val="0051401B"/>
    <w:rsid w:val="00514088"/>
    <w:rsid w:val="00514389"/>
    <w:rsid w:val="0051444A"/>
    <w:rsid w:val="00514476"/>
    <w:rsid w:val="0051449C"/>
    <w:rsid w:val="005145C4"/>
    <w:rsid w:val="00514811"/>
    <w:rsid w:val="00514827"/>
    <w:rsid w:val="0051484F"/>
    <w:rsid w:val="00514886"/>
    <w:rsid w:val="00514960"/>
    <w:rsid w:val="00514A9B"/>
    <w:rsid w:val="00514AC3"/>
    <w:rsid w:val="00514AD5"/>
    <w:rsid w:val="00514B3A"/>
    <w:rsid w:val="00514BFF"/>
    <w:rsid w:val="00514E3E"/>
    <w:rsid w:val="00514E8D"/>
    <w:rsid w:val="00514F47"/>
    <w:rsid w:val="00514FE2"/>
    <w:rsid w:val="0051505C"/>
    <w:rsid w:val="0051507C"/>
    <w:rsid w:val="00515193"/>
    <w:rsid w:val="005151DD"/>
    <w:rsid w:val="005151FD"/>
    <w:rsid w:val="00515265"/>
    <w:rsid w:val="0051541C"/>
    <w:rsid w:val="00515526"/>
    <w:rsid w:val="0051564C"/>
    <w:rsid w:val="0051589C"/>
    <w:rsid w:val="005158C7"/>
    <w:rsid w:val="005159EB"/>
    <w:rsid w:val="00515B0B"/>
    <w:rsid w:val="00515B3B"/>
    <w:rsid w:val="00515C59"/>
    <w:rsid w:val="00515D3E"/>
    <w:rsid w:val="00515E3D"/>
    <w:rsid w:val="00515E67"/>
    <w:rsid w:val="00515FD2"/>
    <w:rsid w:val="00515FDD"/>
    <w:rsid w:val="005160B9"/>
    <w:rsid w:val="00516129"/>
    <w:rsid w:val="0051614F"/>
    <w:rsid w:val="005161E6"/>
    <w:rsid w:val="00516321"/>
    <w:rsid w:val="00516360"/>
    <w:rsid w:val="005163C6"/>
    <w:rsid w:val="005163F2"/>
    <w:rsid w:val="00516482"/>
    <w:rsid w:val="005165E2"/>
    <w:rsid w:val="005167D3"/>
    <w:rsid w:val="005167E4"/>
    <w:rsid w:val="00516817"/>
    <w:rsid w:val="005168AC"/>
    <w:rsid w:val="005169C2"/>
    <w:rsid w:val="005169DA"/>
    <w:rsid w:val="005169E2"/>
    <w:rsid w:val="00516A02"/>
    <w:rsid w:val="00516B58"/>
    <w:rsid w:val="00516BBA"/>
    <w:rsid w:val="00516C0E"/>
    <w:rsid w:val="00516C22"/>
    <w:rsid w:val="00516D99"/>
    <w:rsid w:val="00516F6E"/>
    <w:rsid w:val="00516FD6"/>
    <w:rsid w:val="00517070"/>
    <w:rsid w:val="0051734B"/>
    <w:rsid w:val="005173BA"/>
    <w:rsid w:val="005173F7"/>
    <w:rsid w:val="0051749E"/>
    <w:rsid w:val="005174FF"/>
    <w:rsid w:val="00517547"/>
    <w:rsid w:val="005176C3"/>
    <w:rsid w:val="005177BA"/>
    <w:rsid w:val="005177EF"/>
    <w:rsid w:val="00517898"/>
    <w:rsid w:val="005179E3"/>
    <w:rsid w:val="005179F2"/>
    <w:rsid w:val="00517C2A"/>
    <w:rsid w:val="00517CC0"/>
    <w:rsid w:val="00517D21"/>
    <w:rsid w:val="00517D54"/>
    <w:rsid w:val="00517E31"/>
    <w:rsid w:val="005201CE"/>
    <w:rsid w:val="005201FF"/>
    <w:rsid w:val="00520236"/>
    <w:rsid w:val="0052069C"/>
    <w:rsid w:val="005208DD"/>
    <w:rsid w:val="0052099B"/>
    <w:rsid w:val="00520AD0"/>
    <w:rsid w:val="00520B73"/>
    <w:rsid w:val="00520F69"/>
    <w:rsid w:val="005212B8"/>
    <w:rsid w:val="005212D6"/>
    <w:rsid w:val="00521554"/>
    <w:rsid w:val="005218E3"/>
    <w:rsid w:val="00521A45"/>
    <w:rsid w:val="00521AC3"/>
    <w:rsid w:val="00521B8B"/>
    <w:rsid w:val="00521C70"/>
    <w:rsid w:val="00521CCB"/>
    <w:rsid w:val="00521ED4"/>
    <w:rsid w:val="00521F1E"/>
    <w:rsid w:val="00522199"/>
    <w:rsid w:val="005221E3"/>
    <w:rsid w:val="00522635"/>
    <w:rsid w:val="0052263F"/>
    <w:rsid w:val="00522752"/>
    <w:rsid w:val="0052276C"/>
    <w:rsid w:val="005228EC"/>
    <w:rsid w:val="005229B8"/>
    <w:rsid w:val="00522A7A"/>
    <w:rsid w:val="00522E06"/>
    <w:rsid w:val="00522F0A"/>
    <w:rsid w:val="00522FC3"/>
    <w:rsid w:val="00523286"/>
    <w:rsid w:val="005233BA"/>
    <w:rsid w:val="00523444"/>
    <w:rsid w:val="00523632"/>
    <w:rsid w:val="005237B6"/>
    <w:rsid w:val="00523AB3"/>
    <w:rsid w:val="00523DA2"/>
    <w:rsid w:val="00523FB4"/>
    <w:rsid w:val="00523FDA"/>
    <w:rsid w:val="00524138"/>
    <w:rsid w:val="0052416B"/>
    <w:rsid w:val="005242F7"/>
    <w:rsid w:val="00524424"/>
    <w:rsid w:val="005244A1"/>
    <w:rsid w:val="005249B1"/>
    <w:rsid w:val="005249D8"/>
    <w:rsid w:val="00524A2B"/>
    <w:rsid w:val="00524C31"/>
    <w:rsid w:val="00524DC6"/>
    <w:rsid w:val="00524E15"/>
    <w:rsid w:val="00524E19"/>
    <w:rsid w:val="005251BA"/>
    <w:rsid w:val="0052533B"/>
    <w:rsid w:val="005254C0"/>
    <w:rsid w:val="0052558F"/>
    <w:rsid w:val="005255AA"/>
    <w:rsid w:val="00525732"/>
    <w:rsid w:val="0052574B"/>
    <w:rsid w:val="005257EE"/>
    <w:rsid w:val="005257EF"/>
    <w:rsid w:val="005257F0"/>
    <w:rsid w:val="005257F2"/>
    <w:rsid w:val="00525983"/>
    <w:rsid w:val="00525B52"/>
    <w:rsid w:val="00525BC8"/>
    <w:rsid w:val="00525C71"/>
    <w:rsid w:val="00525C77"/>
    <w:rsid w:val="00525D24"/>
    <w:rsid w:val="00525D7D"/>
    <w:rsid w:val="00525E50"/>
    <w:rsid w:val="00525EE3"/>
    <w:rsid w:val="00525F66"/>
    <w:rsid w:val="00525F9E"/>
    <w:rsid w:val="005260D2"/>
    <w:rsid w:val="0052619E"/>
    <w:rsid w:val="00526411"/>
    <w:rsid w:val="00526415"/>
    <w:rsid w:val="005264CF"/>
    <w:rsid w:val="005264D9"/>
    <w:rsid w:val="0052666C"/>
    <w:rsid w:val="00526676"/>
    <w:rsid w:val="005266A1"/>
    <w:rsid w:val="00526A44"/>
    <w:rsid w:val="00526B26"/>
    <w:rsid w:val="00526D8A"/>
    <w:rsid w:val="00526E7C"/>
    <w:rsid w:val="00526FC1"/>
    <w:rsid w:val="00527034"/>
    <w:rsid w:val="00527054"/>
    <w:rsid w:val="00527143"/>
    <w:rsid w:val="005272A9"/>
    <w:rsid w:val="00527379"/>
    <w:rsid w:val="0052744C"/>
    <w:rsid w:val="0052749F"/>
    <w:rsid w:val="005275E7"/>
    <w:rsid w:val="00527605"/>
    <w:rsid w:val="005277B9"/>
    <w:rsid w:val="00527AB0"/>
    <w:rsid w:val="00527D86"/>
    <w:rsid w:val="00530098"/>
    <w:rsid w:val="005300B6"/>
    <w:rsid w:val="00530102"/>
    <w:rsid w:val="00530275"/>
    <w:rsid w:val="005302DE"/>
    <w:rsid w:val="005304EF"/>
    <w:rsid w:val="00530619"/>
    <w:rsid w:val="00530658"/>
    <w:rsid w:val="0053069F"/>
    <w:rsid w:val="0053076B"/>
    <w:rsid w:val="005307BE"/>
    <w:rsid w:val="00530948"/>
    <w:rsid w:val="00530AB5"/>
    <w:rsid w:val="00530D16"/>
    <w:rsid w:val="00530DAD"/>
    <w:rsid w:val="00530EDA"/>
    <w:rsid w:val="00530EF3"/>
    <w:rsid w:val="00530EFF"/>
    <w:rsid w:val="00530F00"/>
    <w:rsid w:val="00530F10"/>
    <w:rsid w:val="00530F60"/>
    <w:rsid w:val="00530FD4"/>
    <w:rsid w:val="0053109A"/>
    <w:rsid w:val="0053130E"/>
    <w:rsid w:val="0053137B"/>
    <w:rsid w:val="00531398"/>
    <w:rsid w:val="0053143D"/>
    <w:rsid w:val="005317F0"/>
    <w:rsid w:val="005318CC"/>
    <w:rsid w:val="00531987"/>
    <w:rsid w:val="005319E8"/>
    <w:rsid w:val="00531A36"/>
    <w:rsid w:val="00531ABD"/>
    <w:rsid w:val="00531B1A"/>
    <w:rsid w:val="00531BC5"/>
    <w:rsid w:val="00531CE7"/>
    <w:rsid w:val="00532186"/>
    <w:rsid w:val="00532445"/>
    <w:rsid w:val="0053263C"/>
    <w:rsid w:val="005327C4"/>
    <w:rsid w:val="0053297C"/>
    <w:rsid w:val="00532B36"/>
    <w:rsid w:val="00532BA9"/>
    <w:rsid w:val="00532C79"/>
    <w:rsid w:val="00532CA0"/>
    <w:rsid w:val="00532DD3"/>
    <w:rsid w:val="00532F41"/>
    <w:rsid w:val="00533413"/>
    <w:rsid w:val="00533659"/>
    <w:rsid w:val="0053370D"/>
    <w:rsid w:val="0053387C"/>
    <w:rsid w:val="0053389E"/>
    <w:rsid w:val="005339C1"/>
    <w:rsid w:val="00533B3C"/>
    <w:rsid w:val="00533B79"/>
    <w:rsid w:val="00533B9B"/>
    <w:rsid w:val="00533DCD"/>
    <w:rsid w:val="00533F1D"/>
    <w:rsid w:val="00533F7F"/>
    <w:rsid w:val="00533FAF"/>
    <w:rsid w:val="00534034"/>
    <w:rsid w:val="00534109"/>
    <w:rsid w:val="00534287"/>
    <w:rsid w:val="00534320"/>
    <w:rsid w:val="00534427"/>
    <w:rsid w:val="0053459C"/>
    <w:rsid w:val="005345D5"/>
    <w:rsid w:val="00534606"/>
    <w:rsid w:val="005347AA"/>
    <w:rsid w:val="00534977"/>
    <w:rsid w:val="0053497D"/>
    <w:rsid w:val="005349CD"/>
    <w:rsid w:val="00534B61"/>
    <w:rsid w:val="00534BFE"/>
    <w:rsid w:val="00535260"/>
    <w:rsid w:val="0053529C"/>
    <w:rsid w:val="005352FB"/>
    <w:rsid w:val="00535330"/>
    <w:rsid w:val="0053546F"/>
    <w:rsid w:val="005354F5"/>
    <w:rsid w:val="005358C7"/>
    <w:rsid w:val="00535979"/>
    <w:rsid w:val="0053599B"/>
    <w:rsid w:val="005359CA"/>
    <w:rsid w:val="00535A63"/>
    <w:rsid w:val="00535B72"/>
    <w:rsid w:val="00535C51"/>
    <w:rsid w:val="00535C6E"/>
    <w:rsid w:val="00535CD8"/>
    <w:rsid w:val="00535CE3"/>
    <w:rsid w:val="00535F37"/>
    <w:rsid w:val="00535F99"/>
    <w:rsid w:val="00535FBE"/>
    <w:rsid w:val="00536237"/>
    <w:rsid w:val="0053630E"/>
    <w:rsid w:val="0053642A"/>
    <w:rsid w:val="0053666C"/>
    <w:rsid w:val="00536752"/>
    <w:rsid w:val="00536929"/>
    <w:rsid w:val="00536A23"/>
    <w:rsid w:val="00536A88"/>
    <w:rsid w:val="00536B5A"/>
    <w:rsid w:val="00536E1B"/>
    <w:rsid w:val="00536E30"/>
    <w:rsid w:val="00536F15"/>
    <w:rsid w:val="00536F41"/>
    <w:rsid w:val="00537250"/>
    <w:rsid w:val="005372F6"/>
    <w:rsid w:val="00537431"/>
    <w:rsid w:val="005378E0"/>
    <w:rsid w:val="00537922"/>
    <w:rsid w:val="0053798B"/>
    <w:rsid w:val="00537A22"/>
    <w:rsid w:val="00537AB5"/>
    <w:rsid w:val="00537B7C"/>
    <w:rsid w:val="00537C66"/>
    <w:rsid w:val="00537E8D"/>
    <w:rsid w:val="00537EF0"/>
    <w:rsid w:val="00537FC4"/>
    <w:rsid w:val="00537FD2"/>
    <w:rsid w:val="005400C5"/>
    <w:rsid w:val="005401D5"/>
    <w:rsid w:val="005402DE"/>
    <w:rsid w:val="00540463"/>
    <w:rsid w:val="00540515"/>
    <w:rsid w:val="00540517"/>
    <w:rsid w:val="00540584"/>
    <w:rsid w:val="00540624"/>
    <w:rsid w:val="005407BC"/>
    <w:rsid w:val="0054084F"/>
    <w:rsid w:val="005408FD"/>
    <w:rsid w:val="00540921"/>
    <w:rsid w:val="00540BC4"/>
    <w:rsid w:val="00540C0C"/>
    <w:rsid w:val="00540C5C"/>
    <w:rsid w:val="00540EAB"/>
    <w:rsid w:val="00540F94"/>
    <w:rsid w:val="005411C6"/>
    <w:rsid w:val="00541559"/>
    <w:rsid w:val="0054167A"/>
    <w:rsid w:val="0054168D"/>
    <w:rsid w:val="005416E4"/>
    <w:rsid w:val="00541A1B"/>
    <w:rsid w:val="00541C37"/>
    <w:rsid w:val="00541CA3"/>
    <w:rsid w:val="00541D37"/>
    <w:rsid w:val="00541D9C"/>
    <w:rsid w:val="00541EA0"/>
    <w:rsid w:val="00542085"/>
    <w:rsid w:val="0054218B"/>
    <w:rsid w:val="0054221F"/>
    <w:rsid w:val="00542357"/>
    <w:rsid w:val="0054253C"/>
    <w:rsid w:val="00542545"/>
    <w:rsid w:val="00542952"/>
    <w:rsid w:val="00542A1D"/>
    <w:rsid w:val="00542AAF"/>
    <w:rsid w:val="00542AE5"/>
    <w:rsid w:val="00542BDD"/>
    <w:rsid w:val="00542C8E"/>
    <w:rsid w:val="00542E18"/>
    <w:rsid w:val="00542F25"/>
    <w:rsid w:val="00542FA6"/>
    <w:rsid w:val="005432A7"/>
    <w:rsid w:val="005432E6"/>
    <w:rsid w:val="005435D4"/>
    <w:rsid w:val="00543724"/>
    <w:rsid w:val="00543826"/>
    <w:rsid w:val="00543975"/>
    <w:rsid w:val="00543A7D"/>
    <w:rsid w:val="00543B79"/>
    <w:rsid w:val="00543C44"/>
    <w:rsid w:val="00543D21"/>
    <w:rsid w:val="00543D83"/>
    <w:rsid w:val="00543F17"/>
    <w:rsid w:val="005441C3"/>
    <w:rsid w:val="0054435E"/>
    <w:rsid w:val="0054445E"/>
    <w:rsid w:val="00544495"/>
    <w:rsid w:val="005444F0"/>
    <w:rsid w:val="005446D9"/>
    <w:rsid w:val="005447EC"/>
    <w:rsid w:val="00544892"/>
    <w:rsid w:val="005448F1"/>
    <w:rsid w:val="005449DD"/>
    <w:rsid w:val="00544A76"/>
    <w:rsid w:val="00544F03"/>
    <w:rsid w:val="00544F7A"/>
    <w:rsid w:val="00544F8F"/>
    <w:rsid w:val="00545183"/>
    <w:rsid w:val="00545277"/>
    <w:rsid w:val="005454EB"/>
    <w:rsid w:val="0054575A"/>
    <w:rsid w:val="0054575C"/>
    <w:rsid w:val="005458AC"/>
    <w:rsid w:val="00545BE6"/>
    <w:rsid w:val="00545DA3"/>
    <w:rsid w:val="00545DC6"/>
    <w:rsid w:val="00545EC1"/>
    <w:rsid w:val="00545FAF"/>
    <w:rsid w:val="00546169"/>
    <w:rsid w:val="005461A7"/>
    <w:rsid w:val="005461C7"/>
    <w:rsid w:val="00546507"/>
    <w:rsid w:val="005466A1"/>
    <w:rsid w:val="005466DB"/>
    <w:rsid w:val="005466EC"/>
    <w:rsid w:val="00546865"/>
    <w:rsid w:val="005468FD"/>
    <w:rsid w:val="00546998"/>
    <w:rsid w:val="005469CA"/>
    <w:rsid w:val="00546A3D"/>
    <w:rsid w:val="00546AC7"/>
    <w:rsid w:val="00546B06"/>
    <w:rsid w:val="00546B1E"/>
    <w:rsid w:val="00546B33"/>
    <w:rsid w:val="00547127"/>
    <w:rsid w:val="00547154"/>
    <w:rsid w:val="005472A8"/>
    <w:rsid w:val="005473ED"/>
    <w:rsid w:val="0054748C"/>
    <w:rsid w:val="005474A3"/>
    <w:rsid w:val="005476F5"/>
    <w:rsid w:val="00547701"/>
    <w:rsid w:val="005477BF"/>
    <w:rsid w:val="00547956"/>
    <w:rsid w:val="00547A67"/>
    <w:rsid w:val="00547B3F"/>
    <w:rsid w:val="00547B4D"/>
    <w:rsid w:val="00547D08"/>
    <w:rsid w:val="00547DBF"/>
    <w:rsid w:val="00547E17"/>
    <w:rsid w:val="00550043"/>
    <w:rsid w:val="005500B3"/>
    <w:rsid w:val="00550C78"/>
    <w:rsid w:val="00550D70"/>
    <w:rsid w:val="00550E10"/>
    <w:rsid w:val="00550F9C"/>
    <w:rsid w:val="00551048"/>
    <w:rsid w:val="005510A4"/>
    <w:rsid w:val="005511D6"/>
    <w:rsid w:val="005512AB"/>
    <w:rsid w:val="00551374"/>
    <w:rsid w:val="005513AF"/>
    <w:rsid w:val="005514DF"/>
    <w:rsid w:val="00551858"/>
    <w:rsid w:val="00551A82"/>
    <w:rsid w:val="00551D4E"/>
    <w:rsid w:val="00551D84"/>
    <w:rsid w:val="00551E16"/>
    <w:rsid w:val="00551E78"/>
    <w:rsid w:val="00551F2D"/>
    <w:rsid w:val="00551F93"/>
    <w:rsid w:val="00551FE9"/>
    <w:rsid w:val="0055201C"/>
    <w:rsid w:val="005520D1"/>
    <w:rsid w:val="00552356"/>
    <w:rsid w:val="0055239C"/>
    <w:rsid w:val="005524EB"/>
    <w:rsid w:val="0055259C"/>
    <w:rsid w:val="00552680"/>
    <w:rsid w:val="00552769"/>
    <w:rsid w:val="00552824"/>
    <w:rsid w:val="00552854"/>
    <w:rsid w:val="0055285B"/>
    <w:rsid w:val="00552A6E"/>
    <w:rsid w:val="00552B72"/>
    <w:rsid w:val="00552BCC"/>
    <w:rsid w:val="00552CFD"/>
    <w:rsid w:val="00552E06"/>
    <w:rsid w:val="00552E24"/>
    <w:rsid w:val="00552F98"/>
    <w:rsid w:val="005530C6"/>
    <w:rsid w:val="005530DA"/>
    <w:rsid w:val="005531C6"/>
    <w:rsid w:val="00553202"/>
    <w:rsid w:val="00553238"/>
    <w:rsid w:val="00553378"/>
    <w:rsid w:val="00553383"/>
    <w:rsid w:val="005533D6"/>
    <w:rsid w:val="005533FB"/>
    <w:rsid w:val="005535A3"/>
    <w:rsid w:val="0055361D"/>
    <w:rsid w:val="00553654"/>
    <w:rsid w:val="0055370E"/>
    <w:rsid w:val="0055379C"/>
    <w:rsid w:val="00553982"/>
    <w:rsid w:val="00553C02"/>
    <w:rsid w:val="00553F5C"/>
    <w:rsid w:val="005542F7"/>
    <w:rsid w:val="00554441"/>
    <w:rsid w:val="005546DD"/>
    <w:rsid w:val="00554946"/>
    <w:rsid w:val="00554AAA"/>
    <w:rsid w:val="00554B9C"/>
    <w:rsid w:val="00554CD3"/>
    <w:rsid w:val="00554D7D"/>
    <w:rsid w:val="00554E1E"/>
    <w:rsid w:val="005551A1"/>
    <w:rsid w:val="00555283"/>
    <w:rsid w:val="00555550"/>
    <w:rsid w:val="005556B1"/>
    <w:rsid w:val="005557CE"/>
    <w:rsid w:val="0055599C"/>
    <w:rsid w:val="00555CB7"/>
    <w:rsid w:val="00555EA3"/>
    <w:rsid w:val="00555F39"/>
    <w:rsid w:val="00556137"/>
    <w:rsid w:val="00556179"/>
    <w:rsid w:val="00556265"/>
    <w:rsid w:val="00556298"/>
    <w:rsid w:val="005563C5"/>
    <w:rsid w:val="005564D8"/>
    <w:rsid w:val="005565EB"/>
    <w:rsid w:val="005566B9"/>
    <w:rsid w:val="005567D5"/>
    <w:rsid w:val="00556AF0"/>
    <w:rsid w:val="00556B99"/>
    <w:rsid w:val="00556BC7"/>
    <w:rsid w:val="00556CE3"/>
    <w:rsid w:val="00556D80"/>
    <w:rsid w:val="00556FB9"/>
    <w:rsid w:val="00557298"/>
    <w:rsid w:val="00557596"/>
    <w:rsid w:val="005575D4"/>
    <w:rsid w:val="005575E1"/>
    <w:rsid w:val="005579E7"/>
    <w:rsid w:val="005579F0"/>
    <w:rsid w:val="00557B29"/>
    <w:rsid w:val="00557C4A"/>
    <w:rsid w:val="00557E76"/>
    <w:rsid w:val="00557F0E"/>
    <w:rsid w:val="00557F42"/>
    <w:rsid w:val="00557F8A"/>
    <w:rsid w:val="005601C0"/>
    <w:rsid w:val="00560209"/>
    <w:rsid w:val="00560232"/>
    <w:rsid w:val="0056024B"/>
    <w:rsid w:val="00560269"/>
    <w:rsid w:val="0056027C"/>
    <w:rsid w:val="0056032D"/>
    <w:rsid w:val="00560374"/>
    <w:rsid w:val="00560388"/>
    <w:rsid w:val="0056049B"/>
    <w:rsid w:val="00560526"/>
    <w:rsid w:val="0056076E"/>
    <w:rsid w:val="00560784"/>
    <w:rsid w:val="00560880"/>
    <w:rsid w:val="0056090F"/>
    <w:rsid w:val="00560A12"/>
    <w:rsid w:val="00560AC0"/>
    <w:rsid w:val="00560AC8"/>
    <w:rsid w:val="00561091"/>
    <w:rsid w:val="005610EF"/>
    <w:rsid w:val="0056111B"/>
    <w:rsid w:val="00561233"/>
    <w:rsid w:val="0056128F"/>
    <w:rsid w:val="005613B2"/>
    <w:rsid w:val="005613F4"/>
    <w:rsid w:val="005613F9"/>
    <w:rsid w:val="005615B7"/>
    <w:rsid w:val="00561730"/>
    <w:rsid w:val="00561800"/>
    <w:rsid w:val="005619F9"/>
    <w:rsid w:val="00561AB7"/>
    <w:rsid w:val="00561D13"/>
    <w:rsid w:val="00561DC5"/>
    <w:rsid w:val="00561F5C"/>
    <w:rsid w:val="00561FC2"/>
    <w:rsid w:val="005620CA"/>
    <w:rsid w:val="005620F3"/>
    <w:rsid w:val="005626A9"/>
    <w:rsid w:val="005629D4"/>
    <w:rsid w:val="00562AE3"/>
    <w:rsid w:val="00562C62"/>
    <w:rsid w:val="00562CB3"/>
    <w:rsid w:val="00562D0F"/>
    <w:rsid w:val="00562D24"/>
    <w:rsid w:val="00562DA3"/>
    <w:rsid w:val="00562FA5"/>
    <w:rsid w:val="00563021"/>
    <w:rsid w:val="005630B2"/>
    <w:rsid w:val="00563152"/>
    <w:rsid w:val="0056316C"/>
    <w:rsid w:val="005632EF"/>
    <w:rsid w:val="00563436"/>
    <w:rsid w:val="0056345D"/>
    <w:rsid w:val="00563548"/>
    <w:rsid w:val="00563610"/>
    <w:rsid w:val="0056372F"/>
    <w:rsid w:val="00563857"/>
    <w:rsid w:val="00563A60"/>
    <w:rsid w:val="00563A64"/>
    <w:rsid w:val="00563CAD"/>
    <w:rsid w:val="00563D64"/>
    <w:rsid w:val="00564403"/>
    <w:rsid w:val="00564415"/>
    <w:rsid w:val="0056447E"/>
    <w:rsid w:val="00564543"/>
    <w:rsid w:val="00564582"/>
    <w:rsid w:val="0056484A"/>
    <w:rsid w:val="00564924"/>
    <w:rsid w:val="00564A87"/>
    <w:rsid w:val="00564B62"/>
    <w:rsid w:val="00564BE0"/>
    <w:rsid w:val="00564D63"/>
    <w:rsid w:val="00564F0A"/>
    <w:rsid w:val="00565280"/>
    <w:rsid w:val="005652FA"/>
    <w:rsid w:val="0056536A"/>
    <w:rsid w:val="00565442"/>
    <w:rsid w:val="005654C6"/>
    <w:rsid w:val="005655A8"/>
    <w:rsid w:val="005656D4"/>
    <w:rsid w:val="0056596D"/>
    <w:rsid w:val="00565A95"/>
    <w:rsid w:val="00565B35"/>
    <w:rsid w:val="00565C1C"/>
    <w:rsid w:val="00565C6C"/>
    <w:rsid w:val="00565DBA"/>
    <w:rsid w:val="00565F7D"/>
    <w:rsid w:val="005662D2"/>
    <w:rsid w:val="00566300"/>
    <w:rsid w:val="0056632D"/>
    <w:rsid w:val="00566445"/>
    <w:rsid w:val="005666D5"/>
    <w:rsid w:val="0056696C"/>
    <w:rsid w:val="0056697C"/>
    <w:rsid w:val="005669DC"/>
    <w:rsid w:val="00566B22"/>
    <w:rsid w:val="00566B3B"/>
    <w:rsid w:val="005670C0"/>
    <w:rsid w:val="005671B7"/>
    <w:rsid w:val="005671DF"/>
    <w:rsid w:val="0056730F"/>
    <w:rsid w:val="0056734E"/>
    <w:rsid w:val="00567544"/>
    <w:rsid w:val="005678E1"/>
    <w:rsid w:val="00567922"/>
    <w:rsid w:val="00567A92"/>
    <w:rsid w:val="00567B3A"/>
    <w:rsid w:val="00567D0E"/>
    <w:rsid w:val="0057000A"/>
    <w:rsid w:val="00570103"/>
    <w:rsid w:val="00570117"/>
    <w:rsid w:val="005702A0"/>
    <w:rsid w:val="00570356"/>
    <w:rsid w:val="00570490"/>
    <w:rsid w:val="005704F7"/>
    <w:rsid w:val="0057057B"/>
    <w:rsid w:val="005705F4"/>
    <w:rsid w:val="005709E2"/>
    <w:rsid w:val="00570E2E"/>
    <w:rsid w:val="00570E3C"/>
    <w:rsid w:val="0057110C"/>
    <w:rsid w:val="005711EB"/>
    <w:rsid w:val="005713DC"/>
    <w:rsid w:val="005714D6"/>
    <w:rsid w:val="00571627"/>
    <w:rsid w:val="00571646"/>
    <w:rsid w:val="00571656"/>
    <w:rsid w:val="0057184C"/>
    <w:rsid w:val="0057198D"/>
    <w:rsid w:val="005719A6"/>
    <w:rsid w:val="00571B89"/>
    <w:rsid w:val="00571E6D"/>
    <w:rsid w:val="00571EBF"/>
    <w:rsid w:val="00572059"/>
    <w:rsid w:val="0057224C"/>
    <w:rsid w:val="0057238F"/>
    <w:rsid w:val="005723C7"/>
    <w:rsid w:val="005724B5"/>
    <w:rsid w:val="0057268D"/>
    <w:rsid w:val="00572694"/>
    <w:rsid w:val="00572A67"/>
    <w:rsid w:val="00572AA0"/>
    <w:rsid w:val="00572F41"/>
    <w:rsid w:val="00573161"/>
    <w:rsid w:val="00573206"/>
    <w:rsid w:val="00573309"/>
    <w:rsid w:val="00573479"/>
    <w:rsid w:val="0057348B"/>
    <w:rsid w:val="00573504"/>
    <w:rsid w:val="005736DA"/>
    <w:rsid w:val="00573701"/>
    <w:rsid w:val="005738A5"/>
    <w:rsid w:val="00573B33"/>
    <w:rsid w:val="00573BED"/>
    <w:rsid w:val="005741C9"/>
    <w:rsid w:val="00574291"/>
    <w:rsid w:val="005742FD"/>
    <w:rsid w:val="005744A0"/>
    <w:rsid w:val="0057489E"/>
    <w:rsid w:val="005748CA"/>
    <w:rsid w:val="00574AA3"/>
    <w:rsid w:val="00574B38"/>
    <w:rsid w:val="00574BB7"/>
    <w:rsid w:val="00574BD1"/>
    <w:rsid w:val="00574BE7"/>
    <w:rsid w:val="00574C2E"/>
    <w:rsid w:val="00574E24"/>
    <w:rsid w:val="00574E90"/>
    <w:rsid w:val="00574EBD"/>
    <w:rsid w:val="005750D8"/>
    <w:rsid w:val="005751A1"/>
    <w:rsid w:val="00575593"/>
    <w:rsid w:val="005756EF"/>
    <w:rsid w:val="0057571D"/>
    <w:rsid w:val="00575968"/>
    <w:rsid w:val="0057596D"/>
    <w:rsid w:val="005759D5"/>
    <w:rsid w:val="00575A40"/>
    <w:rsid w:val="00575ABE"/>
    <w:rsid w:val="00575AE9"/>
    <w:rsid w:val="00575C22"/>
    <w:rsid w:val="00575EB6"/>
    <w:rsid w:val="0057621A"/>
    <w:rsid w:val="0057624B"/>
    <w:rsid w:val="005763FA"/>
    <w:rsid w:val="0057641B"/>
    <w:rsid w:val="00576855"/>
    <w:rsid w:val="005768CA"/>
    <w:rsid w:val="005768DA"/>
    <w:rsid w:val="00576945"/>
    <w:rsid w:val="00576AB0"/>
    <w:rsid w:val="00576DD7"/>
    <w:rsid w:val="00577073"/>
    <w:rsid w:val="00577214"/>
    <w:rsid w:val="005772A8"/>
    <w:rsid w:val="005773DB"/>
    <w:rsid w:val="00577401"/>
    <w:rsid w:val="00577635"/>
    <w:rsid w:val="005776E6"/>
    <w:rsid w:val="005777AC"/>
    <w:rsid w:val="0057785F"/>
    <w:rsid w:val="00577BE2"/>
    <w:rsid w:val="00577C84"/>
    <w:rsid w:val="00577C96"/>
    <w:rsid w:val="00577E3D"/>
    <w:rsid w:val="00577EDC"/>
    <w:rsid w:val="00580010"/>
    <w:rsid w:val="00580020"/>
    <w:rsid w:val="00580155"/>
    <w:rsid w:val="00580178"/>
    <w:rsid w:val="0058019A"/>
    <w:rsid w:val="005801A5"/>
    <w:rsid w:val="0058051A"/>
    <w:rsid w:val="0058064C"/>
    <w:rsid w:val="005806BD"/>
    <w:rsid w:val="0058072E"/>
    <w:rsid w:val="005807F2"/>
    <w:rsid w:val="00580AEF"/>
    <w:rsid w:val="00580B87"/>
    <w:rsid w:val="00580E65"/>
    <w:rsid w:val="00580E69"/>
    <w:rsid w:val="0058113D"/>
    <w:rsid w:val="00581216"/>
    <w:rsid w:val="005812F0"/>
    <w:rsid w:val="0058152C"/>
    <w:rsid w:val="0058163A"/>
    <w:rsid w:val="005816B0"/>
    <w:rsid w:val="005816E4"/>
    <w:rsid w:val="0058170A"/>
    <w:rsid w:val="005817AA"/>
    <w:rsid w:val="00581828"/>
    <w:rsid w:val="005818FF"/>
    <w:rsid w:val="00581921"/>
    <w:rsid w:val="00581A53"/>
    <w:rsid w:val="00581C6C"/>
    <w:rsid w:val="005821C7"/>
    <w:rsid w:val="00582290"/>
    <w:rsid w:val="005822A3"/>
    <w:rsid w:val="00582305"/>
    <w:rsid w:val="0058245A"/>
    <w:rsid w:val="00582747"/>
    <w:rsid w:val="005828B2"/>
    <w:rsid w:val="005828D6"/>
    <w:rsid w:val="00582925"/>
    <w:rsid w:val="00582A8E"/>
    <w:rsid w:val="00582ADA"/>
    <w:rsid w:val="00582BDE"/>
    <w:rsid w:val="00582C4C"/>
    <w:rsid w:val="00582E0A"/>
    <w:rsid w:val="00582EC9"/>
    <w:rsid w:val="00582FE6"/>
    <w:rsid w:val="005830EB"/>
    <w:rsid w:val="00583308"/>
    <w:rsid w:val="00583319"/>
    <w:rsid w:val="00583575"/>
    <w:rsid w:val="0058379C"/>
    <w:rsid w:val="0058396D"/>
    <w:rsid w:val="00583AC8"/>
    <w:rsid w:val="00583B42"/>
    <w:rsid w:val="00583CFC"/>
    <w:rsid w:val="00583D9B"/>
    <w:rsid w:val="00583DD7"/>
    <w:rsid w:val="00583E68"/>
    <w:rsid w:val="0058419E"/>
    <w:rsid w:val="005841B1"/>
    <w:rsid w:val="005841C5"/>
    <w:rsid w:val="0058426F"/>
    <w:rsid w:val="005842DF"/>
    <w:rsid w:val="00584359"/>
    <w:rsid w:val="005843AE"/>
    <w:rsid w:val="005845E0"/>
    <w:rsid w:val="00584707"/>
    <w:rsid w:val="00584781"/>
    <w:rsid w:val="00584873"/>
    <w:rsid w:val="005848B6"/>
    <w:rsid w:val="005849FE"/>
    <w:rsid w:val="00584AF8"/>
    <w:rsid w:val="00584C82"/>
    <w:rsid w:val="00584CF5"/>
    <w:rsid w:val="00584D20"/>
    <w:rsid w:val="00584D34"/>
    <w:rsid w:val="0058504E"/>
    <w:rsid w:val="005850BB"/>
    <w:rsid w:val="005851A3"/>
    <w:rsid w:val="00585215"/>
    <w:rsid w:val="00585231"/>
    <w:rsid w:val="005857AE"/>
    <w:rsid w:val="00585897"/>
    <w:rsid w:val="0058599D"/>
    <w:rsid w:val="00585BE8"/>
    <w:rsid w:val="00585C9B"/>
    <w:rsid w:val="00585D0C"/>
    <w:rsid w:val="00585D12"/>
    <w:rsid w:val="00585D9F"/>
    <w:rsid w:val="00585E3F"/>
    <w:rsid w:val="00585E64"/>
    <w:rsid w:val="00585F22"/>
    <w:rsid w:val="00585FF2"/>
    <w:rsid w:val="005860DF"/>
    <w:rsid w:val="00586327"/>
    <w:rsid w:val="005863C1"/>
    <w:rsid w:val="00586471"/>
    <w:rsid w:val="005864C7"/>
    <w:rsid w:val="00586601"/>
    <w:rsid w:val="00586671"/>
    <w:rsid w:val="00586685"/>
    <w:rsid w:val="00586709"/>
    <w:rsid w:val="00586761"/>
    <w:rsid w:val="0058685C"/>
    <w:rsid w:val="0058688E"/>
    <w:rsid w:val="005868B6"/>
    <w:rsid w:val="005869CC"/>
    <w:rsid w:val="00586D3B"/>
    <w:rsid w:val="00586E61"/>
    <w:rsid w:val="0058708B"/>
    <w:rsid w:val="005870C0"/>
    <w:rsid w:val="005871BE"/>
    <w:rsid w:val="00587230"/>
    <w:rsid w:val="005872AE"/>
    <w:rsid w:val="00587315"/>
    <w:rsid w:val="005873C9"/>
    <w:rsid w:val="00587442"/>
    <w:rsid w:val="005874F1"/>
    <w:rsid w:val="00587549"/>
    <w:rsid w:val="005875D4"/>
    <w:rsid w:val="0058773F"/>
    <w:rsid w:val="00587924"/>
    <w:rsid w:val="00587936"/>
    <w:rsid w:val="0058795B"/>
    <w:rsid w:val="00587A89"/>
    <w:rsid w:val="00587F59"/>
    <w:rsid w:val="005900C3"/>
    <w:rsid w:val="005900E9"/>
    <w:rsid w:val="00590106"/>
    <w:rsid w:val="00590171"/>
    <w:rsid w:val="0059030E"/>
    <w:rsid w:val="005903BC"/>
    <w:rsid w:val="00590505"/>
    <w:rsid w:val="0059056A"/>
    <w:rsid w:val="005905A0"/>
    <w:rsid w:val="00590703"/>
    <w:rsid w:val="00590793"/>
    <w:rsid w:val="00590855"/>
    <w:rsid w:val="00590AE8"/>
    <w:rsid w:val="00590BBC"/>
    <w:rsid w:val="00590BE6"/>
    <w:rsid w:val="00590D72"/>
    <w:rsid w:val="00590E24"/>
    <w:rsid w:val="00590FC1"/>
    <w:rsid w:val="00590FDE"/>
    <w:rsid w:val="00591201"/>
    <w:rsid w:val="00591380"/>
    <w:rsid w:val="00591396"/>
    <w:rsid w:val="005915D6"/>
    <w:rsid w:val="00591732"/>
    <w:rsid w:val="005918A2"/>
    <w:rsid w:val="005918E8"/>
    <w:rsid w:val="00591A2C"/>
    <w:rsid w:val="00591AAF"/>
    <w:rsid w:val="00591B24"/>
    <w:rsid w:val="00591BB3"/>
    <w:rsid w:val="00591C39"/>
    <w:rsid w:val="00591CD5"/>
    <w:rsid w:val="00591D8F"/>
    <w:rsid w:val="00591DDE"/>
    <w:rsid w:val="00591E15"/>
    <w:rsid w:val="00591E17"/>
    <w:rsid w:val="00591FD5"/>
    <w:rsid w:val="0059235A"/>
    <w:rsid w:val="005923E1"/>
    <w:rsid w:val="005925AB"/>
    <w:rsid w:val="005925B9"/>
    <w:rsid w:val="00592609"/>
    <w:rsid w:val="0059264B"/>
    <w:rsid w:val="0059268B"/>
    <w:rsid w:val="0059271E"/>
    <w:rsid w:val="0059288A"/>
    <w:rsid w:val="00592936"/>
    <w:rsid w:val="00592A24"/>
    <w:rsid w:val="00592A3E"/>
    <w:rsid w:val="00592BE1"/>
    <w:rsid w:val="00592D1E"/>
    <w:rsid w:val="00592D43"/>
    <w:rsid w:val="00592E6C"/>
    <w:rsid w:val="0059317F"/>
    <w:rsid w:val="005931DC"/>
    <w:rsid w:val="005932DF"/>
    <w:rsid w:val="00593356"/>
    <w:rsid w:val="00593390"/>
    <w:rsid w:val="005933EC"/>
    <w:rsid w:val="0059340B"/>
    <w:rsid w:val="005934B8"/>
    <w:rsid w:val="005935E9"/>
    <w:rsid w:val="005935ED"/>
    <w:rsid w:val="0059366B"/>
    <w:rsid w:val="0059369F"/>
    <w:rsid w:val="005936CB"/>
    <w:rsid w:val="00593A38"/>
    <w:rsid w:val="00593BFE"/>
    <w:rsid w:val="00593D4E"/>
    <w:rsid w:val="00593F7E"/>
    <w:rsid w:val="0059403A"/>
    <w:rsid w:val="00594053"/>
    <w:rsid w:val="005940BA"/>
    <w:rsid w:val="0059438F"/>
    <w:rsid w:val="00594416"/>
    <w:rsid w:val="005944EC"/>
    <w:rsid w:val="00594596"/>
    <w:rsid w:val="005947A8"/>
    <w:rsid w:val="00594958"/>
    <w:rsid w:val="0059499D"/>
    <w:rsid w:val="00594A61"/>
    <w:rsid w:val="00594ADD"/>
    <w:rsid w:val="00594C72"/>
    <w:rsid w:val="00594D33"/>
    <w:rsid w:val="00594ECE"/>
    <w:rsid w:val="00595174"/>
    <w:rsid w:val="00595227"/>
    <w:rsid w:val="00595406"/>
    <w:rsid w:val="0059553E"/>
    <w:rsid w:val="0059553F"/>
    <w:rsid w:val="005955FF"/>
    <w:rsid w:val="0059569D"/>
    <w:rsid w:val="00595713"/>
    <w:rsid w:val="00595772"/>
    <w:rsid w:val="005957A4"/>
    <w:rsid w:val="0059580B"/>
    <w:rsid w:val="0059595B"/>
    <w:rsid w:val="00595BE8"/>
    <w:rsid w:val="00595C93"/>
    <w:rsid w:val="00595EE3"/>
    <w:rsid w:val="00595F28"/>
    <w:rsid w:val="00596031"/>
    <w:rsid w:val="0059615E"/>
    <w:rsid w:val="005961A2"/>
    <w:rsid w:val="00596251"/>
    <w:rsid w:val="00596383"/>
    <w:rsid w:val="00596463"/>
    <w:rsid w:val="00596642"/>
    <w:rsid w:val="005967B9"/>
    <w:rsid w:val="005967D5"/>
    <w:rsid w:val="00596959"/>
    <w:rsid w:val="005969B2"/>
    <w:rsid w:val="00596AAE"/>
    <w:rsid w:val="00596B25"/>
    <w:rsid w:val="00596BAF"/>
    <w:rsid w:val="00596C83"/>
    <w:rsid w:val="00596CAB"/>
    <w:rsid w:val="00596E64"/>
    <w:rsid w:val="00597120"/>
    <w:rsid w:val="00597361"/>
    <w:rsid w:val="0059737D"/>
    <w:rsid w:val="00597555"/>
    <w:rsid w:val="00597768"/>
    <w:rsid w:val="0059780B"/>
    <w:rsid w:val="005978A6"/>
    <w:rsid w:val="005978AF"/>
    <w:rsid w:val="005978B4"/>
    <w:rsid w:val="00597908"/>
    <w:rsid w:val="00597A2E"/>
    <w:rsid w:val="00597CDF"/>
    <w:rsid w:val="00597E5B"/>
    <w:rsid w:val="00597F7D"/>
    <w:rsid w:val="005A01C2"/>
    <w:rsid w:val="005A0253"/>
    <w:rsid w:val="005A02BA"/>
    <w:rsid w:val="005A02D2"/>
    <w:rsid w:val="005A03CF"/>
    <w:rsid w:val="005A03DD"/>
    <w:rsid w:val="005A040A"/>
    <w:rsid w:val="005A0437"/>
    <w:rsid w:val="005A0485"/>
    <w:rsid w:val="005A06B7"/>
    <w:rsid w:val="005A084B"/>
    <w:rsid w:val="005A0975"/>
    <w:rsid w:val="005A0AC4"/>
    <w:rsid w:val="005A0CB5"/>
    <w:rsid w:val="005A0CFA"/>
    <w:rsid w:val="005A0DE2"/>
    <w:rsid w:val="005A0FA2"/>
    <w:rsid w:val="005A1083"/>
    <w:rsid w:val="005A125E"/>
    <w:rsid w:val="005A1378"/>
    <w:rsid w:val="005A13EB"/>
    <w:rsid w:val="005A1429"/>
    <w:rsid w:val="005A148D"/>
    <w:rsid w:val="005A14F3"/>
    <w:rsid w:val="005A150E"/>
    <w:rsid w:val="005A1657"/>
    <w:rsid w:val="005A16D6"/>
    <w:rsid w:val="005A182E"/>
    <w:rsid w:val="005A19D9"/>
    <w:rsid w:val="005A1A34"/>
    <w:rsid w:val="005A1A3B"/>
    <w:rsid w:val="005A1BA5"/>
    <w:rsid w:val="005A1BBD"/>
    <w:rsid w:val="005A1E32"/>
    <w:rsid w:val="005A2090"/>
    <w:rsid w:val="005A21C9"/>
    <w:rsid w:val="005A2263"/>
    <w:rsid w:val="005A233B"/>
    <w:rsid w:val="005A2351"/>
    <w:rsid w:val="005A27F1"/>
    <w:rsid w:val="005A2864"/>
    <w:rsid w:val="005A2882"/>
    <w:rsid w:val="005A2901"/>
    <w:rsid w:val="005A2917"/>
    <w:rsid w:val="005A2D22"/>
    <w:rsid w:val="005A2F80"/>
    <w:rsid w:val="005A31C7"/>
    <w:rsid w:val="005A3239"/>
    <w:rsid w:val="005A324A"/>
    <w:rsid w:val="005A3285"/>
    <w:rsid w:val="005A32D8"/>
    <w:rsid w:val="005A3333"/>
    <w:rsid w:val="005A33A8"/>
    <w:rsid w:val="005A3504"/>
    <w:rsid w:val="005A354E"/>
    <w:rsid w:val="005A3617"/>
    <w:rsid w:val="005A3646"/>
    <w:rsid w:val="005A3704"/>
    <w:rsid w:val="005A3706"/>
    <w:rsid w:val="005A3735"/>
    <w:rsid w:val="005A3824"/>
    <w:rsid w:val="005A3915"/>
    <w:rsid w:val="005A391E"/>
    <w:rsid w:val="005A3A29"/>
    <w:rsid w:val="005A3AEE"/>
    <w:rsid w:val="005A3CE4"/>
    <w:rsid w:val="005A40EF"/>
    <w:rsid w:val="005A41D9"/>
    <w:rsid w:val="005A447C"/>
    <w:rsid w:val="005A44FE"/>
    <w:rsid w:val="005A455B"/>
    <w:rsid w:val="005A456C"/>
    <w:rsid w:val="005A45E4"/>
    <w:rsid w:val="005A47FF"/>
    <w:rsid w:val="005A48F9"/>
    <w:rsid w:val="005A4937"/>
    <w:rsid w:val="005A494F"/>
    <w:rsid w:val="005A4BC8"/>
    <w:rsid w:val="005A4DEC"/>
    <w:rsid w:val="005A4EC5"/>
    <w:rsid w:val="005A4F25"/>
    <w:rsid w:val="005A4F2E"/>
    <w:rsid w:val="005A4F79"/>
    <w:rsid w:val="005A5100"/>
    <w:rsid w:val="005A5303"/>
    <w:rsid w:val="005A5393"/>
    <w:rsid w:val="005A5559"/>
    <w:rsid w:val="005A5705"/>
    <w:rsid w:val="005A5756"/>
    <w:rsid w:val="005A57FF"/>
    <w:rsid w:val="005A5868"/>
    <w:rsid w:val="005A591A"/>
    <w:rsid w:val="005A596D"/>
    <w:rsid w:val="005A5A79"/>
    <w:rsid w:val="005A5B34"/>
    <w:rsid w:val="005A5B9A"/>
    <w:rsid w:val="005A5DB3"/>
    <w:rsid w:val="005A5E24"/>
    <w:rsid w:val="005A5EC7"/>
    <w:rsid w:val="005A5FB2"/>
    <w:rsid w:val="005A604F"/>
    <w:rsid w:val="005A6144"/>
    <w:rsid w:val="005A61F4"/>
    <w:rsid w:val="005A623E"/>
    <w:rsid w:val="005A6404"/>
    <w:rsid w:val="005A6495"/>
    <w:rsid w:val="005A6556"/>
    <w:rsid w:val="005A667C"/>
    <w:rsid w:val="005A6737"/>
    <w:rsid w:val="005A6826"/>
    <w:rsid w:val="005A685A"/>
    <w:rsid w:val="005A697D"/>
    <w:rsid w:val="005A6EDB"/>
    <w:rsid w:val="005A7009"/>
    <w:rsid w:val="005A7061"/>
    <w:rsid w:val="005A728B"/>
    <w:rsid w:val="005A76DF"/>
    <w:rsid w:val="005A777E"/>
    <w:rsid w:val="005A7787"/>
    <w:rsid w:val="005A77BC"/>
    <w:rsid w:val="005A79FA"/>
    <w:rsid w:val="005A7AA6"/>
    <w:rsid w:val="005A7B5C"/>
    <w:rsid w:val="005A7BC6"/>
    <w:rsid w:val="005A7CB1"/>
    <w:rsid w:val="005B047F"/>
    <w:rsid w:val="005B05FE"/>
    <w:rsid w:val="005B0886"/>
    <w:rsid w:val="005B0992"/>
    <w:rsid w:val="005B09C7"/>
    <w:rsid w:val="005B0CC4"/>
    <w:rsid w:val="005B0CDC"/>
    <w:rsid w:val="005B0D5D"/>
    <w:rsid w:val="005B0DD5"/>
    <w:rsid w:val="005B0DE3"/>
    <w:rsid w:val="005B1154"/>
    <w:rsid w:val="005B11FE"/>
    <w:rsid w:val="005B12D6"/>
    <w:rsid w:val="005B1312"/>
    <w:rsid w:val="005B1416"/>
    <w:rsid w:val="005B1928"/>
    <w:rsid w:val="005B1990"/>
    <w:rsid w:val="005B1B30"/>
    <w:rsid w:val="005B1CEB"/>
    <w:rsid w:val="005B1EB9"/>
    <w:rsid w:val="005B1F09"/>
    <w:rsid w:val="005B207D"/>
    <w:rsid w:val="005B2161"/>
    <w:rsid w:val="005B2309"/>
    <w:rsid w:val="005B23D2"/>
    <w:rsid w:val="005B2445"/>
    <w:rsid w:val="005B25FB"/>
    <w:rsid w:val="005B2807"/>
    <w:rsid w:val="005B2829"/>
    <w:rsid w:val="005B28A7"/>
    <w:rsid w:val="005B2933"/>
    <w:rsid w:val="005B298E"/>
    <w:rsid w:val="005B29E3"/>
    <w:rsid w:val="005B2A85"/>
    <w:rsid w:val="005B2AFB"/>
    <w:rsid w:val="005B2B4B"/>
    <w:rsid w:val="005B2C5E"/>
    <w:rsid w:val="005B2CB8"/>
    <w:rsid w:val="005B2CDB"/>
    <w:rsid w:val="005B2D6D"/>
    <w:rsid w:val="005B2DAC"/>
    <w:rsid w:val="005B2E16"/>
    <w:rsid w:val="005B2FE0"/>
    <w:rsid w:val="005B343F"/>
    <w:rsid w:val="005B3609"/>
    <w:rsid w:val="005B36B8"/>
    <w:rsid w:val="005B372F"/>
    <w:rsid w:val="005B3742"/>
    <w:rsid w:val="005B379B"/>
    <w:rsid w:val="005B39B5"/>
    <w:rsid w:val="005B3A21"/>
    <w:rsid w:val="005B3A84"/>
    <w:rsid w:val="005B3BF8"/>
    <w:rsid w:val="005B3CA7"/>
    <w:rsid w:val="005B3E5B"/>
    <w:rsid w:val="005B420D"/>
    <w:rsid w:val="005B42A3"/>
    <w:rsid w:val="005B43EA"/>
    <w:rsid w:val="005B4457"/>
    <w:rsid w:val="005B4634"/>
    <w:rsid w:val="005B478B"/>
    <w:rsid w:val="005B4A88"/>
    <w:rsid w:val="005B4ABD"/>
    <w:rsid w:val="005B4CDE"/>
    <w:rsid w:val="005B5096"/>
    <w:rsid w:val="005B5234"/>
    <w:rsid w:val="005B526A"/>
    <w:rsid w:val="005B5499"/>
    <w:rsid w:val="005B54EA"/>
    <w:rsid w:val="005B5516"/>
    <w:rsid w:val="005B557D"/>
    <w:rsid w:val="005B5711"/>
    <w:rsid w:val="005B5895"/>
    <w:rsid w:val="005B5972"/>
    <w:rsid w:val="005B598C"/>
    <w:rsid w:val="005B5991"/>
    <w:rsid w:val="005B5F2D"/>
    <w:rsid w:val="005B5F42"/>
    <w:rsid w:val="005B6016"/>
    <w:rsid w:val="005B639D"/>
    <w:rsid w:val="005B6489"/>
    <w:rsid w:val="005B65A5"/>
    <w:rsid w:val="005B6646"/>
    <w:rsid w:val="005B66BB"/>
    <w:rsid w:val="005B6851"/>
    <w:rsid w:val="005B6933"/>
    <w:rsid w:val="005B6968"/>
    <w:rsid w:val="005B6A04"/>
    <w:rsid w:val="005B6A72"/>
    <w:rsid w:val="005B6B0E"/>
    <w:rsid w:val="005B6B5E"/>
    <w:rsid w:val="005B6C1A"/>
    <w:rsid w:val="005B6CAC"/>
    <w:rsid w:val="005B6CB6"/>
    <w:rsid w:val="005B6ED1"/>
    <w:rsid w:val="005B6F8E"/>
    <w:rsid w:val="005B6FC1"/>
    <w:rsid w:val="005B71C2"/>
    <w:rsid w:val="005B72CB"/>
    <w:rsid w:val="005B72EC"/>
    <w:rsid w:val="005B7331"/>
    <w:rsid w:val="005B736B"/>
    <w:rsid w:val="005B7489"/>
    <w:rsid w:val="005B7609"/>
    <w:rsid w:val="005B762F"/>
    <w:rsid w:val="005B7641"/>
    <w:rsid w:val="005B76A8"/>
    <w:rsid w:val="005B79C7"/>
    <w:rsid w:val="005B7A46"/>
    <w:rsid w:val="005B7A56"/>
    <w:rsid w:val="005B7D09"/>
    <w:rsid w:val="005B7DF9"/>
    <w:rsid w:val="005B7EDD"/>
    <w:rsid w:val="005C00C1"/>
    <w:rsid w:val="005C00D1"/>
    <w:rsid w:val="005C016B"/>
    <w:rsid w:val="005C0185"/>
    <w:rsid w:val="005C0526"/>
    <w:rsid w:val="005C0666"/>
    <w:rsid w:val="005C06BD"/>
    <w:rsid w:val="005C0835"/>
    <w:rsid w:val="005C08DC"/>
    <w:rsid w:val="005C0A16"/>
    <w:rsid w:val="005C0A6B"/>
    <w:rsid w:val="005C0B0B"/>
    <w:rsid w:val="005C0BFF"/>
    <w:rsid w:val="005C0D37"/>
    <w:rsid w:val="005C0DFC"/>
    <w:rsid w:val="005C0ED3"/>
    <w:rsid w:val="005C0FC4"/>
    <w:rsid w:val="005C105C"/>
    <w:rsid w:val="005C1069"/>
    <w:rsid w:val="005C1222"/>
    <w:rsid w:val="005C1276"/>
    <w:rsid w:val="005C1330"/>
    <w:rsid w:val="005C1332"/>
    <w:rsid w:val="005C13E1"/>
    <w:rsid w:val="005C13FB"/>
    <w:rsid w:val="005C1405"/>
    <w:rsid w:val="005C1536"/>
    <w:rsid w:val="005C1807"/>
    <w:rsid w:val="005C1880"/>
    <w:rsid w:val="005C19D8"/>
    <w:rsid w:val="005C1A92"/>
    <w:rsid w:val="005C202F"/>
    <w:rsid w:val="005C20EA"/>
    <w:rsid w:val="005C224B"/>
    <w:rsid w:val="005C2480"/>
    <w:rsid w:val="005C25E7"/>
    <w:rsid w:val="005C26D4"/>
    <w:rsid w:val="005C26F5"/>
    <w:rsid w:val="005C27AF"/>
    <w:rsid w:val="005C2A5B"/>
    <w:rsid w:val="005C2A7F"/>
    <w:rsid w:val="005C2B0E"/>
    <w:rsid w:val="005C2BAA"/>
    <w:rsid w:val="005C2CD7"/>
    <w:rsid w:val="005C2D07"/>
    <w:rsid w:val="005C2E0C"/>
    <w:rsid w:val="005C31E2"/>
    <w:rsid w:val="005C3267"/>
    <w:rsid w:val="005C33AF"/>
    <w:rsid w:val="005C34D1"/>
    <w:rsid w:val="005C34E2"/>
    <w:rsid w:val="005C3578"/>
    <w:rsid w:val="005C3584"/>
    <w:rsid w:val="005C364D"/>
    <w:rsid w:val="005C3685"/>
    <w:rsid w:val="005C370C"/>
    <w:rsid w:val="005C3805"/>
    <w:rsid w:val="005C3886"/>
    <w:rsid w:val="005C38F7"/>
    <w:rsid w:val="005C38F9"/>
    <w:rsid w:val="005C3D94"/>
    <w:rsid w:val="005C3DF3"/>
    <w:rsid w:val="005C3EC6"/>
    <w:rsid w:val="005C3FA5"/>
    <w:rsid w:val="005C407C"/>
    <w:rsid w:val="005C4155"/>
    <w:rsid w:val="005C420D"/>
    <w:rsid w:val="005C433A"/>
    <w:rsid w:val="005C443E"/>
    <w:rsid w:val="005C45E6"/>
    <w:rsid w:val="005C477A"/>
    <w:rsid w:val="005C479C"/>
    <w:rsid w:val="005C4871"/>
    <w:rsid w:val="005C4872"/>
    <w:rsid w:val="005C490D"/>
    <w:rsid w:val="005C49EB"/>
    <w:rsid w:val="005C4BE9"/>
    <w:rsid w:val="005C4CA8"/>
    <w:rsid w:val="005C4E79"/>
    <w:rsid w:val="005C4FB2"/>
    <w:rsid w:val="005C50F1"/>
    <w:rsid w:val="005C5104"/>
    <w:rsid w:val="005C514F"/>
    <w:rsid w:val="005C52C2"/>
    <w:rsid w:val="005C55DD"/>
    <w:rsid w:val="005C5709"/>
    <w:rsid w:val="005C5727"/>
    <w:rsid w:val="005C59CB"/>
    <w:rsid w:val="005C5A2C"/>
    <w:rsid w:val="005C5AB4"/>
    <w:rsid w:val="005C5CBD"/>
    <w:rsid w:val="005C5D13"/>
    <w:rsid w:val="005C5E5B"/>
    <w:rsid w:val="005C5E62"/>
    <w:rsid w:val="005C5EDF"/>
    <w:rsid w:val="005C5F62"/>
    <w:rsid w:val="005C6301"/>
    <w:rsid w:val="005C6563"/>
    <w:rsid w:val="005C6685"/>
    <w:rsid w:val="005C6814"/>
    <w:rsid w:val="005C6944"/>
    <w:rsid w:val="005C6A27"/>
    <w:rsid w:val="005C6B26"/>
    <w:rsid w:val="005C6B65"/>
    <w:rsid w:val="005C6C2C"/>
    <w:rsid w:val="005C6CBB"/>
    <w:rsid w:val="005C6D87"/>
    <w:rsid w:val="005C6E30"/>
    <w:rsid w:val="005C6EBE"/>
    <w:rsid w:val="005C6FCA"/>
    <w:rsid w:val="005C7033"/>
    <w:rsid w:val="005C70C7"/>
    <w:rsid w:val="005C7257"/>
    <w:rsid w:val="005C730B"/>
    <w:rsid w:val="005C731D"/>
    <w:rsid w:val="005C736C"/>
    <w:rsid w:val="005C7842"/>
    <w:rsid w:val="005C7952"/>
    <w:rsid w:val="005C7A56"/>
    <w:rsid w:val="005C7CF0"/>
    <w:rsid w:val="005C7DA8"/>
    <w:rsid w:val="005C7E50"/>
    <w:rsid w:val="005C7F24"/>
    <w:rsid w:val="005D00A5"/>
    <w:rsid w:val="005D0866"/>
    <w:rsid w:val="005D08D5"/>
    <w:rsid w:val="005D08EC"/>
    <w:rsid w:val="005D09F9"/>
    <w:rsid w:val="005D0B3A"/>
    <w:rsid w:val="005D0D8C"/>
    <w:rsid w:val="005D0DA7"/>
    <w:rsid w:val="005D0DAE"/>
    <w:rsid w:val="005D0E01"/>
    <w:rsid w:val="005D1120"/>
    <w:rsid w:val="005D1192"/>
    <w:rsid w:val="005D1442"/>
    <w:rsid w:val="005D150E"/>
    <w:rsid w:val="005D1B0F"/>
    <w:rsid w:val="005D1C9F"/>
    <w:rsid w:val="005D1CC5"/>
    <w:rsid w:val="005D1D94"/>
    <w:rsid w:val="005D1E80"/>
    <w:rsid w:val="005D200A"/>
    <w:rsid w:val="005D20BC"/>
    <w:rsid w:val="005D2272"/>
    <w:rsid w:val="005D23DA"/>
    <w:rsid w:val="005D23EA"/>
    <w:rsid w:val="005D2435"/>
    <w:rsid w:val="005D260C"/>
    <w:rsid w:val="005D260F"/>
    <w:rsid w:val="005D275F"/>
    <w:rsid w:val="005D276A"/>
    <w:rsid w:val="005D28C0"/>
    <w:rsid w:val="005D28F8"/>
    <w:rsid w:val="005D29BD"/>
    <w:rsid w:val="005D2A0E"/>
    <w:rsid w:val="005D2AE4"/>
    <w:rsid w:val="005D2B4C"/>
    <w:rsid w:val="005D2C03"/>
    <w:rsid w:val="005D2D21"/>
    <w:rsid w:val="005D30E9"/>
    <w:rsid w:val="005D336E"/>
    <w:rsid w:val="005D3522"/>
    <w:rsid w:val="005D35F8"/>
    <w:rsid w:val="005D366C"/>
    <w:rsid w:val="005D3781"/>
    <w:rsid w:val="005D3835"/>
    <w:rsid w:val="005D3A83"/>
    <w:rsid w:val="005D3B19"/>
    <w:rsid w:val="005D3C2D"/>
    <w:rsid w:val="005D3C77"/>
    <w:rsid w:val="005D3D38"/>
    <w:rsid w:val="005D3EB9"/>
    <w:rsid w:val="005D3EF6"/>
    <w:rsid w:val="005D3FD2"/>
    <w:rsid w:val="005D419C"/>
    <w:rsid w:val="005D4324"/>
    <w:rsid w:val="005D434A"/>
    <w:rsid w:val="005D4615"/>
    <w:rsid w:val="005D46B1"/>
    <w:rsid w:val="005D478D"/>
    <w:rsid w:val="005D47FD"/>
    <w:rsid w:val="005D48CD"/>
    <w:rsid w:val="005D4A1D"/>
    <w:rsid w:val="005D4AB6"/>
    <w:rsid w:val="005D4CC3"/>
    <w:rsid w:val="005D4E06"/>
    <w:rsid w:val="005D4E0E"/>
    <w:rsid w:val="005D4F0B"/>
    <w:rsid w:val="005D4F67"/>
    <w:rsid w:val="005D511C"/>
    <w:rsid w:val="005D5245"/>
    <w:rsid w:val="005D5317"/>
    <w:rsid w:val="005D533F"/>
    <w:rsid w:val="005D5474"/>
    <w:rsid w:val="005D547F"/>
    <w:rsid w:val="005D5632"/>
    <w:rsid w:val="005D56AF"/>
    <w:rsid w:val="005D57D0"/>
    <w:rsid w:val="005D57F0"/>
    <w:rsid w:val="005D594F"/>
    <w:rsid w:val="005D59F1"/>
    <w:rsid w:val="005D5A9F"/>
    <w:rsid w:val="005D5ACB"/>
    <w:rsid w:val="005D5C02"/>
    <w:rsid w:val="005D5C62"/>
    <w:rsid w:val="005D5C85"/>
    <w:rsid w:val="005D5E9F"/>
    <w:rsid w:val="005D638B"/>
    <w:rsid w:val="005D6487"/>
    <w:rsid w:val="005D671E"/>
    <w:rsid w:val="005D67AE"/>
    <w:rsid w:val="005D681D"/>
    <w:rsid w:val="005D6853"/>
    <w:rsid w:val="005D689E"/>
    <w:rsid w:val="005D6A73"/>
    <w:rsid w:val="005D6CA9"/>
    <w:rsid w:val="005D6D40"/>
    <w:rsid w:val="005D6D65"/>
    <w:rsid w:val="005D6F4B"/>
    <w:rsid w:val="005D7020"/>
    <w:rsid w:val="005D706F"/>
    <w:rsid w:val="005D715E"/>
    <w:rsid w:val="005D71C0"/>
    <w:rsid w:val="005D7399"/>
    <w:rsid w:val="005D769C"/>
    <w:rsid w:val="005D7700"/>
    <w:rsid w:val="005D7751"/>
    <w:rsid w:val="005D77B1"/>
    <w:rsid w:val="005D792E"/>
    <w:rsid w:val="005D793A"/>
    <w:rsid w:val="005D7A83"/>
    <w:rsid w:val="005D7AD7"/>
    <w:rsid w:val="005D7B0B"/>
    <w:rsid w:val="005D7B11"/>
    <w:rsid w:val="005D7B4D"/>
    <w:rsid w:val="005D7B5C"/>
    <w:rsid w:val="005D7D54"/>
    <w:rsid w:val="005D7D6B"/>
    <w:rsid w:val="005D7EAA"/>
    <w:rsid w:val="005D7F0B"/>
    <w:rsid w:val="005D7F1A"/>
    <w:rsid w:val="005E0121"/>
    <w:rsid w:val="005E0225"/>
    <w:rsid w:val="005E0329"/>
    <w:rsid w:val="005E039A"/>
    <w:rsid w:val="005E055B"/>
    <w:rsid w:val="005E06CC"/>
    <w:rsid w:val="005E0734"/>
    <w:rsid w:val="005E0979"/>
    <w:rsid w:val="005E09BE"/>
    <w:rsid w:val="005E0A9F"/>
    <w:rsid w:val="005E0D79"/>
    <w:rsid w:val="005E11B6"/>
    <w:rsid w:val="005E1378"/>
    <w:rsid w:val="005E13C8"/>
    <w:rsid w:val="005E1485"/>
    <w:rsid w:val="005E1568"/>
    <w:rsid w:val="005E1617"/>
    <w:rsid w:val="005E16C7"/>
    <w:rsid w:val="005E18B2"/>
    <w:rsid w:val="005E196D"/>
    <w:rsid w:val="005E19C0"/>
    <w:rsid w:val="005E1DC5"/>
    <w:rsid w:val="005E206F"/>
    <w:rsid w:val="005E2300"/>
    <w:rsid w:val="005E2364"/>
    <w:rsid w:val="005E24C9"/>
    <w:rsid w:val="005E24E5"/>
    <w:rsid w:val="005E2782"/>
    <w:rsid w:val="005E28C7"/>
    <w:rsid w:val="005E28DD"/>
    <w:rsid w:val="005E2930"/>
    <w:rsid w:val="005E2A18"/>
    <w:rsid w:val="005E2C19"/>
    <w:rsid w:val="005E2EF5"/>
    <w:rsid w:val="005E2EFD"/>
    <w:rsid w:val="005E2F84"/>
    <w:rsid w:val="005E2F93"/>
    <w:rsid w:val="005E2FE9"/>
    <w:rsid w:val="005E3204"/>
    <w:rsid w:val="005E320C"/>
    <w:rsid w:val="005E3225"/>
    <w:rsid w:val="005E32C3"/>
    <w:rsid w:val="005E34C7"/>
    <w:rsid w:val="005E36EE"/>
    <w:rsid w:val="005E3A15"/>
    <w:rsid w:val="005E3C94"/>
    <w:rsid w:val="005E3CE0"/>
    <w:rsid w:val="005E3D36"/>
    <w:rsid w:val="005E3E15"/>
    <w:rsid w:val="005E3ED0"/>
    <w:rsid w:val="005E3F17"/>
    <w:rsid w:val="005E3F5D"/>
    <w:rsid w:val="005E4020"/>
    <w:rsid w:val="005E407F"/>
    <w:rsid w:val="005E4123"/>
    <w:rsid w:val="005E4335"/>
    <w:rsid w:val="005E4464"/>
    <w:rsid w:val="005E446C"/>
    <w:rsid w:val="005E44A2"/>
    <w:rsid w:val="005E44A5"/>
    <w:rsid w:val="005E44AF"/>
    <w:rsid w:val="005E48BE"/>
    <w:rsid w:val="005E4BA2"/>
    <w:rsid w:val="005E4D96"/>
    <w:rsid w:val="005E535C"/>
    <w:rsid w:val="005E54B9"/>
    <w:rsid w:val="005E5565"/>
    <w:rsid w:val="005E5622"/>
    <w:rsid w:val="005E5661"/>
    <w:rsid w:val="005E56E4"/>
    <w:rsid w:val="005E581E"/>
    <w:rsid w:val="005E594E"/>
    <w:rsid w:val="005E5C03"/>
    <w:rsid w:val="005E5D6E"/>
    <w:rsid w:val="005E5D73"/>
    <w:rsid w:val="005E5E7F"/>
    <w:rsid w:val="005E5F2A"/>
    <w:rsid w:val="005E6452"/>
    <w:rsid w:val="005E6620"/>
    <w:rsid w:val="005E66EC"/>
    <w:rsid w:val="005E68CB"/>
    <w:rsid w:val="005E68F2"/>
    <w:rsid w:val="005E6A12"/>
    <w:rsid w:val="005E6ADA"/>
    <w:rsid w:val="005E6CE4"/>
    <w:rsid w:val="005E6DDB"/>
    <w:rsid w:val="005E6F09"/>
    <w:rsid w:val="005E7000"/>
    <w:rsid w:val="005E71E0"/>
    <w:rsid w:val="005E7234"/>
    <w:rsid w:val="005E723B"/>
    <w:rsid w:val="005E725E"/>
    <w:rsid w:val="005E7369"/>
    <w:rsid w:val="005E73ED"/>
    <w:rsid w:val="005E749C"/>
    <w:rsid w:val="005E74C6"/>
    <w:rsid w:val="005E77AF"/>
    <w:rsid w:val="005E77FC"/>
    <w:rsid w:val="005E78C6"/>
    <w:rsid w:val="005E79B2"/>
    <w:rsid w:val="005E7A7A"/>
    <w:rsid w:val="005E7B17"/>
    <w:rsid w:val="005E7B29"/>
    <w:rsid w:val="005E7B87"/>
    <w:rsid w:val="005E7C25"/>
    <w:rsid w:val="005E7DE0"/>
    <w:rsid w:val="005E7E4E"/>
    <w:rsid w:val="005E7EAD"/>
    <w:rsid w:val="005E7ECD"/>
    <w:rsid w:val="005F0081"/>
    <w:rsid w:val="005F00EB"/>
    <w:rsid w:val="005F03B4"/>
    <w:rsid w:val="005F0483"/>
    <w:rsid w:val="005F04C2"/>
    <w:rsid w:val="005F054F"/>
    <w:rsid w:val="005F05C0"/>
    <w:rsid w:val="005F097A"/>
    <w:rsid w:val="005F099B"/>
    <w:rsid w:val="005F0EAB"/>
    <w:rsid w:val="005F0FC9"/>
    <w:rsid w:val="005F12B6"/>
    <w:rsid w:val="005F14A9"/>
    <w:rsid w:val="005F154C"/>
    <w:rsid w:val="005F164C"/>
    <w:rsid w:val="005F16F3"/>
    <w:rsid w:val="005F178B"/>
    <w:rsid w:val="005F17B4"/>
    <w:rsid w:val="005F187D"/>
    <w:rsid w:val="005F18CE"/>
    <w:rsid w:val="005F19DA"/>
    <w:rsid w:val="005F1A8F"/>
    <w:rsid w:val="005F1C98"/>
    <w:rsid w:val="005F2090"/>
    <w:rsid w:val="005F2093"/>
    <w:rsid w:val="005F220C"/>
    <w:rsid w:val="005F239C"/>
    <w:rsid w:val="005F264A"/>
    <w:rsid w:val="005F2748"/>
    <w:rsid w:val="005F274E"/>
    <w:rsid w:val="005F277F"/>
    <w:rsid w:val="005F2B58"/>
    <w:rsid w:val="005F2BA4"/>
    <w:rsid w:val="005F2C4F"/>
    <w:rsid w:val="005F2C67"/>
    <w:rsid w:val="005F2DF5"/>
    <w:rsid w:val="005F2E2F"/>
    <w:rsid w:val="005F2E54"/>
    <w:rsid w:val="005F2EA6"/>
    <w:rsid w:val="005F3238"/>
    <w:rsid w:val="005F34D0"/>
    <w:rsid w:val="005F378B"/>
    <w:rsid w:val="005F3908"/>
    <w:rsid w:val="005F3A09"/>
    <w:rsid w:val="005F3B1C"/>
    <w:rsid w:val="005F3C0C"/>
    <w:rsid w:val="005F3D3E"/>
    <w:rsid w:val="005F3D97"/>
    <w:rsid w:val="005F3FB8"/>
    <w:rsid w:val="005F4035"/>
    <w:rsid w:val="005F4252"/>
    <w:rsid w:val="005F43D0"/>
    <w:rsid w:val="005F46DC"/>
    <w:rsid w:val="005F47D4"/>
    <w:rsid w:val="005F4936"/>
    <w:rsid w:val="005F4A3A"/>
    <w:rsid w:val="005F4AFA"/>
    <w:rsid w:val="005F4C2F"/>
    <w:rsid w:val="005F4D25"/>
    <w:rsid w:val="005F4D7E"/>
    <w:rsid w:val="005F4DB9"/>
    <w:rsid w:val="005F4EE0"/>
    <w:rsid w:val="005F4F5B"/>
    <w:rsid w:val="005F505B"/>
    <w:rsid w:val="005F5146"/>
    <w:rsid w:val="005F54AE"/>
    <w:rsid w:val="005F559F"/>
    <w:rsid w:val="005F55B2"/>
    <w:rsid w:val="005F55D3"/>
    <w:rsid w:val="005F5620"/>
    <w:rsid w:val="005F563F"/>
    <w:rsid w:val="005F5679"/>
    <w:rsid w:val="005F59BE"/>
    <w:rsid w:val="005F5A34"/>
    <w:rsid w:val="005F5AEE"/>
    <w:rsid w:val="005F5CEF"/>
    <w:rsid w:val="005F5D5A"/>
    <w:rsid w:val="005F5DAB"/>
    <w:rsid w:val="005F6036"/>
    <w:rsid w:val="005F61C5"/>
    <w:rsid w:val="005F6333"/>
    <w:rsid w:val="005F64B5"/>
    <w:rsid w:val="005F6772"/>
    <w:rsid w:val="005F68C2"/>
    <w:rsid w:val="005F6913"/>
    <w:rsid w:val="005F6BD5"/>
    <w:rsid w:val="005F6CF2"/>
    <w:rsid w:val="005F6D3E"/>
    <w:rsid w:val="005F6D4B"/>
    <w:rsid w:val="005F6D9B"/>
    <w:rsid w:val="005F6E6E"/>
    <w:rsid w:val="005F6F90"/>
    <w:rsid w:val="005F7080"/>
    <w:rsid w:val="005F70C5"/>
    <w:rsid w:val="005F71A0"/>
    <w:rsid w:val="005F72E0"/>
    <w:rsid w:val="005F7342"/>
    <w:rsid w:val="005F7B1F"/>
    <w:rsid w:val="005F7C77"/>
    <w:rsid w:val="005F7CA8"/>
    <w:rsid w:val="005F7D83"/>
    <w:rsid w:val="005F7D9C"/>
    <w:rsid w:val="005F7F96"/>
    <w:rsid w:val="006001F1"/>
    <w:rsid w:val="0060025C"/>
    <w:rsid w:val="00600448"/>
    <w:rsid w:val="00600658"/>
    <w:rsid w:val="0060069A"/>
    <w:rsid w:val="0060072A"/>
    <w:rsid w:val="00600AE8"/>
    <w:rsid w:val="00600AF5"/>
    <w:rsid w:val="00600C36"/>
    <w:rsid w:val="00600CE9"/>
    <w:rsid w:val="00600D96"/>
    <w:rsid w:val="006010F0"/>
    <w:rsid w:val="0060126E"/>
    <w:rsid w:val="006014BB"/>
    <w:rsid w:val="006014BC"/>
    <w:rsid w:val="006014CD"/>
    <w:rsid w:val="00601528"/>
    <w:rsid w:val="0060161D"/>
    <w:rsid w:val="0060168E"/>
    <w:rsid w:val="0060180C"/>
    <w:rsid w:val="0060194D"/>
    <w:rsid w:val="0060195C"/>
    <w:rsid w:val="006019FE"/>
    <w:rsid w:val="00601D07"/>
    <w:rsid w:val="00601D12"/>
    <w:rsid w:val="00601E84"/>
    <w:rsid w:val="00601EDC"/>
    <w:rsid w:val="00601F63"/>
    <w:rsid w:val="00601FC6"/>
    <w:rsid w:val="00602001"/>
    <w:rsid w:val="00602083"/>
    <w:rsid w:val="006020E4"/>
    <w:rsid w:val="006021AA"/>
    <w:rsid w:val="0060265F"/>
    <w:rsid w:val="00602B0C"/>
    <w:rsid w:val="00602BFF"/>
    <w:rsid w:val="00602CEF"/>
    <w:rsid w:val="00602D61"/>
    <w:rsid w:val="00602E24"/>
    <w:rsid w:val="00602EEB"/>
    <w:rsid w:val="00602F29"/>
    <w:rsid w:val="00602F35"/>
    <w:rsid w:val="00602F36"/>
    <w:rsid w:val="00603440"/>
    <w:rsid w:val="006034D4"/>
    <w:rsid w:val="0060351C"/>
    <w:rsid w:val="006036B2"/>
    <w:rsid w:val="00603B3B"/>
    <w:rsid w:val="00603BB1"/>
    <w:rsid w:val="00603D1B"/>
    <w:rsid w:val="00603D4B"/>
    <w:rsid w:val="00603E52"/>
    <w:rsid w:val="00603E9F"/>
    <w:rsid w:val="00603FA4"/>
    <w:rsid w:val="00603FD7"/>
    <w:rsid w:val="006040A5"/>
    <w:rsid w:val="00604152"/>
    <w:rsid w:val="00604199"/>
    <w:rsid w:val="006043B0"/>
    <w:rsid w:val="00604494"/>
    <w:rsid w:val="0060457D"/>
    <w:rsid w:val="00604589"/>
    <w:rsid w:val="006045ED"/>
    <w:rsid w:val="00604604"/>
    <w:rsid w:val="0060473E"/>
    <w:rsid w:val="00604891"/>
    <w:rsid w:val="0060489A"/>
    <w:rsid w:val="00604BB0"/>
    <w:rsid w:val="00604D09"/>
    <w:rsid w:val="00604F0E"/>
    <w:rsid w:val="006050E3"/>
    <w:rsid w:val="006050EF"/>
    <w:rsid w:val="00605321"/>
    <w:rsid w:val="006054C4"/>
    <w:rsid w:val="006054E3"/>
    <w:rsid w:val="006054F3"/>
    <w:rsid w:val="00605654"/>
    <w:rsid w:val="006058CE"/>
    <w:rsid w:val="00605957"/>
    <w:rsid w:val="00605AA3"/>
    <w:rsid w:val="00605B2A"/>
    <w:rsid w:val="00605BAF"/>
    <w:rsid w:val="00605BCB"/>
    <w:rsid w:val="00605BD5"/>
    <w:rsid w:val="00605D3F"/>
    <w:rsid w:val="00605DD3"/>
    <w:rsid w:val="00605E87"/>
    <w:rsid w:val="00605F9A"/>
    <w:rsid w:val="00606136"/>
    <w:rsid w:val="00606145"/>
    <w:rsid w:val="00606393"/>
    <w:rsid w:val="00606851"/>
    <w:rsid w:val="00606936"/>
    <w:rsid w:val="00606A51"/>
    <w:rsid w:val="00606B61"/>
    <w:rsid w:val="00606C3B"/>
    <w:rsid w:val="00606D60"/>
    <w:rsid w:val="00606D9A"/>
    <w:rsid w:val="00606E91"/>
    <w:rsid w:val="00607091"/>
    <w:rsid w:val="0060716F"/>
    <w:rsid w:val="006071FF"/>
    <w:rsid w:val="00607202"/>
    <w:rsid w:val="00607252"/>
    <w:rsid w:val="00607264"/>
    <w:rsid w:val="00607313"/>
    <w:rsid w:val="0060731A"/>
    <w:rsid w:val="00607431"/>
    <w:rsid w:val="00607674"/>
    <w:rsid w:val="0060781A"/>
    <w:rsid w:val="00607839"/>
    <w:rsid w:val="0060794E"/>
    <w:rsid w:val="0060796D"/>
    <w:rsid w:val="006079AE"/>
    <w:rsid w:val="006079C3"/>
    <w:rsid w:val="00607AB9"/>
    <w:rsid w:val="00607ACE"/>
    <w:rsid w:val="00607AE2"/>
    <w:rsid w:val="00607B89"/>
    <w:rsid w:val="00607C7E"/>
    <w:rsid w:val="00607E64"/>
    <w:rsid w:val="00607E87"/>
    <w:rsid w:val="00607EC2"/>
    <w:rsid w:val="0061003E"/>
    <w:rsid w:val="0061019F"/>
    <w:rsid w:val="006101EE"/>
    <w:rsid w:val="006102FB"/>
    <w:rsid w:val="00610329"/>
    <w:rsid w:val="0061034C"/>
    <w:rsid w:val="006104A2"/>
    <w:rsid w:val="006104DF"/>
    <w:rsid w:val="00610503"/>
    <w:rsid w:val="00610557"/>
    <w:rsid w:val="0061063E"/>
    <w:rsid w:val="006107C6"/>
    <w:rsid w:val="00610866"/>
    <w:rsid w:val="00610A6D"/>
    <w:rsid w:val="00610A75"/>
    <w:rsid w:val="00610B56"/>
    <w:rsid w:val="00610C6D"/>
    <w:rsid w:val="00610C8D"/>
    <w:rsid w:val="00610CB4"/>
    <w:rsid w:val="00610D0C"/>
    <w:rsid w:val="00610E3C"/>
    <w:rsid w:val="00610FC2"/>
    <w:rsid w:val="00611078"/>
    <w:rsid w:val="00611145"/>
    <w:rsid w:val="00611150"/>
    <w:rsid w:val="006111C9"/>
    <w:rsid w:val="006112A7"/>
    <w:rsid w:val="006113A7"/>
    <w:rsid w:val="006114A4"/>
    <w:rsid w:val="006115C9"/>
    <w:rsid w:val="0061168F"/>
    <w:rsid w:val="0061175B"/>
    <w:rsid w:val="00611869"/>
    <w:rsid w:val="00611969"/>
    <w:rsid w:val="00611A8C"/>
    <w:rsid w:val="00611A96"/>
    <w:rsid w:val="00611B3F"/>
    <w:rsid w:val="00611CAA"/>
    <w:rsid w:val="00611D01"/>
    <w:rsid w:val="00611E3B"/>
    <w:rsid w:val="00611EE8"/>
    <w:rsid w:val="00612090"/>
    <w:rsid w:val="0061214F"/>
    <w:rsid w:val="00612377"/>
    <w:rsid w:val="00612BE9"/>
    <w:rsid w:val="00612C9D"/>
    <w:rsid w:val="00612EE4"/>
    <w:rsid w:val="00612F7F"/>
    <w:rsid w:val="0061302B"/>
    <w:rsid w:val="00613145"/>
    <w:rsid w:val="00613275"/>
    <w:rsid w:val="006132EC"/>
    <w:rsid w:val="00613329"/>
    <w:rsid w:val="00613397"/>
    <w:rsid w:val="0061374E"/>
    <w:rsid w:val="00613BA5"/>
    <w:rsid w:val="00613BEB"/>
    <w:rsid w:val="00613C7B"/>
    <w:rsid w:val="00613D65"/>
    <w:rsid w:val="00613DED"/>
    <w:rsid w:val="00613E30"/>
    <w:rsid w:val="00613E8A"/>
    <w:rsid w:val="00613F0F"/>
    <w:rsid w:val="00614031"/>
    <w:rsid w:val="006140E7"/>
    <w:rsid w:val="0061411C"/>
    <w:rsid w:val="00614151"/>
    <w:rsid w:val="006142A7"/>
    <w:rsid w:val="00614462"/>
    <w:rsid w:val="006145CF"/>
    <w:rsid w:val="006147E5"/>
    <w:rsid w:val="006149B4"/>
    <w:rsid w:val="00614A09"/>
    <w:rsid w:val="00614EAA"/>
    <w:rsid w:val="00614EC2"/>
    <w:rsid w:val="00614FD3"/>
    <w:rsid w:val="00615075"/>
    <w:rsid w:val="0061515F"/>
    <w:rsid w:val="006154B7"/>
    <w:rsid w:val="006155DF"/>
    <w:rsid w:val="006155F8"/>
    <w:rsid w:val="00615816"/>
    <w:rsid w:val="00615C58"/>
    <w:rsid w:val="00615C85"/>
    <w:rsid w:val="00615C8D"/>
    <w:rsid w:val="00615EEC"/>
    <w:rsid w:val="0061621C"/>
    <w:rsid w:val="00616393"/>
    <w:rsid w:val="00616435"/>
    <w:rsid w:val="00616561"/>
    <w:rsid w:val="0061657B"/>
    <w:rsid w:val="006165D7"/>
    <w:rsid w:val="00616627"/>
    <w:rsid w:val="006166E0"/>
    <w:rsid w:val="0061675C"/>
    <w:rsid w:val="00616813"/>
    <w:rsid w:val="006168DA"/>
    <w:rsid w:val="00616ADD"/>
    <w:rsid w:val="00616BA4"/>
    <w:rsid w:val="00616BBA"/>
    <w:rsid w:val="00616BFC"/>
    <w:rsid w:val="00616D47"/>
    <w:rsid w:val="00616E2A"/>
    <w:rsid w:val="0061702F"/>
    <w:rsid w:val="00617244"/>
    <w:rsid w:val="00617273"/>
    <w:rsid w:val="00617312"/>
    <w:rsid w:val="00617450"/>
    <w:rsid w:val="00617632"/>
    <w:rsid w:val="006176C6"/>
    <w:rsid w:val="0061778D"/>
    <w:rsid w:val="0061787A"/>
    <w:rsid w:val="006178BD"/>
    <w:rsid w:val="00617BC9"/>
    <w:rsid w:val="00617CA4"/>
    <w:rsid w:val="00617CA5"/>
    <w:rsid w:val="00617F62"/>
    <w:rsid w:val="00617F86"/>
    <w:rsid w:val="006200DF"/>
    <w:rsid w:val="00620200"/>
    <w:rsid w:val="006202DD"/>
    <w:rsid w:val="00620585"/>
    <w:rsid w:val="00620C5B"/>
    <w:rsid w:val="00620CD2"/>
    <w:rsid w:val="00620D9C"/>
    <w:rsid w:val="00621026"/>
    <w:rsid w:val="00621070"/>
    <w:rsid w:val="0062114E"/>
    <w:rsid w:val="00621197"/>
    <w:rsid w:val="006211C0"/>
    <w:rsid w:val="006212B7"/>
    <w:rsid w:val="006212CF"/>
    <w:rsid w:val="00621340"/>
    <w:rsid w:val="00621529"/>
    <w:rsid w:val="0062152C"/>
    <w:rsid w:val="00621627"/>
    <w:rsid w:val="00621653"/>
    <w:rsid w:val="006219F1"/>
    <w:rsid w:val="00621C65"/>
    <w:rsid w:val="00621D12"/>
    <w:rsid w:val="00622681"/>
    <w:rsid w:val="00622779"/>
    <w:rsid w:val="00622B5D"/>
    <w:rsid w:val="00622EAB"/>
    <w:rsid w:val="00622F10"/>
    <w:rsid w:val="00623106"/>
    <w:rsid w:val="0062310B"/>
    <w:rsid w:val="00623277"/>
    <w:rsid w:val="0062331F"/>
    <w:rsid w:val="006234E0"/>
    <w:rsid w:val="0062375F"/>
    <w:rsid w:val="006237D0"/>
    <w:rsid w:val="006238E7"/>
    <w:rsid w:val="00623C78"/>
    <w:rsid w:val="00623D22"/>
    <w:rsid w:val="00623DA7"/>
    <w:rsid w:val="00623DE6"/>
    <w:rsid w:val="00623FE0"/>
    <w:rsid w:val="00624134"/>
    <w:rsid w:val="006241C6"/>
    <w:rsid w:val="0062431A"/>
    <w:rsid w:val="00624791"/>
    <w:rsid w:val="00624BC8"/>
    <w:rsid w:val="00624C7D"/>
    <w:rsid w:val="00624D5A"/>
    <w:rsid w:val="00624DCC"/>
    <w:rsid w:val="00624E64"/>
    <w:rsid w:val="00624F51"/>
    <w:rsid w:val="006251D6"/>
    <w:rsid w:val="0062527A"/>
    <w:rsid w:val="006252D0"/>
    <w:rsid w:val="006252D5"/>
    <w:rsid w:val="00625364"/>
    <w:rsid w:val="006253FB"/>
    <w:rsid w:val="0062548D"/>
    <w:rsid w:val="00625A64"/>
    <w:rsid w:val="00625B01"/>
    <w:rsid w:val="00625C27"/>
    <w:rsid w:val="00625C9A"/>
    <w:rsid w:val="00625D0B"/>
    <w:rsid w:val="00625D1E"/>
    <w:rsid w:val="00625FA4"/>
    <w:rsid w:val="00626090"/>
    <w:rsid w:val="006260FB"/>
    <w:rsid w:val="00626150"/>
    <w:rsid w:val="006261A8"/>
    <w:rsid w:val="006261EB"/>
    <w:rsid w:val="0062629B"/>
    <w:rsid w:val="0062653B"/>
    <w:rsid w:val="00626642"/>
    <w:rsid w:val="006268CD"/>
    <w:rsid w:val="00626AC0"/>
    <w:rsid w:val="00626B02"/>
    <w:rsid w:val="00626D30"/>
    <w:rsid w:val="00626D88"/>
    <w:rsid w:val="00626E07"/>
    <w:rsid w:val="00626ED1"/>
    <w:rsid w:val="00626FFA"/>
    <w:rsid w:val="006270B3"/>
    <w:rsid w:val="00627430"/>
    <w:rsid w:val="0062759F"/>
    <w:rsid w:val="00627851"/>
    <w:rsid w:val="006278AF"/>
    <w:rsid w:val="006278F2"/>
    <w:rsid w:val="00627A42"/>
    <w:rsid w:val="00627B8F"/>
    <w:rsid w:val="00627E06"/>
    <w:rsid w:val="00630049"/>
    <w:rsid w:val="006301DE"/>
    <w:rsid w:val="0063027D"/>
    <w:rsid w:val="006304AF"/>
    <w:rsid w:val="00630705"/>
    <w:rsid w:val="0063076E"/>
    <w:rsid w:val="006307A3"/>
    <w:rsid w:val="006307F6"/>
    <w:rsid w:val="006309A0"/>
    <w:rsid w:val="006309AE"/>
    <w:rsid w:val="00630A41"/>
    <w:rsid w:val="00630A89"/>
    <w:rsid w:val="00630C21"/>
    <w:rsid w:val="00631110"/>
    <w:rsid w:val="006311BE"/>
    <w:rsid w:val="006311EB"/>
    <w:rsid w:val="00631341"/>
    <w:rsid w:val="006316F3"/>
    <w:rsid w:val="006318F2"/>
    <w:rsid w:val="00631A5F"/>
    <w:rsid w:val="00631AA8"/>
    <w:rsid w:val="00631B46"/>
    <w:rsid w:val="00631D22"/>
    <w:rsid w:val="00631E0F"/>
    <w:rsid w:val="0063205F"/>
    <w:rsid w:val="0063213E"/>
    <w:rsid w:val="00632172"/>
    <w:rsid w:val="0063218B"/>
    <w:rsid w:val="006322DE"/>
    <w:rsid w:val="00632346"/>
    <w:rsid w:val="0063257C"/>
    <w:rsid w:val="006326F1"/>
    <w:rsid w:val="006327A9"/>
    <w:rsid w:val="00632857"/>
    <w:rsid w:val="006328EE"/>
    <w:rsid w:val="00632904"/>
    <w:rsid w:val="0063292B"/>
    <w:rsid w:val="0063298E"/>
    <w:rsid w:val="006329F6"/>
    <w:rsid w:val="00632B3C"/>
    <w:rsid w:val="00632DFE"/>
    <w:rsid w:val="00632E8C"/>
    <w:rsid w:val="0063301A"/>
    <w:rsid w:val="006331EA"/>
    <w:rsid w:val="00633228"/>
    <w:rsid w:val="006332C7"/>
    <w:rsid w:val="00633513"/>
    <w:rsid w:val="00633619"/>
    <w:rsid w:val="0063386E"/>
    <w:rsid w:val="00633879"/>
    <w:rsid w:val="0063388F"/>
    <w:rsid w:val="006339A2"/>
    <w:rsid w:val="006339E8"/>
    <w:rsid w:val="00633A14"/>
    <w:rsid w:val="00633A62"/>
    <w:rsid w:val="00633C37"/>
    <w:rsid w:val="00633F26"/>
    <w:rsid w:val="00634031"/>
    <w:rsid w:val="00634093"/>
    <w:rsid w:val="00634162"/>
    <w:rsid w:val="00634222"/>
    <w:rsid w:val="0063423E"/>
    <w:rsid w:val="00634284"/>
    <w:rsid w:val="00634508"/>
    <w:rsid w:val="00634559"/>
    <w:rsid w:val="00634596"/>
    <w:rsid w:val="006347C1"/>
    <w:rsid w:val="006347D3"/>
    <w:rsid w:val="00634813"/>
    <w:rsid w:val="00634830"/>
    <w:rsid w:val="006348B4"/>
    <w:rsid w:val="00634A20"/>
    <w:rsid w:val="00634CD8"/>
    <w:rsid w:val="00634DDC"/>
    <w:rsid w:val="00635026"/>
    <w:rsid w:val="00635127"/>
    <w:rsid w:val="006351EC"/>
    <w:rsid w:val="00635428"/>
    <w:rsid w:val="00635697"/>
    <w:rsid w:val="006357A4"/>
    <w:rsid w:val="00635811"/>
    <w:rsid w:val="00635856"/>
    <w:rsid w:val="006358C8"/>
    <w:rsid w:val="00635D16"/>
    <w:rsid w:val="00635F36"/>
    <w:rsid w:val="006361A6"/>
    <w:rsid w:val="00636237"/>
    <w:rsid w:val="006362A3"/>
    <w:rsid w:val="00636383"/>
    <w:rsid w:val="00636455"/>
    <w:rsid w:val="00636520"/>
    <w:rsid w:val="006365A1"/>
    <w:rsid w:val="006366DA"/>
    <w:rsid w:val="00636768"/>
    <w:rsid w:val="006367F4"/>
    <w:rsid w:val="00636891"/>
    <w:rsid w:val="006368AC"/>
    <w:rsid w:val="00636A21"/>
    <w:rsid w:val="00636DF9"/>
    <w:rsid w:val="00637036"/>
    <w:rsid w:val="006370CF"/>
    <w:rsid w:val="00637179"/>
    <w:rsid w:val="006371A8"/>
    <w:rsid w:val="0063747C"/>
    <w:rsid w:val="006375E7"/>
    <w:rsid w:val="006377D6"/>
    <w:rsid w:val="0063791E"/>
    <w:rsid w:val="00637963"/>
    <w:rsid w:val="00637CCB"/>
    <w:rsid w:val="00637D07"/>
    <w:rsid w:val="00637DD0"/>
    <w:rsid w:val="00637E58"/>
    <w:rsid w:val="00637EF6"/>
    <w:rsid w:val="00637F39"/>
    <w:rsid w:val="00637F44"/>
    <w:rsid w:val="006400AA"/>
    <w:rsid w:val="00640175"/>
    <w:rsid w:val="00640233"/>
    <w:rsid w:val="006402E4"/>
    <w:rsid w:val="0064032E"/>
    <w:rsid w:val="00640500"/>
    <w:rsid w:val="006405A0"/>
    <w:rsid w:val="006408C4"/>
    <w:rsid w:val="00640A7D"/>
    <w:rsid w:val="00640B43"/>
    <w:rsid w:val="00640B6C"/>
    <w:rsid w:val="00640B95"/>
    <w:rsid w:val="00640BFB"/>
    <w:rsid w:val="00640E26"/>
    <w:rsid w:val="00640F61"/>
    <w:rsid w:val="006411E5"/>
    <w:rsid w:val="00641384"/>
    <w:rsid w:val="006415E5"/>
    <w:rsid w:val="0064177F"/>
    <w:rsid w:val="0064184C"/>
    <w:rsid w:val="00641855"/>
    <w:rsid w:val="00641AFB"/>
    <w:rsid w:val="00641BCF"/>
    <w:rsid w:val="00641D13"/>
    <w:rsid w:val="00641E7B"/>
    <w:rsid w:val="0064237E"/>
    <w:rsid w:val="00642390"/>
    <w:rsid w:val="006424F8"/>
    <w:rsid w:val="0064251C"/>
    <w:rsid w:val="0064255B"/>
    <w:rsid w:val="006425AA"/>
    <w:rsid w:val="00642601"/>
    <w:rsid w:val="00642622"/>
    <w:rsid w:val="006428BD"/>
    <w:rsid w:val="00642907"/>
    <w:rsid w:val="00642925"/>
    <w:rsid w:val="0064294C"/>
    <w:rsid w:val="00642959"/>
    <w:rsid w:val="00642990"/>
    <w:rsid w:val="00642A02"/>
    <w:rsid w:val="00642A28"/>
    <w:rsid w:val="00642DAF"/>
    <w:rsid w:val="00642DFA"/>
    <w:rsid w:val="00642ED8"/>
    <w:rsid w:val="00642FA5"/>
    <w:rsid w:val="0064320B"/>
    <w:rsid w:val="0064347C"/>
    <w:rsid w:val="0064358F"/>
    <w:rsid w:val="006436E7"/>
    <w:rsid w:val="006436E9"/>
    <w:rsid w:val="006438B8"/>
    <w:rsid w:val="006438CC"/>
    <w:rsid w:val="006439E3"/>
    <w:rsid w:val="00643D1B"/>
    <w:rsid w:val="00643D6C"/>
    <w:rsid w:val="00643E27"/>
    <w:rsid w:val="00643F6C"/>
    <w:rsid w:val="00643FCB"/>
    <w:rsid w:val="006441AC"/>
    <w:rsid w:val="0064420D"/>
    <w:rsid w:val="006442A3"/>
    <w:rsid w:val="006442CA"/>
    <w:rsid w:val="00644384"/>
    <w:rsid w:val="006444E5"/>
    <w:rsid w:val="0064476B"/>
    <w:rsid w:val="0064485E"/>
    <w:rsid w:val="006448D2"/>
    <w:rsid w:val="00644920"/>
    <w:rsid w:val="00644C7E"/>
    <w:rsid w:val="00644D38"/>
    <w:rsid w:val="00644D7F"/>
    <w:rsid w:val="00644DA0"/>
    <w:rsid w:val="00644F43"/>
    <w:rsid w:val="0064545D"/>
    <w:rsid w:val="0064552E"/>
    <w:rsid w:val="0064558C"/>
    <w:rsid w:val="006457E0"/>
    <w:rsid w:val="00645B32"/>
    <w:rsid w:val="00645CE7"/>
    <w:rsid w:val="00646026"/>
    <w:rsid w:val="0064603C"/>
    <w:rsid w:val="00646068"/>
    <w:rsid w:val="00646101"/>
    <w:rsid w:val="00646470"/>
    <w:rsid w:val="006465AA"/>
    <w:rsid w:val="00646805"/>
    <w:rsid w:val="00646992"/>
    <w:rsid w:val="00646A24"/>
    <w:rsid w:val="00646AB3"/>
    <w:rsid w:val="00646BE3"/>
    <w:rsid w:val="00646FE1"/>
    <w:rsid w:val="00647026"/>
    <w:rsid w:val="006472B9"/>
    <w:rsid w:val="00647486"/>
    <w:rsid w:val="006478C8"/>
    <w:rsid w:val="006478CB"/>
    <w:rsid w:val="00647B85"/>
    <w:rsid w:val="00647DF0"/>
    <w:rsid w:val="00647E3D"/>
    <w:rsid w:val="00647E7C"/>
    <w:rsid w:val="00647F23"/>
    <w:rsid w:val="00650272"/>
    <w:rsid w:val="00650295"/>
    <w:rsid w:val="006503C0"/>
    <w:rsid w:val="0065042C"/>
    <w:rsid w:val="00650449"/>
    <w:rsid w:val="00650523"/>
    <w:rsid w:val="006507AD"/>
    <w:rsid w:val="00650809"/>
    <w:rsid w:val="00650818"/>
    <w:rsid w:val="00650845"/>
    <w:rsid w:val="00650A9D"/>
    <w:rsid w:val="00650BE7"/>
    <w:rsid w:val="00650C02"/>
    <w:rsid w:val="00650C04"/>
    <w:rsid w:val="00650C07"/>
    <w:rsid w:val="00651004"/>
    <w:rsid w:val="00651182"/>
    <w:rsid w:val="00651229"/>
    <w:rsid w:val="0065138E"/>
    <w:rsid w:val="00651421"/>
    <w:rsid w:val="00651499"/>
    <w:rsid w:val="006514B8"/>
    <w:rsid w:val="00651561"/>
    <w:rsid w:val="0065158A"/>
    <w:rsid w:val="00651A5D"/>
    <w:rsid w:val="00651B50"/>
    <w:rsid w:val="00651C6C"/>
    <w:rsid w:val="00651D0F"/>
    <w:rsid w:val="00651F0B"/>
    <w:rsid w:val="006521DE"/>
    <w:rsid w:val="0065223B"/>
    <w:rsid w:val="00652568"/>
    <w:rsid w:val="006525C1"/>
    <w:rsid w:val="00652669"/>
    <w:rsid w:val="00652843"/>
    <w:rsid w:val="00652B78"/>
    <w:rsid w:val="00652BC0"/>
    <w:rsid w:val="00652CDE"/>
    <w:rsid w:val="00652F73"/>
    <w:rsid w:val="0065322E"/>
    <w:rsid w:val="006532C7"/>
    <w:rsid w:val="0065330E"/>
    <w:rsid w:val="00653310"/>
    <w:rsid w:val="006533CF"/>
    <w:rsid w:val="0065359D"/>
    <w:rsid w:val="006535BC"/>
    <w:rsid w:val="00653647"/>
    <w:rsid w:val="00653671"/>
    <w:rsid w:val="00653740"/>
    <w:rsid w:val="00653813"/>
    <w:rsid w:val="0065386F"/>
    <w:rsid w:val="0065393F"/>
    <w:rsid w:val="006539CA"/>
    <w:rsid w:val="00653D08"/>
    <w:rsid w:val="00653DA1"/>
    <w:rsid w:val="00653F7A"/>
    <w:rsid w:val="00653F94"/>
    <w:rsid w:val="0065402F"/>
    <w:rsid w:val="0065416B"/>
    <w:rsid w:val="00654202"/>
    <w:rsid w:val="006542BB"/>
    <w:rsid w:val="006543BB"/>
    <w:rsid w:val="006543D0"/>
    <w:rsid w:val="006543EF"/>
    <w:rsid w:val="006544E1"/>
    <w:rsid w:val="00654543"/>
    <w:rsid w:val="006545EC"/>
    <w:rsid w:val="00654746"/>
    <w:rsid w:val="00654797"/>
    <w:rsid w:val="00654838"/>
    <w:rsid w:val="00654A37"/>
    <w:rsid w:val="00654AAF"/>
    <w:rsid w:val="00654C08"/>
    <w:rsid w:val="00654CF1"/>
    <w:rsid w:val="00654EE1"/>
    <w:rsid w:val="00654EF2"/>
    <w:rsid w:val="00654FD9"/>
    <w:rsid w:val="00654FFE"/>
    <w:rsid w:val="006550AA"/>
    <w:rsid w:val="006551AD"/>
    <w:rsid w:val="006553B4"/>
    <w:rsid w:val="00655415"/>
    <w:rsid w:val="006555F7"/>
    <w:rsid w:val="0065574E"/>
    <w:rsid w:val="00655995"/>
    <w:rsid w:val="00655A98"/>
    <w:rsid w:val="00655B20"/>
    <w:rsid w:val="00655B34"/>
    <w:rsid w:val="00655BB5"/>
    <w:rsid w:val="00655C5C"/>
    <w:rsid w:val="00655C70"/>
    <w:rsid w:val="00655D32"/>
    <w:rsid w:val="0065629F"/>
    <w:rsid w:val="0065646A"/>
    <w:rsid w:val="006564AA"/>
    <w:rsid w:val="0065659E"/>
    <w:rsid w:val="00656645"/>
    <w:rsid w:val="0065670C"/>
    <w:rsid w:val="006568E8"/>
    <w:rsid w:val="00656B0A"/>
    <w:rsid w:val="00656C02"/>
    <w:rsid w:val="00656C37"/>
    <w:rsid w:val="00656C66"/>
    <w:rsid w:val="00656CD6"/>
    <w:rsid w:val="00656D54"/>
    <w:rsid w:val="00656D9C"/>
    <w:rsid w:val="00656E4A"/>
    <w:rsid w:val="00656E9B"/>
    <w:rsid w:val="00656F83"/>
    <w:rsid w:val="00656FB1"/>
    <w:rsid w:val="00657074"/>
    <w:rsid w:val="00657106"/>
    <w:rsid w:val="006571AE"/>
    <w:rsid w:val="006571C7"/>
    <w:rsid w:val="00657463"/>
    <w:rsid w:val="006575DD"/>
    <w:rsid w:val="00657626"/>
    <w:rsid w:val="00657924"/>
    <w:rsid w:val="0065796A"/>
    <w:rsid w:val="00657A85"/>
    <w:rsid w:val="00657B56"/>
    <w:rsid w:val="00657DA6"/>
    <w:rsid w:val="0066000C"/>
    <w:rsid w:val="00660045"/>
    <w:rsid w:val="0066026F"/>
    <w:rsid w:val="0066037C"/>
    <w:rsid w:val="00660616"/>
    <w:rsid w:val="00660682"/>
    <w:rsid w:val="00660948"/>
    <w:rsid w:val="00660A07"/>
    <w:rsid w:val="00660A2D"/>
    <w:rsid w:val="00660AC1"/>
    <w:rsid w:val="00660CE5"/>
    <w:rsid w:val="00660D32"/>
    <w:rsid w:val="00660DD3"/>
    <w:rsid w:val="00660E93"/>
    <w:rsid w:val="00660ED4"/>
    <w:rsid w:val="00660EE8"/>
    <w:rsid w:val="0066112C"/>
    <w:rsid w:val="0066126C"/>
    <w:rsid w:val="00661336"/>
    <w:rsid w:val="006613DD"/>
    <w:rsid w:val="006615A7"/>
    <w:rsid w:val="006615CE"/>
    <w:rsid w:val="00661795"/>
    <w:rsid w:val="00661923"/>
    <w:rsid w:val="006619CA"/>
    <w:rsid w:val="00661C08"/>
    <w:rsid w:val="00661C9F"/>
    <w:rsid w:val="00661CD2"/>
    <w:rsid w:val="00661DF8"/>
    <w:rsid w:val="00661E29"/>
    <w:rsid w:val="00661ECA"/>
    <w:rsid w:val="00661EF8"/>
    <w:rsid w:val="00662060"/>
    <w:rsid w:val="00662233"/>
    <w:rsid w:val="00662555"/>
    <w:rsid w:val="0066289D"/>
    <w:rsid w:val="006629A0"/>
    <w:rsid w:val="006629E0"/>
    <w:rsid w:val="006629E3"/>
    <w:rsid w:val="00662BBA"/>
    <w:rsid w:val="00662CB3"/>
    <w:rsid w:val="00662F02"/>
    <w:rsid w:val="00663061"/>
    <w:rsid w:val="0066311A"/>
    <w:rsid w:val="00663245"/>
    <w:rsid w:val="00663263"/>
    <w:rsid w:val="006633CF"/>
    <w:rsid w:val="00663465"/>
    <w:rsid w:val="006634C8"/>
    <w:rsid w:val="006637DD"/>
    <w:rsid w:val="00663835"/>
    <w:rsid w:val="0066385A"/>
    <w:rsid w:val="006638DD"/>
    <w:rsid w:val="0066392F"/>
    <w:rsid w:val="00663948"/>
    <w:rsid w:val="00663969"/>
    <w:rsid w:val="00663B0E"/>
    <w:rsid w:val="00663B4E"/>
    <w:rsid w:val="00663BB2"/>
    <w:rsid w:val="00663BF0"/>
    <w:rsid w:val="00663C75"/>
    <w:rsid w:val="00663EAB"/>
    <w:rsid w:val="00663F1A"/>
    <w:rsid w:val="00664109"/>
    <w:rsid w:val="006642C4"/>
    <w:rsid w:val="00664406"/>
    <w:rsid w:val="0066448B"/>
    <w:rsid w:val="0066452C"/>
    <w:rsid w:val="006645EC"/>
    <w:rsid w:val="00664673"/>
    <w:rsid w:val="0066477B"/>
    <w:rsid w:val="006648A9"/>
    <w:rsid w:val="00664A40"/>
    <w:rsid w:val="00664AA4"/>
    <w:rsid w:val="00664D94"/>
    <w:rsid w:val="00664EAA"/>
    <w:rsid w:val="00664EC1"/>
    <w:rsid w:val="00664F9A"/>
    <w:rsid w:val="006655E7"/>
    <w:rsid w:val="0066570D"/>
    <w:rsid w:val="0066589C"/>
    <w:rsid w:val="00665A6A"/>
    <w:rsid w:val="00665AA3"/>
    <w:rsid w:val="00665AFD"/>
    <w:rsid w:val="00665B03"/>
    <w:rsid w:val="00665C1A"/>
    <w:rsid w:val="00665CCA"/>
    <w:rsid w:val="00665E1E"/>
    <w:rsid w:val="00665E27"/>
    <w:rsid w:val="00665EE5"/>
    <w:rsid w:val="00665FA6"/>
    <w:rsid w:val="00665FB0"/>
    <w:rsid w:val="00666030"/>
    <w:rsid w:val="0066623B"/>
    <w:rsid w:val="0066671D"/>
    <w:rsid w:val="0066672B"/>
    <w:rsid w:val="006667E5"/>
    <w:rsid w:val="00666934"/>
    <w:rsid w:val="0066695E"/>
    <w:rsid w:val="00666AF7"/>
    <w:rsid w:val="00666BE6"/>
    <w:rsid w:val="00666C15"/>
    <w:rsid w:val="00666C56"/>
    <w:rsid w:val="00666D82"/>
    <w:rsid w:val="00666EF3"/>
    <w:rsid w:val="00666F5B"/>
    <w:rsid w:val="006670EE"/>
    <w:rsid w:val="00667172"/>
    <w:rsid w:val="006672D3"/>
    <w:rsid w:val="0066741D"/>
    <w:rsid w:val="006675A4"/>
    <w:rsid w:val="00667769"/>
    <w:rsid w:val="006678F0"/>
    <w:rsid w:val="00667902"/>
    <w:rsid w:val="00667A60"/>
    <w:rsid w:val="00667AD1"/>
    <w:rsid w:val="00667BDC"/>
    <w:rsid w:val="00667CDC"/>
    <w:rsid w:val="00667D7A"/>
    <w:rsid w:val="00667DDE"/>
    <w:rsid w:val="00667F2C"/>
    <w:rsid w:val="00667FAF"/>
    <w:rsid w:val="00667FD3"/>
    <w:rsid w:val="00670079"/>
    <w:rsid w:val="006701B6"/>
    <w:rsid w:val="0067026A"/>
    <w:rsid w:val="006702BC"/>
    <w:rsid w:val="00670421"/>
    <w:rsid w:val="0067048C"/>
    <w:rsid w:val="006704CE"/>
    <w:rsid w:val="0067050D"/>
    <w:rsid w:val="00670510"/>
    <w:rsid w:val="00670590"/>
    <w:rsid w:val="0067071F"/>
    <w:rsid w:val="00670A89"/>
    <w:rsid w:val="00670D4A"/>
    <w:rsid w:val="006710C5"/>
    <w:rsid w:val="00671100"/>
    <w:rsid w:val="00671185"/>
    <w:rsid w:val="006712CD"/>
    <w:rsid w:val="006714BF"/>
    <w:rsid w:val="006715BC"/>
    <w:rsid w:val="00671683"/>
    <w:rsid w:val="006716F0"/>
    <w:rsid w:val="0067196E"/>
    <w:rsid w:val="00671A1A"/>
    <w:rsid w:val="00671B8C"/>
    <w:rsid w:val="00671D5F"/>
    <w:rsid w:val="00671DF0"/>
    <w:rsid w:val="00671FA2"/>
    <w:rsid w:val="0067239C"/>
    <w:rsid w:val="0067246E"/>
    <w:rsid w:val="0067263E"/>
    <w:rsid w:val="0067269C"/>
    <w:rsid w:val="006726FE"/>
    <w:rsid w:val="0067278C"/>
    <w:rsid w:val="0067289B"/>
    <w:rsid w:val="00672BDE"/>
    <w:rsid w:val="00672BE7"/>
    <w:rsid w:val="00672C32"/>
    <w:rsid w:val="00672C5F"/>
    <w:rsid w:val="00672CB8"/>
    <w:rsid w:val="00672F6A"/>
    <w:rsid w:val="00672F98"/>
    <w:rsid w:val="00672FE3"/>
    <w:rsid w:val="00673205"/>
    <w:rsid w:val="00673263"/>
    <w:rsid w:val="006732EC"/>
    <w:rsid w:val="00673360"/>
    <w:rsid w:val="006733BA"/>
    <w:rsid w:val="00673401"/>
    <w:rsid w:val="00673491"/>
    <w:rsid w:val="006734F6"/>
    <w:rsid w:val="006735AE"/>
    <w:rsid w:val="00673748"/>
    <w:rsid w:val="00673763"/>
    <w:rsid w:val="006737FD"/>
    <w:rsid w:val="00673812"/>
    <w:rsid w:val="0067382A"/>
    <w:rsid w:val="00673C18"/>
    <w:rsid w:val="00673C74"/>
    <w:rsid w:val="00673D88"/>
    <w:rsid w:val="00674134"/>
    <w:rsid w:val="0067452B"/>
    <w:rsid w:val="006746B2"/>
    <w:rsid w:val="006746CA"/>
    <w:rsid w:val="0067480A"/>
    <w:rsid w:val="00674927"/>
    <w:rsid w:val="006749B6"/>
    <w:rsid w:val="00674C14"/>
    <w:rsid w:val="00674DE3"/>
    <w:rsid w:val="006750BF"/>
    <w:rsid w:val="006751D0"/>
    <w:rsid w:val="00675339"/>
    <w:rsid w:val="006757E4"/>
    <w:rsid w:val="00675883"/>
    <w:rsid w:val="006758D3"/>
    <w:rsid w:val="00675C82"/>
    <w:rsid w:val="00675E7B"/>
    <w:rsid w:val="00675E86"/>
    <w:rsid w:val="0067606B"/>
    <w:rsid w:val="00676074"/>
    <w:rsid w:val="00676128"/>
    <w:rsid w:val="0067621D"/>
    <w:rsid w:val="0067622C"/>
    <w:rsid w:val="00676364"/>
    <w:rsid w:val="00676636"/>
    <w:rsid w:val="0067672E"/>
    <w:rsid w:val="00676786"/>
    <w:rsid w:val="00676791"/>
    <w:rsid w:val="00676A86"/>
    <w:rsid w:val="00676BC4"/>
    <w:rsid w:val="00676E06"/>
    <w:rsid w:val="00676E39"/>
    <w:rsid w:val="00676FC8"/>
    <w:rsid w:val="00677180"/>
    <w:rsid w:val="006771E7"/>
    <w:rsid w:val="006772B4"/>
    <w:rsid w:val="0067730F"/>
    <w:rsid w:val="00677320"/>
    <w:rsid w:val="00677377"/>
    <w:rsid w:val="00677428"/>
    <w:rsid w:val="0067765E"/>
    <w:rsid w:val="00677692"/>
    <w:rsid w:val="006779AF"/>
    <w:rsid w:val="00677A36"/>
    <w:rsid w:val="00677B05"/>
    <w:rsid w:val="00677B7C"/>
    <w:rsid w:val="00677B80"/>
    <w:rsid w:val="00677C05"/>
    <w:rsid w:val="00677CA3"/>
    <w:rsid w:val="00677E50"/>
    <w:rsid w:val="00677ED7"/>
    <w:rsid w:val="00680033"/>
    <w:rsid w:val="00680169"/>
    <w:rsid w:val="006801D1"/>
    <w:rsid w:val="00680281"/>
    <w:rsid w:val="00680318"/>
    <w:rsid w:val="0068034F"/>
    <w:rsid w:val="00680384"/>
    <w:rsid w:val="00680456"/>
    <w:rsid w:val="00680477"/>
    <w:rsid w:val="0068070D"/>
    <w:rsid w:val="006807A0"/>
    <w:rsid w:val="00680922"/>
    <w:rsid w:val="00680959"/>
    <w:rsid w:val="006809DD"/>
    <w:rsid w:val="00680A24"/>
    <w:rsid w:val="00680B6E"/>
    <w:rsid w:val="00680C1F"/>
    <w:rsid w:val="0068108D"/>
    <w:rsid w:val="0068129F"/>
    <w:rsid w:val="006812DB"/>
    <w:rsid w:val="0068140C"/>
    <w:rsid w:val="00681416"/>
    <w:rsid w:val="006814A6"/>
    <w:rsid w:val="00681504"/>
    <w:rsid w:val="006816A7"/>
    <w:rsid w:val="006816BF"/>
    <w:rsid w:val="0068175B"/>
    <w:rsid w:val="00681BC4"/>
    <w:rsid w:val="00681C00"/>
    <w:rsid w:val="00681C94"/>
    <w:rsid w:val="00681D16"/>
    <w:rsid w:val="00681E8A"/>
    <w:rsid w:val="00682065"/>
    <w:rsid w:val="006820BA"/>
    <w:rsid w:val="006820CF"/>
    <w:rsid w:val="00682194"/>
    <w:rsid w:val="0068233A"/>
    <w:rsid w:val="006825AD"/>
    <w:rsid w:val="0068263C"/>
    <w:rsid w:val="00682871"/>
    <w:rsid w:val="00682A66"/>
    <w:rsid w:val="00682ACA"/>
    <w:rsid w:val="00682B65"/>
    <w:rsid w:val="00682C0C"/>
    <w:rsid w:val="00682C11"/>
    <w:rsid w:val="00682E26"/>
    <w:rsid w:val="00682E54"/>
    <w:rsid w:val="00682F33"/>
    <w:rsid w:val="00683266"/>
    <w:rsid w:val="00683378"/>
    <w:rsid w:val="0068348D"/>
    <w:rsid w:val="006838F8"/>
    <w:rsid w:val="00683A3B"/>
    <w:rsid w:val="00683B71"/>
    <w:rsid w:val="00683C4D"/>
    <w:rsid w:val="00683D51"/>
    <w:rsid w:val="00683E78"/>
    <w:rsid w:val="00683E7A"/>
    <w:rsid w:val="00683EAE"/>
    <w:rsid w:val="006840A9"/>
    <w:rsid w:val="006843B3"/>
    <w:rsid w:val="006847F4"/>
    <w:rsid w:val="0068492D"/>
    <w:rsid w:val="00684A7A"/>
    <w:rsid w:val="00684A9B"/>
    <w:rsid w:val="00684AA9"/>
    <w:rsid w:val="00685091"/>
    <w:rsid w:val="00685330"/>
    <w:rsid w:val="00685358"/>
    <w:rsid w:val="0068541E"/>
    <w:rsid w:val="00685812"/>
    <w:rsid w:val="0068581C"/>
    <w:rsid w:val="00685875"/>
    <w:rsid w:val="006858A3"/>
    <w:rsid w:val="006858C1"/>
    <w:rsid w:val="00685A04"/>
    <w:rsid w:val="00685A5F"/>
    <w:rsid w:val="00685C28"/>
    <w:rsid w:val="00685D26"/>
    <w:rsid w:val="00685D7F"/>
    <w:rsid w:val="00685E31"/>
    <w:rsid w:val="00685E4E"/>
    <w:rsid w:val="00685F6C"/>
    <w:rsid w:val="00685FF3"/>
    <w:rsid w:val="0068607F"/>
    <w:rsid w:val="00686088"/>
    <w:rsid w:val="006860FC"/>
    <w:rsid w:val="00686202"/>
    <w:rsid w:val="0068626A"/>
    <w:rsid w:val="00686487"/>
    <w:rsid w:val="006865E3"/>
    <w:rsid w:val="00686667"/>
    <w:rsid w:val="0068672C"/>
    <w:rsid w:val="006868B7"/>
    <w:rsid w:val="00686932"/>
    <w:rsid w:val="00686A03"/>
    <w:rsid w:val="00686AE4"/>
    <w:rsid w:val="00686B9D"/>
    <w:rsid w:val="00686BDE"/>
    <w:rsid w:val="00686BF8"/>
    <w:rsid w:val="00686C18"/>
    <w:rsid w:val="00686C7B"/>
    <w:rsid w:val="00686DE2"/>
    <w:rsid w:val="00686E8C"/>
    <w:rsid w:val="00686F4A"/>
    <w:rsid w:val="0068719F"/>
    <w:rsid w:val="00687208"/>
    <w:rsid w:val="00687227"/>
    <w:rsid w:val="00687331"/>
    <w:rsid w:val="00687449"/>
    <w:rsid w:val="00687473"/>
    <w:rsid w:val="006874C0"/>
    <w:rsid w:val="0068750F"/>
    <w:rsid w:val="0068767B"/>
    <w:rsid w:val="006878C4"/>
    <w:rsid w:val="00687945"/>
    <w:rsid w:val="00687B47"/>
    <w:rsid w:val="00687B4B"/>
    <w:rsid w:val="00687B5E"/>
    <w:rsid w:val="00687BDB"/>
    <w:rsid w:val="00687D2F"/>
    <w:rsid w:val="00687D7C"/>
    <w:rsid w:val="00687DC6"/>
    <w:rsid w:val="0069002B"/>
    <w:rsid w:val="006900C9"/>
    <w:rsid w:val="00690134"/>
    <w:rsid w:val="006903DD"/>
    <w:rsid w:val="00690497"/>
    <w:rsid w:val="0069064A"/>
    <w:rsid w:val="00690864"/>
    <w:rsid w:val="0069091E"/>
    <w:rsid w:val="00690C22"/>
    <w:rsid w:val="00690EC4"/>
    <w:rsid w:val="00690F0F"/>
    <w:rsid w:val="0069102B"/>
    <w:rsid w:val="0069104B"/>
    <w:rsid w:val="0069110C"/>
    <w:rsid w:val="00691341"/>
    <w:rsid w:val="0069145F"/>
    <w:rsid w:val="006916D7"/>
    <w:rsid w:val="006916E5"/>
    <w:rsid w:val="0069176E"/>
    <w:rsid w:val="006917BC"/>
    <w:rsid w:val="006917D9"/>
    <w:rsid w:val="006917EC"/>
    <w:rsid w:val="00691BFE"/>
    <w:rsid w:val="00692005"/>
    <w:rsid w:val="00692071"/>
    <w:rsid w:val="006920E2"/>
    <w:rsid w:val="006923EC"/>
    <w:rsid w:val="00692680"/>
    <w:rsid w:val="006926DD"/>
    <w:rsid w:val="006927BB"/>
    <w:rsid w:val="006928E3"/>
    <w:rsid w:val="00692A12"/>
    <w:rsid w:val="00692B8D"/>
    <w:rsid w:val="00692CDB"/>
    <w:rsid w:val="00692D25"/>
    <w:rsid w:val="00692E0E"/>
    <w:rsid w:val="00692ED1"/>
    <w:rsid w:val="00692EE6"/>
    <w:rsid w:val="006930E3"/>
    <w:rsid w:val="006930F6"/>
    <w:rsid w:val="00693106"/>
    <w:rsid w:val="00693168"/>
    <w:rsid w:val="0069320E"/>
    <w:rsid w:val="00693398"/>
    <w:rsid w:val="006933C8"/>
    <w:rsid w:val="006935B2"/>
    <w:rsid w:val="00693638"/>
    <w:rsid w:val="0069389B"/>
    <w:rsid w:val="0069389D"/>
    <w:rsid w:val="00693BD9"/>
    <w:rsid w:val="00693ECD"/>
    <w:rsid w:val="00693F0A"/>
    <w:rsid w:val="00693F4C"/>
    <w:rsid w:val="0069405E"/>
    <w:rsid w:val="00694128"/>
    <w:rsid w:val="00694347"/>
    <w:rsid w:val="00694414"/>
    <w:rsid w:val="00694420"/>
    <w:rsid w:val="00694651"/>
    <w:rsid w:val="00694686"/>
    <w:rsid w:val="00694701"/>
    <w:rsid w:val="00694834"/>
    <w:rsid w:val="006948C3"/>
    <w:rsid w:val="0069493D"/>
    <w:rsid w:val="00694C9E"/>
    <w:rsid w:val="00694D0C"/>
    <w:rsid w:val="00694EC1"/>
    <w:rsid w:val="00694F6E"/>
    <w:rsid w:val="006951A7"/>
    <w:rsid w:val="006951C5"/>
    <w:rsid w:val="006952A3"/>
    <w:rsid w:val="00695325"/>
    <w:rsid w:val="0069532E"/>
    <w:rsid w:val="0069535F"/>
    <w:rsid w:val="006954B6"/>
    <w:rsid w:val="00695503"/>
    <w:rsid w:val="006955CD"/>
    <w:rsid w:val="00695673"/>
    <w:rsid w:val="006957C0"/>
    <w:rsid w:val="006959CB"/>
    <w:rsid w:val="00695A0F"/>
    <w:rsid w:val="00695DB9"/>
    <w:rsid w:val="00695E8F"/>
    <w:rsid w:val="00695EC5"/>
    <w:rsid w:val="00696035"/>
    <w:rsid w:val="0069621A"/>
    <w:rsid w:val="0069623B"/>
    <w:rsid w:val="006965AD"/>
    <w:rsid w:val="00696721"/>
    <w:rsid w:val="006967DC"/>
    <w:rsid w:val="00696805"/>
    <w:rsid w:val="0069683C"/>
    <w:rsid w:val="00696845"/>
    <w:rsid w:val="006968E6"/>
    <w:rsid w:val="00696B42"/>
    <w:rsid w:val="00696B43"/>
    <w:rsid w:val="00696B68"/>
    <w:rsid w:val="00696B6F"/>
    <w:rsid w:val="00696BB4"/>
    <w:rsid w:val="00696E5F"/>
    <w:rsid w:val="00696E80"/>
    <w:rsid w:val="00696F21"/>
    <w:rsid w:val="00696F99"/>
    <w:rsid w:val="0069752E"/>
    <w:rsid w:val="00697908"/>
    <w:rsid w:val="0069795E"/>
    <w:rsid w:val="00697AFE"/>
    <w:rsid w:val="00697B83"/>
    <w:rsid w:val="00697E7D"/>
    <w:rsid w:val="00697F5C"/>
    <w:rsid w:val="006A0078"/>
    <w:rsid w:val="006A010B"/>
    <w:rsid w:val="006A0411"/>
    <w:rsid w:val="006A04D9"/>
    <w:rsid w:val="006A04DE"/>
    <w:rsid w:val="006A04FA"/>
    <w:rsid w:val="006A05DB"/>
    <w:rsid w:val="006A06A0"/>
    <w:rsid w:val="006A0774"/>
    <w:rsid w:val="006A080F"/>
    <w:rsid w:val="006A0897"/>
    <w:rsid w:val="006A0B01"/>
    <w:rsid w:val="006A0B0A"/>
    <w:rsid w:val="006A0BDB"/>
    <w:rsid w:val="006A0C31"/>
    <w:rsid w:val="006A0CAF"/>
    <w:rsid w:val="006A0D5F"/>
    <w:rsid w:val="006A0E55"/>
    <w:rsid w:val="006A0F37"/>
    <w:rsid w:val="006A1017"/>
    <w:rsid w:val="006A1498"/>
    <w:rsid w:val="006A165E"/>
    <w:rsid w:val="006A168C"/>
    <w:rsid w:val="006A16AD"/>
    <w:rsid w:val="006A1B52"/>
    <w:rsid w:val="006A1BDA"/>
    <w:rsid w:val="006A1D14"/>
    <w:rsid w:val="006A1E13"/>
    <w:rsid w:val="006A21DE"/>
    <w:rsid w:val="006A21E8"/>
    <w:rsid w:val="006A22E8"/>
    <w:rsid w:val="006A24C3"/>
    <w:rsid w:val="006A257E"/>
    <w:rsid w:val="006A2643"/>
    <w:rsid w:val="006A2839"/>
    <w:rsid w:val="006A2961"/>
    <w:rsid w:val="006A2A1A"/>
    <w:rsid w:val="006A2A55"/>
    <w:rsid w:val="006A2C20"/>
    <w:rsid w:val="006A2CBA"/>
    <w:rsid w:val="006A2DB5"/>
    <w:rsid w:val="006A2FD1"/>
    <w:rsid w:val="006A3107"/>
    <w:rsid w:val="006A3155"/>
    <w:rsid w:val="006A3252"/>
    <w:rsid w:val="006A3270"/>
    <w:rsid w:val="006A3364"/>
    <w:rsid w:val="006A3411"/>
    <w:rsid w:val="006A3530"/>
    <w:rsid w:val="006A35AD"/>
    <w:rsid w:val="006A3711"/>
    <w:rsid w:val="006A3CD9"/>
    <w:rsid w:val="006A3E96"/>
    <w:rsid w:val="006A428D"/>
    <w:rsid w:val="006A43CF"/>
    <w:rsid w:val="006A43FE"/>
    <w:rsid w:val="006A4458"/>
    <w:rsid w:val="006A44C2"/>
    <w:rsid w:val="006A467C"/>
    <w:rsid w:val="006A46B0"/>
    <w:rsid w:val="006A475A"/>
    <w:rsid w:val="006A4777"/>
    <w:rsid w:val="006A481A"/>
    <w:rsid w:val="006A48D2"/>
    <w:rsid w:val="006A48F7"/>
    <w:rsid w:val="006A4B92"/>
    <w:rsid w:val="006A4BBC"/>
    <w:rsid w:val="006A4BDA"/>
    <w:rsid w:val="006A4C1E"/>
    <w:rsid w:val="006A4D92"/>
    <w:rsid w:val="006A4D9B"/>
    <w:rsid w:val="006A4E48"/>
    <w:rsid w:val="006A4EA9"/>
    <w:rsid w:val="006A52DD"/>
    <w:rsid w:val="006A5543"/>
    <w:rsid w:val="006A56DB"/>
    <w:rsid w:val="006A5818"/>
    <w:rsid w:val="006A5A14"/>
    <w:rsid w:val="006A5A51"/>
    <w:rsid w:val="006A5C65"/>
    <w:rsid w:val="006A5CC3"/>
    <w:rsid w:val="006A5E1D"/>
    <w:rsid w:val="006A60F3"/>
    <w:rsid w:val="006A61AF"/>
    <w:rsid w:val="006A6221"/>
    <w:rsid w:val="006A65D2"/>
    <w:rsid w:val="006A6623"/>
    <w:rsid w:val="006A69E5"/>
    <w:rsid w:val="006A6A42"/>
    <w:rsid w:val="006A6C8F"/>
    <w:rsid w:val="006A6CAC"/>
    <w:rsid w:val="006A6D0A"/>
    <w:rsid w:val="006A6DBF"/>
    <w:rsid w:val="006A6EBF"/>
    <w:rsid w:val="006A7093"/>
    <w:rsid w:val="006A7261"/>
    <w:rsid w:val="006A729A"/>
    <w:rsid w:val="006A7475"/>
    <w:rsid w:val="006A76D9"/>
    <w:rsid w:val="006A7727"/>
    <w:rsid w:val="006A776F"/>
    <w:rsid w:val="006A77FB"/>
    <w:rsid w:val="006A7859"/>
    <w:rsid w:val="006A79E8"/>
    <w:rsid w:val="006A7A1A"/>
    <w:rsid w:val="006A7A46"/>
    <w:rsid w:val="006A7AF1"/>
    <w:rsid w:val="006A7B55"/>
    <w:rsid w:val="006A7CA2"/>
    <w:rsid w:val="006A7D3F"/>
    <w:rsid w:val="006A7D50"/>
    <w:rsid w:val="006B002E"/>
    <w:rsid w:val="006B009C"/>
    <w:rsid w:val="006B00C4"/>
    <w:rsid w:val="006B0160"/>
    <w:rsid w:val="006B016F"/>
    <w:rsid w:val="006B01D4"/>
    <w:rsid w:val="006B0346"/>
    <w:rsid w:val="006B03CA"/>
    <w:rsid w:val="006B0476"/>
    <w:rsid w:val="006B04A5"/>
    <w:rsid w:val="006B05EB"/>
    <w:rsid w:val="006B0930"/>
    <w:rsid w:val="006B0977"/>
    <w:rsid w:val="006B09A7"/>
    <w:rsid w:val="006B09B7"/>
    <w:rsid w:val="006B0CDC"/>
    <w:rsid w:val="006B0DEE"/>
    <w:rsid w:val="006B0F10"/>
    <w:rsid w:val="006B1466"/>
    <w:rsid w:val="006B1538"/>
    <w:rsid w:val="006B16CF"/>
    <w:rsid w:val="006B173F"/>
    <w:rsid w:val="006B184F"/>
    <w:rsid w:val="006B193E"/>
    <w:rsid w:val="006B1B6E"/>
    <w:rsid w:val="006B1BFF"/>
    <w:rsid w:val="006B1EF7"/>
    <w:rsid w:val="006B1F74"/>
    <w:rsid w:val="006B1F93"/>
    <w:rsid w:val="006B2264"/>
    <w:rsid w:val="006B2426"/>
    <w:rsid w:val="006B24E6"/>
    <w:rsid w:val="006B2593"/>
    <w:rsid w:val="006B26B1"/>
    <w:rsid w:val="006B280A"/>
    <w:rsid w:val="006B29AB"/>
    <w:rsid w:val="006B29EF"/>
    <w:rsid w:val="006B2A1D"/>
    <w:rsid w:val="006B2C07"/>
    <w:rsid w:val="006B2DE1"/>
    <w:rsid w:val="006B32EB"/>
    <w:rsid w:val="006B3315"/>
    <w:rsid w:val="006B3470"/>
    <w:rsid w:val="006B35D4"/>
    <w:rsid w:val="006B37DB"/>
    <w:rsid w:val="006B3809"/>
    <w:rsid w:val="006B3830"/>
    <w:rsid w:val="006B3872"/>
    <w:rsid w:val="006B3967"/>
    <w:rsid w:val="006B3A26"/>
    <w:rsid w:val="006B3BC5"/>
    <w:rsid w:val="006B3DAA"/>
    <w:rsid w:val="006B3E94"/>
    <w:rsid w:val="006B3FBA"/>
    <w:rsid w:val="006B3FE2"/>
    <w:rsid w:val="006B40AD"/>
    <w:rsid w:val="006B42BB"/>
    <w:rsid w:val="006B42F2"/>
    <w:rsid w:val="006B4387"/>
    <w:rsid w:val="006B4479"/>
    <w:rsid w:val="006B4578"/>
    <w:rsid w:val="006B4718"/>
    <w:rsid w:val="006B4876"/>
    <w:rsid w:val="006B48B0"/>
    <w:rsid w:val="006B49BA"/>
    <w:rsid w:val="006B4C38"/>
    <w:rsid w:val="006B4CEC"/>
    <w:rsid w:val="006B4CEE"/>
    <w:rsid w:val="006B4D4F"/>
    <w:rsid w:val="006B4D5A"/>
    <w:rsid w:val="006B4D63"/>
    <w:rsid w:val="006B4DB4"/>
    <w:rsid w:val="006B4DC4"/>
    <w:rsid w:val="006B4E25"/>
    <w:rsid w:val="006B4EAE"/>
    <w:rsid w:val="006B5097"/>
    <w:rsid w:val="006B5189"/>
    <w:rsid w:val="006B51E8"/>
    <w:rsid w:val="006B536E"/>
    <w:rsid w:val="006B53A3"/>
    <w:rsid w:val="006B5514"/>
    <w:rsid w:val="006B5595"/>
    <w:rsid w:val="006B56AB"/>
    <w:rsid w:val="006B56E3"/>
    <w:rsid w:val="006B57D5"/>
    <w:rsid w:val="006B581A"/>
    <w:rsid w:val="006B58E2"/>
    <w:rsid w:val="006B5912"/>
    <w:rsid w:val="006B5996"/>
    <w:rsid w:val="006B5A66"/>
    <w:rsid w:val="006B5B3D"/>
    <w:rsid w:val="006B5D1A"/>
    <w:rsid w:val="006B6051"/>
    <w:rsid w:val="006B6098"/>
    <w:rsid w:val="006B61A2"/>
    <w:rsid w:val="006B61FB"/>
    <w:rsid w:val="006B63E2"/>
    <w:rsid w:val="006B6415"/>
    <w:rsid w:val="006B6618"/>
    <w:rsid w:val="006B6661"/>
    <w:rsid w:val="006B673D"/>
    <w:rsid w:val="006B6875"/>
    <w:rsid w:val="006B6903"/>
    <w:rsid w:val="006B6B78"/>
    <w:rsid w:val="006B6B9D"/>
    <w:rsid w:val="006B6C24"/>
    <w:rsid w:val="006B6FE5"/>
    <w:rsid w:val="006B700D"/>
    <w:rsid w:val="006B711D"/>
    <w:rsid w:val="006B7346"/>
    <w:rsid w:val="006B7364"/>
    <w:rsid w:val="006B7425"/>
    <w:rsid w:val="006B7554"/>
    <w:rsid w:val="006B7764"/>
    <w:rsid w:val="006B7769"/>
    <w:rsid w:val="006B77AB"/>
    <w:rsid w:val="006B7868"/>
    <w:rsid w:val="006B7883"/>
    <w:rsid w:val="006B789F"/>
    <w:rsid w:val="006B79E7"/>
    <w:rsid w:val="006B7B53"/>
    <w:rsid w:val="006B7BB7"/>
    <w:rsid w:val="006B7C97"/>
    <w:rsid w:val="006B7DDC"/>
    <w:rsid w:val="006B7F2E"/>
    <w:rsid w:val="006B7FD2"/>
    <w:rsid w:val="006C02D5"/>
    <w:rsid w:val="006C0512"/>
    <w:rsid w:val="006C0597"/>
    <w:rsid w:val="006C05C3"/>
    <w:rsid w:val="006C0759"/>
    <w:rsid w:val="006C0B10"/>
    <w:rsid w:val="006C0B1B"/>
    <w:rsid w:val="006C0B46"/>
    <w:rsid w:val="006C0BCB"/>
    <w:rsid w:val="006C0BD0"/>
    <w:rsid w:val="006C0C27"/>
    <w:rsid w:val="006C0E19"/>
    <w:rsid w:val="006C0EA3"/>
    <w:rsid w:val="006C0F07"/>
    <w:rsid w:val="006C1525"/>
    <w:rsid w:val="006C15CF"/>
    <w:rsid w:val="006C16A0"/>
    <w:rsid w:val="006C175D"/>
    <w:rsid w:val="006C19AD"/>
    <w:rsid w:val="006C1AA9"/>
    <w:rsid w:val="006C1B83"/>
    <w:rsid w:val="006C1E47"/>
    <w:rsid w:val="006C1EDD"/>
    <w:rsid w:val="006C1F74"/>
    <w:rsid w:val="006C1F85"/>
    <w:rsid w:val="006C20EB"/>
    <w:rsid w:val="006C21C6"/>
    <w:rsid w:val="006C2437"/>
    <w:rsid w:val="006C2463"/>
    <w:rsid w:val="006C2803"/>
    <w:rsid w:val="006C28FE"/>
    <w:rsid w:val="006C29E8"/>
    <w:rsid w:val="006C2AF1"/>
    <w:rsid w:val="006C2C25"/>
    <w:rsid w:val="006C2CFE"/>
    <w:rsid w:val="006C2D7C"/>
    <w:rsid w:val="006C31E5"/>
    <w:rsid w:val="006C3306"/>
    <w:rsid w:val="006C3457"/>
    <w:rsid w:val="006C35AE"/>
    <w:rsid w:val="006C3611"/>
    <w:rsid w:val="006C36AC"/>
    <w:rsid w:val="006C36EF"/>
    <w:rsid w:val="006C37AA"/>
    <w:rsid w:val="006C3887"/>
    <w:rsid w:val="006C38BA"/>
    <w:rsid w:val="006C3960"/>
    <w:rsid w:val="006C39D0"/>
    <w:rsid w:val="006C3A1F"/>
    <w:rsid w:val="006C3AF3"/>
    <w:rsid w:val="006C3CEE"/>
    <w:rsid w:val="006C3DD4"/>
    <w:rsid w:val="006C3EAF"/>
    <w:rsid w:val="006C4129"/>
    <w:rsid w:val="006C4170"/>
    <w:rsid w:val="006C4197"/>
    <w:rsid w:val="006C4329"/>
    <w:rsid w:val="006C4389"/>
    <w:rsid w:val="006C4498"/>
    <w:rsid w:val="006C45B1"/>
    <w:rsid w:val="006C4661"/>
    <w:rsid w:val="006C4709"/>
    <w:rsid w:val="006C4727"/>
    <w:rsid w:val="006C4738"/>
    <w:rsid w:val="006C47C6"/>
    <w:rsid w:val="006C4898"/>
    <w:rsid w:val="006C4979"/>
    <w:rsid w:val="006C4A9F"/>
    <w:rsid w:val="006C4B3A"/>
    <w:rsid w:val="006C4BA0"/>
    <w:rsid w:val="006C4BCA"/>
    <w:rsid w:val="006C4CE4"/>
    <w:rsid w:val="006C4CF8"/>
    <w:rsid w:val="006C4D65"/>
    <w:rsid w:val="006C4F7B"/>
    <w:rsid w:val="006C5162"/>
    <w:rsid w:val="006C516F"/>
    <w:rsid w:val="006C534B"/>
    <w:rsid w:val="006C5524"/>
    <w:rsid w:val="006C55C9"/>
    <w:rsid w:val="006C55EC"/>
    <w:rsid w:val="006C5601"/>
    <w:rsid w:val="006C566B"/>
    <w:rsid w:val="006C5676"/>
    <w:rsid w:val="006C5678"/>
    <w:rsid w:val="006C57CB"/>
    <w:rsid w:val="006C57FD"/>
    <w:rsid w:val="006C5D64"/>
    <w:rsid w:val="006C6024"/>
    <w:rsid w:val="006C60AB"/>
    <w:rsid w:val="006C60B0"/>
    <w:rsid w:val="006C60B5"/>
    <w:rsid w:val="006C60D2"/>
    <w:rsid w:val="006C60F6"/>
    <w:rsid w:val="006C610F"/>
    <w:rsid w:val="006C6171"/>
    <w:rsid w:val="006C6232"/>
    <w:rsid w:val="006C6484"/>
    <w:rsid w:val="006C661C"/>
    <w:rsid w:val="006C68DC"/>
    <w:rsid w:val="006C693F"/>
    <w:rsid w:val="006C6AE9"/>
    <w:rsid w:val="006C6B54"/>
    <w:rsid w:val="006C6BD0"/>
    <w:rsid w:val="006C6C75"/>
    <w:rsid w:val="006C6C91"/>
    <w:rsid w:val="006C6C93"/>
    <w:rsid w:val="006C6D9E"/>
    <w:rsid w:val="006C70BA"/>
    <w:rsid w:val="006C71C4"/>
    <w:rsid w:val="006C73D6"/>
    <w:rsid w:val="006C78F2"/>
    <w:rsid w:val="006C7CBF"/>
    <w:rsid w:val="006C7CE3"/>
    <w:rsid w:val="006C7DF2"/>
    <w:rsid w:val="006C7ED3"/>
    <w:rsid w:val="006C7F82"/>
    <w:rsid w:val="006C7F8D"/>
    <w:rsid w:val="006D0096"/>
    <w:rsid w:val="006D0216"/>
    <w:rsid w:val="006D0288"/>
    <w:rsid w:val="006D0582"/>
    <w:rsid w:val="006D067E"/>
    <w:rsid w:val="006D06E6"/>
    <w:rsid w:val="006D072E"/>
    <w:rsid w:val="006D0773"/>
    <w:rsid w:val="006D0C3F"/>
    <w:rsid w:val="006D0F2D"/>
    <w:rsid w:val="006D11D9"/>
    <w:rsid w:val="006D124A"/>
    <w:rsid w:val="006D15A1"/>
    <w:rsid w:val="006D17F0"/>
    <w:rsid w:val="006D1894"/>
    <w:rsid w:val="006D18E8"/>
    <w:rsid w:val="006D19A1"/>
    <w:rsid w:val="006D1B4F"/>
    <w:rsid w:val="006D1BB5"/>
    <w:rsid w:val="006D1DAF"/>
    <w:rsid w:val="006D1DE9"/>
    <w:rsid w:val="006D1EA7"/>
    <w:rsid w:val="006D1F4D"/>
    <w:rsid w:val="006D2055"/>
    <w:rsid w:val="006D21D5"/>
    <w:rsid w:val="006D232E"/>
    <w:rsid w:val="006D2428"/>
    <w:rsid w:val="006D2461"/>
    <w:rsid w:val="006D2611"/>
    <w:rsid w:val="006D2663"/>
    <w:rsid w:val="006D2737"/>
    <w:rsid w:val="006D2A37"/>
    <w:rsid w:val="006D2A9A"/>
    <w:rsid w:val="006D2BF6"/>
    <w:rsid w:val="006D2D10"/>
    <w:rsid w:val="006D2E05"/>
    <w:rsid w:val="006D3205"/>
    <w:rsid w:val="006D340E"/>
    <w:rsid w:val="006D3620"/>
    <w:rsid w:val="006D366F"/>
    <w:rsid w:val="006D3673"/>
    <w:rsid w:val="006D36FE"/>
    <w:rsid w:val="006D391E"/>
    <w:rsid w:val="006D3958"/>
    <w:rsid w:val="006D39AD"/>
    <w:rsid w:val="006D3A7D"/>
    <w:rsid w:val="006D3D5F"/>
    <w:rsid w:val="006D3EE8"/>
    <w:rsid w:val="006D3EF0"/>
    <w:rsid w:val="006D3F61"/>
    <w:rsid w:val="006D4266"/>
    <w:rsid w:val="006D42A7"/>
    <w:rsid w:val="006D4628"/>
    <w:rsid w:val="006D464A"/>
    <w:rsid w:val="006D4722"/>
    <w:rsid w:val="006D479B"/>
    <w:rsid w:val="006D48C7"/>
    <w:rsid w:val="006D49E7"/>
    <w:rsid w:val="006D4A1A"/>
    <w:rsid w:val="006D4B2D"/>
    <w:rsid w:val="006D527D"/>
    <w:rsid w:val="006D52B2"/>
    <w:rsid w:val="006D54BC"/>
    <w:rsid w:val="006D5688"/>
    <w:rsid w:val="006D581B"/>
    <w:rsid w:val="006D585D"/>
    <w:rsid w:val="006D5A11"/>
    <w:rsid w:val="006D5BB2"/>
    <w:rsid w:val="006D5C70"/>
    <w:rsid w:val="006D5E12"/>
    <w:rsid w:val="006D5F25"/>
    <w:rsid w:val="006D5FC4"/>
    <w:rsid w:val="006D61CB"/>
    <w:rsid w:val="006D6290"/>
    <w:rsid w:val="006D62EC"/>
    <w:rsid w:val="006D6331"/>
    <w:rsid w:val="006D6413"/>
    <w:rsid w:val="006D6538"/>
    <w:rsid w:val="006D6543"/>
    <w:rsid w:val="006D6656"/>
    <w:rsid w:val="006D6693"/>
    <w:rsid w:val="006D66B6"/>
    <w:rsid w:val="006D6712"/>
    <w:rsid w:val="006D678B"/>
    <w:rsid w:val="006D6896"/>
    <w:rsid w:val="006D6CC9"/>
    <w:rsid w:val="006D6DB8"/>
    <w:rsid w:val="006D6F0A"/>
    <w:rsid w:val="006D7047"/>
    <w:rsid w:val="006D71CA"/>
    <w:rsid w:val="006D7210"/>
    <w:rsid w:val="006D771E"/>
    <w:rsid w:val="006D773A"/>
    <w:rsid w:val="006D7858"/>
    <w:rsid w:val="006D79B0"/>
    <w:rsid w:val="006D7A5F"/>
    <w:rsid w:val="006D7A67"/>
    <w:rsid w:val="006D7EF8"/>
    <w:rsid w:val="006E00F1"/>
    <w:rsid w:val="006E010D"/>
    <w:rsid w:val="006E012C"/>
    <w:rsid w:val="006E039F"/>
    <w:rsid w:val="006E03A7"/>
    <w:rsid w:val="006E04FC"/>
    <w:rsid w:val="006E0528"/>
    <w:rsid w:val="006E0704"/>
    <w:rsid w:val="006E073E"/>
    <w:rsid w:val="006E07BA"/>
    <w:rsid w:val="006E0949"/>
    <w:rsid w:val="006E0A33"/>
    <w:rsid w:val="006E0A6F"/>
    <w:rsid w:val="006E0B87"/>
    <w:rsid w:val="006E0BF1"/>
    <w:rsid w:val="006E0EA1"/>
    <w:rsid w:val="006E0F36"/>
    <w:rsid w:val="006E0F68"/>
    <w:rsid w:val="006E10E0"/>
    <w:rsid w:val="006E1125"/>
    <w:rsid w:val="006E11F8"/>
    <w:rsid w:val="006E1238"/>
    <w:rsid w:val="006E1318"/>
    <w:rsid w:val="006E1347"/>
    <w:rsid w:val="006E1430"/>
    <w:rsid w:val="006E1651"/>
    <w:rsid w:val="006E1663"/>
    <w:rsid w:val="006E16B0"/>
    <w:rsid w:val="006E1736"/>
    <w:rsid w:val="006E1778"/>
    <w:rsid w:val="006E17D0"/>
    <w:rsid w:val="006E1B18"/>
    <w:rsid w:val="006E1B24"/>
    <w:rsid w:val="006E1C6E"/>
    <w:rsid w:val="006E1C92"/>
    <w:rsid w:val="006E1D79"/>
    <w:rsid w:val="006E1EBF"/>
    <w:rsid w:val="006E2050"/>
    <w:rsid w:val="006E2392"/>
    <w:rsid w:val="006E2893"/>
    <w:rsid w:val="006E2894"/>
    <w:rsid w:val="006E28B2"/>
    <w:rsid w:val="006E29CB"/>
    <w:rsid w:val="006E2A6D"/>
    <w:rsid w:val="006E2B4B"/>
    <w:rsid w:val="006E2B8F"/>
    <w:rsid w:val="006E2DB6"/>
    <w:rsid w:val="006E2EDD"/>
    <w:rsid w:val="006E2F08"/>
    <w:rsid w:val="006E2F53"/>
    <w:rsid w:val="006E2F8A"/>
    <w:rsid w:val="006E32C6"/>
    <w:rsid w:val="006E333D"/>
    <w:rsid w:val="006E35A4"/>
    <w:rsid w:val="006E3658"/>
    <w:rsid w:val="006E3660"/>
    <w:rsid w:val="006E3710"/>
    <w:rsid w:val="006E37E4"/>
    <w:rsid w:val="006E3813"/>
    <w:rsid w:val="006E383B"/>
    <w:rsid w:val="006E3847"/>
    <w:rsid w:val="006E39C8"/>
    <w:rsid w:val="006E3AAF"/>
    <w:rsid w:val="006E3C26"/>
    <w:rsid w:val="006E3CFF"/>
    <w:rsid w:val="006E3E45"/>
    <w:rsid w:val="006E3E5D"/>
    <w:rsid w:val="006E3EF6"/>
    <w:rsid w:val="006E3F12"/>
    <w:rsid w:val="006E409F"/>
    <w:rsid w:val="006E424A"/>
    <w:rsid w:val="006E4436"/>
    <w:rsid w:val="006E4684"/>
    <w:rsid w:val="006E4690"/>
    <w:rsid w:val="006E49CE"/>
    <w:rsid w:val="006E4A8D"/>
    <w:rsid w:val="006E4A9E"/>
    <w:rsid w:val="006E4B91"/>
    <w:rsid w:val="006E4F02"/>
    <w:rsid w:val="006E4FB6"/>
    <w:rsid w:val="006E51EA"/>
    <w:rsid w:val="006E526C"/>
    <w:rsid w:val="006E5475"/>
    <w:rsid w:val="006E54EE"/>
    <w:rsid w:val="006E56B4"/>
    <w:rsid w:val="006E59DD"/>
    <w:rsid w:val="006E5ADC"/>
    <w:rsid w:val="006E5C67"/>
    <w:rsid w:val="006E5D92"/>
    <w:rsid w:val="006E5E59"/>
    <w:rsid w:val="006E5E70"/>
    <w:rsid w:val="006E5FA4"/>
    <w:rsid w:val="006E6057"/>
    <w:rsid w:val="006E61EF"/>
    <w:rsid w:val="006E620B"/>
    <w:rsid w:val="006E627B"/>
    <w:rsid w:val="006E64B9"/>
    <w:rsid w:val="006E6646"/>
    <w:rsid w:val="006E669F"/>
    <w:rsid w:val="006E66CC"/>
    <w:rsid w:val="006E66F0"/>
    <w:rsid w:val="006E6785"/>
    <w:rsid w:val="006E684E"/>
    <w:rsid w:val="006E6920"/>
    <w:rsid w:val="006E6927"/>
    <w:rsid w:val="006E69CF"/>
    <w:rsid w:val="006E6A01"/>
    <w:rsid w:val="006E6B24"/>
    <w:rsid w:val="006E6EBA"/>
    <w:rsid w:val="006E6F59"/>
    <w:rsid w:val="006E6F7E"/>
    <w:rsid w:val="006E71AE"/>
    <w:rsid w:val="006E71B8"/>
    <w:rsid w:val="006E720B"/>
    <w:rsid w:val="006E73E4"/>
    <w:rsid w:val="006E7526"/>
    <w:rsid w:val="006E761B"/>
    <w:rsid w:val="006E767C"/>
    <w:rsid w:val="006E7689"/>
    <w:rsid w:val="006E7708"/>
    <w:rsid w:val="006E7724"/>
    <w:rsid w:val="006E7777"/>
    <w:rsid w:val="006E7940"/>
    <w:rsid w:val="006E7990"/>
    <w:rsid w:val="006E7993"/>
    <w:rsid w:val="006E7A45"/>
    <w:rsid w:val="006E7A84"/>
    <w:rsid w:val="006E7EA9"/>
    <w:rsid w:val="006F0000"/>
    <w:rsid w:val="006F000A"/>
    <w:rsid w:val="006F0330"/>
    <w:rsid w:val="006F037A"/>
    <w:rsid w:val="006F05AA"/>
    <w:rsid w:val="006F0699"/>
    <w:rsid w:val="006F06BE"/>
    <w:rsid w:val="006F0753"/>
    <w:rsid w:val="006F07E7"/>
    <w:rsid w:val="006F07F8"/>
    <w:rsid w:val="006F084D"/>
    <w:rsid w:val="006F0AAA"/>
    <w:rsid w:val="006F0BFA"/>
    <w:rsid w:val="006F0C64"/>
    <w:rsid w:val="006F0D41"/>
    <w:rsid w:val="006F0F12"/>
    <w:rsid w:val="006F1145"/>
    <w:rsid w:val="006F1339"/>
    <w:rsid w:val="006F1346"/>
    <w:rsid w:val="006F147E"/>
    <w:rsid w:val="006F14D1"/>
    <w:rsid w:val="006F15F7"/>
    <w:rsid w:val="006F177A"/>
    <w:rsid w:val="006F1789"/>
    <w:rsid w:val="006F1805"/>
    <w:rsid w:val="006F18E9"/>
    <w:rsid w:val="006F1993"/>
    <w:rsid w:val="006F1A10"/>
    <w:rsid w:val="006F1AC9"/>
    <w:rsid w:val="006F1BA6"/>
    <w:rsid w:val="006F1C0A"/>
    <w:rsid w:val="006F1C43"/>
    <w:rsid w:val="006F1C56"/>
    <w:rsid w:val="006F1CC2"/>
    <w:rsid w:val="006F1E21"/>
    <w:rsid w:val="006F1EA1"/>
    <w:rsid w:val="006F1F0C"/>
    <w:rsid w:val="006F1F38"/>
    <w:rsid w:val="006F1F7B"/>
    <w:rsid w:val="006F20F9"/>
    <w:rsid w:val="006F2185"/>
    <w:rsid w:val="006F2265"/>
    <w:rsid w:val="006F236F"/>
    <w:rsid w:val="006F25D8"/>
    <w:rsid w:val="006F2605"/>
    <w:rsid w:val="006F261A"/>
    <w:rsid w:val="006F2643"/>
    <w:rsid w:val="006F285D"/>
    <w:rsid w:val="006F2911"/>
    <w:rsid w:val="006F2AD0"/>
    <w:rsid w:val="006F2B8A"/>
    <w:rsid w:val="006F2BB2"/>
    <w:rsid w:val="006F2E78"/>
    <w:rsid w:val="006F30EA"/>
    <w:rsid w:val="006F3119"/>
    <w:rsid w:val="006F318F"/>
    <w:rsid w:val="006F31D2"/>
    <w:rsid w:val="006F3233"/>
    <w:rsid w:val="006F337B"/>
    <w:rsid w:val="006F33DE"/>
    <w:rsid w:val="006F3475"/>
    <w:rsid w:val="006F361E"/>
    <w:rsid w:val="006F37DD"/>
    <w:rsid w:val="006F3A69"/>
    <w:rsid w:val="006F4054"/>
    <w:rsid w:val="006F40E0"/>
    <w:rsid w:val="006F433B"/>
    <w:rsid w:val="006F447E"/>
    <w:rsid w:val="006F44BA"/>
    <w:rsid w:val="006F4732"/>
    <w:rsid w:val="006F4A5A"/>
    <w:rsid w:val="006F4B23"/>
    <w:rsid w:val="006F4B2C"/>
    <w:rsid w:val="006F4B8E"/>
    <w:rsid w:val="006F4D28"/>
    <w:rsid w:val="006F4DF2"/>
    <w:rsid w:val="006F4ED9"/>
    <w:rsid w:val="006F503B"/>
    <w:rsid w:val="006F51B5"/>
    <w:rsid w:val="006F51CA"/>
    <w:rsid w:val="006F5902"/>
    <w:rsid w:val="006F5AB0"/>
    <w:rsid w:val="006F5E7B"/>
    <w:rsid w:val="006F5F66"/>
    <w:rsid w:val="006F6051"/>
    <w:rsid w:val="006F609B"/>
    <w:rsid w:val="006F61D0"/>
    <w:rsid w:val="006F63C5"/>
    <w:rsid w:val="006F6524"/>
    <w:rsid w:val="006F65A0"/>
    <w:rsid w:val="006F65D3"/>
    <w:rsid w:val="006F661F"/>
    <w:rsid w:val="006F6781"/>
    <w:rsid w:val="006F68CA"/>
    <w:rsid w:val="006F69AD"/>
    <w:rsid w:val="006F6BA7"/>
    <w:rsid w:val="006F6C5F"/>
    <w:rsid w:val="006F6CB9"/>
    <w:rsid w:val="006F6D04"/>
    <w:rsid w:val="006F6E69"/>
    <w:rsid w:val="006F6F96"/>
    <w:rsid w:val="006F714B"/>
    <w:rsid w:val="006F7241"/>
    <w:rsid w:val="006F762A"/>
    <w:rsid w:val="006F7860"/>
    <w:rsid w:val="006F79A8"/>
    <w:rsid w:val="006F7A25"/>
    <w:rsid w:val="006F7A2A"/>
    <w:rsid w:val="006F7CDE"/>
    <w:rsid w:val="006F7D63"/>
    <w:rsid w:val="006F7D90"/>
    <w:rsid w:val="006F7D9E"/>
    <w:rsid w:val="006F7E24"/>
    <w:rsid w:val="006F7E94"/>
    <w:rsid w:val="006F7F1D"/>
    <w:rsid w:val="006F7F67"/>
    <w:rsid w:val="00700114"/>
    <w:rsid w:val="00700442"/>
    <w:rsid w:val="00700455"/>
    <w:rsid w:val="00700531"/>
    <w:rsid w:val="007005A4"/>
    <w:rsid w:val="007005E4"/>
    <w:rsid w:val="0070072E"/>
    <w:rsid w:val="00700768"/>
    <w:rsid w:val="007008B0"/>
    <w:rsid w:val="007008BB"/>
    <w:rsid w:val="00700A2E"/>
    <w:rsid w:val="00700A6D"/>
    <w:rsid w:val="00700AD7"/>
    <w:rsid w:val="00700E41"/>
    <w:rsid w:val="00700FDB"/>
    <w:rsid w:val="0070125B"/>
    <w:rsid w:val="00701294"/>
    <w:rsid w:val="007013A1"/>
    <w:rsid w:val="007016AA"/>
    <w:rsid w:val="007016ED"/>
    <w:rsid w:val="007017A4"/>
    <w:rsid w:val="00701807"/>
    <w:rsid w:val="00701890"/>
    <w:rsid w:val="00701AEE"/>
    <w:rsid w:val="00701B07"/>
    <w:rsid w:val="00701B1A"/>
    <w:rsid w:val="00701DAC"/>
    <w:rsid w:val="00701DC9"/>
    <w:rsid w:val="00702046"/>
    <w:rsid w:val="007025C7"/>
    <w:rsid w:val="0070261D"/>
    <w:rsid w:val="00702684"/>
    <w:rsid w:val="00702919"/>
    <w:rsid w:val="00702A6F"/>
    <w:rsid w:val="00702B7E"/>
    <w:rsid w:val="00702D67"/>
    <w:rsid w:val="00702E27"/>
    <w:rsid w:val="00702EE9"/>
    <w:rsid w:val="00703042"/>
    <w:rsid w:val="00703147"/>
    <w:rsid w:val="00703597"/>
    <w:rsid w:val="007037BA"/>
    <w:rsid w:val="0070387C"/>
    <w:rsid w:val="00703B94"/>
    <w:rsid w:val="00703C6F"/>
    <w:rsid w:val="00703CC3"/>
    <w:rsid w:val="00703CD9"/>
    <w:rsid w:val="00703D43"/>
    <w:rsid w:val="00703D65"/>
    <w:rsid w:val="00703E7A"/>
    <w:rsid w:val="00703FFE"/>
    <w:rsid w:val="007040CF"/>
    <w:rsid w:val="00704160"/>
    <w:rsid w:val="0070421F"/>
    <w:rsid w:val="00704641"/>
    <w:rsid w:val="00704653"/>
    <w:rsid w:val="0070474F"/>
    <w:rsid w:val="00704765"/>
    <w:rsid w:val="00704811"/>
    <w:rsid w:val="007048CD"/>
    <w:rsid w:val="00704B46"/>
    <w:rsid w:val="00704B92"/>
    <w:rsid w:val="00704C85"/>
    <w:rsid w:val="00704D1E"/>
    <w:rsid w:val="00704D34"/>
    <w:rsid w:val="00704DF6"/>
    <w:rsid w:val="00704EFB"/>
    <w:rsid w:val="00704EFE"/>
    <w:rsid w:val="007050FE"/>
    <w:rsid w:val="00705140"/>
    <w:rsid w:val="00705213"/>
    <w:rsid w:val="00705554"/>
    <w:rsid w:val="00705591"/>
    <w:rsid w:val="007055CE"/>
    <w:rsid w:val="0070586B"/>
    <w:rsid w:val="007059E9"/>
    <w:rsid w:val="00705AED"/>
    <w:rsid w:val="00705B18"/>
    <w:rsid w:val="00705C7C"/>
    <w:rsid w:val="00705C96"/>
    <w:rsid w:val="00705E0E"/>
    <w:rsid w:val="00705E61"/>
    <w:rsid w:val="00705E9F"/>
    <w:rsid w:val="00705F8F"/>
    <w:rsid w:val="00706197"/>
    <w:rsid w:val="00706219"/>
    <w:rsid w:val="0070637A"/>
    <w:rsid w:val="00706395"/>
    <w:rsid w:val="007065BF"/>
    <w:rsid w:val="0070663A"/>
    <w:rsid w:val="00706801"/>
    <w:rsid w:val="007069CF"/>
    <w:rsid w:val="00706B01"/>
    <w:rsid w:val="00706D6B"/>
    <w:rsid w:val="00706DC4"/>
    <w:rsid w:val="00706E8C"/>
    <w:rsid w:val="00706F43"/>
    <w:rsid w:val="00706FC8"/>
    <w:rsid w:val="00706FDD"/>
    <w:rsid w:val="00707109"/>
    <w:rsid w:val="0070711F"/>
    <w:rsid w:val="007073FA"/>
    <w:rsid w:val="007074D3"/>
    <w:rsid w:val="00707646"/>
    <w:rsid w:val="00707744"/>
    <w:rsid w:val="00707827"/>
    <w:rsid w:val="007078BA"/>
    <w:rsid w:val="007079E4"/>
    <w:rsid w:val="00707A83"/>
    <w:rsid w:val="00707B72"/>
    <w:rsid w:val="00707B9C"/>
    <w:rsid w:val="00707BC6"/>
    <w:rsid w:val="00707C74"/>
    <w:rsid w:val="00707C92"/>
    <w:rsid w:val="00707D2D"/>
    <w:rsid w:val="00707DC1"/>
    <w:rsid w:val="00707DFA"/>
    <w:rsid w:val="00707F53"/>
    <w:rsid w:val="00707F76"/>
    <w:rsid w:val="00710070"/>
    <w:rsid w:val="007102BE"/>
    <w:rsid w:val="007104CE"/>
    <w:rsid w:val="00710551"/>
    <w:rsid w:val="00710575"/>
    <w:rsid w:val="007107EE"/>
    <w:rsid w:val="00710D2E"/>
    <w:rsid w:val="00710EBA"/>
    <w:rsid w:val="0071108C"/>
    <w:rsid w:val="007110D6"/>
    <w:rsid w:val="007111B8"/>
    <w:rsid w:val="007116D8"/>
    <w:rsid w:val="0071175D"/>
    <w:rsid w:val="00711839"/>
    <w:rsid w:val="007118B3"/>
    <w:rsid w:val="00711A38"/>
    <w:rsid w:val="00711B39"/>
    <w:rsid w:val="00711BF0"/>
    <w:rsid w:val="00711E1B"/>
    <w:rsid w:val="00711FB4"/>
    <w:rsid w:val="00712189"/>
    <w:rsid w:val="007122CE"/>
    <w:rsid w:val="00712307"/>
    <w:rsid w:val="00712588"/>
    <w:rsid w:val="0071267C"/>
    <w:rsid w:val="007129B4"/>
    <w:rsid w:val="00712A09"/>
    <w:rsid w:val="00712BAB"/>
    <w:rsid w:val="00712C11"/>
    <w:rsid w:val="00712CD0"/>
    <w:rsid w:val="00712E3A"/>
    <w:rsid w:val="00712F9C"/>
    <w:rsid w:val="00712FCE"/>
    <w:rsid w:val="007130A3"/>
    <w:rsid w:val="007131D9"/>
    <w:rsid w:val="007131E3"/>
    <w:rsid w:val="007132C6"/>
    <w:rsid w:val="0071351A"/>
    <w:rsid w:val="0071359B"/>
    <w:rsid w:val="0071375B"/>
    <w:rsid w:val="007137D6"/>
    <w:rsid w:val="0071391E"/>
    <w:rsid w:val="00713D5C"/>
    <w:rsid w:val="00713D73"/>
    <w:rsid w:val="00713F5A"/>
    <w:rsid w:val="00713FD8"/>
    <w:rsid w:val="007141FA"/>
    <w:rsid w:val="007142AA"/>
    <w:rsid w:val="00714392"/>
    <w:rsid w:val="007143A6"/>
    <w:rsid w:val="00714521"/>
    <w:rsid w:val="0071453C"/>
    <w:rsid w:val="00714769"/>
    <w:rsid w:val="00714B79"/>
    <w:rsid w:val="00714BAE"/>
    <w:rsid w:val="00714BD2"/>
    <w:rsid w:val="00714BF0"/>
    <w:rsid w:val="00714D2A"/>
    <w:rsid w:val="00714DAA"/>
    <w:rsid w:val="00714DB5"/>
    <w:rsid w:val="00714E19"/>
    <w:rsid w:val="00714E95"/>
    <w:rsid w:val="00715204"/>
    <w:rsid w:val="00715206"/>
    <w:rsid w:val="0071545F"/>
    <w:rsid w:val="00715544"/>
    <w:rsid w:val="0071562F"/>
    <w:rsid w:val="007159B3"/>
    <w:rsid w:val="00715A15"/>
    <w:rsid w:val="00715A68"/>
    <w:rsid w:val="00715AED"/>
    <w:rsid w:val="00715BE6"/>
    <w:rsid w:val="00715C03"/>
    <w:rsid w:val="00715D34"/>
    <w:rsid w:val="00715E3D"/>
    <w:rsid w:val="00715E96"/>
    <w:rsid w:val="00716054"/>
    <w:rsid w:val="0071618D"/>
    <w:rsid w:val="007161E9"/>
    <w:rsid w:val="00716200"/>
    <w:rsid w:val="00716287"/>
    <w:rsid w:val="00716406"/>
    <w:rsid w:val="007164FF"/>
    <w:rsid w:val="00716671"/>
    <w:rsid w:val="00716A23"/>
    <w:rsid w:val="00716E0F"/>
    <w:rsid w:val="00716E24"/>
    <w:rsid w:val="00716F47"/>
    <w:rsid w:val="00716F8A"/>
    <w:rsid w:val="00716F8E"/>
    <w:rsid w:val="00717121"/>
    <w:rsid w:val="00717385"/>
    <w:rsid w:val="0071756C"/>
    <w:rsid w:val="007175E1"/>
    <w:rsid w:val="00717642"/>
    <w:rsid w:val="00717759"/>
    <w:rsid w:val="0071779C"/>
    <w:rsid w:val="0071788F"/>
    <w:rsid w:val="007179E7"/>
    <w:rsid w:val="00717C06"/>
    <w:rsid w:val="00717C20"/>
    <w:rsid w:val="00717E24"/>
    <w:rsid w:val="00717ED3"/>
    <w:rsid w:val="00720020"/>
    <w:rsid w:val="00720223"/>
    <w:rsid w:val="00720391"/>
    <w:rsid w:val="00720452"/>
    <w:rsid w:val="0072046B"/>
    <w:rsid w:val="0072048E"/>
    <w:rsid w:val="00720567"/>
    <w:rsid w:val="007207FB"/>
    <w:rsid w:val="00720A01"/>
    <w:rsid w:val="00720BED"/>
    <w:rsid w:val="00720D56"/>
    <w:rsid w:val="00720DFB"/>
    <w:rsid w:val="00720F11"/>
    <w:rsid w:val="00720F19"/>
    <w:rsid w:val="00721035"/>
    <w:rsid w:val="0072108A"/>
    <w:rsid w:val="0072112B"/>
    <w:rsid w:val="00721428"/>
    <w:rsid w:val="007214B2"/>
    <w:rsid w:val="0072158B"/>
    <w:rsid w:val="00721751"/>
    <w:rsid w:val="00721A61"/>
    <w:rsid w:val="00721AFE"/>
    <w:rsid w:val="00721BFD"/>
    <w:rsid w:val="00721C51"/>
    <w:rsid w:val="00721F96"/>
    <w:rsid w:val="0072201D"/>
    <w:rsid w:val="007220C3"/>
    <w:rsid w:val="00722110"/>
    <w:rsid w:val="00722576"/>
    <w:rsid w:val="0072267A"/>
    <w:rsid w:val="007226C1"/>
    <w:rsid w:val="007229D1"/>
    <w:rsid w:val="00722A02"/>
    <w:rsid w:val="00722A8E"/>
    <w:rsid w:val="00722AE0"/>
    <w:rsid w:val="00722B59"/>
    <w:rsid w:val="00722EBC"/>
    <w:rsid w:val="00723115"/>
    <w:rsid w:val="00723163"/>
    <w:rsid w:val="0072348F"/>
    <w:rsid w:val="0072357F"/>
    <w:rsid w:val="00723656"/>
    <w:rsid w:val="00723777"/>
    <w:rsid w:val="00723792"/>
    <w:rsid w:val="007237C7"/>
    <w:rsid w:val="00723A80"/>
    <w:rsid w:val="00723C1E"/>
    <w:rsid w:val="00723C51"/>
    <w:rsid w:val="00723CEC"/>
    <w:rsid w:val="00723E99"/>
    <w:rsid w:val="00723F41"/>
    <w:rsid w:val="007244E4"/>
    <w:rsid w:val="007244EE"/>
    <w:rsid w:val="00724512"/>
    <w:rsid w:val="007245F6"/>
    <w:rsid w:val="007246C2"/>
    <w:rsid w:val="007248B4"/>
    <w:rsid w:val="007248FB"/>
    <w:rsid w:val="00724945"/>
    <w:rsid w:val="00724A77"/>
    <w:rsid w:val="00724AC5"/>
    <w:rsid w:val="00724B70"/>
    <w:rsid w:val="00724CE7"/>
    <w:rsid w:val="00724D15"/>
    <w:rsid w:val="00724E62"/>
    <w:rsid w:val="00724F74"/>
    <w:rsid w:val="0072504B"/>
    <w:rsid w:val="0072553B"/>
    <w:rsid w:val="00725A78"/>
    <w:rsid w:val="00725AD3"/>
    <w:rsid w:val="00725B02"/>
    <w:rsid w:val="00726119"/>
    <w:rsid w:val="00726244"/>
    <w:rsid w:val="007262F1"/>
    <w:rsid w:val="00726363"/>
    <w:rsid w:val="0072636D"/>
    <w:rsid w:val="00726384"/>
    <w:rsid w:val="00726407"/>
    <w:rsid w:val="0072655F"/>
    <w:rsid w:val="0072666B"/>
    <w:rsid w:val="007266E2"/>
    <w:rsid w:val="00726813"/>
    <w:rsid w:val="00726837"/>
    <w:rsid w:val="00726AC1"/>
    <w:rsid w:val="00726BE1"/>
    <w:rsid w:val="00726CA6"/>
    <w:rsid w:val="00726E60"/>
    <w:rsid w:val="00726E89"/>
    <w:rsid w:val="00726F1F"/>
    <w:rsid w:val="00727000"/>
    <w:rsid w:val="0072702D"/>
    <w:rsid w:val="007270ED"/>
    <w:rsid w:val="007272C0"/>
    <w:rsid w:val="00727310"/>
    <w:rsid w:val="00727501"/>
    <w:rsid w:val="00727553"/>
    <w:rsid w:val="007275B3"/>
    <w:rsid w:val="007275C5"/>
    <w:rsid w:val="007276E1"/>
    <w:rsid w:val="00727812"/>
    <w:rsid w:val="00727A25"/>
    <w:rsid w:val="00727A29"/>
    <w:rsid w:val="00727BE4"/>
    <w:rsid w:val="00727E6A"/>
    <w:rsid w:val="00727F39"/>
    <w:rsid w:val="00730046"/>
    <w:rsid w:val="00730075"/>
    <w:rsid w:val="0073009F"/>
    <w:rsid w:val="007301A4"/>
    <w:rsid w:val="007303DB"/>
    <w:rsid w:val="007304CE"/>
    <w:rsid w:val="00730530"/>
    <w:rsid w:val="0073056E"/>
    <w:rsid w:val="007305C3"/>
    <w:rsid w:val="0073061B"/>
    <w:rsid w:val="00730B2C"/>
    <w:rsid w:val="00730DCB"/>
    <w:rsid w:val="00730DD6"/>
    <w:rsid w:val="0073128B"/>
    <w:rsid w:val="00731730"/>
    <w:rsid w:val="0073173E"/>
    <w:rsid w:val="007318BF"/>
    <w:rsid w:val="007318CD"/>
    <w:rsid w:val="00731B94"/>
    <w:rsid w:val="00731BFB"/>
    <w:rsid w:val="00731D30"/>
    <w:rsid w:val="00731D37"/>
    <w:rsid w:val="00732106"/>
    <w:rsid w:val="00732121"/>
    <w:rsid w:val="007321C5"/>
    <w:rsid w:val="0073220E"/>
    <w:rsid w:val="0073227D"/>
    <w:rsid w:val="00732300"/>
    <w:rsid w:val="0073245A"/>
    <w:rsid w:val="00732475"/>
    <w:rsid w:val="00732649"/>
    <w:rsid w:val="00732679"/>
    <w:rsid w:val="007326A2"/>
    <w:rsid w:val="007326F3"/>
    <w:rsid w:val="007326F7"/>
    <w:rsid w:val="007328D4"/>
    <w:rsid w:val="00732988"/>
    <w:rsid w:val="007329ED"/>
    <w:rsid w:val="00732A7F"/>
    <w:rsid w:val="00732E23"/>
    <w:rsid w:val="00732F60"/>
    <w:rsid w:val="00732FA9"/>
    <w:rsid w:val="0073304B"/>
    <w:rsid w:val="0073309B"/>
    <w:rsid w:val="007332BF"/>
    <w:rsid w:val="007332FB"/>
    <w:rsid w:val="00733384"/>
    <w:rsid w:val="007333ED"/>
    <w:rsid w:val="007335A9"/>
    <w:rsid w:val="00733729"/>
    <w:rsid w:val="007339F5"/>
    <w:rsid w:val="00733CC2"/>
    <w:rsid w:val="00733E89"/>
    <w:rsid w:val="00734319"/>
    <w:rsid w:val="0073444D"/>
    <w:rsid w:val="007344CD"/>
    <w:rsid w:val="00734603"/>
    <w:rsid w:val="00734622"/>
    <w:rsid w:val="00734948"/>
    <w:rsid w:val="00734B61"/>
    <w:rsid w:val="00734BEE"/>
    <w:rsid w:val="00734E26"/>
    <w:rsid w:val="00734ED0"/>
    <w:rsid w:val="00734F32"/>
    <w:rsid w:val="00734FE8"/>
    <w:rsid w:val="0073501E"/>
    <w:rsid w:val="00735029"/>
    <w:rsid w:val="00735171"/>
    <w:rsid w:val="007351AB"/>
    <w:rsid w:val="007351C8"/>
    <w:rsid w:val="007351FF"/>
    <w:rsid w:val="007352BF"/>
    <w:rsid w:val="007353A4"/>
    <w:rsid w:val="0073551B"/>
    <w:rsid w:val="007356B0"/>
    <w:rsid w:val="00735780"/>
    <w:rsid w:val="00735925"/>
    <w:rsid w:val="0073595C"/>
    <w:rsid w:val="00735AC1"/>
    <w:rsid w:val="00735C94"/>
    <w:rsid w:val="00735D5F"/>
    <w:rsid w:val="00735DE3"/>
    <w:rsid w:val="00735E7E"/>
    <w:rsid w:val="00735FDF"/>
    <w:rsid w:val="00735FFB"/>
    <w:rsid w:val="00736041"/>
    <w:rsid w:val="007361AA"/>
    <w:rsid w:val="007361FB"/>
    <w:rsid w:val="0073620B"/>
    <w:rsid w:val="00736260"/>
    <w:rsid w:val="00736440"/>
    <w:rsid w:val="0073667A"/>
    <w:rsid w:val="007366CB"/>
    <w:rsid w:val="0073674E"/>
    <w:rsid w:val="00736973"/>
    <w:rsid w:val="007369BB"/>
    <w:rsid w:val="00736A53"/>
    <w:rsid w:val="00736BA1"/>
    <w:rsid w:val="00736E40"/>
    <w:rsid w:val="00736ECA"/>
    <w:rsid w:val="00736EDC"/>
    <w:rsid w:val="0073731A"/>
    <w:rsid w:val="007373C7"/>
    <w:rsid w:val="007373E5"/>
    <w:rsid w:val="007374B4"/>
    <w:rsid w:val="0073765D"/>
    <w:rsid w:val="0073768E"/>
    <w:rsid w:val="0073783A"/>
    <w:rsid w:val="00737845"/>
    <w:rsid w:val="00737A1B"/>
    <w:rsid w:val="00737A32"/>
    <w:rsid w:val="00737CDE"/>
    <w:rsid w:val="00737EDD"/>
    <w:rsid w:val="00737EFF"/>
    <w:rsid w:val="00737FA0"/>
    <w:rsid w:val="00737FBF"/>
    <w:rsid w:val="0074005F"/>
    <w:rsid w:val="00740346"/>
    <w:rsid w:val="00740372"/>
    <w:rsid w:val="0074050A"/>
    <w:rsid w:val="0074051B"/>
    <w:rsid w:val="00740768"/>
    <w:rsid w:val="007408AA"/>
    <w:rsid w:val="0074092D"/>
    <w:rsid w:val="00740CFD"/>
    <w:rsid w:val="00740D14"/>
    <w:rsid w:val="0074118E"/>
    <w:rsid w:val="007411D6"/>
    <w:rsid w:val="00741205"/>
    <w:rsid w:val="00741236"/>
    <w:rsid w:val="00741298"/>
    <w:rsid w:val="0074132C"/>
    <w:rsid w:val="00741377"/>
    <w:rsid w:val="007414A1"/>
    <w:rsid w:val="007415F2"/>
    <w:rsid w:val="0074171C"/>
    <w:rsid w:val="00741743"/>
    <w:rsid w:val="007417B6"/>
    <w:rsid w:val="00741966"/>
    <w:rsid w:val="00741B7D"/>
    <w:rsid w:val="00741B80"/>
    <w:rsid w:val="00741B9F"/>
    <w:rsid w:val="00741D8D"/>
    <w:rsid w:val="00741D93"/>
    <w:rsid w:val="00741DD4"/>
    <w:rsid w:val="00742070"/>
    <w:rsid w:val="0074215C"/>
    <w:rsid w:val="007421A4"/>
    <w:rsid w:val="0074220F"/>
    <w:rsid w:val="007424FA"/>
    <w:rsid w:val="007424FE"/>
    <w:rsid w:val="00742559"/>
    <w:rsid w:val="00742647"/>
    <w:rsid w:val="007426FC"/>
    <w:rsid w:val="0074275C"/>
    <w:rsid w:val="00742806"/>
    <w:rsid w:val="00742915"/>
    <w:rsid w:val="00742B07"/>
    <w:rsid w:val="00742C09"/>
    <w:rsid w:val="0074315B"/>
    <w:rsid w:val="00743173"/>
    <w:rsid w:val="00743196"/>
    <w:rsid w:val="007431F4"/>
    <w:rsid w:val="0074354B"/>
    <w:rsid w:val="00743634"/>
    <w:rsid w:val="0074364C"/>
    <w:rsid w:val="007436FC"/>
    <w:rsid w:val="0074373F"/>
    <w:rsid w:val="00743755"/>
    <w:rsid w:val="00743796"/>
    <w:rsid w:val="007437FE"/>
    <w:rsid w:val="007439A2"/>
    <w:rsid w:val="00743B17"/>
    <w:rsid w:val="00743CC1"/>
    <w:rsid w:val="00743D9B"/>
    <w:rsid w:val="00743DB5"/>
    <w:rsid w:val="00743DEE"/>
    <w:rsid w:val="00743DFD"/>
    <w:rsid w:val="00743E02"/>
    <w:rsid w:val="00743E3B"/>
    <w:rsid w:val="0074404E"/>
    <w:rsid w:val="007441F7"/>
    <w:rsid w:val="0074444F"/>
    <w:rsid w:val="007444BC"/>
    <w:rsid w:val="00744560"/>
    <w:rsid w:val="00744729"/>
    <w:rsid w:val="0074476B"/>
    <w:rsid w:val="007448FA"/>
    <w:rsid w:val="007449DC"/>
    <w:rsid w:val="00744A7A"/>
    <w:rsid w:val="00744BC5"/>
    <w:rsid w:val="00744BD4"/>
    <w:rsid w:val="00744D34"/>
    <w:rsid w:val="00744EDE"/>
    <w:rsid w:val="00745041"/>
    <w:rsid w:val="00745070"/>
    <w:rsid w:val="007450F5"/>
    <w:rsid w:val="00745121"/>
    <w:rsid w:val="0074535D"/>
    <w:rsid w:val="007455DD"/>
    <w:rsid w:val="00745837"/>
    <w:rsid w:val="007458D0"/>
    <w:rsid w:val="00745944"/>
    <w:rsid w:val="00745999"/>
    <w:rsid w:val="00745A40"/>
    <w:rsid w:val="00745C1D"/>
    <w:rsid w:val="00745D30"/>
    <w:rsid w:val="00745D57"/>
    <w:rsid w:val="00745E56"/>
    <w:rsid w:val="00745F46"/>
    <w:rsid w:val="0074610B"/>
    <w:rsid w:val="0074615F"/>
    <w:rsid w:val="00746293"/>
    <w:rsid w:val="00746641"/>
    <w:rsid w:val="007466A5"/>
    <w:rsid w:val="007468B0"/>
    <w:rsid w:val="00746B7B"/>
    <w:rsid w:val="00746C66"/>
    <w:rsid w:val="00746DAD"/>
    <w:rsid w:val="00746E27"/>
    <w:rsid w:val="00746FE5"/>
    <w:rsid w:val="00747065"/>
    <w:rsid w:val="007470EB"/>
    <w:rsid w:val="00747101"/>
    <w:rsid w:val="007472F2"/>
    <w:rsid w:val="007474DE"/>
    <w:rsid w:val="0074760B"/>
    <w:rsid w:val="0074765D"/>
    <w:rsid w:val="00747678"/>
    <w:rsid w:val="007476A5"/>
    <w:rsid w:val="0074770F"/>
    <w:rsid w:val="00747772"/>
    <w:rsid w:val="0074798C"/>
    <w:rsid w:val="00747C48"/>
    <w:rsid w:val="00747CA8"/>
    <w:rsid w:val="00747D00"/>
    <w:rsid w:val="00747D38"/>
    <w:rsid w:val="00747E3B"/>
    <w:rsid w:val="00750071"/>
    <w:rsid w:val="007500AA"/>
    <w:rsid w:val="007501E3"/>
    <w:rsid w:val="00750385"/>
    <w:rsid w:val="007503C0"/>
    <w:rsid w:val="007503E0"/>
    <w:rsid w:val="0075066B"/>
    <w:rsid w:val="007506FA"/>
    <w:rsid w:val="00750980"/>
    <w:rsid w:val="00750998"/>
    <w:rsid w:val="007509D3"/>
    <w:rsid w:val="00750AA1"/>
    <w:rsid w:val="00750B21"/>
    <w:rsid w:val="00750B29"/>
    <w:rsid w:val="00750B98"/>
    <w:rsid w:val="00750CF6"/>
    <w:rsid w:val="00750E43"/>
    <w:rsid w:val="00750EDC"/>
    <w:rsid w:val="00751060"/>
    <w:rsid w:val="00751354"/>
    <w:rsid w:val="0075152E"/>
    <w:rsid w:val="0075153E"/>
    <w:rsid w:val="007515FC"/>
    <w:rsid w:val="00751698"/>
    <w:rsid w:val="007516D3"/>
    <w:rsid w:val="00751791"/>
    <w:rsid w:val="007519B2"/>
    <w:rsid w:val="00751F89"/>
    <w:rsid w:val="00752033"/>
    <w:rsid w:val="00752342"/>
    <w:rsid w:val="00752359"/>
    <w:rsid w:val="007523BF"/>
    <w:rsid w:val="007523D3"/>
    <w:rsid w:val="007523F1"/>
    <w:rsid w:val="0075268E"/>
    <w:rsid w:val="007526BC"/>
    <w:rsid w:val="00752830"/>
    <w:rsid w:val="007528A9"/>
    <w:rsid w:val="0075295D"/>
    <w:rsid w:val="00752A0F"/>
    <w:rsid w:val="00752A42"/>
    <w:rsid w:val="00752A77"/>
    <w:rsid w:val="00752E59"/>
    <w:rsid w:val="00753233"/>
    <w:rsid w:val="00753550"/>
    <w:rsid w:val="007535ED"/>
    <w:rsid w:val="007535FB"/>
    <w:rsid w:val="007536D6"/>
    <w:rsid w:val="00753744"/>
    <w:rsid w:val="0075376B"/>
    <w:rsid w:val="0075379D"/>
    <w:rsid w:val="007538E2"/>
    <w:rsid w:val="007539E2"/>
    <w:rsid w:val="00753A60"/>
    <w:rsid w:val="00753AA4"/>
    <w:rsid w:val="00753B0F"/>
    <w:rsid w:val="00753CA1"/>
    <w:rsid w:val="00753EB3"/>
    <w:rsid w:val="00753F34"/>
    <w:rsid w:val="00753F7C"/>
    <w:rsid w:val="007541B6"/>
    <w:rsid w:val="00754299"/>
    <w:rsid w:val="00754431"/>
    <w:rsid w:val="0075454A"/>
    <w:rsid w:val="0075464D"/>
    <w:rsid w:val="00754682"/>
    <w:rsid w:val="00754B5E"/>
    <w:rsid w:val="00754C8B"/>
    <w:rsid w:val="00754C8C"/>
    <w:rsid w:val="00754D74"/>
    <w:rsid w:val="00754ED2"/>
    <w:rsid w:val="00754EE4"/>
    <w:rsid w:val="00754F50"/>
    <w:rsid w:val="00754FEF"/>
    <w:rsid w:val="00755501"/>
    <w:rsid w:val="007555A9"/>
    <w:rsid w:val="00755962"/>
    <w:rsid w:val="007559C2"/>
    <w:rsid w:val="00755BBF"/>
    <w:rsid w:val="00755C9F"/>
    <w:rsid w:val="00755D7D"/>
    <w:rsid w:val="00755F66"/>
    <w:rsid w:val="007561C3"/>
    <w:rsid w:val="007562FE"/>
    <w:rsid w:val="00756307"/>
    <w:rsid w:val="00756397"/>
    <w:rsid w:val="007564CD"/>
    <w:rsid w:val="007565F0"/>
    <w:rsid w:val="00756677"/>
    <w:rsid w:val="007566F5"/>
    <w:rsid w:val="00756737"/>
    <w:rsid w:val="007567FE"/>
    <w:rsid w:val="0075689E"/>
    <w:rsid w:val="00756920"/>
    <w:rsid w:val="00756B7B"/>
    <w:rsid w:val="00756E03"/>
    <w:rsid w:val="00756F55"/>
    <w:rsid w:val="007570CE"/>
    <w:rsid w:val="00757123"/>
    <w:rsid w:val="0075713D"/>
    <w:rsid w:val="00757273"/>
    <w:rsid w:val="0075737A"/>
    <w:rsid w:val="00757411"/>
    <w:rsid w:val="0075751A"/>
    <w:rsid w:val="007577DF"/>
    <w:rsid w:val="00757818"/>
    <w:rsid w:val="007578FA"/>
    <w:rsid w:val="00757A7E"/>
    <w:rsid w:val="00757E48"/>
    <w:rsid w:val="00757EA0"/>
    <w:rsid w:val="00757EA3"/>
    <w:rsid w:val="00760130"/>
    <w:rsid w:val="00760271"/>
    <w:rsid w:val="00760277"/>
    <w:rsid w:val="007603A5"/>
    <w:rsid w:val="00760728"/>
    <w:rsid w:val="007607D5"/>
    <w:rsid w:val="007608F2"/>
    <w:rsid w:val="00760D06"/>
    <w:rsid w:val="00760D63"/>
    <w:rsid w:val="00760E33"/>
    <w:rsid w:val="00760E7E"/>
    <w:rsid w:val="00760FB5"/>
    <w:rsid w:val="00761030"/>
    <w:rsid w:val="00761081"/>
    <w:rsid w:val="00761135"/>
    <w:rsid w:val="0076113B"/>
    <w:rsid w:val="0076116D"/>
    <w:rsid w:val="0076131E"/>
    <w:rsid w:val="00761433"/>
    <w:rsid w:val="0076147C"/>
    <w:rsid w:val="0076159B"/>
    <w:rsid w:val="007619CF"/>
    <w:rsid w:val="00761F22"/>
    <w:rsid w:val="0076212A"/>
    <w:rsid w:val="007624C7"/>
    <w:rsid w:val="007624D7"/>
    <w:rsid w:val="00762882"/>
    <w:rsid w:val="007628CA"/>
    <w:rsid w:val="0076299A"/>
    <w:rsid w:val="00762AB9"/>
    <w:rsid w:val="00762B5F"/>
    <w:rsid w:val="00762C0C"/>
    <w:rsid w:val="00762C22"/>
    <w:rsid w:val="00762D5F"/>
    <w:rsid w:val="00762DE7"/>
    <w:rsid w:val="007631F1"/>
    <w:rsid w:val="00763232"/>
    <w:rsid w:val="007633CC"/>
    <w:rsid w:val="007637D3"/>
    <w:rsid w:val="00763890"/>
    <w:rsid w:val="00763AD4"/>
    <w:rsid w:val="00763B24"/>
    <w:rsid w:val="00763B55"/>
    <w:rsid w:val="00763C4B"/>
    <w:rsid w:val="00763CB9"/>
    <w:rsid w:val="00763F9E"/>
    <w:rsid w:val="00763FC4"/>
    <w:rsid w:val="007640D6"/>
    <w:rsid w:val="007640EA"/>
    <w:rsid w:val="00764161"/>
    <w:rsid w:val="0076419A"/>
    <w:rsid w:val="007641F0"/>
    <w:rsid w:val="00764256"/>
    <w:rsid w:val="00764257"/>
    <w:rsid w:val="00764470"/>
    <w:rsid w:val="007644FC"/>
    <w:rsid w:val="00764576"/>
    <w:rsid w:val="0076458A"/>
    <w:rsid w:val="0076464A"/>
    <w:rsid w:val="00764652"/>
    <w:rsid w:val="007646CC"/>
    <w:rsid w:val="007647C0"/>
    <w:rsid w:val="007647ED"/>
    <w:rsid w:val="00764856"/>
    <w:rsid w:val="00764A31"/>
    <w:rsid w:val="00764A33"/>
    <w:rsid w:val="00764A6E"/>
    <w:rsid w:val="00764AAD"/>
    <w:rsid w:val="00764B94"/>
    <w:rsid w:val="00764C75"/>
    <w:rsid w:val="00764EAD"/>
    <w:rsid w:val="0076519B"/>
    <w:rsid w:val="007651A3"/>
    <w:rsid w:val="007652BB"/>
    <w:rsid w:val="00765485"/>
    <w:rsid w:val="00765583"/>
    <w:rsid w:val="00765633"/>
    <w:rsid w:val="00765641"/>
    <w:rsid w:val="00765719"/>
    <w:rsid w:val="007657AA"/>
    <w:rsid w:val="00765890"/>
    <w:rsid w:val="00765A15"/>
    <w:rsid w:val="00765B1D"/>
    <w:rsid w:val="00765C63"/>
    <w:rsid w:val="00765CC5"/>
    <w:rsid w:val="00765F50"/>
    <w:rsid w:val="0076608C"/>
    <w:rsid w:val="0076617F"/>
    <w:rsid w:val="007662FF"/>
    <w:rsid w:val="007666CD"/>
    <w:rsid w:val="00766B0F"/>
    <w:rsid w:val="00766B10"/>
    <w:rsid w:val="00766B6D"/>
    <w:rsid w:val="00766CAB"/>
    <w:rsid w:val="00766D54"/>
    <w:rsid w:val="00766DD2"/>
    <w:rsid w:val="007673B0"/>
    <w:rsid w:val="0076751E"/>
    <w:rsid w:val="00767BD1"/>
    <w:rsid w:val="00767D13"/>
    <w:rsid w:val="00767E6E"/>
    <w:rsid w:val="00767EC1"/>
    <w:rsid w:val="00767F4D"/>
    <w:rsid w:val="00767F7D"/>
    <w:rsid w:val="00767F80"/>
    <w:rsid w:val="00767F84"/>
    <w:rsid w:val="00767FF0"/>
    <w:rsid w:val="00770081"/>
    <w:rsid w:val="00770110"/>
    <w:rsid w:val="00770126"/>
    <w:rsid w:val="00770149"/>
    <w:rsid w:val="0077015C"/>
    <w:rsid w:val="00770345"/>
    <w:rsid w:val="00770B02"/>
    <w:rsid w:val="00770C8A"/>
    <w:rsid w:val="00770D97"/>
    <w:rsid w:val="00770DBE"/>
    <w:rsid w:val="00770F7D"/>
    <w:rsid w:val="00771014"/>
    <w:rsid w:val="00771095"/>
    <w:rsid w:val="00771218"/>
    <w:rsid w:val="007714DE"/>
    <w:rsid w:val="00771669"/>
    <w:rsid w:val="007717F8"/>
    <w:rsid w:val="00771969"/>
    <w:rsid w:val="0077197B"/>
    <w:rsid w:val="007719BA"/>
    <w:rsid w:val="00771A4A"/>
    <w:rsid w:val="00771BCD"/>
    <w:rsid w:val="00771CC6"/>
    <w:rsid w:val="007723F4"/>
    <w:rsid w:val="0077255A"/>
    <w:rsid w:val="0077260B"/>
    <w:rsid w:val="00772691"/>
    <w:rsid w:val="00772723"/>
    <w:rsid w:val="007727AE"/>
    <w:rsid w:val="007727E0"/>
    <w:rsid w:val="00772AAC"/>
    <w:rsid w:val="00772B0D"/>
    <w:rsid w:val="00772C06"/>
    <w:rsid w:val="00772DE2"/>
    <w:rsid w:val="00772EBB"/>
    <w:rsid w:val="007731BA"/>
    <w:rsid w:val="007732D3"/>
    <w:rsid w:val="00773319"/>
    <w:rsid w:val="007734C7"/>
    <w:rsid w:val="00773503"/>
    <w:rsid w:val="007735CD"/>
    <w:rsid w:val="007736DC"/>
    <w:rsid w:val="007737A4"/>
    <w:rsid w:val="00773880"/>
    <w:rsid w:val="007738B9"/>
    <w:rsid w:val="00773CEE"/>
    <w:rsid w:val="00773D1B"/>
    <w:rsid w:val="00773DC6"/>
    <w:rsid w:val="00773E7E"/>
    <w:rsid w:val="007740BC"/>
    <w:rsid w:val="007741FB"/>
    <w:rsid w:val="0077442E"/>
    <w:rsid w:val="00774525"/>
    <w:rsid w:val="00774612"/>
    <w:rsid w:val="007746F2"/>
    <w:rsid w:val="00774797"/>
    <w:rsid w:val="00774897"/>
    <w:rsid w:val="007749CC"/>
    <w:rsid w:val="00774AD3"/>
    <w:rsid w:val="00774DD4"/>
    <w:rsid w:val="00774E3C"/>
    <w:rsid w:val="00774E60"/>
    <w:rsid w:val="00774E99"/>
    <w:rsid w:val="00774EA6"/>
    <w:rsid w:val="00775176"/>
    <w:rsid w:val="00775282"/>
    <w:rsid w:val="00775433"/>
    <w:rsid w:val="007754CB"/>
    <w:rsid w:val="007755CA"/>
    <w:rsid w:val="007758FA"/>
    <w:rsid w:val="00775AC8"/>
    <w:rsid w:val="00775C01"/>
    <w:rsid w:val="00775E0B"/>
    <w:rsid w:val="00775EF3"/>
    <w:rsid w:val="00775FB2"/>
    <w:rsid w:val="00776109"/>
    <w:rsid w:val="007762F2"/>
    <w:rsid w:val="007763DE"/>
    <w:rsid w:val="007764F7"/>
    <w:rsid w:val="0077663C"/>
    <w:rsid w:val="0077665D"/>
    <w:rsid w:val="007767D4"/>
    <w:rsid w:val="007769DC"/>
    <w:rsid w:val="00776AE5"/>
    <w:rsid w:val="00776DB4"/>
    <w:rsid w:val="00776F06"/>
    <w:rsid w:val="00776F61"/>
    <w:rsid w:val="00776FD9"/>
    <w:rsid w:val="0077707E"/>
    <w:rsid w:val="00777098"/>
    <w:rsid w:val="0077720A"/>
    <w:rsid w:val="0077740D"/>
    <w:rsid w:val="007774EA"/>
    <w:rsid w:val="00777822"/>
    <w:rsid w:val="00777878"/>
    <w:rsid w:val="0077796A"/>
    <w:rsid w:val="00777AB9"/>
    <w:rsid w:val="00777C3B"/>
    <w:rsid w:val="00777CF9"/>
    <w:rsid w:val="00777D0F"/>
    <w:rsid w:val="00777E54"/>
    <w:rsid w:val="00777EE6"/>
    <w:rsid w:val="00777EF6"/>
    <w:rsid w:val="00777F6F"/>
    <w:rsid w:val="00777FBA"/>
    <w:rsid w:val="00780119"/>
    <w:rsid w:val="00780264"/>
    <w:rsid w:val="00780277"/>
    <w:rsid w:val="007803B5"/>
    <w:rsid w:val="00780405"/>
    <w:rsid w:val="007804BD"/>
    <w:rsid w:val="007806E8"/>
    <w:rsid w:val="00780827"/>
    <w:rsid w:val="00780847"/>
    <w:rsid w:val="00780C27"/>
    <w:rsid w:val="00780C7E"/>
    <w:rsid w:val="00780E22"/>
    <w:rsid w:val="00780F59"/>
    <w:rsid w:val="0078121B"/>
    <w:rsid w:val="00781239"/>
    <w:rsid w:val="0078131D"/>
    <w:rsid w:val="007815A4"/>
    <w:rsid w:val="0078161F"/>
    <w:rsid w:val="0078169F"/>
    <w:rsid w:val="00781774"/>
    <w:rsid w:val="00781822"/>
    <w:rsid w:val="0078187D"/>
    <w:rsid w:val="00781D05"/>
    <w:rsid w:val="00781EC6"/>
    <w:rsid w:val="0078204A"/>
    <w:rsid w:val="00782072"/>
    <w:rsid w:val="007820CB"/>
    <w:rsid w:val="007820E6"/>
    <w:rsid w:val="0078227F"/>
    <w:rsid w:val="00782300"/>
    <w:rsid w:val="00782454"/>
    <w:rsid w:val="007825D4"/>
    <w:rsid w:val="0078264D"/>
    <w:rsid w:val="00782732"/>
    <w:rsid w:val="0078283C"/>
    <w:rsid w:val="0078291A"/>
    <w:rsid w:val="00782A8C"/>
    <w:rsid w:val="00782AEE"/>
    <w:rsid w:val="00782B56"/>
    <w:rsid w:val="00782F40"/>
    <w:rsid w:val="00782F55"/>
    <w:rsid w:val="00782FF4"/>
    <w:rsid w:val="007831AC"/>
    <w:rsid w:val="00783240"/>
    <w:rsid w:val="007832FC"/>
    <w:rsid w:val="007839B6"/>
    <w:rsid w:val="007839DC"/>
    <w:rsid w:val="00783A26"/>
    <w:rsid w:val="00783B5D"/>
    <w:rsid w:val="00783B99"/>
    <w:rsid w:val="00783C06"/>
    <w:rsid w:val="00783EB1"/>
    <w:rsid w:val="0078415D"/>
    <w:rsid w:val="007841F2"/>
    <w:rsid w:val="0078425B"/>
    <w:rsid w:val="00784284"/>
    <w:rsid w:val="00784321"/>
    <w:rsid w:val="00784393"/>
    <w:rsid w:val="007843FB"/>
    <w:rsid w:val="00784480"/>
    <w:rsid w:val="00784499"/>
    <w:rsid w:val="007844E4"/>
    <w:rsid w:val="00784601"/>
    <w:rsid w:val="007849CC"/>
    <w:rsid w:val="00784E29"/>
    <w:rsid w:val="00784E40"/>
    <w:rsid w:val="00785037"/>
    <w:rsid w:val="0078505D"/>
    <w:rsid w:val="00785106"/>
    <w:rsid w:val="0078517C"/>
    <w:rsid w:val="00785325"/>
    <w:rsid w:val="00785365"/>
    <w:rsid w:val="007853BA"/>
    <w:rsid w:val="0078546E"/>
    <w:rsid w:val="0078550E"/>
    <w:rsid w:val="007855B6"/>
    <w:rsid w:val="007859C8"/>
    <w:rsid w:val="007859E3"/>
    <w:rsid w:val="00785A46"/>
    <w:rsid w:val="00785AC8"/>
    <w:rsid w:val="00785C62"/>
    <w:rsid w:val="00785F83"/>
    <w:rsid w:val="00786149"/>
    <w:rsid w:val="007861C4"/>
    <w:rsid w:val="00786245"/>
    <w:rsid w:val="007862B3"/>
    <w:rsid w:val="007863AE"/>
    <w:rsid w:val="007863BB"/>
    <w:rsid w:val="00786468"/>
    <w:rsid w:val="007864BF"/>
    <w:rsid w:val="0078650D"/>
    <w:rsid w:val="007865C9"/>
    <w:rsid w:val="0078666A"/>
    <w:rsid w:val="007866B2"/>
    <w:rsid w:val="007866B3"/>
    <w:rsid w:val="007866EA"/>
    <w:rsid w:val="00786991"/>
    <w:rsid w:val="00786C51"/>
    <w:rsid w:val="00786FC7"/>
    <w:rsid w:val="00787065"/>
    <w:rsid w:val="007872D8"/>
    <w:rsid w:val="007873C6"/>
    <w:rsid w:val="00787412"/>
    <w:rsid w:val="00787709"/>
    <w:rsid w:val="00787801"/>
    <w:rsid w:val="0078787E"/>
    <w:rsid w:val="00787A3E"/>
    <w:rsid w:val="00787B49"/>
    <w:rsid w:val="00787BE4"/>
    <w:rsid w:val="00787D55"/>
    <w:rsid w:val="00787EEB"/>
    <w:rsid w:val="00787F1B"/>
    <w:rsid w:val="00787F5E"/>
    <w:rsid w:val="00787FF1"/>
    <w:rsid w:val="00790107"/>
    <w:rsid w:val="0079010C"/>
    <w:rsid w:val="0079011D"/>
    <w:rsid w:val="00790381"/>
    <w:rsid w:val="00790410"/>
    <w:rsid w:val="007906A5"/>
    <w:rsid w:val="00790768"/>
    <w:rsid w:val="0079079C"/>
    <w:rsid w:val="00790802"/>
    <w:rsid w:val="007909E7"/>
    <w:rsid w:val="00790A75"/>
    <w:rsid w:val="00790A84"/>
    <w:rsid w:val="00790B38"/>
    <w:rsid w:val="00790E58"/>
    <w:rsid w:val="00790F8E"/>
    <w:rsid w:val="007910AB"/>
    <w:rsid w:val="007912B2"/>
    <w:rsid w:val="007913DF"/>
    <w:rsid w:val="00791402"/>
    <w:rsid w:val="007914A5"/>
    <w:rsid w:val="0079157A"/>
    <w:rsid w:val="00791597"/>
    <w:rsid w:val="007917E4"/>
    <w:rsid w:val="00791AC2"/>
    <w:rsid w:val="00791B61"/>
    <w:rsid w:val="00791C41"/>
    <w:rsid w:val="00791C50"/>
    <w:rsid w:val="00791D33"/>
    <w:rsid w:val="00791DF3"/>
    <w:rsid w:val="00791F90"/>
    <w:rsid w:val="00792159"/>
    <w:rsid w:val="0079224A"/>
    <w:rsid w:val="0079229C"/>
    <w:rsid w:val="00792361"/>
    <w:rsid w:val="00792461"/>
    <w:rsid w:val="00792576"/>
    <w:rsid w:val="007926D7"/>
    <w:rsid w:val="00792783"/>
    <w:rsid w:val="00792786"/>
    <w:rsid w:val="0079287A"/>
    <w:rsid w:val="00792957"/>
    <w:rsid w:val="00792992"/>
    <w:rsid w:val="00792BAF"/>
    <w:rsid w:val="00792CF4"/>
    <w:rsid w:val="00792D3A"/>
    <w:rsid w:val="00792D82"/>
    <w:rsid w:val="00792DB4"/>
    <w:rsid w:val="00792F3E"/>
    <w:rsid w:val="007930EF"/>
    <w:rsid w:val="00793279"/>
    <w:rsid w:val="0079348D"/>
    <w:rsid w:val="007935B0"/>
    <w:rsid w:val="00793603"/>
    <w:rsid w:val="00793604"/>
    <w:rsid w:val="00793664"/>
    <w:rsid w:val="007936A3"/>
    <w:rsid w:val="007936C1"/>
    <w:rsid w:val="00793787"/>
    <w:rsid w:val="007937C0"/>
    <w:rsid w:val="00793952"/>
    <w:rsid w:val="00793A4C"/>
    <w:rsid w:val="00793DBD"/>
    <w:rsid w:val="00793E59"/>
    <w:rsid w:val="00793FAD"/>
    <w:rsid w:val="00794030"/>
    <w:rsid w:val="0079410D"/>
    <w:rsid w:val="007941D6"/>
    <w:rsid w:val="00794490"/>
    <w:rsid w:val="007944CA"/>
    <w:rsid w:val="00794603"/>
    <w:rsid w:val="007946F0"/>
    <w:rsid w:val="007947BD"/>
    <w:rsid w:val="007948F9"/>
    <w:rsid w:val="00794988"/>
    <w:rsid w:val="007949A7"/>
    <w:rsid w:val="00794C19"/>
    <w:rsid w:val="00794D67"/>
    <w:rsid w:val="00794E1F"/>
    <w:rsid w:val="00794E96"/>
    <w:rsid w:val="007950C2"/>
    <w:rsid w:val="0079556B"/>
    <w:rsid w:val="00795583"/>
    <w:rsid w:val="0079558E"/>
    <w:rsid w:val="0079558F"/>
    <w:rsid w:val="00795620"/>
    <w:rsid w:val="00795740"/>
    <w:rsid w:val="007957A7"/>
    <w:rsid w:val="007958DC"/>
    <w:rsid w:val="00795A4C"/>
    <w:rsid w:val="00795A6C"/>
    <w:rsid w:val="00795B5C"/>
    <w:rsid w:val="00795C33"/>
    <w:rsid w:val="00795CFA"/>
    <w:rsid w:val="00795D2A"/>
    <w:rsid w:val="00795E32"/>
    <w:rsid w:val="007962B7"/>
    <w:rsid w:val="007966DA"/>
    <w:rsid w:val="007967F9"/>
    <w:rsid w:val="00796805"/>
    <w:rsid w:val="00796828"/>
    <w:rsid w:val="0079689C"/>
    <w:rsid w:val="007968D6"/>
    <w:rsid w:val="0079691A"/>
    <w:rsid w:val="00796934"/>
    <w:rsid w:val="00796E23"/>
    <w:rsid w:val="00796E48"/>
    <w:rsid w:val="00796F97"/>
    <w:rsid w:val="00797098"/>
    <w:rsid w:val="00797444"/>
    <w:rsid w:val="007975C1"/>
    <w:rsid w:val="00797619"/>
    <w:rsid w:val="00797665"/>
    <w:rsid w:val="00797677"/>
    <w:rsid w:val="00797729"/>
    <w:rsid w:val="0079772E"/>
    <w:rsid w:val="00797759"/>
    <w:rsid w:val="007977B1"/>
    <w:rsid w:val="00797926"/>
    <w:rsid w:val="00797987"/>
    <w:rsid w:val="00797A5B"/>
    <w:rsid w:val="00797B7A"/>
    <w:rsid w:val="00797E79"/>
    <w:rsid w:val="007A01B0"/>
    <w:rsid w:val="007A0228"/>
    <w:rsid w:val="007A038B"/>
    <w:rsid w:val="007A0463"/>
    <w:rsid w:val="007A04A5"/>
    <w:rsid w:val="007A0507"/>
    <w:rsid w:val="007A06A1"/>
    <w:rsid w:val="007A06B4"/>
    <w:rsid w:val="007A06FC"/>
    <w:rsid w:val="007A0761"/>
    <w:rsid w:val="007A07C1"/>
    <w:rsid w:val="007A07D6"/>
    <w:rsid w:val="007A0829"/>
    <w:rsid w:val="007A0B10"/>
    <w:rsid w:val="007A0BA1"/>
    <w:rsid w:val="007A0D65"/>
    <w:rsid w:val="007A1013"/>
    <w:rsid w:val="007A1079"/>
    <w:rsid w:val="007A14D3"/>
    <w:rsid w:val="007A152C"/>
    <w:rsid w:val="007A1796"/>
    <w:rsid w:val="007A1943"/>
    <w:rsid w:val="007A1A8D"/>
    <w:rsid w:val="007A1E7A"/>
    <w:rsid w:val="007A1F0D"/>
    <w:rsid w:val="007A1FCF"/>
    <w:rsid w:val="007A212F"/>
    <w:rsid w:val="007A21A5"/>
    <w:rsid w:val="007A22BE"/>
    <w:rsid w:val="007A2317"/>
    <w:rsid w:val="007A24AD"/>
    <w:rsid w:val="007A24BF"/>
    <w:rsid w:val="007A2828"/>
    <w:rsid w:val="007A28FA"/>
    <w:rsid w:val="007A29F4"/>
    <w:rsid w:val="007A2D83"/>
    <w:rsid w:val="007A2DBA"/>
    <w:rsid w:val="007A3045"/>
    <w:rsid w:val="007A3257"/>
    <w:rsid w:val="007A326A"/>
    <w:rsid w:val="007A334D"/>
    <w:rsid w:val="007A356D"/>
    <w:rsid w:val="007A35B4"/>
    <w:rsid w:val="007A36EE"/>
    <w:rsid w:val="007A3704"/>
    <w:rsid w:val="007A3851"/>
    <w:rsid w:val="007A394C"/>
    <w:rsid w:val="007A3B30"/>
    <w:rsid w:val="007A3B54"/>
    <w:rsid w:val="007A4200"/>
    <w:rsid w:val="007A44E1"/>
    <w:rsid w:val="007A46A9"/>
    <w:rsid w:val="007A46BB"/>
    <w:rsid w:val="007A46F7"/>
    <w:rsid w:val="007A476B"/>
    <w:rsid w:val="007A49C1"/>
    <w:rsid w:val="007A4ACE"/>
    <w:rsid w:val="007A4B53"/>
    <w:rsid w:val="007A5205"/>
    <w:rsid w:val="007A520F"/>
    <w:rsid w:val="007A54D5"/>
    <w:rsid w:val="007A56F0"/>
    <w:rsid w:val="007A5774"/>
    <w:rsid w:val="007A582D"/>
    <w:rsid w:val="007A583C"/>
    <w:rsid w:val="007A58B7"/>
    <w:rsid w:val="007A5A39"/>
    <w:rsid w:val="007A5EAF"/>
    <w:rsid w:val="007A616C"/>
    <w:rsid w:val="007A6218"/>
    <w:rsid w:val="007A62E0"/>
    <w:rsid w:val="007A6384"/>
    <w:rsid w:val="007A6391"/>
    <w:rsid w:val="007A64AF"/>
    <w:rsid w:val="007A64B5"/>
    <w:rsid w:val="007A666F"/>
    <w:rsid w:val="007A680B"/>
    <w:rsid w:val="007A6B5E"/>
    <w:rsid w:val="007A6BB5"/>
    <w:rsid w:val="007A6CEC"/>
    <w:rsid w:val="007A6D01"/>
    <w:rsid w:val="007A6E0F"/>
    <w:rsid w:val="007A6E2C"/>
    <w:rsid w:val="007A6F7A"/>
    <w:rsid w:val="007A705B"/>
    <w:rsid w:val="007A7077"/>
    <w:rsid w:val="007A70EC"/>
    <w:rsid w:val="007A7167"/>
    <w:rsid w:val="007A7170"/>
    <w:rsid w:val="007A71CF"/>
    <w:rsid w:val="007A7237"/>
    <w:rsid w:val="007A72B9"/>
    <w:rsid w:val="007A7389"/>
    <w:rsid w:val="007A766D"/>
    <w:rsid w:val="007A7842"/>
    <w:rsid w:val="007A793F"/>
    <w:rsid w:val="007A7A4F"/>
    <w:rsid w:val="007A7B23"/>
    <w:rsid w:val="007A7B9A"/>
    <w:rsid w:val="007A7FAA"/>
    <w:rsid w:val="007A7FBF"/>
    <w:rsid w:val="007B01CC"/>
    <w:rsid w:val="007B0371"/>
    <w:rsid w:val="007B04E3"/>
    <w:rsid w:val="007B066B"/>
    <w:rsid w:val="007B089B"/>
    <w:rsid w:val="007B0D04"/>
    <w:rsid w:val="007B0DA5"/>
    <w:rsid w:val="007B0EA3"/>
    <w:rsid w:val="007B11E2"/>
    <w:rsid w:val="007B127B"/>
    <w:rsid w:val="007B1345"/>
    <w:rsid w:val="007B135C"/>
    <w:rsid w:val="007B1365"/>
    <w:rsid w:val="007B13F6"/>
    <w:rsid w:val="007B1488"/>
    <w:rsid w:val="007B14ED"/>
    <w:rsid w:val="007B1689"/>
    <w:rsid w:val="007B1841"/>
    <w:rsid w:val="007B1B65"/>
    <w:rsid w:val="007B1C04"/>
    <w:rsid w:val="007B1CCE"/>
    <w:rsid w:val="007B1DC3"/>
    <w:rsid w:val="007B1DDE"/>
    <w:rsid w:val="007B21CE"/>
    <w:rsid w:val="007B225A"/>
    <w:rsid w:val="007B2373"/>
    <w:rsid w:val="007B2512"/>
    <w:rsid w:val="007B2610"/>
    <w:rsid w:val="007B2860"/>
    <w:rsid w:val="007B28AD"/>
    <w:rsid w:val="007B2B4F"/>
    <w:rsid w:val="007B2B8D"/>
    <w:rsid w:val="007B2C87"/>
    <w:rsid w:val="007B2E61"/>
    <w:rsid w:val="007B2FC6"/>
    <w:rsid w:val="007B2FDA"/>
    <w:rsid w:val="007B306F"/>
    <w:rsid w:val="007B3138"/>
    <w:rsid w:val="007B3147"/>
    <w:rsid w:val="007B3284"/>
    <w:rsid w:val="007B3360"/>
    <w:rsid w:val="007B3800"/>
    <w:rsid w:val="007B3871"/>
    <w:rsid w:val="007B3A25"/>
    <w:rsid w:val="007B3A54"/>
    <w:rsid w:val="007B3CDF"/>
    <w:rsid w:val="007B3D54"/>
    <w:rsid w:val="007B3E6C"/>
    <w:rsid w:val="007B3EE4"/>
    <w:rsid w:val="007B3F04"/>
    <w:rsid w:val="007B3FAF"/>
    <w:rsid w:val="007B3FBA"/>
    <w:rsid w:val="007B4290"/>
    <w:rsid w:val="007B4591"/>
    <w:rsid w:val="007B4943"/>
    <w:rsid w:val="007B4962"/>
    <w:rsid w:val="007B4985"/>
    <w:rsid w:val="007B4B4A"/>
    <w:rsid w:val="007B4C74"/>
    <w:rsid w:val="007B4E9C"/>
    <w:rsid w:val="007B4ECF"/>
    <w:rsid w:val="007B5040"/>
    <w:rsid w:val="007B5080"/>
    <w:rsid w:val="007B50A1"/>
    <w:rsid w:val="007B50AD"/>
    <w:rsid w:val="007B50CD"/>
    <w:rsid w:val="007B5569"/>
    <w:rsid w:val="007B55EB"/>
    <w:rsid w:val="007B55F2"/>
    <w:rsid w:val="007B55FC"/>
    <w:rsid w:val="007B56B8"/>
    <w:rsid w:val="007B5723"/>
    <w:rsid w:val="007B5727"/>
    <w:rsid w:val="007B572F"/>
    <w:rsid w:val="007B57A9"/>
    <w:rsid w:val="007B5862"/>
    <w:rsid w:val="007B58BE"/>
    <w:rsid w:val="007B593D"/>
    <w:rsid w:val="007B5962"/>
    <w:rsid w:val="007B59AD"/>
    <w:rsid w:val="007B5A51"/>
    <w:rsid w:val="007B5B47"/>
    <w:rsid w:val="007B5B5B"/>
    <w:rsid w:val="007B5B6F"/>
    <w:rsid w:val="007B5C2D"/>
    <w:rsid w:val="007B5D83"/>
    <w:rsid w:val="007B5D88"/>
    <w:rsid w:val="007B5F3A"/>
    <w:rsid w:val="007B602E"/>
    <w:rsid w:val="007B6039"/>
    <w:rsid w:val="007B61B0"/>
    <w:rsid w:val="007B620E"/>
    <w:rsid w:val="007B623C"/>
    <w:rsid w:val="007B63E8"/>
    <w:rsid w:val="007B6447"/>
    <w:rsid w:val="007B65FC"/>
    <w:rsid w:val="007B6712"/>
    <w:rsid w:val="007B6994"/>
    <w:rsid w:val="007B6A6B"/>
    <w:rsid w:val="007B6C01"/>
    <w:rsid w:val="007B6C3F"/>
    <w:rsid w:val="007B6C68"/>
    <w:rsid w:val="007B6CC7"/>
    <w:rsid w:val="007B7029"/>
    <w:rsid w:val="007B713B"/>
    <w:rsid w:val="007B72D5"/>
    <w:rsid w:val="007B72DD"/>
    <w:rsid w:val="007B733D"/>
    <w:rsid w:val="007B74AF"/>
    <w:rsid w:val="007B7502"/>
    <w:rsid w:val="007B7B06"/>
    <w:rsid w:val="007B7D16"/>
    <w:rsid w:val="007B7D5D"/>
    <w:rsid w:val="007B7DF4"/>
    <w:rsid w:val="007B7E4B"/>
    <w:rsid w:val="007B7E87"/>
    <w:rsid w:val="007B7FE3"/>
    <w:rsid w:val="007C0410"/>
    <w:rsid w:val="007C04C9"/>
    <w:rsid w:val="007C0577"/>
    <w:rsid w:val="007C06B6"/>
    <w:rsid w:val="007C0728"/>
    <w:rsid w:val="007C07D8"/>
    <w:rsid w:val="007C0828"/>
    <w:rsid w:val="007C0849"/>
    <w:rsid w:val="007C08F5"/>
    <w:rsid w:val="007C09A6"/>
    <w:rsid w:val="007C09B2"/>
    <w:rsid w:val="007C0A04"/>
    <w:rsid w:val="007C0A72"/>
    <w:rsid w:val="007C0AFD"/>
    <w:rsid w:val="007C0B13"/>
    <w:rsid w:val="007C0E0F"/>
    <w:rsid w:val="007C0EE4"/>
    <w:rsid w:val="007C0F36"/>
    <w:rsid w:val="007C1051"/>
    <w:rsid w:val="007C12FD"/>
    <w:rsid w:val="007C1548"/>
    <w:rsid w:val="007C1A9E"/>
    <w:rsid w:val="007C1BB7"/>
    <w:rsid w:val="007C1D3B"/>
    <w:rsid w:val="007C1D41"/>
    <w:rsid w:val="007C1DC3"/>
    <w:rsid w:val="007C1DFA"/>
    <w:rsid w:val="007C21B1"/>
    <w:rsid w:val="007C21F6"/>
    <w:rsid w:val="007C2207"/>
    <w:rsid w:val="007C23A8"/>
    <w:rsid w:val="007C2572"/>
    <w:rsid w:val="007C2699"/>
    <w:rsid w:val="007C2779"/>
    <w:rsid w:val="007C28BF"/>
    <w:rsid w:val="007C2A07"/>
    <w:rsid w:val="007C2A97"/>
    <w:rsid w:val="007C2CBF"/>
    <w:rsid w:val="007C2D89"/>
    <w:rsid w:val="007C2F01"/>
    <w:rsid w:val="007C2FD2"/>
    <w:rsid w:val="007C30EF"/>
    <w:rsid w:val="007C31A2"/>
    <w:rsid w:val="007C322D"/>
    <w:rsid w:val="007C3397"/>
    <w:rsid w:val="007C3744"/>
    <w:rsid w:val="007C3797"/>
    <w:rsid w:val="007C3BDF"/>
    <w:rsid w:val="007C3E5A"/>
    <w:rsid w:val="007C3F81"/>
    <w:rsid w:val="007C4040"/>
    <w:rsid w:val="007C430B"/>
    <w:rsid w:val="007C470C"/>
    <w:rsid w:val="007C4961"/>
    <w:rsid w:val="007C49D3"/>
    <w:rsid w:val="007C4BF3"/>
    <w:rsid w:val="007C4CB1"/>
    <w:rsid w:val="007C4CE5"/>
    <w:rsid w:val="007C4DD7"/>
    <w:rsid w:val="007C4DE7"/>
    <w:rsid w:val="007C5031"/>
    <w:rsid w:val="007C50B8"/>
    <w:rsid w:val="007C50D9"/>
    <w:rsid w:val="007C5188"/>
    <w:rsid w:val="007C53A9"/>
    <w:rsid w:val="007C53AB"/>
    <w:rsid w:val="007C5627"/>
    <w:rsid w:val="007C5645"/>
    <w:rsid w:val="007C5672"/>
    <w:rsid w:val="007C59A5"/>
    <w:rsid w:val="007C5B66"/>
    <w:rsid w:val="007C5F7A"/>
    <w:rsid w:val="007C5FEB"/>
    <w:rsid w:val="007C620D"/>
    <w:rsid w:val="007C620E"/>
    <w:rsid w:val="007C62C0"/>
    <w:rsid w:val="007C62E9"/>
    <w:rsid w:val="007C644D"/>
    <w:rsid w:val="007C646E"/>
    <w:rsid w:val="007C65AB"/>
    <w:rsid w:val="007C6639"/>
    <w:rsid w:val="007C695C"/>
    <w:rsid w:val="007C6A29"/>
    <w:rsid w:val="007C6AE4"/>
    <w:rsid w:val="007C6F26"/>
    <w:rsid w:val="007C7153"/>
    <w:rsid w:val="007C71FD"/>
    <w:rsid w:val="007C7342"/>
    <w:rsid w:val="007C73F0"/>
    <w:rsid w:val="007C74B7"/>
    <w:rsid w:val="007C760C"/>
    <w:rsid w:val="007C7674"/>
    <w:rsid w:val="007C79F1"/>
    <w:rsid w:val="007C79FA"/>
    <w:rsid w:val="007C7AC5"/>
    <w:rsid w:val="007C7B91"/>
    <w:rsid w:val="007C7BF1"/>
    <w:rsid w:val="007C7D49"/>
    <w:rsid w:val="007C7EAE"/>
    <w:rsid w:val="007C7EE3"/>
    <w:rsid w:val="007C7F0F"/>
    <w:rsid w:val="007C7F33"/>
    <w:rsid w:val="007D0012"/>
    <w:rsid w:val="007D0118"/>
    <w:rsid w:val="007D019A"/>
    <w:rsid w:val="007D04AD"/>
    <w:rsid w:val="007D0842"/>
    <w:rsid w:val="007D09A9"/>
    <w:rsid w:val="007D0ACF"/>
    <w:rsid w:val="007D0B7D"/>
    <w:rsid w:val="007D0C81"/>
    <w:rsid w:val="007D0C82"/>
    <w:rsid w:val="007D0CB7"/>
    <w:rsid w:val="007D0D63"/>
    <w:rsid w:val="007D115C"/>
    <w:rsid w:val="007D11EE"/>
    <w:rsid w:val="007D121D"/>
    <w:rsid w:val="007D1273"/>
    <w:rsid w:val="007D12A5"/>
    <w:rsid w:val="007D14B4"/>
    <w:rsid w:val="007D190F"/>
    <w:rsid w:val="007D1BC9"/>
    <w:rsid w:val="007D1F5B"/>
    <w:rsid w:val="007D1FA2"/>
    <w:rsid w:val="007D206C"/>
    <w:rsid w:val="007D209C"/>
    <w:rsid w:val="007D20BA"/>
    <w:rsid w:val="007D21B4"/>
    <w:rsid w:val="007D225F"/>
    <w:rsid w:val="007D2665"/>
    <w:rsid w:val="007D269A"/>
    <w:rsid w:val="007D26ED"/>
    <w:rsid w:val="007D2700"/>
    <w:rsid w:val="007D282F"/>
    <w:rsid w:val="007D2AC7"/>
    <w:rsid w:val="007D2B01"/>
    <w:rsid w:val="007D2BF4"/>
    <w:rsid w:val="007D2BF5"/>
    <w:rsid w:val="007D2C40"/>
    <w:rsid w:val="007D2E9A"/>
    <w:rsid w:val="007D3069"/>
    <w:rsid w:val="007D3090"/>
    <w:rsid w:val="007D3233"/>
    <w:rsid w:val="007D3314"/>
    <w:rsid w:val="007D342B"/>
    <w:rsid w:val="007D385A"/>
    <w:rsid w:val="007D389D"/>
    <w:rsid w:val="007D38D8"/>
    <w:rsid w:val="007D394C"/>
    <w:rsid w:val="007D39FF"/>
    <w:rsid w:val="007D3A8C"/>
    <w:rsid w:val="007D3BA7"/>
    <w:rsid w:val="007D3CC8"/>
    <w:rsid w:val="007D3E57"/>
    <w:rsid w:val="007D3E5C"/>
    <w:rsid w:val="007D3E75"/>
    <w:rsid w:val="007D3F9F"/>
    <w:rsid w:val="007D4112"/>
    <w:rsid w:val="007D4124"/>
    <w:rsid w:val="007D4191"/>
    <w:rsid w:val="007D429C"/>
    <w:rsid w:val="007D42C3"/>
    <w:rsid w:val="007D42F9"/>
    <w:rsid w:val="007D43D9"/>
    <w:rsid w:val="007D44A1"/>
    <w:rsid w:val="007D4514"/>
    <w:rsid w:val="007D4963"/>
    <w:rsid w:val="007D49C6"/>
    <w:rsid w:val="007D4B9B"/>
    <w:rsid w:val="007D4BCD"/>
    <w:rsid w:val="007D4C04"/>
    <w:rsid w:val="007D4C8B"/>
    <w:rsid w:val="007D4CAF"/>
    <w:rsid w:val="007D4CBF"/>
    <w:rsid w:val="007D4CC0"/>
    <w:rsid w:val="007D4D17"/>
    <w:rsid w:val="007D4F80"/>
    <w:rsid w:val="007D4FD7"/>
    <w:rsid w:val="007D5288"/>
    <w:rsid w:val="007D52B4"/>
    <w:rsid w:val="007D53E4"/>
    <w:rsid w:val="007D5410"/>
    <w:rsid w:val="007D55BC"/>
    <w:rsid w:val="007D5AEE"/>
    <w:rsid w:val="007D5C32"/>
    <w:rsid w:val="007D6024"/>
    <w:rsid w:val="007D6196"/>
    <w:rsid w:val="007D61F3"/>
    <w:rsid w:val="007D626C"/>
    <w:rsid w:val="007D632D"/>
    <w:rsid w:val="007D637D"/>
    <w:rsid w:val="007D6507"/>
    <w:rsid w:val="007D6510"/>
    <w:rsid w:val="007D6626"/>
    <w:rsid w:val="007D689F"/>
    <w:rsid w:val="007D68B6"/>
    <w:rsid w:val="007D68E3"/>
    <w:rsid w:val="007D6AA5"/>
    <w:rsid w:val="007D6BC4"/>
    <w:rsid w:val="007D6D24"/>
    <w:rsid w:val="007D6D32"/>
    <w:rsid w:val="007D6EE5"/>
    <w:rsid w:val="007D709D"/>
    <w:rsid w:val="007D717D"/>
    <w:rsid w:val="007D71B8"/>
    <w:rsid w:val="007D728C"/>
    <w:rsid w:val="007D7361"/>
    <w:rsid w:val="007D7BA8"/>
    <w:rsid w:val="007D7BAB"/>
    <w:rsid w:val="007D7C2E"/>
    <w:rsid w:val="007E00D9"/>
    <w:rsid w:val="007E0100"/>
    <w:rsid w:val="007E0130"/>
    <w:rsid w:val="007E0207"/>
    <w:rsid w:val="007E02F9"/>
    <w:rsid w:val="007E0613"/>
    <w:rsid w:val="007E06AC"/>
    <w:rsid w:val="007E0969"/>
    <w:rsid w:val="007E0AE7"/>
    <w:rsid w:val="007E0D4D"/>
    <w:rsid w:val="007E0DED"/>
    <w:rsid w:val="007E0F26"/>
    <w:rsid w:val="007E0F56"/>
    <w:rsid w:val="007E11CD"/>
    <w:rsid w:val="007E134F"/>
    <w:rsid w:val="007E1415"/>
    <w:rsid w:val="007E14FE"/>
    <w:rsid w:val="007E15E9"/>
    <w:rsid w:val="007E163F"/>
    <w:rsid w:val="007E176D"/>
    <w:rsid w:val="007E1807"/>
    <w:rsid w:val="007E184A"/>
    <w:rsid w:val="007E1AAB"/>
    <w:rsid w:val="007E1B2E"/>
    <w:rsid w:val="007E1FFC"/>
    <w:rsid w:val="007E20FD"/>
    <w:rsid w:val="007E2188"/>
    <w:rsid w:val="007E21E2"/>
    <w:rsid w:val="007E22F6"/>
    <w:rsid w:val="007E2449"/>
    <w:rsid w:val="007E2529"/>
    <w:rsid w:val="007E253C"/>
    <w:rsid w:val="007E256B"/>
    <w:rsid w:val="007E268F"/>
    <w:rsid w:val="007E26EE"/>
    <w:rsid w:val="007E275B"/>
    <w:rsid w:val="007E28F1"/>
    <w:rsid w:val="007E28FE"/>
    <w:rsid w:val="007E2984"/>
    <w:rsid w:val="007E2A64"/>
    <w:rsid w:val="007E2A9E"/>
    <w:rsid w:val="007E2B63"/>
    <w:rsid w:val="007E2C40"/>
    <w:rsid w:val="007E2D78"/>
    <w:rsid w:val="007E2DB5"/>
    <w:rsid w:val="007E2E21"/>
    <w:rsid w:val="007E2E87"/>
    <w:rsid w:val="007E2EC1"/>
    <w:rsid w:val="007E3106"/>
    <w:rsid w:val="007E3130"/>
    <w:rsid w:val="007E3216"/>
    <w:rsid w:val="007E3293"/>
    <w:rsid w:val="007E332F"/>
    <w:rsid w:val="007E3570"/>
    <w:rsid w:val="007E35F2"/>
    <w:rsid w:val="007E38D4"/>
    <w:rsid w:val="007E39DD"/>
    <w:rsid w:val="007E3AE1"/>
    <w:rsid w:val="007E3C4F"/>
    <w:rsid w:val="007E3CC5"/>
    <w:rsid w:val="007E40C8"/>
    <w:rsid w:val="007E413B"/>
    <w:rsid w:val="007E4280"/>
    <w:rsid w:val="007E42CD"/>
    <w:rsid w:val="007E4397"/>
    <w:rsid w:val="007E456D"/>
    <w:rsid w:val="007E47A2"/>
    <w:rsid w:val="007E493C"/>
    <w:rsid w:val="007E4949"/>
    <w:rsid w:val="007E4986"/>
    <w:rsid w:val="007E4A34"/>
    <w:rsid w:val="007E4A94"/>
    <w:rsid w:val="007E4BC1"/>
    <w:rsid w:val="007E4C77"/>
    <w:rsid w:val="007E4D56"/>
    <w:rsid w:val="007E4D71"/>
    <w:rsid w:val="007E4E99"/>
    <w:rsid w:val="007E4EC5"/>
    <w:rsid w:val="007E4F6C"/>
    <w:rsid w:val="007E51A5"/>
    <w:rsid w:val="007E51AA"/>
    <w:rsid w:val="007E5319"/>
    <w:rsid w:val="007E537D"/>
    <w:rsid w:val="007E5686"/>
    <w:rsid w:val="007E59DD"/>
    <w:rsid w:val="007E5AAB"/>
    <w:rsid w:val="007E5B6E"/>
    <w:rsid w:val="007E5C3A"/>
    <w:rsid w:val="007E5C9C"/>
    <w:rsid w:val="007E5CDA"/>
    <w:rsid w:val="007E5F98"/>
    <w:rsid w:val="007E604F"/>
    <w:rsid w:val="007E6135"/>
    <w:rsid w:val="007E631A"/>
    <w:rsid w:val="007E64B7"/>
    <w:rsid w:val="007E6580"/>
    <w:rsid w:val="007E671A"/>
    <w:rsid w:val="007E6748"/>
    <w:rsid w:val="007E6843"/>
    <w:rsid w:val="007E6A5A"/>
    <w:rsid w:val="007E6B32"/>
    <w:rsid w:val="007E6BC7"/>
    <w:rsid w:val="007E6DF4"/>
    <w:rsid w:val="007E6DF7"/>
    <w:rsid w:val="007E6E13"/>
    <w:rsid w:val="007E6FBE"/>
    <w:rsid w:val="007E70D7"/>
    <w:rsid w:val="007E70E3"/>
    <w:rsid w:val="007E71D6"/>
    <w:rsid w:val="007E720F"/>
    <w:rsid w:val="007E72D9"/>
    <w:rsid w:val="007E7407"/>
    <w:rsid w:val="007E7418"/>
    <w:rsid w:val="007E74FD"/>
    <w:rsid w:val="007E75A1"/>
    <w:rsid w:val="007E79CF"/>
    <w:rsid w:val="007E7C10"/>
    <w:rsid w:val="007E7C80"/>
    <w:rsid w:val="007E7EDC"/>
    <w:rsid w:val="007E7FA1"/>
    <w:rsid w:val="007F0164"/>
    <w:rsid w:val="007F0190"/>
    <w:rsid w:val="007F02A5"/>
    <w:rsid w:val="007F02BF"/>
    <w:rsid w:val="007F035F"/>
    <w:rsid w:val="007F04F7"/>
    <w:rsid w:val="007F062D"/>
    <w:rsid w:val="007F07FD"/>
    <w:rsid w:val="007F0845"/>
    <w:rsid w:val="007F0923"/>
    <w:rsid w:val="007F0961"/>
    <w:rsid w:val="007F097F"/>
    <w:rsid w:val="007F0A9B"/>
    <w:rsid w:val="007F0AEB"/>
    <w:rsid w:val="007F0C7A"/>
    <w:rsid w:val="007F0D1F"/>
    <w:rsid w:val="007F0E66"/>
    <w:rsid w:val="007F105A"/>
    <w:rsid w:val="007F1180"/>
    <w:rsid w:val="007F128A"/>
    <w:rsid w:val="007F1361"/>
    <w:rsid w:val="007F146B"/>
    <w:rsid w:val="007F1484"/>
    <w:rsid w:val="007F1530"/>
    <w:rsid w:val="007F157A"/>
    <w:rsid w:val="007F16F8"/>
    <w:rsid w:val="007F1A07"/>
    <w:rsid w:val="007F1C3E"/>
    <w:rsid w:val="007F1C74"/>
    <w:rsid w:val="007F1D71"/>
    <w:rsid w:val="007F1D98"/>
    <w:rsid w:val="007F1E21"/>
    <w:rsid w:val="007F1EFA"/>
    <w:rsid w:val="007F20C5"/>
    <w:rsid w:val="007F20C7"/>
    <w:rsid w:val="007F2188"/>
    <w:rsid w:val="007F2241"/>
    <w:rsid w:val="007F2270"/>
    <w:rsid w:val="007F23EF"/>
    <w:rsid w:val="007F257D"/>
    <w:rsid w:val="007F2827"/>
    <w:rsid w:val="007F29D4"/>
    <w:rsid w:val="007F2AD8"/>
    <w:rsid w:val="007F2BB4"/>
    <w:rsid w:val="007F2EBC"/>
    <w:rsid w:val="007F3099"/>
    <w:rsid w:val="007F31E9"/>
    <w:rsid w:val="007F3286"/>
    <w:rsid w:val="007F3405"/>
    <w:rsid w:val="007F3554"/>
    <w:rsid w:val="007F3566"/>
    <w:rsid w:val="007F3680"/>
    <w:rsid w:val="007F36C4"/>
    <w:rsid w:val="007F3711"/>
    <w:rsid w:val="007F3812"/>
    <w:rsid w:val="007F3828"/>
    <w:rsid w:val="007F390B"/>
    <w:rsid w:val="007F3957"/>
    <w:rsid w:val="007F39D7"/>
    <w:rsid w:val="007F3A33"/>
    <w:rsid w:val="007F3B69"/>
    <w:rsid w:val="007F3B6D"/>
    <w:rsid w:val="007F3C15"/>
    <w:rsid w:val="007F3D11"/>
    <w:rsid w:val="007F3D3B"/>
    <w:rsid w:val="007F3E15"/>
    <w:rsid w:val="007F3FAA"/>
    <w:rsid w:val="007F4010"/>
    <w:rsid w:val="007F40E7"/>
    <w:rsid w:val="007F40FC"/>
    <w:rsid w:val="007F4371"/>
    <w:rsid w:val="007F43ED"/>
    <w:rsid w:val="007F43F7"/>
    <w:rsid w:val="007F44A5"/>
    <w:rsid w:val="007F49C0"/>
    <w:rsid w:val="007F49C4"/>
    <w:rsid w:val="007F4A18"/>
    <w:rsid w:val="007F4AB9"/>
    <w:rsid w:val="007F4BFE"/>
    <w:rsid w:val="007F4C1B"/>
    <w:rsid w:val="007F4E12"/>
    <w:rsid w:val="007F4E59"/>
    <w:rsid w:val="007F4E9A"/>
    <w:rsid w:val="007F4F17"/>
    <w:rsid w:val="007F50B1"/>
    <w:rsid w:val="007F5162"/>
    <w:rsid w:val="007F533F"/>
    <w:rsid w:val="007F5559"/>
    <w:rsid w:val="007F56DB"/>
    <w:rsid w:val="007F57E6"/>
    <w:rsid w:val="007F59F5"/>
    <w:rsid w:val="007F5A95"/>
    <w:rsid w:val="007F5BFE"/>
    <w:rsid w:val="007F5CBF"/>
    <w:rsid w:val="007F5E09"/>
    <w:rsid w:val="007F5E4B"/>
    <w:rsid w:val="007F5F74"/>
    <w:rsid w:val="007F60F1"/>
    <w:rsid w:val="007F6101"/>
    <w:rsid w:val="007F618B"/>
    <w:rsid w:val="007F6360"/>
    <w:rsid w:val="007F637F"/>
    <w:rsid w:val="007F6533"/>
    <w:rsid w:val="007F684A"/>
    <w:rsid w:val="007F686E"/>
    <w:rsid w:val="007F6B0D"/>
    <w:rsid w:val="007F6C90"/>
    <w:rsid w:val="007F6CD4"/>
    <w:rsid w:val="007F6D34"/>
    <w:rsid w:val="007F6E1D"/>
    <w:rsid w:val="007F6EEB"/>
    <w:rsid w:val="007F6F00"/>
    <w:rsid w:val="007F6FB9"/>
    <w:rsid w:val="007F704B"/>
    <w:rsid w:val="007F70C8"/>
    <w:rsid w:val="007F71B3"/>
    <w:rsid w:val="007F7242"/>
    <w:rsid w:val="007F7288"/>
    <w:rsid w:val="007F7392"/>
    <w:rsid w:val="007F77A0"/>
    <w:rsid w:val="007F7858"/>
    <w:rsid w:val="007F79F9"/>
    <w:rsid w:val="007F7B05"/>
    <w:rsid w:val="007F7BEB"/>
    <w:rsid w:val="007F7C12"/>
    <w:rsid w:val="0080000A"/>
    <w:rsid w:val="0080004A"/>
    <w:rsid w:val="008000B0"/>
    <w:rsid w:val="008000F4"/>
    <w:rsid w:val="00800189"/>
    <w:rsid w:val="008002B4"/>
    <w:rsid w:val="008002DC"/>
    <w:rsid w:val="00800397"/>
    <w:rsid w:val="008004D9"/>
    <w:rsid w:val="00800744"/>
    <w:rsid w:val="0080075F"/>
    <w:rsid w:val="00800903"/>
    <w:rsid w:val="00800BB1"/>
    <w:rsid w:val="00800C26"/>
    <w:rsid w:val="00800D85"/>
    <w:rsid w:val="00800E5C"/>
    <w:rsid w:val="00800ECF"/>
    <w:rsid w:val="008013C4"/>
    <w:rsid w:val="00801607"/>
    <w:rsid w:val="0080167A"/>
    <w:rsid w:val="0080168E"/>
    <w:rsid w:val="00801779"/>
    <w:rsid w:val="00801C4F"/>
    <w:rsid w:val="00801DDA"/>
    <w:rsid w:val="00801F30"/>
    <w:rsid w:val="00801F7E"/>
    <w:rsid w:val="00802198"/>
    <w:rsid w:val="008021E5"/>
    <w:rsid w:val="00802862"/>
    <w:rsid w:val="008028FB"/>
    <w:rsid w:val="008029F5"/>
    <w:rsid w:val="00802A0E"/>
    <w:rsid w:val="00802B12"/>
    <w:rsid w:val="00802BBC"/>
    <w:rsid w:val="00802CC9"/>
    <w:rsid w:val="00802CEC"/>
    <w:rsid w:val="0080314F"/>
    <w:rsid w:val="008031CB"/>
    <w:rsid w:val="00803719"/>
    <w:rsid w:val="008037EB"/>
    <w:rsid w:val="00803853"/>
    <w:rsid w:val="0080386B"/>
    <w:rsid w:val="00803943"/>
    <w:rsid w:val="00803954"/>
    <w:rsid w:val="008039FA"/>
    <w:rsid w:val="00803A8B"/>
    <w:rsid w:val="00803F72"/>
    <w:rsid w:val="00803FFF"/>
    <w:rsid w:val="00804252"/>
    <w:rsid w:val="008042DA"/>
    <w:rsid w:val="0080460E"/>
    <w:rsid w:val="00804A65"/>
    <w:rsid w:val="00804B53"/>
    <w:rsid w:val="00804CA1"/>
    <w:rsid w:val="00804CC3"/>
    <w:rsid w:val="00804E3D"/>
    <w:rsid w:val="00804EF6"/>
    <w:rsid w:val="0080527B"/>
    <w:rsid w:val="008052FE"/>
    <w:rsid w:val="008053FD"/>
    <w:rsid w:val="0080542B"/>
    <w:rsid w:val="008055CF"/>
    <w:rsid w:val="008055D4"/>
    <w:rsid w:val="00805783"/>
    <w:rsid w:val="00805812"/>
    <w:rsid w:val="00805899"/>
    <w:rsid w:val="008058B4"/>
    <w:rsid w:val="00805931"/>
    <w:rsid w:val="0080595E"/>
    <w:rsid w:val="00805AF2"/>
    <w:rsid w:val="00805B1A"/>
    <w:rsid w:val="00805B42"/>
    <w:rsid w:val="00805C08"/>
    <w:rsid w:val="00805D16"/>
    <w:rsid w:val="00805DC2"/>
    <w:rsid w:val="008060DF"/>
    <w:rsid w:val="00806153"/>
    <w:rsid w:val="0080629E"/>
    <w:rsid w:val="008062BC"/>
    <w:rsid w:val="00806361"/>
    <w:rsid w:val="0080650A"/>
    <w:rsid w:val="008065D5"/>
    <w:rsid w:val="0080679C"/>
    <w:rsid w:val="008067B7"/>
    <w:rsid w:val="008068F3"/>
    <w:rsid w:val="00806960"/>
    <w:rsid w:val="00806BC2"/>
    <w:rsid w:val="00806CC5"/>
    <w:rsid w:val="00806D82"/>
    <w:rsid w:val="00806D9C"/>
    <w:rsid w:val="00806E94"/>
    <w:rsid w:val="00806F22"/>
    <w:rsid w:val="0080702F"/>
    <w:rsid w:val="0080709A"/>
    <w:rsid w:val="0080717C"/>
    <w:rsid w:val="008071A7"/>
    <w:rsid w:val="0080721E"/>
    <w:rsid w:val="00807376"/>
    <w:rsid w:val="008074EC"/>
    <w:rsid w:val="00807531"/>
    <w:rsid w:val="00807588"/>
    <w:rsid w:val="00807590"/>
    <w:rsid w:val="0080790B"/>
    <w:rsid w:val="00807929"/>
    <w:rsid w:val="00807945"/>
    <w:rsid w:val="008079D6"/>
    <w:rsid w:val="00807B3B"/>
    <w:rsid w:val="00807C05"/>
    <w:rsid w:val="00807C38"/>
    <w:rsid w:val="00807D5A"/>
    <w:rsid w:val="00807E64"/>
    <w:rsid w:val="00810112"/>
    <w:rsid w:val="00810244"/>
    <w:rsid w:val="00810280"/>
    <w:rsid w:val="00810419"/>
    <w:rsid w:val="0081048F"/>
    <w:rsid w:val="008105F2"/>
    <w:rsid w:val="008106BE"/>
    <w:rsid w:val="008106E5"/>
    <w:rsid w:val="00810762"/>
    <w:rsid w:val="00810908"/>
    <w:rsid w:val="0081096F"/>
    <w:rsid w:val="008109A0"/>
    <w:rsid w:val="00810A23"/>
    <w:rsid w:val="00810A6C"/>
    <w:rsid w:val="00810BC8"/>
    <w:rsid w:val="00810D9E"/>
    <w:rsid w:val="00810EF4"/>
    <w:rsid w:val="00810F0D"/>
    <w:rsid w:val="0081125B"/>
    <w:rsid w:val="0081158A"/>
    <w:rsid w:val="00811B38"/>
    <w:rsid w:val="00811C23"/>
    <w:rsid w:val="00811CFC"/>
    <w:rsid w:val="00811D15"/>
    <w:rsid w:val="00811FA6"/>
    <w:rsid w:val="00811FBE"/>
    <w:rsid w:val="008122A1"/>
    <w:rsid w:val="00812320"/>
    <w:rsid w:val="00812377"/>
    <w:rsid w:val="00812590"/>
    <w:rsid w:val="008125A6"/>
    <w:rsid w:val="008126FD"/>
    <w:rsid w:val="00812AFD"/>
    <w:rsid w:val="00812D27"/>
    <w:rsid w:val="00812E25"/>
    <w:rsid w:val="00813006"/>
    <w:rsid w:val="008131D0"/>
    <w:rsid w:val="0081320D"/>
    <w:rsid w:val="00813297"/>
    <w:rsid w:val="00813315"/>
    <w:rsid w:val="00813367"/>
    <w:rsid w:val="0081338F"/>
    <w:rsid w:val="008133C3"/>
    <w:rsid w:val="008134EA"/>
    <w:rsid w:val="00813610"/>
    <w:rsid w:val="0081384A"/>
    <w:rsid w:val="0081388F"/>
    <w:rsid w:val="008138D6"/>
    <w:rsid w:val="008138FB"/>
    <w:rsid w:val="008138FD"/>
    <w:rsid w:val="00813941"/>
    <w:rsid w:val="00813A33"/>
    <w:rsid w:val="00813A7A"/>
    <w:rsid w:val="00813B35"/>
    <w:rsid w:val="00813BBF"/>
    <w:rsid w:val="00813EB6"/>
    <w:rsid w:val="00813F81"/>
    <w:rsid w:val="00813FB7"/>
    <w:rsid w:val="008140C0"/>
    <w:rsid w:val="00814172"/>
    <w:rsid w:val="008142E2"/>
    <w:rsid w:val="008149F6"/>
    <w:rsid w:val="00814A62"/>
    <w:rsid w:val="00814B51"/>
    <w:rsid w:val="00814B78"/>
    <w:rsid w:val="00814DB4"/>
    <w:rsid w:val="00814DF9"/>
    <w:rsid w:val="008150FA"/>
    <w:rsid w:val="008151F9"/>
    <w:rsid w:val="008153A0"/>
    <w:rsid w:val="008155E0"/>
    <w:rsid w:val="008156A5"/>
    <w:rsid w:val="00815719"/>
    <w:rsid w:val="00815741"/>
    <w:rsid w:val="008158AD"/>
    <w:rsid w:val="008158BB"/>
    <w:rsid w:val="00815969"/>
    <w:rsid w:val="00815B1D"/>
    <w:rsid w:val="00815B7C"/>
    <w:rsid w:val="00815CC9"/>
    <w:rsid w:val="00815CF7"/>
    <w:rsid w:val="00815D48"/>
    <w:rsid w:val="008160A3"/>
    <w:rsid w:val="00816118"/>
    <w:rsid w:val="0081636B"/>
    <w:rsid w:val="008166A9"/>
    <w:rsid w:val="0081696D"/>
    <w:rsid w:val="008169DF"/>
    <w:rsid w:val="00816EBE"/>
    <w:rsid w:val="00817025"/>
    <w:rsid w:val="00817043"/>
    <w:rsid w:val="00817226"/>
    <w:rsid w:val="0081731D"/>
    <w:rsid w:val="0081751C"/>
    <w:rsid w:val="008175F7"/>
    <w:rsid w:val="00817673"/>
    <w:rsid w:val="008176CA"/>
    <w:rsid w:val="00817787"/>
    <w:rsid w:val="008177E7"/>
    <w:rsid w:val="00817845"/>
    <w:rsid w:val="00817923"/>
    <w:rsid w:val="00817C12"/>
    <w:rsid w:val="00817D27"/>
    <w:rsid w:val="00817F10"/>
    <w:rsid w:val="008202F2"/>
    <w:rsid w:val="008203F7"/>
    <w:rsid w:val="008204FB"/>
    <w:rsid w:val="0082073C"/>
    <w:rsid w:val="00820751"/>
    <w:rsid w:val="00820872"/>
    <w:rsid w:val="00820A40"/>
    <w:rsid w:val="00820BA5"/>
    <w:rsid w:val="00820BB9"/>
    <w:rsid w:val="00820DBE"/>
    <w:rsid w:val="00820EB6"/>
    <w:rsid w:val="00820FB1"/>
    <w:rsid w:val="00821089"/>
    <w:rsid w:val="008211E7"/>
    <w:rsid w:val="008213B2"/>
    <w:rsid w:val="00821468"/>
    <w:rsid w:val="00821470"/>
    <w:rsid w:val="008214D0"/>
    <w:rsid w:val="00821699"/>
    <w:rsid w:val="008217AA"/>
    <w:rsid w:val="0082190D"/>
    <w:rsid w:val="00821A0A"/>
    <w:rsid w:val="00821A49"/>
    <w:rsid w:val="00821C87"/>
    <w:rsid w:val="00821CB3"/>
    <w:rsid w:val="00821D5A"/>
    <w:rsid w:val="00821E60"/>
    <w:rsid w:val="00821E91"/>
    <w:rsid w:val="00821EB7"/>
    <w:rsid w:val="00821F6C"/>
    <w:rsid w:val="00821FE4"/>
    <w:rsid w:val="00821FFB"/>
    <w:rsid w:val="0082205B"/>
    <w:rsid w:val="0082206F"/>
    <w:rsid w:val="008222FF"/>
    <w:rsid w:val="0082243E"/>
    <w:rsid w:val="008225BF"/>
    <w:rsid w:val="00822664"/>
    <w:rsid w:val="00822750"/>
    <w:rsid w:val="0082276F"/>
    <w:rsid w:val="008227FE"/>
    <w:rsid w:val="00822968"/>
    <w:rsid w:val="0082299D"/>
    <w:rsid w:val="00822A3E"/>
    <w:rsid w:val="00822A7B"/>
    <w:rsid w:val="00822B4F"/>
    <w:rsid w:val="00822D03"/>
    <w:rsid w:val="00822EE2"/>
    <w:rsid w:val="00823045"/>
    <w:rsid w:val="00823286"/>
    <w:rsid w:val="00823331"/>
    <w:rsid w:val="008236C1"/>
    <w:rsid w:val="0082384F"/>
    <w:rsid w:val="0082387C"/>
    <w:rsid w:val="00823BBE"/>
    <w:rsid w:val="00823EE0"/>
    <w:rsid w:val="0082423E"/>
    <w:rsid w:val="00824251"/>
    <w:rsid w:val="00824313"/>
    <w:rsid w:val="008244DA"/>
    <w:rsid w:val="0082456D"/>
    <w:rsid w:val="008245E9"/>
    <w:rsid w:val="0082465D"/>
    <w:rsid w:val="0082469C"/>
    <w:rsid w:val="008246A6"/>
    <w:rsid w:val="008248E3"/>
    <w:rsid w:val="0082493D"/>
    <w:rsid w:val="00824E76"/>
    <w:rsid w:val="00824F22"/>
    <w:rsid w:val="008251EA"/>
    <w:rsid w:val="00825200"/>
    <w:rsid w:val="00825282"/>
    <w:rsid w:val="0082532C"/>
    <w:rsid w:val="00825551"/>
    <w:rsid w:val="0082568E"/>
    <w:rsid w:val="00825846"/>
    <w:rsid w:val="008259FD"/>
    <w:rsid w:val="00825B4A"/>
    <w:rsid w:val="00825BA6"/>
    <w:rsid w:val="00825D01"/>
    <w:rsid w:val="00825D91"/>
    <w:rsid w:val="00825DE6"/>
    <w:rsid w:val="00825E9C"/>
    <w:rsid w:val="0082605A"/>
    <w:rsid w:val="0082607F"/>
    <w:rsid w:val="008260E9"/>
    <w:rsid w:val="00826129"/>
    <w:rsid w:val="00826137"/>
    <w:rsid w:val="008261E9"/>
    <w:rsid w:val="008261F5"/>
    <w:rsid w:val="008262DF"/>
    <w:rsid w:val="00826392"/>
    <w:rsid w:val="008265B6"/>
    <w:rsid w:val="00826852"/>
    <w:rsid w:val="00826ADF"/>
    <w:rsid w:val="00826B00"/>
    <w:rsid w:val="00826BCC"/>
    <w:rsid w:val="00826CD4"/>
    <w:rsid w:val="00826D98"/>
    <w:rsid w:val="00826F3E"/>
    <w:rsid w:val="00827144"/>
    <w:rsid w:val="00827195"/>
    <w:rsid w:val="008274E3"/>
    <w:rsid w:val="008275EC"/>
    <w:rsid w:val="008275F4"/>
    <w:rsid w:val="008276D6"/>
    <w:rsid w:val="0082783A"/>
    <w:rsid w:val="008278FF"/>
    <w:rsid w:val="00827921"/>
    <w:rsid w:val="00827AAA"/>
    <w:rsid w:val="00827ACE"/>
    <w:rsid w:val="00827B0C"/>
    <w:rsid w:val="00827C2A"/>
    <w:rsid w:val="00827C62"/>
    <w:rsid w:val="00827C8A"/>
    <w:rsid w:val="00827C98"/>
    <w:rsid w:val="00827DBB"/>
    <w:rsid w:val="00827EA4"/>
    <w:rsid w:val="00827FEF"/>
    <w:rsid w:val="00830164"/>
    <w:rsid w:val="0083020A"/>
    <w:rsid w:val="0083028A"/>
    <w:rsid w:val="008304B9"/>
    <w:rsid w:val="0083051A"/>
    <w:rsid w:val="00830537"/>
    <w:rsid w:val="008305A3"/>
    <w:rsid w:val="008305A4"/>
    <w:rsid w:val="008307A1"/>
    <w:rsid w:val="00830883"/>
    <w:rsid w:val="008309F3"/>
    <w:rsid w:val="00830B12"/>
    <w:rsid w:val="00830B91"/>
    <w:rsid w:val="00830C2B"/>
    <w:rsid w:val="00830D30"/>
    <w:rsid w:val="00830DD2"/>
    <w:rsid w:val="00830E01"/>
    <w:rsid w:val="00830F28"/>
    <w:rsid w:val="00831093"/>
    <w:rsid w:val="008311C9"/>
    <w:rsid w:val="00831213"/>
    <w:rsid w:val="008312B7"/>
    <w:rsid w:val="008312D7"/>
    <w:rsid w:val="008314A4"/>
    <w:rsid w:val="008314D4"/>
    <w:rsid w:val="0083154D"/>
    <w:rsid w:val="00831931"/>
    <w:rsid w:val="00831CBE"/>
    <w:rsid w:val="00831DEE"/>
    <w:rsid w:val="00831E31"/>
    <w:rsid w:val="00831E78"/>
    <w:rsid w:val="00832109"/>
    <w:rsid w:val="0083211B"/>
    <w:rsid w:val="0083238E"/>
    <w:rsid w:val="0083245A"/>
    <w:rsid w:val="008324CE"/>
    <w:rsid w:val="008325F3"/>
    <w:rsid w:val="0083265A"/>
    <w:rsid w:val="00832804"/>
    <w:rsid w:val="00832917"/>
    <w:rsid w:val="00832EC1"/>
    <w:rsid w:val="0083312D"/>
    <w:rsid w:val="00833151"/>
    <w:rsid w:val="008333ED"/>
    <w:rsid w:val="0083353D"/>
    <w:rsid w:val="00833578"/>
    <w:rsid w:val="008335A5"/>
    <w:rsid w:val="008335C5"/>
    <w:rsid w:val="0083361D"/>
    <w:rsid w:val="008337AC"/>
    <w:rsid w:val="008339C0"/>
    <w:rsid w:val="00833A25"/>
    <w:rsid w:val="00833BE0"/>
    <w:rsid w:val="00833C61"/>
    <w:rsid w:val="0083401E"/>
    <w:rsid w:val="008342BE"/>
    <w:rsid w:val="0083442E"/>
    <w:rsid w:val="0083449C"/>
    <w:rsid w:val="00834555"/>
    <w:rsid w:val="00834596"/>
    <w:rsid w:val="00834597"/>
    <w:rsid w:val="0083459C"/>
    <w:rsid w:val="008347B2"/>
    <w:rsid w:val="008348C9"/>
    <w:rsid w:val="00834A2A"/>
    <w:rsid w:val="0083515D"/>
    <w:rsid w:val="008352B3"/>
    <w:rsid w:val="008353E4"/>
    <w:rsid w:val="008354CE"/>
    <w:rsid w:val="0083559F"/>
    <w:rsid w:val="008356CE"/>
    <w:rsid w:val="008359B7"/>
    <w:rsid w:val="00835B32"/>
    <w:rsid w:val="00835B36"/>
    <w:rsid w:val="00835B52"/>
    <w:rsid w:val="00835D50"/>
    <w:rsid w:val="00835D8C"/>
    <w:rsid w:val="00835DBF"/>
    <w:rsid w:val="00835E6B"/>
    <w:rsid w:val="00835EA1"/>
    <w:rsid w:val="00835EA5"/>
    <w:rsid w:val="008360F9"/>
    <w:rsid w:val="0083612A"/>
    <w:rsid w:val="008361DA"/>
    <w:rsid w:val="008362DD"/>
    <w:rsid w:val="008363E1"/>
    <w:rsid w:val="0083664D"/>
    <w:rsid w:val="0083669B"/>
    <w:rsid w:val="008369A0"/>
    <w:rsid w:val="00836AB0"/>
    <w:rsid w:val="00836BCC"/>
    <w:rsid w:val="00836DC1"/>
    <w:rsid w:val="00836EA4"/>
    <w:rsid w:val="00837106"/>
    <w:rsid w:val="008374B3"/>
    <w:rsid w:val="00837578"/>
    <w:rsid w:val="00837595"/>
    <w:rsid w:val="00837705"/>
    <w:rsid w:val="0083785C"/>
    <w:rsid w:val="00837937"/>
    <w:rsid w:val="00837AD2"/>
    <w:rsid w:val="00837BBC"/>
    <w:rsid w:val="00837EDF"/>
    <w:rsid w:val="00837F64"/>
    <w:rsid w:val="00840060"/>
    <w:rsid w:val="008400CA"/>
    <w:rsid w:val="00840166"/>
    <w:rsid w:val="008402C9"/>
    <w:rsid w:val="008405A1"/>
    <w:rsid w:val="008407CB"/>
    <w:rsid w:val="008408DB"/>
    <w:rsid w:val="00840919"/>
    <w:rsid w:val="00840A53"/>
    <w:rsid w:val="00840B17"/>
    <w:rsid w:val="00840BDF"/>
    <w:rsid w:val="00840C2E"/>
    <w:rsid w:val="00840C83"/>
    <w:rsid w:val="00840F05"/>
    <w:rsid w:val="00841286"/>
    <w:rsid w:val="0084139D"/>
    <w:rsid w:val="008413A2"/>
    <w:rsid w:val="008414E6"/>
    <w:rsid w:val="0084150C"/>
    <w:rsid w:val="00841524"/>
    <w:rsid w:val="0084154E"/>
    <w:rsid w:val="00841736"/>
    <w:rsid w:val="00841896"/>
    <w:rsid w:val="00841911"/>
    <w:rsid w:val="00841AB1"/>
    <w:rsid w:val="00841B33"/>
    <w:rsid w:val="00841C0B"/>
    <w:rsid w:val="00841CA4"/>
    <w:rsid w:val="00841CFA"/>
    <w:rsid w:val="00841DA3"/>
    <w:rsid w:val="00841E24"/>
    <w:rsid w:val="008420A2"/>
    <w:rsid w:val="00842114"/>
    <w:rsid w:val="0084219D"/>
    <w:rsid w:val="008424FB"/>
    <w:rsid w:val="00842614"/>
    <w:rsid w:val="00842861"/>
    <w:rsid w:val="00842971"/>
    <w:rsid w:val="008429DF"/>
    <w:rsid w:val="00842A75"/>
    <w:rsid w:val="00842AD2"/>
    <w:rsid w:val="00842F4E"/>
    <w:rsid w:val="0084315B"/>
    <w:rsid w:val="00843184"/>
    <w:rsid w:val="00843209"/>
    <w:rsid w:val="008432C3"/>
    <w:rsid w:val="0084350B"/>
    <w:rsid w:val="0084387F"/>
    <w:rsid w:val="008439C2"/>
    <w:rsid w:val="00843A7F"/>
    <w:rsid w:val="00843AA6"/>
    <w:rsid w:val="00843F32"/>
    <w:rsid w:val="00844116"/>
    <w:rsid w:val="0084411A"/>
    <w:rsid w:val="008441FA"/>
    <w:rsid w:val="0084420C"/>
    <w:rsid w:val="008444CF"/>
    <w:rsid w:val="0084463F"/>
    <w:rsid w:val="00844681"/>
    <w:rsid w:val="00844745"/>
    <w:rsid w:val="00844A12"/>
    <w:rsid w:val="00844A3B"/>
    <w:rsid w:val="00844A3E"/>
    <w:rsid w:val="00844C33"/>
    <w:rsid w:val="00844C62"/>
    <w:rsid w:val="00844C95"/>
    <w:rsid w:val="00844FFA"/>
    <w:rsid w:val="00845178"/>
    <w:rsid w:val="008453F8"/>
    <w:rsid w:val="00845509"/>
    <w:rsid w:val="0084550A"/>
    <w:rsid w:val="0084554E"/>
    <w:rsid w:val="0084581A"/>
    <w:rsid w:val="0084581B"/>
    <w:rsid w:val="00845950"/>
    <w:rsid w:val="0084598C"/>
    <w:rsid w:val="008459A3"/>
    <w:rsid w:val="00845A64"/>
    <w:rsid w:val="00845C81"/>
    <w:rsid w:val="00845D43"/>
    <w:rsid w:val="00845D73"/>
    <w:rsid w:val="00845E60"/>
    <w:rsid w:val="008460C4"/>
    <w:rsid w:val="00846360"/>
    <w:rsid w:val="0084639F"/>
    <w:rsid w:val="00846643"/>
    <w:rsid w:val="00846662"/>
    <w:rsid w:val="0084670E"/>
    <w:rsid w:val="008469A4"/>
    <w:rsid w:val="00846A70"/>
    <w:rsid w:val="00846AAF"/>
    <w:rsid w:val="00846B46"/>
    <w:rsid w:val="00846B49"/>
    <w:rsid w:val="00846D0A"/>
    <w:rsid w:val="00846D2F"/>
    <w:rsid w:val="00846D31"/>
    <w:rsid w:val="00846DE9"/>
    <w:rsid w:val="00847223"/>
    <w:rsid w:val="0084735A"/>
    <w:rsid w:val="00847537"/>
    <w:rsid w:val="0084760C"/>
    <w:rsid w:val="0084769B"/>
    <w:rsid w:val="008476F7"/>
    <w:rsid w:val="008478CE"/>
    <w:rsid w:val="00847A14"/>
    <w:rsid w:val="00847AEA"/>
    <w:rsid w:val="00847B1D"/>
    <w:rsid w:val="00847B45"/>
    <w:rsid w:val="00847C56"/>
    <w:rsid w:val="00847C89"/>
    <w:rsid w:val="00847D00"/>
    <w:rsid w:val="00850096"/>
    <w:rsid w:val="0085016E"/>
    <w:rsid w:val="00850257"/>
    <w:rsid w:val="00850296"/>
    <w:rsid w:val="00850378"/>
    <w:rsid w:val="008504D0"/>
    <w:rsid w:val="00850603"/>
    <w:rsid w:val="00850746"/>
    <w:rsid w:val="0085091B"/>
    <w:rsid w:val="00850985"/>
    <w:rsid w:val="00850B23"/>
    <w:rsid w:val="00850B3E"/>
    <w:rsid w:val="00850B4A"/>
    <w:rsid w:val="00850C9D"/>
    <w:rsid w:val="00850CDC"/>
    <w:rsid w:val="00850CF2"/>
    <w:rsid w:val="00850E55"/>
    <w:rsid w:val="00850F01"/>
    <w:rsid w:val="00850FBA"/>
    <w:rsid w:val="00850FF1"/>
    <w:rsid w:val="00851038"/>
    <w:rsid w:val="008510C3"/>
    <w:rsid w:val="0085113B"/>
    <w:rsid w:val="00851292"/>
    <w:rsid w:val="0085176C"/>
    <w:rsid w:val="00851787"/>
    <w:rsid w:val="008517EF"/>
    <w:rsid w:val="008519C6"/>
    <w:rsid w:val="00851A8F"/>
    <w:rsid w:val="00851BD1"/>
    <w:rsid w:val="00851C2E"/>
    <w:rsid w:val="00851CA8"/>
    <w:rsid w:val="00851CCA"/>
    <w:rsid w:val="00851E2C"/>
    <w:rsid w:val="00851F68"/>
    <w:rsid w:val="00851FB0"/>
    <w:rsid w:val="00852167"/>
    <w:rsid w:val="008521F5"/>
    <w:rsid w:val="00852257"/>
    <w:rsid w:val="0085229B"/>
    <w:rsid w:val="0085233E"/>
    <w:rsid w:val="00852353"/>
    <w:rsid w:val="00852380"/>
    <w:rsid w:val="00852474"/>
    <w:rsid w:val="0085268B"/>
    <w:rsid w:val="0085271A"/>
    <w:rsid w:val="00852768"/>
    <w:rsid w:val="008527F2"/>
    <w:rsid w:val="0085281C"/>
    <w:rsid w:val="00852A18"/>
    <w:rsid w:val="00852B7F"/>
    <w:rsid w:val="00852D2B"/>
    <w:rsid w:val="00852D9F"/>
    <w:rsid w:val="00852F37"/>
    <w:rsid w:val="00853054"/>
    <w:rsid w:val="0085308C"/>
    <w:rsid w:val="008533DB"/>
    <w:rsid w:val="0085357A"/>
    <w:rsid w:val="008537EC"/>
    <w:rsid w:val="00853846"/>
    <w:rsid w:val="0085391B"/>
    <w:rsid w:val="00853AC6"/>
    <w:rsid w:val="00853B00"/>
    <w:rsid w:val="00853B28"/>
    <w:rsid w:val="00853E39"/>
    <w:rsid w:val="00853E49"/>
    <w:rsid w:val="008542B1"/>
    <w:rsid w:val="008544E0"/>
    <w:rsid w:val="00854650"/>
    <w:rsid w:val="00854801"/>
    <w:rsid w:val="00854865"/>
    <w:rsid w:val="00854868"/>
    <w:rsid w:val="008549F5"/>
    <w:rsid w:val="00854A01"/>
    <w:rsid w:val="00854A67"/>
    <w:rsid w:val="00854A79"/>
    <w:rsid w:val="00854AD3"/>
    <w:rsid w:val="00854BD7"/>
    <w:rsid w:val="00854E34"/>
    <w:rsid w:val="00854E72"/>
    <w:rsid w:val="00854EFF"/>
    <w:rsid w:val="00854FE6"/>
    <w:rsid w:val="0085513A"/>
    <w:rsid w:val="00855218"/>
    <w:rsid w:val="0085524F"/>
    <w:rsid w:val="0085536F"/>
    <w:rsid w:val="00855567"/>
    <w:rsid w:val="008555C6"/>
    <w:rsid w:val="008555F4"/>
    <w:rsid w:val="00855617"/>
    <w:rsid w:val="008556C4"/>
    <w:rsid w:val="00855735"/>
    <w:rsid w:val="00855864"/>
    <w:rsid w:val="00855B29"/>
    <w:rsid w:val="00855C2B"/>
    <w:rsid w:val="00855D8F"/>
    <w:rsid w:val="00855D93"/>
    <w:rsid w:val="00855E95"/>
    <w:rsid w:val="0085631A"/>
    <w:rsid w:val="00856458"/>
    <w:rsid w:val="00856460"/>
    <w:rsid w:val="0085650F"/>
    <w:rsid w:val="008566BE"/>
    <w:rsid w:val="00856898"/>
    <w:rsid w:val="008568DC"/>
    <w:rsid w:val="0085695B"/>
    <w:rsid w:val="00856965"/>
    <w:rsid w:val="00856A93"/>
    <w:rsid w:val="00856E3A"/>
    <w:rsid w:val="00856F8D"/>
    <w:rsid w:val="00857017"/>
    <w:rsid w:val="00857082"/>
    <w:rsid w:val="00857112"/>
    <w:rsid w:val="0085732B"/>
    <w:rsid w:val="008573DA"/>
    <w:rsid w:val="008577BA"/>
    <w:rsid w:val="00857887"/>
    <w:rsid w:val="00857926"/>
    <w:rsid w:val="00857A2E"/>
    <w:rsid w:val="00857B2F"/>
    <w:rsid w:val="00857C51"/>
    <w:rsid w:val="00857D74"/>
    <w:rsid w:val="00857E7F"/>
    <w:rsid w:val="00857EAD"/>
    <w:rsid w:val="00857ECD"/>
    <w:rsid w:val="00857F87"/>
    <w:rsid w:val="0086000E"/>
    <w:rsid w:val="00860092"/>
    <w:rsid w:val="008600BF"/>
    <w:rsid w:val="008600D7"/>
    <w:rsid w:val="008600F7"/>
    <w:rsid w:val="008602C6"/>
    <w:rsid w:val="008603DE"/>
    <w:rsid w:val="0086071B"/>
    <w:rsid w:val="00860AC6"/>
    <w:rsid w:val="00860C0C"/>
    <w:rsid w:val="00860C1E"/>
    <w:rsid w:val="00860CBC"/>
    <w:rsid w:val="00860D9F"/>
    <w:rsid w:val="00860E24"/>
    <w:rsid w:val="00860E25"/>
    <w:rsid w:val="00860EBF"/>
    <w:rsid w:val="00860F88"/>
    <w:rsid w:val="0086116D"/>
    <w:rsid w:val="0086118D"/>
    <w:rsid w:val="0086162D"/>
    <w:rsid w:val="0086171D"/>
    <w:rsid w:val="00861743"/>
    <w:rsid w:val="0086174D"/>
    <w:rsid w:val="008617DE"/>
    <w:rsid w:val="00861A64"/>
    <w:rsid w:val="00861B4F"/>
    <w:rsid w:val="00861CB0"/>
    <w:rsid w:val="00861CB8"/>
    <w:rsid w:val="00861E8E"/>
    <w:rsid w:val="00861F21"/>
    <w:rsid w:val="0086225F"/>
    <w:rsid w:val="0086239F"/>
    <w:rsid w:val="008624B1"/>
    <w:rsid w:val="0086275B"/>
    <w:rsid w:val="0086276D"/>
    <w:rsid w:val="008628D6"/>
    <w:rsid w:val="00862A67"/>
    <w:rsid w:val="00862A93"/>
    <w:rsid w:val="00862CB0"/>
    <w:rsid w:val="00862DF3"/>
    <w:rsid w:val="00863195"/>
    <w:rsid w:val="0086321F"/>
    <w:rsid w:val="0086323D"/>
    <w:rsid w:val="0086331D"/>
    <w:rsid w:val="0086335D"/>
    <w:rsid w:val="008633DE"/>
    <w:rsid w:val="0086375B"/>
    <w:rsid w:val="00863848"/>
    <w:rsid w:val="00863971"/>
    <w:rsid w:val="00863B13"/>
    <w:rsid w:val="00863C42"/>
    <w:rsid w:val="00863C83"/>
    <w:rsid w:val="00863CE2"/>
    <w:rsid w:val="00863D13"/>
    <w:rsid w:val="00863E1F"/>
    <w:rsid w:val="00863E3C"/>
    <w:rsid w:val="00863F29"/>
    <w:rsid w:val="00864239"/>
    <w:rsid w:val="00864411"/>
    <w:rsid w:val="00864466"/>
    <w:rsid w:val="008646BD"/>
    <w:rsid w:val="00864867"/>
    <w:rsid w:val="008649AC"/>
    <w:rsid w:val="00864CBE"/>
    <w:rsid w:val="00864DB2"/>
    <w:rsid w:val="00864DF2"/>
    <w:rsid w:val="00864E1B"/>
    <w:rsid w:val="00864E90"/>
    <w:rsid w:val="00864F43"/>
    <w:rsid w:val="00864FAE"/>
    <w:rsid w:val="00864FC1"/>
    <w:rsid w:val="00865058"/>
    <w:rsid w:val="00865111"/>
    <w:rsid w:val="008651A9"/>
    <w:rsid w:val="0086542E"/>
    <w:rsid w:val="00865515"/>
    <w:rsid w:val="00865546"/>
    <w:rsid w:val="0086567C"/>
    <w:rsid w:val="008659C3"/>
    <w:rsid w:val="008659DA"/>
    <w:rsid w:val="008659F8"/>
    <w:rsid w:val="00865BA6"/>
    <w:rsid w:val="00865E56"/>
    <w:rsid w:val="008662B0"/>
    <w:rsid w:val="008662B8"/>
    <w:rsid w:val="00866318"/>
    <w:rsid w:val="008664EF"/>
    <w:rsid w:val="00866528"/>
    <w:rsid w:val="00866533"/>
    <w:rsid w:val="0086656A"/>
    <w:rsid w:val="00866607"/>
    <w:rsid w:val="00866682"/>
    <w:rsid w:val="008667E1"/>
    <w:rsid w:val="008667E4"/>
    <w:rsid w:val="008669E7"/>
    <w:rsid w:val="00866ACF"/>
    <w:rsid w:val="00866B4B"/>
    <w:rsid w:val="00866B71"/>
    <w:rsid w:val="00866B89"/>
    <w:rsid w:val="00866C40"/>
    <w:rsid w:val="00866E1D"/>
    <w:rsid w:val="00867120"/>
    <w:rsid w:val="0086715B"/>
    <w:rsid w:val="008671DA"/>
    <w:rsid w:val="00867200"/>
    <w:rsid w:val="00867201"/>
    <w:rsid w:val="00867243"/>
    <w:rsid w:val="008673A6"/>
    <w:rsid w:val="0086756C"/>
    <w:rsid w:val="008676B1"/>
    <w:rsid w:val="00867855"/>
    <w:rsid w:val="008678E2"/>
    <w:rsid w:val="008679D9"/>
    <w:rsid w:val="00867A2F"/>
    <w:rsid w:val="00867B5A"/>
    <w:rsid w:val="00867BAD"/>
    <w:rsid w:val="00867C51"/>
    <w:rsid w:val="00867C6B"/>
    <w:rsid w:val="00867CAB"/>
    <w:rsid w:val="00867D01"/>
    <w:rsid w:val="00867F45"/>
    <w:rsid w:val="00867F4C"/>
    <w:rsid w:val="00870098"/>
    <w:rsid w:val="0087028B"/>
    <w:rsid w:val="008702A7"/>
    <w:rsid w:val="00870362"/>
    <w:rsid w:val="008705F2"/>
    <w:rsid w:val="00870636"/>
    <w:rsid w:val="008707C3"/>
    <w:rsid w:val="00870875"/>
    <w:rsid w:val="008708EA"/>
    <w:rsid w:val="00870A18"/>
    <w:rsid w:val="00870B89"/>
    <w:rsid w:val="00870BC4"/>
    <w:rsid w:val="00871072"/>
    <w:rsid w:val="00871109"/>
    <w:rsid w:val="00871177"/>
    <w:rsid w:val="008711A9"/>
    <w:rsid w:val="008712B7"/>
    <w:rsid w:val="008712F8"/>
    <w:rsid w:val="008714D9"/>
    <w:rsid w:val="008715D7"/>
    <w:rsid w:val="008717A0"/>
    <w:rsid w:val="00871828"/>
    <w:rsid w:val="008718DA"/>
    <w:rsid w:val="00871946"/>
    <w:rsid w:val="0087194C"/>
    <w:rsid w:val="00871A33"/>
    <w:rsid w:val="00871AC1"/>
    <w:rsid w:val="00871AE6"/>
    <w:rsid w:val="00871BDB"/>
    <w:rsid w:val="00871C91"/>
    <w:rsid w:val="00871F04"/>
    <w:rsid w:val="0087211A"/>
    <w:rsid w:val="00872219"/>
    <w:rsid w:val="0087222D"/>
    <w:rsid w:val="00872445"/>
    <w:rsid w:val="00872576"/>
    <w:rsid w:val="008725B8"/>
    <w:rsid w:val="008726B6"/>
    <w:rsid w:val="00872B84"/>
    <w:rsid w:val="00872C71"/>
    <w:rsid w:val="00873027"/>
    <w:rsid w:val="00873120"/>
    <w:rsid w:val="008731EA"/>
    <w:rsid w:val="0087322D"/>
    <w:rsid w:val="008732CB"/>
    <w:rsid w:val="008733C4"/>
    <w:rsid w:val="008734E0"/>
    <w:rsid w:val="00873D25"/>
    <w:rsid w:val="00873ED7"/>
    <w:rsid w:val="00873EF9"/>
    <w:rsid w:val="00873F03"/>
    <w:rsid w:val="00873F70"/>
    <w:rsid w:val="0087419D"/>
    <w:rsid w:val="00874220"/>
    <w:rsid w:val="00874461"/>
    <w:rsid w:val="00874508"/>
    <w:rsid w:val="00874630"/>
    <w:rsid w:val="00874660"/>
    <w:rsid w:val="008746FF"/>
    <w:rsid w:val="0087494A"/>
    <w:rsid w:val="008749C8"/>
    <w:rsid w:val="008749F4"/>
    <w:rsid w:val="00874A22"/>
    <w:rsid w:val="00874A39"/>
    <w:rsid w:val="00874A74"/>
    <w:rsid w:val="00874F7B"/>
    <w:rsid w:val="00874F9A"/>
    <w:rsid w:val="0087500F"/>
    <w:rsid w:val="008750DA"/>
    <w:rsid w:val="008751CD"/>
    <w:rsid w:val="0087532A"/>
    <w:rsid w:val="008753BB"/>
    <w:rsid w:val="008754DB"/>
    <w:rsid w:val="008754F9"/>
    <w:rsid w:val="0087560A"/>
    <w:rsid w:val="0087564A"/>
    <w:rsid w:val="008757A5"/>
    <w:rsid w:val="008758B4"/>
    <w:rsid w:val="00875CB2"/>
    <w:rsid w:val="00875EFE"/>
    <w:rsid w:val="00875F3C"/>
    <w:rsid w:val="00876017"/>
    <w:rsid w:val="008760E2"/>
    <w:rsid w:val="0087631E"/>
    <w:rsid w:val="0087635A"/>
    <w:rsid w:val="00876471"/>
    <w:rsid w:val="00876523"/>
    <w:rsid w:val="0087673A"/>
    <w:rsid w:val="00876768"/>
    <w:rsid w:val="008767D4"/>
    <w:rsid w:val="0087684E"/>
    <w:rsid w:val="00876887"/>
    <w:rsid w:val="00876980"/>
    <w:rsid w:val="00876A45"/>
    <w:rsid w:val="00876D52"/>
    <w:rsid w:val="008770ED"/>
    <w:rsid w:val="00877110"/>
    <w:rsid w:val="008771DD"/>
    <w:rsid w:val="00877331"/>
    <w:rsid w:val="00877366"/>
    <w:rsid w:val="008773F3"/>
    <w:rsid w:val="00877599"/>
    <w:rsid w:val="008775A2"/>
    <w:rsid w:val="008775BD"/>
    <w:rsid w:val="0087795E"/>
    <w:rsid w:val="00877991"/>
    <w:rsid w:val="00877A00"/>
    <w:rsid w:val="00877A15"/>
    <w:rsid w:val="0087CE55"/>
    <w:rsid w:val="00880637"/>
    <w:rsid w:val="00880670"/>
    <w:rsid w:val="008807BC"/>
    <w:rsid w:val="0088091B"/>
    <w:rsid w:val="00880A6C"/>
    <w:rsid w:val="00880BBF"/>
    <w:rsid w:val="00880BF8"/>
    <w:rsid w:val="00880CAB"/>
    <w:rsid w:val="00880CE0"/>
    <w:rsid w:val="00880DD1"/>
    <w:rsid w:val="00880E5B"/>
    <w:rsid w:val="00880FBB"/>
    <w:rsid w:val="00881052"/>
    <w:rsid w:val="008810A0"/>
    <w:rsid w:val="00881174"/>
    <w:rsid w:val="0088171D"/>
    <w:rsid w:val="00881760"/>
    <w:rsid w:val="008819E7"/>
    <w:rsid w:val="00881A49"/>
    <w:rsid w:val="00881CDB"/>
    <w:rsid w:val="00881D85"/>
    <w:rsid w:val="00881E07"/>
    <w:rsid w:val="0088218F"/>
    <w:rsid w:val="008821B1"/>
    <w:rsid w:val="008821E6"/>
    <w:rsid w:val="008822EA"/>
    <w:rsid w:val="00882485"/>
    <w:rsid w:val="0088281D"/>
    <w:rsid w:val="008828B8"/>
    <w:rsid w:val="00882A48"/>
    <w:rsid w:val="00882C26"/>
    <w:rsid w:val="00882C7F"/>
    <w:rsid w:val="00882D5E"/>
    <w:rsid w:val="00882F06"/>
    <w:rsid w:val="00883005"/>
    <w:rsid w:val="00883157"/>
    <w:rsid w:val="00883395"/>
    <w:rsid w:val="008835ED"/>
    <w:rsid w:val="008835F9"/>
    <w:rsid w:val="008837EE"/>
    <w:rsid w:val="00883882"/>
    <w:rsid w:val="008838ED"/>
    <w:rsid w:val="0088393E"/>
    <w:rsid w:val="00883ABA"/>
    <w:rsid w:val="00883B08"/>
    <w:rsid w:val="00883BEA"/>
    <w:rsid w:val="00883C04"/>
    <w:rsid w:val="00883D05"/>
    <w:rsid w:val="00883F3A"/>
    <w:rsid w:val="00884043"/>
    <w:rsid w:val="0088422D"/>
    <w:rsid w:val="00884472"/>
    <w:rsid w:val="0088450C"/>
    <w:rsid w:val="0088461C"/>
    <w:rsid w:val="0088479D"/>
    <w:rsid w:val="00884973"/>
    <w:rsid w:val="00884BB4"/>
    <w:rsid w:val="00884C7A"/>
    <w:rsid w:val="00884C9A"/>
    <w:rsid w:val="00884D29"/>
    <w:rsid w:val="00884D4F"/>
    <w:rsid w:val="00884DCC"/>
    <w:rsid w:val="0088510C"/>
    <w:rsid w:val="008853D5"/>
    <w:rsid w:val="008853FB"/>
    <w:rsid w:val="008857A8"/>
    <w:rsid w:val="00885969"/>
    <w:rsid w:val="008859BF"/>
    <w:rsid w:val="00885A27"/>
    <w:rsid w:val="00885A53"/>
    <w:rsid w:val="00885AF0"/>
    <w:rsid w:val="00885C19"/>
    <w:rsid w:val="00885DB4"/>
    <w:rsid w:val="00885ECA"/>
    <w:rsid w:val="00885EFE"/>
    <w:rsid w:val="00885F21"/>
    <w:rsid w:val="00885FEC"/>
    <w:rsid w:val="0088612B"/>
    <w:rsid w:val="008861D0"/>
    <w:rsid w:val="008861E4"/>
    <w:rsid w:val="008863D9"/>
    <w:rsid w:val="008863EA"/>
    <w:rsid w:val="00886490"/>
    <w:rsid w:val="00886829"/>
    <w:rsid w:val="00886839"/>
    <w:rsid w:val="00886A73"/>
    <w:rsid w:val="00886AC8"/>
    <w:rsid w:val="00886ACA"/>
    <w:rsid w:val="00886D00"/>
    <w:rsid w:val="00886D10"/>
    <w:rsid w:val="00886EC7"/>
    <w:rsid w:val="00886F91"/>
    <w:rsid w:val="00886F92"/>
    <w:rsid w:val="00886F95"/>
    <w:rsid w:val="00886FAF"/>
    <w:rsid w:val="00886FC0"/>
    <w:rsid w:val="00887231"/>
    <w:rsid w:val="008872D0"/>
    <w:rsid w:val="00887365"/>
    <w:rsid w:val="00887430"/>
    <w:rsid w:val="00887946"/>
    <w:rsid w:val="00887967"/>
    <w:rsid w:val="008879AA"/>
    <w:rsid w:val="008879AD"/>
    <w:rsid w:val="008879F1"/>
    <w:rsid w:val="00887A21"/>
    <w:rsid w:val="00887A40"/>
    <w:rsid w:val="00887B78"/>
    <w:rsid w:val="00887BA2"/>
    <w:rsid w:val="00887CC8"/>
    <w:rsid w:val="00887D81"/>
    <w:rsid w:val="00887EDE"/>
    <w:rsid w:val="00887F57"/>
    <w:rsid w:val="008902AD"/>
    <w:rsid w:val="00890580"/>
    <w:rsid w:val="00890585"/>
    <w:rsid w:val="00890590"/>
    <w:rsid w:val="008905FB"/>
    <w:rsid w:val="0089067E"/>
    <w:rsid w:val="00890786"/>
    <w:rsid w:val="00890827"/>
    <w:rsid w:val="0089082A"/>
    <w:rsid w:val="008909A0"/>
    <w:rsid w:val="00890F6F"/>
    <w:rsid w:val="00890F7F"/>
    <w:rsid w:val="0089101B"/>
    <w:rsid w:val="0089113B"/>
    <w:rsid w:val="008913ED"/>
    <w:rsid w:val="008913FB"/>
    <w:rsid w:val="00891611"/>
    <w:rsid w:val="00891771"/>
    <w:rsid w:val="008917E5"/>
    <w:rsid w:val="008919B5"/>
    <w:rsid w:val="00891A49"/>
    <w:rsid w:val="00891A7B"/>
    <w:rsid w:val="00891BFB"/>
    <w:rsid w:val="00891C56"/>
    <w:rsid w:val="00891D07"/>
    <w:rsid w:val="00891DA9"/>
    <w:rsid w:val="00891E71"/>
    <w:rsid w:val="00892102"/>
    <w:rsid w:val="008921E4"/>
    <w:rsid w:val="008922D1"/>
    <w:rsid w:val="00892320"/>
    <w:rsid w:val="00892468"/>
    <w:rsid w:val="00892569"/>
    <w:rsid w:val="008926D8"/>
    <w:rsid w:val="008926E0"/>
    <w:rsid w:val="008926FE"/>
    <w:rsid w:val="00892760"/>
    <w:rsid w:val="0089294F"/>
    <w:rsid w:val="0089299F"/>
    <w:rsid w:val="00892A42"/>
    <w:rsid w:val="00892DF0"/>
    <w:rsid w:val="00893099"/>
    <w:rsid w:val="00893364"/>
    <w:rsid w:val="008935EC"/>
    <w:rsid w:val="0089365E"/>
    <w:rsid w:val="00893685"/>
    <w:rsid w:val="00893689"/>
    <w:rsid w:val="00893690"/>
    <w:rsid w:val="0089382A"/>
    <w:rsid w:val="00893861"/>
    <w:rsid w:val="0089399C"/>
    <w:rsid w:val="00893C30"/>
    <w:rsid w:val="00893CF4"/>
    <w:rsid w:val="00893D03"/>
    <w:rsid w:val="00893E03"/>
    <w:rsid w:val="008941E3"/>
    <w:rsid w:val="00894317"/>
    <w:rsid w:val="0089435B"/>
    <w:rsid w:val="0089439D"/>
    <w:rsid w:val="00894480"/>
    <w:rsid w:val="00894518"/>
    <w:rsid w:val="00894654"/>
    <w:rsid w:val="00894ACA"/>
    <w:rsid w:val="00894B15"/>
    <w:rsid w:val="00894B57"/>
    <w:rsid w:val="00894DC8"/>
    <w:rsid w:val="00894DD9"/>
    <w:rsid w:val="00894E83"/>
    <w:rsid w:val="00894E8D"/>
    <w:rsid w:val="0089510B"/>
    <w:rsid w:val="00895172"/>
    <w:rsid w:val="008952E9"/>
    <w:rsid w:val="00895436"/>
    <w:rsid w:val="008955E5"/>
    <w:rsid w:val="00895634"/>
    <w:rsid w:val="0089571E"/>
    <w:rsid w:val="008957B9"/>
    <w:rsid w:val="008957BE"/>
    <w:rsid w:val="008957DF"/>
    <w:rsid w:val="008958D6"/>
    <w:rsid w:val="00895931"/>
    <w:rsid w:val="008959B9"/>
    <w:rsid w:val="00895A73"/>
    <w:rsid w:val="00895A7A"/>
    <w:rsid w:val="00895BD2"/>
    <w:rsid w:val="00895C26"/>
    <w:rsid w:val="00895C68"/>
    <w:rsid w:val="00895D9D"/>
    <w:rsid w:val="008965B3"/>
    <w:rsid w:val="0089664C"/>
    <w:rsid w:val="0089690E"/>
    <w:rsid w:val="00896ABE"/>
    <w:rsid w:val="00896AE1"/>
    <w:rsid w:val="00896C49"/>
    <w:rsid w:val="00896D0B"/>
    <w:rsid w:val="00896DF7"/>
    <w:rsid w:val="00896E51"/>
    <w:rsid w:val="00896EA1"/>
    <w:rsid w:val="008971E2"/>
    <w:rsid w:val="008974A5"/>
    <w:rsid w:val="00897566"/>
    <w:rsid w:val="00897733"/>
    <w:rsid w:val="0089783B"/>
    <w:rsid w:val="0089788D"/>
    <w:rsid w:val="00897A49"/>
    <w:rsid w:val="00897A7E"/>
    <w:rsid w:val="00897AD4"/>
    <w:rsid w:val="00897AE5"/>
    <w:rsid w:val="00897E47"/>
    <w:rsid w:val="00897E58"/>
    <w:rsid w:val="008A0289"/>
    <w:rsid w:val="008A04D1"/>
    <w:rsid w:val="008A0533"/>
    <w:rsid w:val="008A0551"/>
    <w:rsid w:val="008A07A8"/>
    <w:rsid w:val="008A088C"/>
    <w:rsid w:val="008A089A"/>
    <w:rsid w:val="008A09B7"/>
    <w:rsid w:val="008A0A55"/>
    <w:rsid w:val="008A0C38"/>
    <w:rsid w:val="008A0C4A"/>
    <w:rsid w:val="008A0C56"/>
    <w:rsid w:val="008A0DBC"/>
    <w:rsid w:val="008A0DCA"/>
    <w:rsid w:val="008A0E06"/>
    <w:rsid w:val="008A120A"/>
    <w:rsid w:val="008A16DE"/>
    <w:rsid w:val="008A180F"/>
    <w:rsid w:val="008A1A2B"/>
    <w:rsid w:val="008A1A51"/>
    <w:rsid w:val="008A1CDD"/>
    <w:rsid w:val="008A1D29"/>
    <w:rsid w:val="008A1D82"/>
    <w:rsid w:val="008A1F4F"/>
    <w:rsid w:val="008A1FD8"/>
    <w:rsid w:val="008A2349"/>
    <w:rsid w:val="008A23F5"/>
    <w:rsid w:val="008A24AD"/>
    <w:rsid w:val="008A2534"/>
    <w:rsid w:val="008A259E"/>
    <w:rsid w:val="008A2606"/>
    <w:rsid w:val="008A264E"/>
    <w:rsid w:val="008A26F4"/>
    <w:rsid w:val="008A283A"/>
    <w:rsid w:val="008A2856"/>
    <w:rsid w:val="008A2899"/>
    <w:rsid w:val="008A2A0A"/>
    <w:rsid w:val="008A2A0E"/>
    <w:rsid w:val="008A2B14"/>
    <w:rsid w:val="008A2BE9"/>
    <w:rsid w:val="008A2CBC"/>
    <w:rsid w:val="008A2D7A"/>
    <w:rsid w:val="008A2E19"/>
    <w:rsid w:val="008A2FC5"/>
    <w:rsid w:val="008A30EE"/>
    <w:rsid w:val="008A329E"/>
    <w:rsid w:val="008A3361"/>
    <w:rsid w:val="008A3478"/>
    <w:rsid w:val="008A34BC"/>
    <w:rsid w:val="008A370E"/>
    <w:rsid w:val="008A3871"/>
    <w:rsid w:val="008A396E"/>
    <w:rsid w:val="008A39FE"/>
    <w:rsid w:val="008A3A0B"/>
    <w:rsid w:val="008A3AE6"/>
    <w:rsid w:val="008A3B50"/>
    <w:rsid w:val="008A3B65"/>
    <w:rsid w:val="008A3CEA"/>
    <w:rsid w:val="008A3D79"/>
    <w:rsid w:val="008A3DAF"/>
    <w:rsid w:val="008A3E9E"/>
    <w:rsid w:val="008A4087"/>
    <w:rsid w:val="008A42FE"/>
    <w:rsid w:val="008A432F"/>
    <w:rsid w:val="008A43FE"/>
    <w:rsid w:val="008A467F"/>
    <w:rsid w:val="008A46B7"/>
    <w:rsid w:val="008A4920"/>
    <w:rsid w:val="008A4D36"/>
    <w:rsid w:val="008A4E48"/>
    <w:rsid w:val="008A5022"/>
    <w:rsid w:val="008A5094"/>
    <w:rsid w:val="008A51B1"/>
    <w:rsid w:val="008A5687"/>
    <w:rsid w:val="008A56A7"/>
    <w:rsid w:val="008A5971"/>
    <w:rsid w:val="008A5A9F"/>
    <w:rsid w:val="008A5CED"/>
    <w:rsid w:val="008A5DF5"/>
    <w:rsid w:val="008A6178"/>
    <w:rsid w:val="008A63E0"/>
    <w:rsid w:val="008A65DE"/>
    <w:rsid w:val="008A6B7A"/>
    <w:rsid w:val="008A6DBC"/>
    <w:rsid w:val="008A6EC6"/>
    <w:rsid w:val="008A7085"/>
    <w:rsid w:val="008A70EF"/>
    <w:rsid w:val="008A7303"/>
    <w:rsid w:val="008A73BB"/>
    <w:rsid w:val="008A740C"/>
    <w:rsid w:val="008A7454"/>
    <w:rsid w:val="008A7517"/>
    <w:rsid w:val="008A7539"/>
    <w:rsid w:val="008A7579"/>
    <w:rsid w:val="008A783C"/>
    <w:rsid w:val="008A78E4"/>
    <w:rsid w:val="008A79E6"/>
    <w:rsid w:val="008A7A07"/>
    <w:rsid w:val="008A7DE5"/>
    <w:rsid w:val="008A7E6A"/>
    <w:rsid w:val="008A7E8E"/>
    <w:rsid w:val="008A7F3E"/>
    <w:rsid w:val="008A7FB5"/>
    <w:rsid w:val="008B00D7"/>
    <w:rsid w:val="008B0263"/>
    <w:rsid w:val="008B0508"/>
    <w:rsid w:val="008B06C0"/>
    <w:rsid w:val="008B0828"/>
    <w:rsid w:val="008B09AD"/>
    <w:rsid w:val="008B0A94"/>
    <w:rsid w:val="008B0AA5"/>
    <w:rsid w:val="008B0AF9"/>
    <w:rsid w:val="008B0C0F"/>
    <w:rsid w:val="008B0CE2"/>
    <w:rsid w:val="008B0CEF"/>
    <w:rsid w:val="008B0E37"/>
    <w:rsid w:val="008B0E6C"/>
    <w:rsid w:val="008B10C3"/>
    <w:rsid w:val="008B10F5"/>
    <w:rsid w:val="008B1134"/>
    <w:rsid w:val="008B154C"/>
    <w:rsid w:val="008B1692"/>
    <w:rsid w:val="008B17C6"/>
    <w:rsid w:val="008B1820"/>
    <w:rsid w:val="008B1B16"/>
    <w:rsid w:val="008B1C4E"/>
    <w:rsid w:val="008B1CF3"/>
    <w:rsid w:val="008B1D13"/>
    <w:rsid w:val="008B1E53"/>
    <w:rsid w:val="008B1FFA"/>
    <w:rsid w:val="008B2032"/>
    <w:rsid w:val="008B21EA"/>
    <w:rsid w:val="008B227E"/>
    <w:rsid w:val="008B24A3"/>
    <w:rsid w:val="008B25A8"/>
    <w:rsid w:val="008B25CE"/>
    <w:rsid w:val="008B2634"/>
    <w:rsid w:val="008B2660"/>
    <w:rsid w:val="008B26BC"/>
    <w:rsid w:val="008B2727"/>
    <w:rsid w:val="008B2796"/>
    <w:rsid w:val="008B2799"/>
    <w:rsid w:val="008B279A"/>
    <w:rsid w:val="008B27E6"/>
    <w:rsid w:val="008B2818"/>
    <w:rsid w:val="008B2841"/>
    <w:rsid w:val="008B2848"/>
    <w:rsid w:val="008B29AA"/>
    <w:rsid w:val="008B2B00"/>
    <w:rsid w:val="008B2CA4"/>
    <w:rsid w:val="008B2CDB"/>
    <w:rsid w:val="008B2EB0"/>
    <w:rsid w:val="008B2F9B"/>
    <w:rsid w:val="008B302A"/>
    <w:rsid w:val="008B30CF"/>
    <w:rsid w:val="008B30DC"/>
    <w:rsid w:val="008B30F1"/>
    <w:rsid w:val="008B312B"/>
    <w:rsid w:val="008B3179"/>
    <w:rsid w:val="008B3243"/>
    <w:rsid w:val="008B33E5"/>
    <w:rsid w:val="008B3495"/>
    <w:rsid w:val="008B354C"/>
    <w:rsid w:val="008B370B"/>
    <w:rsid w:val="008B376C"/>
    <w:rsid w:val="008B378B"/>
    <w:rsid w:val="008B37F5"/>
    <w:rsid w:val="008B39FF"/>
    <w:rsid w:val="008B3BB3"/>
    <w:rsid w:val="008B3C91"/>
    <w:rsid w:val="008B3FD2"/>
    <w:rsid w:val="008B4191"/>
    <w:rsid w:val="008B42DB"/>
    <w:rsid w:val="008B42F2"/>
    <w:rsid w:val="008B4397"/>
    <w:rsid w:val="008B447A"/>
    <w:rsid w:val="008B4695"/>
    <w:rsid w:val="008B4714"/>
    <w:rsid w:val="008B484E"/>
    <w:rsid w:val="008B4873"/>
    <w:rsid w:val="008B48CC"/>
    <w:rsid w:val="008B4ACF"/>
    <w:rsid w:val="008B4AD0"/>
    <w:rsid w:val="008B4B5B"/>
    <w:rsid w:val="008B4D62"/>
    <w:rsid w:val="008B4D6E"/>
    <w:rsid w:val="008B4E29"/>
    <w:rsid w:val="008B51BD"/>
    <w:rsid w:val="008B525D"/>
    <w:rsid w:val="008B526A"/>
    <w:rsid w:val="008B5375"/>
    <w:rsid w:val="008B537B"/>
    <w:rsid w:val="008B585D"/>
    <w:rsid w:val="008B5888"/>
    <w:rsid w:val="008B58E7"/>
    <w:rsid w:val="008B5D96"/>
    <w:rsid w:val="008B5DEB"/>
    <w:rsid w:val="008B5EF9"/>
    <w:rsid w:val="008B5F0E"/>
    <w:rsid w:val="008B5F1B"/>
    <w:rsid w:val="008B60E6"/>
    <w:rsid w:val="008B6235"/>
    <w:rsid w:val="008B6259"/>
    <w:rsid w:val="008B62A3"/>
    <w:rsid w:val="008B62E1"/>
    <w:rsid w:val="008B62E5"/>
    <w:rsid w:val="008B6416"/>
    <w:rsid w:val="008B6468"/>
    <w:rsid w:val="008B6689"/>
    <w:rsid w:val="008B674B"/>
    <w:rsid w:val="008B6B65"/>
    <w:rsid w:val="008B6BA2"/>
    <w:rsid w:val="008B6C9A"/>
    <w:rsid w:val="008B6CEC"/>
    <w:rsid w:val="008B6F4B"/>
    <w:rsid w:val="008B6F5F"/>
    <w:rsid w:val="008B7084"/>
    <w:rsid w:val="008B717A"/>
    <w:rsid w:val="008B736B"/>
    <w:rsid w:val="008B7789"/>
    <w:rsid w:val="008B78BB"/>
    <w:rsid w:val="008B795D"/>
    <w:rsid w:val="008B7A02"/>
    <w:rsid w:val="008B7BE9"/>
    <w:rsid w:val="008B7C28"/>
    <w:rsid w:val="008B7E54"/>
    <w:rsid w:val="008B7EBF"/>
    <w:rsid w:val="008B7F4A"/>
    <w:rsid w:val="008C007B"/>
    <w:rsid w:val="008C00E4"/>
    <w:rsid w:val="008C0178"/>
    <w:rsid w:val="008C02D2"/>
    <w:rsid w:val="008C05D0"/>
    <w:rsid w:val="008C06E8"/>
    <w:rsid w:val="008C071F"/>
    <w:rsid w:val="008C0745"/>
    <w:rsid w:val="008C074B"/>
    <w:rsid w:val="008C07BB"/>
    <w:rsid w:val="008C07D3"/>
    <w:rsid w:val="008C0820"/>
    <w:rsid w:val="008C0850"/>
    <w:rsid w:val="008C08DC"/>
    <w:rsid w:val="008C0A3F"/>
    <w:rsid w:val="008C0A81"/>
    <w:rsid w:val="008C0FA0"/>
    <w:rsid w:val="008C104E"/>
    <w:rsid w:val="008C13FB"/>
    <w:rsid w:val="008C1463"/>
    <w:rsid w:val="008C147C"/>
    <w:rsid w:val="008C14B8"/>
    <w:rsid w:val="008C1986"/>
    <w:rsid w:val="008C1A0E"/>
    <w:rsid w:val="008C1B65"/>
    <w:rsid w:val="008C1C0B"/>
    <w:rsid w:val="008C1CA7"/>
    <w:rsid w:val="008C1CB5"/>
    <w:rsid w:val="008C1CDB"/>
    <w:rsid w:val="008C1D46"/>
    <w:rsid w:val="008C1FA4"/>
    <w:rsid w:val="008C20E8"/>
    <w:rsid w:val="008C2101"/>
    <w:rsid w:val="008C23F7"/>
    <w:rsid w:val="008C24B5"/>
    <w:rsid w:val="008C24E1"/>
    <w:rsid w:val="008C260F"/>
    <w:rsid w:val="008C2785"/>
    <w:rsid w:val="008C28A8"/>
    <w:rsid w:val="008C2E5A"/>
    <w:rsid w:val="008C2EC3"/>
    <w:rsid w:val="008C2F2A"/>
    <w:rsid w:val="008C2FF9"/>
    <w:rsid w:val="008C3130"/>
    <w:rsid w:val="008C3152"/>
    <w:rsid w:val="008C32F7"/>
    <w:rsid w:val="008C3536"/>
    <w:rsid w:val="008C36B3"/>
    <w:rsid w:val="008C3736"/>
    <w:rsid w:val="008C3768"/>
    <w:rsid w:val="008C3780"/>
    <w:rsid w:val="008C378B"/>
    <w:rsid w:val="008C39DD"/>
    <w:rsid w:val="008C3A5F"/>
    <w:rsid w:val="008C3BE1"/>
    <w:rsid w:val="008C3D90"/>
    <w:rsid w:val="008C3EAE"/>
    <w:rsid w:val="008C3EF5"/>
    <w:rsid w:val="008C3FB0"/>
    <w:rsid w:val="008C3FB9"/>
    <w:rsid w:val="008C4188"/>
    <w:rsid w:val="008C4195"/>
    <w:rsid w:val="008C4245"/>
    <w:rsid w:val="008C44D0"/>
    <w:rsid w:val="008C4729"/>
    <w:rsid w:val="008C4772"/>
    <w:rsid w:val="008C479E"/>
    <w:rsid w:val="008C4969"/>
    <w:rsid w:val="008C49E4"/>
    <w:rsid w:val="008C4A62"/>
    <w:rsid w:val="008C4A7A"/>
    <w:rsid w:val="008C4C13"/>
    <w:rsid w:val="008C4C59"/>
    <w:rsid w:val="008C4D9A"/>
    <w:rsid w:val="008C4DAC"/>
    <w:rsid w:val="008C4E41"/>
    <w:rsid w:val="008C4F7E"/>
    <w:rsid w:val="008C4FF7"/>
    <w:rsid w:val="008C5100"/>
    <w:rsid w:val="008C5474"/>
    <w:rsid w:val="008C54EA"/>
    <w:rsid w:val="008C5532"/>
    <w:rsid w:val="008C5655"/>
    <w:rsid w:val="008C56A6"/>
    <w:rsid w:val="008C5734"/>
    <w:rsid w:val="008C583B"/>
    <w:rsid w:val="008C5879"/>
    <w:rsid w:val="008C5A98"/>
    <w:rsid w:val="008C5ABC"/>
    <w:rsid w:val="008C5AE2"/>
    <w:rsid w:val="008C6035"/>
    <w:rsid w:val="008C6354"/>
    <w:rsid w:val="008C6479"/>
    <w:rsid w:val="008C65F0"/>
    <w:rsid w:val="008C6936"/>
    <w:rsid w:val="008C695D"/>
    <w:rsid w:val="008C6AE8"/>
    <w:rsid w:val="008C6AEE"/>
    <w:rsid w:val="008C6B43"/>
    <w:rsid w:val="008C6B88"/>
    <w:rsid w:val="008C6BAE"/>
    <w:rsid w:val="008C6D47"/>
    <w:rsid w:val="008C6FAF"/>
    <w:rsid w:val="008C71A0"/>
    <w:rsid w:val="008C7414"/>
    <w:rsid w:val="008C752C"/>
    <w:rsid w:val="008C76C7"/>
    <w:rsid w:val="008C76CD"/>
    <w:rsid w:val="008C76D0"/>
    <w:rsid w:val="008C7709"/>
    <w:rsid w:val="008C798B"/>
    <w:rsid w:val="008C7ADF"/>
    <w:rsid w:val="008C7C3E"/>
    <w:rsid w:val="008C7D58"/>
    <w:rsid w:val="008C7E07"/>
    <w:rsid w:val="008C7FBB"/>
    <w:rsid w:val="008D0082"/>
    <w:rsid w:val="008D0157"/>
    <w:rsid w:val="008D015E"/>
    <w:rsid w:val="008D022A"/>
    <w:rsid w:val="008D022E"/>
    <w:rsid w:val="008D0272"/>
    <w:rsid w:val="008D02FE"/>
    <w:rsid w:val="008D0501"/>
    <w:rsid w:val="008D0502"/>
    <w:rsid w:val="008D0545"/>
    <w:rsid w:val="008D062D"/>
    <w:rsid w:val="008D0981"/>
    <w:rsid w:val="008D09AA"/>
    <w:rsid w:val="008D0D04"/>
    <w:rsid w:val="008D0D93"/>
    <w:rsid w:val="008D0E2A"/>
    <w:rsid w:val="008D0F0D"/>
    <w:rsid w:val="008D0FA1"/>
    <w:rsid w:val="008D10A2"/>
    <w:rsid w:val="008D13A3"/>
    <w:rsid w:val="008D13D5"/>
    <w:rsid w:val="008D1481"/>
    <w:rsid w:val="008D1507"/>
    <w:rsid w:val="008D15CD"/>
    <w:rsid w:val="008D1949"/>
    <w:rsid w:val="008D1B03"/>
    <w:rsid w:val="008D1B5B"/>
    <w:rsid w:val="008D1C3E"/>
    <w:rsid w:val="008D1CD7"/>
    <w:rsid w:val="008D1D7C"/>
    <w:rsid w:val="008D2122"/>
    <w:rsid w:val="008D214C"/>
    <w:rsid w:val="008D2283"/>
    <w:rsid w:val="008D247E"/>
    <w:rsid w:val="008D25C9"/>
    <w:rsid w:val="008D28B8"/>
    <w:rsid w:val="008D29DD"/>
    <w:rsid w:val="008D2A07"/>
    <w:rsid w:val="008D2A7D"/>
    <w:rsid w:val="008D2AF4"/>
    <w:rsid w:val="008D2B1A"/>
    <w:rsid w:val="008D2CE3"/>
    <w:rsid w:val="008D2E86"/>
    <w:rsid w:val="008D2FCE"/>
    <w:rsid w:val="008D3030"/>
    <w:rsid w:val="008D307F"/>
    <w:rsid w:val="008D3183"/>
    <w:rsid w:val="008D31A3"/>
    <w:rsid w:val="008D32D6"/>
    <w:rsid w:val="008D337A"/>
    <w:rsid w:val="008D33E6"/>
    <w:rsid w:val="008D3439"/>
    <w:rsid w:val="008D350A"/>
    <w:rsid w:val="008D367C"/>
    <w:rsid w:val="008D374F"/>
    <w:rsid w:val="008D37DC"/>
    <w:rsid w:val="008D382F"/>
    <w:rsid w:val="008D3BE7"/>
    <w:rsid w:val="008D3DD4"/>
    <w:rsid w:val="008D40E9"/>
    <w:rsid w:val="008D43BB"/>
    <w:rsid w:val="008D4434"/>
    <w:rsid w:val="008D44FD"/>
    <w:rsid w:val="008D453F"/>
    <w:rsid w:val="008D4780"/>
    <w:rsid w:val="008D48C0"/>
    <w:rsid w:val="008D4922"/>
    <w:rsid w:val="008D5136"/>
    <w:rsid w:val="008D51E0"/>
    <w:rsid w:val="008D5422"/>
    <w:rsid w:val="008D546C"/>
    <w:rsid w:val="008D55B4"/>
    <w:rsid w:val="008D564F"/>
    <w:rsid w:val="008D5702"/>
    <w:rsid w:val="008D587A"/>
    <w:rsid w:val="008D58B1"/>
    <w:rsid w:val="008D5A6B"/>
    <w:rsid w:val="008D5C4D"/>
    <w:rsid w:val="008D5C78"/>
    <w:rsid w:val="008D5D1B"/>
    <w:rsid w:val="008D5F79"/>
    <w:rsid w:val="008D64A2"/>
    <w:rsid w:val="008D64C1"/>
    <w:rsid w:val="008D6577"/>
    <w:rsid w:val="008D69CB"/>
    <w:rsid w:val="008D6A6D"/>
    <w:rsid w:val="008D6C5F"/>
    <w:rsid w:val="008D6CCD"/>
    <w:rsid w:val="008D6D4B"/>
    <w:rsid w:val="008D6D66"/>
    <w:rsid w:val="008D712B"/>
    <w:rsid w:val="008D726D"/>
    <w:rsid w:val="008D72D1"/>
    <w:rsid w:val="008D7352"/>
    <w:rsid w:val="008D7407"/>
    <w:rsid w:val="008D758F"/>
    <w:rsid w:val="008D768E"/>
    <w:rsid w:val="008D77C5"/>
    <w:rsid w:val="008D7909"/>
    <w:rsid w:val="008D7990"/>
    <w:rsid w:val="008D7A8B"/>
    <w:rsid w:val="008D7B9D"/>
    <w:rsid w:val="008D7C0A"/>
    <w:rsid w:val="008D7C6A"/>
    <w:rsid w:val="008D7CAD"/>
    <w:rsid w:val="008D7CDC"/>
    <w:rsid w:val="008E00AA"/>
    <w:rsid w:val="008E00C3"/>
    <w:rsid w:val="008E01BC"/>
    <w:rsid w:val="008E03EB"/>
    <w:rsid w:val="008E044D"/>
    <w:rsid w:val="008E04CD"/>
    <w:rsid w:val="008E04E8"/>
    <w:rsid w:val="008E0526"/>
    <w:rsid w:val="008E05C2"/>
    <w:rsid w:val="008E07A3"/>
    <w:rsid w:val="008E07EA"/>
    <w:rsid w:val="008E082A"/>
    <w:rsid w:val="008E08CB"/>
    <w:rsid w:val="008E0CDC"/>
    <w:rsid w:val="008E0CF6"/>
    <w:rsid w:val="008E0D25"/>
    <w:rsid w:val="008E0EB8"/>
    <w:rsid w:val="008E0F92"/>
    <w:rsid w:val="008E1003"/>
    <w:rsid w:val="008E10AB"/>
    <w:rsid w:val="008E13D0"/>
    <w:rsid w:val="008E13FC"/>
    <w:rsid w:val="008E1460"/>
    <w:rsid w:val="008E156D"/>
    <w:rsid w:val="008E15E3"/>
    <w:rsid w:val="008E19E6"/>
    <w:rsid w:val="008E1AA2"/>
    <w:rsid w:val="008E1C34"/>
    <w:rsid w:val="008E1EED"/>
    <w:rsid w:val="008E1F6B"/>
    <w:rsid w:val="008E2002"/>
    <w:rsid w:val="008E2092"/>
    <w:rsid w:val="008E2143"/>
    <w:rsid w:val="008E2359"/>
    <w:rsid w:val="008E23D5"/>
    <w:rsid w:val="008E2420"/>
    <w:rsid w:val="008E2513"/>
    <w:rsid w:val="008E2736"/>
    <w:rsid w:val="008E2887"/>
    <w:rsid w:val="008E28F8"/>
    <w:rsid w:val="008E29F0"/>
    <w:rsid w:val="008E2B6C"/>
    <w:rsid w:val="008E2DF5"/>
    <w:rsid w:val="008E2E0C"/>
    <w:rsid w:val="008E2E3D"/>
    <w:rsid w:val="008E2E60"/>
    <w:rsid w:val="008E2F93"/>
    <w:rsid w:val="008E3181"/>
    <w:rsid w:val="008E3344"/>
    <w:rsid w:val="008E3363"/>
    <w:rsid w:val="008E33CE"/>
    <w:rsid w:val="008E34B8"/>
    <w:rsid w:val="008E3639"/>
    <w:rsid w:val="008E37B7"/>
    <w:rsid w:val="008E37CA"/>
    <w:rsid w:val="008E3BD9"/>
    <w:rsid w:val="008E3C42"/>
    <w:rsid w:val="008E3E40"/>
    <w:rsid w:val="008E3E98"/>
    <w:rsid w:val="008E3ED4"/>
    <w:rsid w:val="008E3EF1"/>
    <w:rsid w:val="008E3F30"/>
    <w:rsid w:val="008E41FB"/>
    <w:rsid w:val="008E42B7"/>
    <w:rsid w:val="008E4535"/>
    <w:rsid w:val="008E4651"/>
    <w:rsid w:val="008E4A12"/>
    <w:rsid w:val="008E4AAD"/>
    <w:rsid w:val="008E4B99"/>
    <w:rsid w:val="008E4F9B"/>
    <w:rsid w:val="008E513A"/>
    <w:rsid w:val="008E51BB"/>
    <w:rsid w:val="008E51CA"/>
    <w:rsid w:val="008E54E2"/>
    <w:rsid w:val="008E559E"/>
    <w:rsid w:val="008E5660"/>
    <w:rsid w:val="008E581C"/>
    <w:rsid w:val="008E5AF3"/>
    <w:rsid w:val="008E5C30"/>
    <w:rsid w:val="008E5DE6"/>
    <w:rsid w:val="008E5DFB"/>
    <w:rsid w:val="008E5E46"/>
    <w:rsid w:val="008E60F4"/>
    <w:rsid w:val="008E6361"/>
    <w:rsid w:val="008E64F6"/>
    <w:rsid w:val="008E65DF"/>
    <w:rsid w:val="008E65FC"/>
    <w:rsid w:val="008E6746"/>
    <w:rsid w:val="008E68D3"/>
    <w:rsid w:val="008E6A85"/>
    <w:rsid w:val="008E6B50"/>
    <w:rsid w:val="008E6B74"/>
    <w:rsid w:val="008E6C4D"/>
    <w:rsid w:val="008E6C8E"/>
    <w:rsid w:val="008E6EA4"/>
    <w:rsid w:val="008E6FA7"/>
    <w:rsid w:val="008E7031"/>
    <w:rsid w:val="008E721E"/>
    <w:rsid w:val="008E742A"/>
    <w:rsid w:val="008E7478"/>
    <w:rsid w:val="008E767B"/>
    <w:rsid w:val="008E78D6"/>
    <w:rsid w:val="008E7909"/>
    <w:rsid w:val="008E79C8"/>
    <w:rsid w:val="008E7B2D"/>
    <w:rsid w:val="008E7CCD"/>
    <w:rsid w:val="008E7CDF"/>
    <w:rsid w:val="008E7E44"/>
    <w:rsid w:val="008E7EFD"/>
    <w:rsid w:val="008E7F73"/>
    <w:rsid w:val="008F0000"/>
    <w:rsid w:val="008F009E"/>
    <w:rsid w:val="008F00C1"/>
    <w:rsid w:val="008F01F2"/>
    <w:rsid w:val="008F026A"/>
    <w:rsid w:val="008F0283"/>
    <w:rsid w:val="008F0423"/>
    <w:rsid w:val="008F0453"/>
    <w:rsid w:val="008F089C"/>
    <w:rsid w:val="008F0905"/>
    <w:rsid w:val="008F09E9"/>
    <w:rsid w:val="008F0AFD"/>
    <w:rsid w:val="008F0B2C"/>
    <w:rsid w:val="008F0BD1"/>
    <w:rsid w:val="008F0C6F"/>
    <w:rsid w:val="008F0D9F"/>
    <w:rsid w:val="008F0E1C"/>
    <w:rsid w:val="008F0E54"/>
    <w:rsid w:val="008F0E89"/>
    <w:rsid w:val="008F0F10"/>
    <w:rsid w:val="008F1063"/>
    <w:rsid w:val="008F1079"/>
    <w:rsid w:val="008F112F"/>
    <w:rsid w:val="008F17A2"/>
    <w:rsid w:val="008F1B35"/>
    <w:rsid w:val="008F1B3E"/>
    <w:rsid w:val="008F1E38"/>
    <w:rsid w:val="008F1F9F"/>
    <w:rsid w:val="008F1FC3"/>
    <w:rsid w:val="008F21A5"/>
    <w:rsid w:val="008F2341"/>
    <w:rsid w:val="008F23BB"/>
    <w:rsid w:val="008F2473"/>
    <w:rsid w:val="008F24BA"/>
    <w:rsid w:val="008F2991"/>
    <w:rsid w:val="008F2AD0"/>
    <w:rsid w:val="008F2CBE"/>
    <w:rsid w:val="008F2D15"/>
    <w:rsid w:val="008F2FFE"/>
    <w:rsid w:val="008F315A"/>
    <w:rsid w:val="008F34A9"/>
    <w:rsid w:val="008F351D"/>
    <w:rsid w:val="008F35B3"/>
    <w:rsid w:val="008F361C"/>
    <w:rsid w:val="008F36C0"/>
    <w:rsid w:val="008F374C"/>
    <w:rsid w:val="008F37B6"/>
    <w:rsid w:val="008F3893"/>
    <w:rsid w:val="008F3A48"/>
    <w:rsid w:val="008F3B67"/>
    <w:rsid w:val="008F3B85"/>
    <w:rsid w:val="008F3E8E"/>
    <w:rsid w:val="008F3EA8"/>
    <w:rsid w:val="008F4295"/>
    <w:rsid w:val="008F42DD"/>
    <w:rsid w:val="008F444C"/>
    <w:rsid w:val="008F4626"/>
    <w:rsid w:val="008F47C7"/>
    <w:rsid w:val="008F484C"/>
    <w:rsid w:val="008F4ADE"/>
    <w:rsid w:val="008F4B50"/>
    <w:rsid w:val="008F4C7C"/>
    <w:rsid w:val="008F4D11"/>
    <w:rsid w:val="008F4D82"/>
    <w:rsid w:val="008F4DB2"/>
    <w:rsid w:val="008F4E20"/>
    <w:rsid w:val="008F4E89"/>
    <w:rsid w:val="008F4EAC"/>
    <w:rsid w:val="008F4FA1"/>
    <w:rsid w:val="008F51D9"/>
    <w:rsid w:val="008F525D"/>
    <w:rsid w:val="008F52A7"/>
    <w:rsid w:val="008F54A8"/>
    <w:rsid w:val="008F570C"/>
    <w:rsid w:val="008F583D"/>
    <w:rsid w:val="008F59E8"/>
    <w:rsid w:val="008F5A79"/>
    <w:rsid w:val="008F5AAE"/>
    <w:rsid w:val="008F5D69"/>
    <w:rsid w:val="008F5DA3"/>
    <w:rsid w:val="008F5DE4"/>
    <w:rsid w:val="008F6068"/>
    <w:rsid w:val="008F6086"/>
    <w:rsid w:val="008F6302"/>
    <w:rsid w:val="008F63EF"/>
    <w:rsid w:val="008F641A"/>
    <w:rsid w:val="008F6538"/>
    <w:rsid w:val="008F6631"/>
    <w:rsid w:val="008F67A3"/>
    <w:rsid w:val="008F68B6"/>
    <w:rsid w:val="008F68F6"/>
    <w:rsid w:val="008F691D"/>
    <w:rsid w:val="008F6A43"/>
    <w:rsid w:val="008F6A73"/>
    <w:rsid w:val="008F6B3C"/>
    <w:rsid w:val="008F6D46"/>
    <w:rsid w:val="008F6DAF"/>
    <w:rsid w:val="008F6DEC"/>
    <w:rsid w:val="008F6E5E"/>
    <w:rsid w:val="008F6F0B"/>
    <w:rsid w:val="008F70E5"/>
    <w:rsid w:val="008F768C"/>
    <w:rsid w:val="008F7888"/>
    <w:rsid w:val="008F7D01"/>
    <w:rsid w:val="008F7D6C"/>
    <w:rsid w:val="008F7DC3"/>
    <w:rsid w:val="008F7EF6"/>
    <w:rsid w:val="008F7F41"/>
    <w:rsid w:val="008F7F49"/>
    <w:rsid w:val="008F7F9A"/>
    <w:rsid w:val="00900093"/>
    <w:rsid w:val="00900178"/>
    <w:rsid w:val="009002EF"/>
    <w:rsid w:val="0090033D"/>
    <w:rsid w:val="00900483"/>
    <w:rsid w:val="00900503"/>
    <w:rsid w:val="0090051D"/>
    <w:rsid w:val="009005AD"/>
    <w:rsid w:val="009007F6"/>
    <w:rsid w:val="0090088B"/>
    <w:rsid w:val="00900898"/>
    <w:rsid w:val="00900A0A"/>
    <w:rsid w:val="00900A25"/>
    <w:rsid w:val="00900DDD"/>
    <w:rsid w:val="00900E88"/>
    <w:rsid w:val="00901167"/>
    <w:rsid w:val="009012D5"/>
    <w:rsid w:val="00901627"/>
    <w:rsid w:val="009016E0"/>
    <w:rsid w:val="00901973"/>
    <w:rsid w:val="00901A01"/>
    <w:rsid w:val="00901A8D"/>
    <w:rsid w:val="00901AB4"/>
    <w:rsid w:val="00901BAA"/>
    <w:rsid w:val="00901C97"/>
    <w:rsid w:val="00901CB6"/>
    <w:rsid w:val="00901DC6"/>
    <w:rsid w:val="00901F29"/>
    <w:rsid w:val="009020A5"/>
    <w:rsid w:val="00902295"/>
    <w:rsid w:val="00902461"/>
    <w:rsid w:val="009024BE"/>
    <w:rsid w:val="009025E5"/>
    <w:rsid w:val="009026B9"/>
    <w:rsid w:val="009026C2"/>
    <w:rsid w:val="00902BF9"/>
    <w:rsid w:val="00902DFE"/>
    <w:rsid w:val="00902E6F"/>
    <w:rsid w:val="00902F20"/>
    <w:rsid w:val="00902F6D"/>
    <w:rsid w:val="00903113"/>
    <w:rsid w:val="0090317E"/>
    <w:rsid w:val="0090321A"/>
    <w:rsid w:val="009032BF"/>
    <w:rsid w:val="0090330D"/>
    <w:rsid w:val="00903337"/>
    <w:rsid w:val="0090344B"/>
    <w:rsid w:val="00903699"/>
    <w:rsid w:val="00903753"/>
    <w:rsid w:val="009037B5"/>
    <w:rsid w:val="00903864"/>
    <w:rsid w:val="00903938"/>
    <w:rsid w:val="009039F7"/>
    <w:rsid w:val="00903D98"/>
    <w:rsid w:val="00904077"/>
    <w:rsid w:val="00904124"/>
    <w:rsid w:val="0090427C"/>
    <w:rsid w:val="00904303"/>
    <w:rsid w:val="00904562"/>
    <w:rsid w:val="00904574"/>
    <w:rsid w:val="0090462C"/>
    <w:rsid w:val="0090467C"/>
    <w:rsid w:val="009047D5"/>
    <w:rsid w:val="00904B05"/>
    <w:rsid w:val="00904B27"/>
    <w:rsid w:val="00904B3F"/>
    <w:rsid w:val="00904B92"/>
    <w:rsid w:val="00904BAB"/>
    <w:rsid w:val="00904C51"/>
    <w:rsid w:val="00904E37"/>
    <w:rsid w:val="00904FA9"/>
    <w:rsid w:val="00905089"/>
    <w:rsid w:val="0090509B"/>
    <w:rsid w:val="00905335"/>
    <w:rsid w:val="00905341"/>
    <w:rsid w:val="0090562E"/>
    <w:rsid w:val="00905636"/>
    <w:rsid w:val="00905663"/>
    <w:rsid w:val="00905667"/>
    <w:rsid w:val="00905939"/>
    <w:rsid w:val="00905953"/>
    <w:rsid w:val="00905B86"/>
    <w:rsid w:val="00905E66"/>
    <w:rsid w:val="00905FE3"/>
    <w:rsid w:val="00905FFC"/>
    <w:rsid w:val="00906177"/>
    <w:rsid w:val="00906229"/>
    <w:rsid w:val="009063F9"/>
    <w:rsid w:val="00906460"/>
    <w:rsid w:val="0090647E"/>
    <w:rsid w:val="009064A6"/>
    <w:rsid w:val="00906511"/>
    <w:rsid w:val="00906592"/>
    <w:rsid w:val="009065F4"/>
    <w:rsid w:val="0090671E"/>
    <w:rsid w:val="00906A23"/>
    <w:rsid w:val="00906A51"/>
    <w:rsid w:val="00906C19"/>
    <w:rsid w:val="00906C65"/>
    <w:rsid w:val="00906EFD"/>
    <w:rsid w:val="0090701D"/>
    <w:rsid w:val="00907029"/>
    <w:rsid w:val="0090709A"/>
    <w:rsid w:val="00907103"/>
    <w:rsid w:val="009071B1"/>
    <w:rsid w:val="009071F9"/>
    <w:rsid w:val="0090724C"/>
    <w:rsid w:val="009072E2"/>
    <w:rsid w:val="009074B4"/>
    <w:rsid w:val="009074C7"/>
    <w:rsid w:val="00907521"/>
    <w:rsid w:val="009077E2"/>
    <w:rsid w:val="009079EA"/>
    <w:rsid w:val="00907BE1"/>
    <w:rsid w:val="00907C35"/>
    <w:rsid w:val="00907CAA"/>
    <w:rsid w:val="00907DFD"/>
    <w:rsid w:val="00907E67"/>
    <w:rsid w:val="00907E7D"/>
    <w:rsid w:val="00907E88"/>
    <w:rsid w:val="00907F25"/>
    <w:rsid w:val="00907FB0"/>
    <w:rsid w:val="0091002B"/>
    <w:rsid w:val="00910149"/>
    <w:rsid w:val="00910253"/>
    <w:rsid w:val="009108F5"/>
    <w:rsid w:val="00910A3D"/>
    <w:rsid w:val="00910A49"/>
    <w:rsid w:val="00910B79"/>
    <w:rsid w:val="00910F80"/>
    <w:rsid w:val="00910F8A"/>
    <w:rsid w:val="00911184"/>
    <w:rsid w:val="0091127A"/>
    <w:rsid w:val="00911652"/>
    <w:rsid w:val="0091168D"/>
    <w:rsid w:val="00911803"/>
    <w:rsid w:val="00911970"/>
    <w:rsid w:val="00911AD9"/>
    <w:rsid w:val="00911C35"/>
    <w:rsid w:val="00911E95"/>
    <w:rsid w:val="00911F4D"/>
    <w:rsid w:val="00912007"/>
    <w:rsid w:val="00912304"/>
    <w:rsid w:val="009125FD"/>
    <w:rsid w:val="00912657"/>
    <w:rsid w:val="00912775"/>
    <w:rsid w:val="00912908"/>
    <w:rsid w:val="00912AD1"/>
    <w:rsid w:val="00912B44"/>
    <w:rsid w:val="00912D8D"/>
    <w:rsid w:val="00913078"/>
    <w:rsid w:val="0091338D"/>
    <w:rsid w:val="009133BD"/>
    <w:rsid w:val="009135D0"/>
    <w:rsid w:val="0091362B"/>
    <w:rsid w:val="00913718"/>
    <w:rsid w:val="009137C2"/>
    <w:rsid w:val="009138D7"/>
    <w:rsid w:val="00913C0B"/>
    <w:rsid w:val="00913CAF"/>
    <w:rsid w:val="00913EA6"/>
    <w:rsid w:val="00913EB4"/>
    <w:rsid w:val="00913FFA"/>
    <w:rsid w:val="00914206"/>
    <w:rsid w:val="00914245"/>
    <w:rsid w:val="00914317"/>
    <w:rsid w:val="00914383"/>
    <w:rsid w:val="00914446"/>
    <w:rsid w:val="00914494"/>
    <w:rsid w:val="009144D6"/>
    <w:rsid w:val="009146FD"/>
    <w:rsid w:val="00914D81"/>
    <w:rsid w:val="00914DF7"/>
    <w:rsid w:val="00914E2A"/>
    <w:rsid w:val="00914F57"/>
    <w:rsid w:val="00914FE8"/>
    <w:rsid w:val="00915006"/>
    <w:rsid w:val="0091505B"/>
    <w:rsid w:val="00915060"/>
    <w:rsid w:val="009153DB"/>
    <w:rsid w:val="00915469"/>
    <w:rsid w:val="00915516"/>
    <w:rsid w:val="0091552A"/>
    <w:rsid w:val="0091560C"/>
    <w:rsid w:val="00915652"/>
    <w:rsid w:val="0091568A"/>
    <w:rsid w:val="00915725"/>
    <w:rsid w:val="00915748"/>
    <w:rsid w:val="00915852"/>
    <w:rsid w:val="0091599F"/>
    <w:rsid w:val="009159DA"/>
    <w:rsid w:val="00915ACC"/>
    <w:rsid w:val="00915B35"/>
    <w:rsid w:val="00916172"/>
    <w:rsid w:val="0091623D"/>
    <w:rsid w:val="0091625D"/>
    <w:rsid w:val="00916303"/>
    <w:rsid w:val="009163EA"/>
    <w:rsid w:val="00916463"/>
    <w:rsid w:val="009165F4"/>
    <w:rsid w:val="00916702"/>
    <w:rsid w:val="00916816"/>
    <w:rsid w:val="0091688F"/>
    <w:rsid w:val="0091689E"/>
    <w:rsid w:val="00916920"/>
    <w:rsid w:val="00916B68"/>
    <w:rsid w:val="00917252"/>
    <w:rsid w:val="0091733F"/>
    <w:rsid w:val="009173C9"/>
    <w:rsid w:val="00917478"/>
    <w:rsid w:val="009175F1"/>
    <w:rsid w:val="00917632"/>
    <w:rsid w:val="00917698"/>
    <w:rsid w:val="009176C9"/>
    <w:rsid w:val="00917703"/>
    <w:rsid w:val="0091780E"/>
    <w:rsid w:val="0091788B"/>
    <w:rsid w:val="0091790B"/>
    <w:rsid w:val="00917AF2"/>
    <w:rsid w:val="00917C05"/>
    <w:rsid w:val="00917D7E"/>
    <w:rsid w:val="00917E16"/>
    <w:rsid w:val="00917EBC"/>
    <w:rsid w:val="00920000"/>
    <w:rsid w:val="00920084"/>
    <w:rsid w:val="0092009F"/>
    <w:rsid w:val="00920135"/>
    <w:rsid w:val="00920489"/>
    <w:rsid w:val="00920897"/>
    <w:rsid w:val="009208F7"/>
    <w:rsid w:val="00920A3E"/>
    <w:rsid w:val="00920A66"/>
    <w:rsid w:val="00920C6C"/>
    <w:rsid w:val="00920C93"/>
    <w:rsid w:val="00920DEA"/>
    <w:rsid w:val="009210DB"/>
    <w:rsid w:val="00921133"/>
    <w:rsid w:val="0092120D"/>
    <w:rsid w:val="009212AB"/>
    <w:rsid w:val="009213DD"/>
    <w:rsid w:val="009214B0"/>
    <w:rsid w:val="00921569"/>
    <w:rsid w:val="009215FD"/>
    <w:rsid w:val="0092160B"/>
    <w:rsid w:val="00921629"/>
    <w:rsid w:val="009217E0"/>
    <w:rsid w:val="009217F8"/>
    <w:rsid w:val="0092180E"/>
    <w:rsid w:val="00921938"/>
    <w:rsid w:val="00921A45"/>
    <w:rsid w:val="00921A68"/>
    <w:rsid w:val="00921B37"/>
    <w:rsid w:val="00921CBB"/>
    <w:rsid w:val="00921D09"/>
    <w:rsid w:val="00921E29"/>
    <w:rsid w:val="00921FD3"/>
    <w:rsid w:val="00922072"/>
    <w:rsid w:val="00922128"/>
    <w:rsid w:val="009221A4"/>
    <w:rsid w:val="009222A3"/>
    <w:rsid w:val="0092268A"/>
    <w:rsid w:val="009226A6"/>
    <w:rsid w:val="00922826"/>
    <w:rsid w:val="00922842"/>
    <w:rsid w:val="009228E2"/>
    <w:rsid w:val="0092299C"/>
    <w:rsid w:val="00922A82"/>
    <w:rsid w:val="00922B57"/>
    <w:rsid w:val="00922C77"/>
    <w:rsid w:val="00922DC4"/>
    <w:rsid w:val="00922E1C"/>
    <w:rsid w:val="00922E43"/>
    <w:rsid w:val="00922E66"/>
    <w:rsid w:val="009230CB"/>
    <w:rsid w:val="0092310A"/>
    <w:rsid w:val="00923149"/>
    <w:rsid w:val="0092317E"/>
    <w:rsid w:val="009231AD"/>
    <w:rsid w:val="009232C1"/>
    <w:rsid w:val="00923438"/>
    <w:rsid w:val="009234B7"/>
    <w:rsid w:val="009235AB"/>
    <w:rsid w:val="0092367B"/>
    <w:rsid w:val="0092382F"/>
    <w:rsid w:val="009238E4"/>
    <w:rsid w:val="00923A1B"/>
    <w:rsid w:val="00923BAB"/>
    <w:rsid w:val="00923BD3"/>
    <w:rsid w:val="00923CB1"/>
    <w:rsid w:val="00923E87"/>
    <w:rsid w:val="00923F10"/>
    <w:rsid w:val="0092404E"/>
    <w:rsid w:val="009244CD"/>
    <w:rsid w:val="00924622"/>
    <w:rsid w:val="009246CA"/>
    <w:rsid w:val="0092482A"/>
    <w:rsid w:val="00924906"/>
    <w:rsid w:val="00924988"/>
    <w:rsid w:val="00924AC6"/>
    <w:rsid w:val="00924C29"/>
    <w:rsid w:val="00924CEF"/>
    <w:rsid w:val="00925088"/>
    <w:rsid w:val="009250F9"/>
    <w:rsid w:val="00925507"/>
    <w:rsid w:val="0092564A"/>
    <w:rsid w:val="0092573F"/>
    <w:rsid w:val="009257D4"/>
    <w:rsid w:val="009258A9"/>
    <w:rsid w:val="00925B4B"/>
    <w:rsid w:val="00925E6F"/>
    <w:rsid w:val="00925E8A"/>
    <w:rsid w:val="00926041"/>
    <w:rsid w:val="00926060"/>
    <w:rsid w:val="009261B7"/>
    <w:rsid w:val="009261F2"/>
    <w:rsid w:val="00926251"/>
    <w:rsid w:val="009262A2"/>
    <w:rsid w:val="009262EB"/>
    <w:rsid w:val="009263CB"/>
    <w:rsid w:val="009265E8"/>
    <w:rsid w:val="00926620"/>
    <w:rsid w:val="00926653"/>
    <w:rsid w:val="00926861"/>
    <w:rsid w:val="0092687A"/>
    <w:rsid w:val="00926942"/>
    <w:rsid w:val="00926A62"/>
    <w:rsid w:val="00926BDE"/>
    <w:rsid w:val="00926DCA"/>
    <w:rsid w:val="00926E1C"/>
    <w:rsid w:val="00926E94"/>
    <w:rsid w:val="00927077"/>
    <w:rsid w:val="00927154"/>
    <w:rsid w:val="00927431"/>
    <w:rsid w:val="00927443"/>
    <w:rsid w:val="009274AF"/>
    <w:rsid w:val="00927647"/>
    <w:rsid w:val="00927689"/>
    <w:rsid w:val="009278BA"/>
    <w:rsid w:val="009278E5"/>
    <w:rsid w:val="009279CB"/>
    <w:rsid w:val="00927A49"/>
    <w:rsid w:val="00927A5A"/>
    <w:rsid w:val="00927C04"/>
    <w:rsid w:val="00927C11"/>
    <w:rsid w:val="00927C2E"/>
    <w:rsid w:val="00927CD6"/>
    <w:rsid w:val="00927D00"/>
    <w:rsid w:val="00927D03"/>
    <w:rsid w:val="00927F22"/>
    <w:rsid w:val="00927F98"/>
    <w:rsid w:val="009302B6"/>
    <w:rsid w:val="00930456"/>
    <w:rsid w:val="009304C8"/>
    <w:rsid w:val="00930634"/>
    <w:rsid w:val="0093090E"/>
    <w:rsid w:val="00930A1E"/>
    <w:rsid w:val="00930A44"/>
    <w:rsid w:val="00930BAA"/>
    <w:rsid w:val="00930C8E"/>
    <w:rsid w:val="00930D37"/>
    <w:rsid w:val="00930D86"/>
    <w:rsid w:val="00930E66"/>
    <w:rsid w:val="00930FE8"/>
    <w:rsid w:val="00931254"/>
    <w:rsid w:val="00931405"/>
    <w:rsid w:val="009314E7"/>
    <w:rsid w:val="0093155F"/>
    <w:rsid w:val="009315C6"/>
    <w:rsid w:val="009315E0"/>
    <w:rsid w:val="009317F7"/>
    <w:rsid w:val="00931834"/>
    <w:rsid w:val="009318B9"/>
    <w:rsid w:val="0093199C"/>
    <w:rsid w:val="009319EF"/>
    <w:rsid w:val="00931C22"/>
    <w:rsid w:val="00931D87"/>
    <w:rsid w:val="00931FE8"/>
    <w:rsid w:val="00931FEC"/>
    <w:rsid w:val="00932026"/>
    <w:rsid w:val="0093215F"/>
    <w:rsid w:val="009323BF"/>
    <w:rsid w:val="0093248E"/>
    <w:rsid w:val="009325E8"/>
    <w:rsid w:val="00932799"/>
    <w:rsid w:val="0093279F"/>
    <w:rsid w:val="009327B3"/>
    <w:rsid w:val="009327BA"/>
    <w:rsid w:val="00932864"/>
    <w:rsid w:val="009328BD"/>
    <w:rsid w:val="00932AC1"/>
    <w:rsid w:val="00932E76"/>
    <w:rsid w:val="00932F84"/>
    <w:rsid w:val="00932F9C"/>
    <w:rsid w:val="00933185"/>
    <w:rsid w:val="0093322A"/>
    <w:rsid w:val="009333FB"/>
    <w:rsid w:val="009334C3"/>
    <w:rsid w:val="009335A3"/>
    <w:rsid w:val="00933640"/>
    <w:rsid w:val="009336EE"/>
    <w:rsid w:val="009337E0"/>
    <w:rsid w:val="0093381E"/>
    <w:rsid w:val="00933978"/>
    <w:rsid w:val="009339A5"/>
    <w:rsid w:val="00933A0E"/>
    <w:rsid w:val="00933A6E"/>
    <w:rsid w:val="00933B6C"/>
    <w:rsid w:val="00933C05"/>
    <w:rsid w:val="00933E03"/>
    <w:rsid w:val="00933E8A"/>
    <w:rsid w:val="00933F42"/>
    <w:rsid w:val="00933F83"/>
    <w:rsid w:val="0093421C"/>
    <w:rsid w:val="00934420"/>
    <w:rsid w:val="00934542"/>
    <w:rsid w:val="009347BA"/>
    <w:rsid w:val="0093499E"/>
    <w:rsid w:val="00934A08"/>
    <w:rsid w:val="00934BF2"/>
    <w:rsid w:val="00934E2D"/>
    <w:rsid w:val="00934E48"/>
    <w:rsid w:val="00934E51"/>
    <w:rsid w:val="00934EA2"/>
    <w:rsid w:val="00934F4F"/>
    <w:rsid w:val="00935190"/>
    <w:rsid w:val="00935316"/>
    <w:rsid w:val="0093555F"/>
    <w:rsid w:val="009355B2"/>
    <w:rsid w:val="009355D9"/>
    <w:rsid w:val="009357A8"/>
    <w:rsid w:val="00935A79"/>
    <w:rsid w:val="00935AD7"/>
    <w:rsid w:val="00935B06"/>
    <w:rsid w:val="00935C07"/>
    <w:rsid w:val="00935CDC"/>
    <w:rsid w:val="00935FF7"/>
    <w:rsid w:val="00936066"/>
    <w:rsid w:val="00936089"/>
    <w:rsid w:val="0093609A"/>
    <w:rsid w:val="0093667D"/>
    <w:rsid w:val="009366E7"/>
    <w:rsid w:val="00936768"/>
    <w:rsid w:val="009369B6"/>
    <w:rsid w:val="00936A44"/>
    <w:rsid w:val="00936F15"/>
    <w:rsid w:val="00936FB4"/>
    <w:rsid w:val="009371C3"/>
    <w:rsid w:val="00937477"/>
    <w:rsid w:val="00937499"/>
    <w:rsid w:val="009374D2"/>
    <w:rsid w:val="00937556"/>
    <w:rsid w:val="00937579"/>
    <w:rsid w:val="00937717"/>
    <w:rsid w:val="00937819"/>
    <w:rsid w:val="00937A1E"/>
    <w:rsid w:val="00937A5D"/>
    <w:rsid w:val="00937AB7"/>
    <w:rsid w:val="00937E10"/>
    <w:rsid w:val="0094025D"/>
    <w:rsid w:val="009402E8"/>
    <w:rsid w:val="009402F0"/>
    <w:rsid w:val="009403A7"/>
    <w:rsid w:val="0094040D"/>
    <w:rsid w:val="00940638"/>
    <w:rsid w:val="009406A7"/>
    <w:rsid w:val="009407B1"/>
    <w:rsid w:val="0094086F"/>
    <w:rsid w:val="00940945"/>
    <w:rsid w:val="00940948"/>
    <w:rsid w:val="009409BD"/>
    <w:rsid w:val="00940B06"/>
    <w:rsid w:val="00940C9E"/>
    <w:rsid w:val="00940CDC"/>
    <w:rsid w:val="00940EC2"/>
    <w:rsid w:val="00941077"/>
    <w:rsid w:val="00941102"/>
    <w:rsid w:val="0094118F"/>
    <w:rsid w:val="00941271"/>
    <w:rsid w:val="00941618"/>
    <w:rsid w:val="00941792"/>
    <w:rsid w:val="009417FD"/>
    <w:rsid w:val="00941B23"/>
    <w:rsid w:val="00941B35"/>
    <w:rsid w:val="00941B4B"/>
    <w:rsid w:val="00941B4E"/>
    <w:rsid w:val="00941BBE"/>
    <w:rsid w:val="00941BE4"/>
    <w:rsid w:val="00941C0E"/>
    <w:rsid w:val="00941C87"/>
    <w:rsid w:val="00941CAB"/>
    <w:rsid w:val="00941E19"/>
    <w:rsid w:val="00941E6B"/>
    <w:rsid w:val="0094222F"/>
    <w:rsid w:val="009424C8"/>
    <w:rsid w:val="0094252C"/>
    <w:rsid w:val="009427E1"/>
    <w:rsid w:val="009427F2"/>
    <w:rsid w:val="0094284A"/>
    <w:rsid w:val="00942E35"/>
    <w:rsid w:val="00942FC6"/>
    <w:rsid w:val="009431B9"/>
    <w:rsid w:val="00943223"/>
    <w:rsid w:val="009432B4"/>
    <w:rsid w:val="009433AC"/>
    <w:rsid w:val="009433BA"/>
    <w:rsid w:val="00943436"/>
    <w:rsid w:val="0094347B"/>
    <w:rsid w:val="009434A7"/>
    <w:rsid w:val="0094359A"/>
    <w:rsid w:val="009435BB"/>
    <w:rsid w:val="009438F0"/>
    <w:rsid w:val="00943971"/>
    <w:rsid w:val="009439FE"/>
    <w:rsid w:val="00943A26"/>
    <w:rsid w:val="00943B8D"/>
    <w:rsid w:val="00943CDB"/>
    <w:rsid w:val="00943CDC"/>
    <w:rsid w:val="00943D6A"/>
    <w:rsid w:val="00943EAD"/>
    <w:rsid w:val="00943F01"/>
    <w:rsid w:val="00943FF5"/>
    <w:rsid w:val="009440BF"/>
    <w:rsid w:val="009440CB"/>
    <w:rsid w:val="009440E2"/>
    <w:rsid w:val="0094417F"/>
    <w:rsid w:val="009445D3"/>
    <w:rsid w:val="0094464F"/>
    <w:rsid w:val="00944685"/>
    <w:rsid w:val="009447B5"/>
    <w:rsid w:val="009447D3"/>
    <w:rsid w:val="0094484B"/>
    <w:rsid w:val="0094499D"/>
    <w:rsid w:val="00944AE6"/>
    <w:rsid w:val="00944B17"/>
    <w:rsid w:val="00944B35"/>
    <w:rsid w:val="00944C2D"/>
    <w:rsid w:val="00944CB8"/>
    <w:rsid w:val="00944EB7"/>
    <w:rsid w:val="009452B2"/>
    <w:rsid w:val="0094537C"/>
    <w:rsid w:val="00945393"/>
    <w:rsid w:val="00945528"/>
    <w:rsid w:val="0094552B"/>
    <w:rsid w:val="009455EB"/>
    <w:rsid w:val="00945747"/>
    <w:rsid w:val="009457DC"/>
    <w:rsid w:val="00945994"/>
    <w:rsid w:val="00945B41"/>
    <w:rsid w:val="00945B50"/>
    <w:rsid w:val="00945BC7"/>
    <w:rsid w:val="00945C34"/>
    <w:rsid w:val="00945CC5"/>
    <w:rsid w:val="00945D4B"/>
    <w:rsid w:val="00945D74"/>
    <w:rsid w:val="00945E0D"/>
    <w:rsid w:val="0094620F"/>
    <w:rsid w:val="00946483"/>
    <w:rsid w:val="00946522"/>
    <w:rsid w:val="009465D4"/>
    <w:rsid w:val="009466C0"/>
    <w:rsid w:val="00946800"/>
    <w:rsid w:val="00946885"/>
    <w:rsid w:val="009468E2"/>
    <w:rsid w:val="009469D7"/>
    <w:rsid w:val="00946A69"/>
    <w:rsid w:val="00946A7A"/>
    <w:rsid w:val="00946BEA"/>
    <w:rsid w:val="00946C3D"/>
    <w:rsid w:val="00946CD4"/>
    <w:rsid w:val="00946FDC"/>
    <w:rsid w:val="00947399"/>
    <w:rsid w:val="0094788C"/>
    <w:rsid w:val="0094796B"/>
    <w:rsid w:val="00947A20"/>
    <w:rsid w:val="00947B71"/>
    <w:rsid w:val="00947D62"/>
    <w:rsid w:val="00947D6B"/>
    <w:rsid w:val="00947D6E"/>
    <w:rsid w:val="00947D85"/>
    <w:rsid w:val="009501BE"/>
    <w:rsid w:val="009501CD"/>
    <w:rsid w:val="0095023A"/>
    <w:rsid w:val="00950255"/>
    <w:rsid w:val="00950273"/>
    <w:rsid w:val="00950274"/>
    <w:rsid w:val="009502FF"/>
    <w:rsid w:val="00950371"/>
    <w:rsid w:val="009503FB"/>
    <w:rsid w:val="0095058E"/>
    <w:rsid w:val="009505CC"/>
    <w:rsid w:val="0095065F"/>
    <w:rsid w:val="00950785"/>
    <w:rsid w:val="009507FA"/>
    <w:rsid w:val="00950938"/>
    <w:rsid w:val="00950AA7"/>
    <w:rsid w:val="00950C27"/>
    <w:rsid w:val="00950C55"/>
    <w:rsid w:val="00950CAD"/>
    <w:rsid w:val="00950CDA"/>
    <w:rsid w:val="00950CED"/>
    <w:rsid w:val="00950E56"/>
    <w:rsid w:val="00950E66"/>
    <w:rsid w:val="00950EAA"/>
    <w:rsid w:val="0095106D"/>
    <w:rsid w:val="00951119"/>
    <w:rsid w:val="00951185"/>
    <w:rsid w:val="00951354"/>
    <w:rsid w:val="009513B6"/>
    <w:rsid w:val="009513B7"/>
    <w:rsid w:val="009515DB"/>
    <w:rsid w:val="00951793"/>
    <w:rsid w:val="0095185C"/>
    <w:rsid w:val="00951A63"/>
    <w:rsid w:val="00951B1C"/>
    <w:rsid w:val="00951BA8"/>
    <w:rsid w:val="00951DDC"/>
    <w:rsid w:val="00951E29"/>
    <w:rsid w:val="00952036"/>
    <w:rsid w:val="00952124"/>
    <w:rsid w:val="00952320"/>
    <w:rsid w:val="00952476"/>
    <w:rsid w:val="009524C1"/>
    <w:rsid w:val="00952615"/>
    <w:rsid w:val="00952C96"/>
    <w:rsid w:val="00952D0E"/>
    <w:rsid w:val="00952D2F"/>
    <w:rsid w:val="0095301E"/>
    <w:rsid w:val="0095316B"/>
    <w:rsid w:val="009534A8"/>
    <w:rsid w:val="009534BF"/>
    <w:rsid w:val="00953629"/>
    <w:rsid w:val="0095367A"/>
    <w:rsid w:val="00953749"/>
    <w:rsid w:val="0095382F"/>
    <w:rsid w:val="00953848"/>
    <w:rsid w:val="00953947"/>
    <w:rsid w:val="009539C4"/>
    <w:rsid w:val="00953B1E"/>
    <w:rsid w:val="00953BBE"/>
    <w:rsid w:val="00953E7D"/>
    <w:rsid w:val="0095437B"/>
    <w:rsid w:val="0095457F"/>
    <w:rsid w:val="009545A3"/>
    <w:rsid w:val="00954685"/>
    <w:rsid w:val="0095476C"/>
    <w:rsid w:val="0095493D"/>
    <w:rsid w:val="00954ACE"/>
    <w:rsid w:val="00954E0A"/>
    <w:rsid w:val="00954EBF"/>
    <w:rsid w:val="00955137"/>
    <w:rsid w:val="009552CC"/>
    <w:rsid w:val="00955371"/>
    <w:rsid w:val="009553E3"/>
    <w:rsid w:val="0095542A"/>
    <w:rsid w:val="0095549B"/>
    <w:rsid w:val="009554B5"/>
    <w:rsid w:val="009557F0"/>
    <w:rsid w:val="0095583C"/>
    <w:rsid w:val="00955B1C"/>
    <w:rsid w:val="00955D1F"/>
    <w:rsid w:val="00955D49"/>
    <w:rsid w:val="00955DD3"/>
    <w:rsid w:val="00955DEA"/>
    <w:rsid w:val="009560DD"/>
    <w:rsid w:val="009560F0"/>
    <w:rsid w:val="00956412"/>
    <w:rsid w:val="009564D0"/>
    <w:rsid w:val="00956500"/>
    <w:rsid w:val="0095650B"/>
    <w:rsid w:val="00956527"/>
    <w:rsid w:val="0095656A"/>
    <w:rsid w:val="009568FD"/>
    <w:rsid w:val="00956957"/>
    <w:rsid w:val="00956A3A"/>
    <w:rsid w:val="00956A4D"/>
    <w:rsid w:val="00956CF2"/>
    <w:rsid w:val="00956D5A"/>
    <w:rsid w:val="00956DD5"/>
    <w:rsid w:val="00956DD7"/>
    <w:rsid w:val="00956FD5"/>
    <w:rsid w:val="0095708B"/>
    <w:rsid w:val="0095714A"/>
    <w:rsid w:val="00957435"/>
    <w:rsid w:val="009575E9"/>
    <w:rsid w:val="0095776C"/>
    <w:rsid w:val="00957C46"/>
    <w:rsid w:val="00957C83"/>
    <w:rsid w:val="00957D18"/>
    <w:rsid w:val="0096015D"/>
    <w:rsid w:val="00960180"/>
    <w:rsid w:val="00960277"/>
    <w:rsid w:val="0096048C"/>
    <w:rsid w:val="00960507"/>
    <w:rsid w:val="009606B2"/>
    <w:rsid w:val="0096071D"/>
    <w:rsid w:val="00960750"/>
    <w:rsid w:val="00960A3D"/>
    <w:rsid w:val="00960D64"/>
    <w:rsid w:val="00960E36"/>
    <w:rsid w:val="00960EA0"/>
    <w:rsid w:val="00961210"/>
    <w:rsid w:val="0096130D"/>
    <w:rsid w:val="00961476"/>
    <w:rsid w:val="00961493"/>
    <w:rsid w:val="009614B3"/>
    <w:rsid w:val="009615DD"/>
    <w:rsid w:val="00961659"/>
    <w:rsid w:val="00961698"/>
    <w:rsid w:val="009618E4"/>
    <w:rsid w:val="00961A38"/>
    <w:rsid w:val="00961A90"/>
    <w:rsid w:val="00961C01"/>
    <w:rsid w:val="00961DEB"/>
    <w:rsid w:val="00961DF7"/>
    <w:rsid w:val="00961E9F"/>
    <w:rsid w:val="00962040"/>
    <w:rsid w:val="009623FC"/>
    <w:rsid w:val="00962848"/>
    <w:rsid w:val="00962BA2"/>
    <w:rsid w:val="00962BDA"/>
    <w:rsid w:val="00962ED8"/>
    <w:rsid w:val="00962F7F"/>
    <w:rsid w:val="00962FBE"/>
    <w:rsid w:val="009633BA"/>
    <w:rsid w:val="00963414"/>
    <w:rsid w:val="00963431"/>
    <w:rsid w:val="00963790"/>
    <w:rsid w:val="009637C6"/>
    <w:rsid w:val="009638ED"/>
    <w:rsid w:val="00963956"/>
    <w:rsid w:val="00963B5E"/>
    <w:rsid w:val="00963B9C"/>
    <w:rsid w:val="00963BF6"/>
    <w:rsid w:val="00963C24"/>
    <w:rsid w:val="00963E79"/>
    <w:rsid w:val="009640F6"/>
    <w:rsid w:val="009643F6"/>
    <w:rsid w:val="009644CA"/>
    <w:rsid w:val="009644F3"/>
    <w:rsid w:val="0096461D"/>
    <w:rsid w:val="009646C0"/>
    <w:rsid w:val="0096471B"/>
    <w:rsid w:val="009647AC"/>
    <w:rsid w:val="009647E9"/>
    <w:rsid w:val="0096485A"/>
    <w:rsid w:val="009648C8"/>
    <w:rsid w:val="009648E2"/>
    <w:rsid w:val="009649D2"/>
    <w:rsid w:val="00964ADE"/>
    <w:rsid w:val="00964B3D"/>
    <w:rsid w:val="00964B8D"/>
    <w:rsid w:val="00964C8D"/>
    <w:rsid w:val="00964F0F"/>
    <w:rsid w:val="009651CD"/>
    <w:rsid w:val="009652FF"/>
    <w:rsid w:val="00965378"/>
    <w:rsid w:val="009654E0"/>
    <w:rsid w:val="00965571"/>
    <w:rsid w:val="009659D1"/>
    <w:rsid w:val="00965A36"/>
    <w:rsid w:val="00965BE0"/>
    <w:rsid w:val="00965BE3"/>
    <w:rsid w:val="00965C20"/>
    <w:rsid w:val="00965CA0"/>
    <w:rsid w:val="00965D32"/>
    <w:rsid w:val="00965EFC"/>
    <w:rsid w:val="00966055"/>
    <w:rsid w:val="009660F7"/>
    <w:rsid w:val="009661DC"/>
    <w:rsid w:val="00966207"/>
    <w:rsid w:val="009662D5"/>
    <w:rsid w:val="00966368"/>
    <w:rsid w:val="009664DE"/>
    <w:rsid w:val="00966821"/>
    <w:rsid w:val="009668DC"/>
    <w:rsid w:val="00966941"/>
    <w:rsid w:val="00966956"/>
    <w:rsid w:val="00966B02"/>
    <w:rsid w:val="00966BDB"/>
    <w:rsid w:val="00966CC9"/>
    <w:rsid w:val="00966D8D"/>
    <w:rsid w:val="00966E1D"/>
    <w:rsid w:val="00966ECA"/>
    <w:rsid w:val="00967051"/>
    <w:rsid w:val="009671EB"/>
    <w:rsid w:val="009672AC"/>
    <w:rsid w:val="00967870"/>
    <w:rsid w:val="00967927"/>
    <w:rsid w:val="00967A62"/>
    <w:rsid w:val="00967B9B"/>
    <w:rsid w:val="00967D27"/>
    <w:rsid w:val="00967D60"/>
    <w:rsid w:val="00967D6F"/>
    <w:rsid w:val="00967FF6"/>
    <w:rsid w:val="009701A8"/>
    <w:rsid w:val="00970257"/>
    <w:rsid w:val="009702D6"/>
    <w:rsid w:val="0097040E"/>
    <w:rsid w:val="009704EA"/>
    <w:rsid w:val="0097051F"/>
    <w:rsid w:val="0097058A"/>
    <w:rsid w:val="00970598"/>
    <w:rsid w:val="00970605"/>
    <w:rsid w:val="00970667"/>
    <w:rsid w:val="00970724"/>
    <w:rsid w:val="00970855"/>
    <w:rsid w:val="009708E2"/>
    <w:rsid w:val="00970A05"/>
    <w:rsid w:val="00970BFB"/>
    <w:rsid w:val="00970D4D"/>
    <w:rsid w:val="00970E50"/>
    <w:rsid w:val="00970FD3"/>
    <w:rsid w:val="0097116F"/>
    <w:rsid w:val="00971192"/>
    <w:rsid w:val="00971294"/>
    <w:rsid w:val="009712AA"/>
    <w:rsid w:val="00971479"/>
    <w:rsid w:val="00971606"/>
    <w:rsid w:val="009716DF"/>
    <w:rsid w:val="009717D5"/>
    <w:rsid w:val="00971C08"/>
    <w:rsid w:val="00971CBF"/>
    <w:rsid w:val="00971DC2"/>
    <w:rsid w:val="00971E92"/>
    <w:rsid w:val="00971EBA"/>
    <w:rsid w:val="00971EC5"/>
    <w:rsid w:val="0097207F"/>
    <w:rsid w:val="00972194"/>
    <w:rsid w:val="009722EE"/>
    <w:rsid w:val="0097237A"/>
    <w:rsid w:val="00972554"/>
    <w:rsid w:val="0097258B"/>
    <w:rsid w:val="00972609"/>
    <w:rsid w:val="009728C0"/>
    <w:rsid w:val="0097290B"/>
    <w:rsid w:val="00972A11"/>
    <w:rsid w:val="00972AD4"/>
    <w:rsid w:val="00972C05"/>
    <w:rsid w:val="00972EF4"/>
    <w:rsid w:val="0097301C"/>
    <w:rsid w:val="00973111"/>
    <w:rsid w:val="009731D5"/>
    <w:rsid w:val="009732B4"/>
    <w:rsid w:val="00973316"/>
    <w:rsid w:val="0097333E"/>
    <w:rsid w:val="009733C1"/>
    <w:rsid w:val="009733EC"/>
    <w:rsid w:val="00973467"/>
    <w:rsid w:val="00973698"/>
    <w:rsid w:val="009736D6"/>
    <w:rsid w:val="00973BEF"/>
    <w:rsid w:val="00973CE7"/>
    <w:rsid w:val="00973D11"/>
    <w:rsid w:val="00973E72"/>
    <w:rsid w:val="00973F2E"/>
    <w:rsid w:val="009740A5"/>
    <w:rsid w:val="00974296"/>
    <w:rsid w:val="00974454"/>
    <w:rsid w:val="009744FC"/>
    <w:rsid w:val="00974A50"/>
    <w:rsid w:val="00974B66"/>
    <w:rsid w:val="00974E4E"/>
    <w:rsid w:val="00974EFB"/>
    <w:rsid w:val="00974FE4"/>
    <w:rsid w:val="00974FE6"/>
    <w:rsid w:val="00975262"/>
    <w:rsid w:val="00975462"/>
    <w:rsid w:val="00975479"/>
    <w:rsid w:val="0097547F"/>
    <w:rsid w:val="00975615"/>
    <w:rsid w:val="00975902"/>
    <w:rsid w:val="00975B22"/>
    <w:rsid w:val="00975C14"/>
    <w:rsid w:val="00975D82"/>
    <w:rsid w:val="00975E34"/>
    <w:rsid w:val="0097616F"/>
    <w:rsid w:val="00976378"/>
    <w:rsid w:val="009764F0"/>
    <w:rsid w:val="009765F4"/>
    <w:rsid w:val="0097661F"/>
    <w:rsid w:val="0097672E"/>
    <w:rsid w:val="009767DC"/>
    <w:rsid w:val="009769CA"/>
    <w:rsid w:val="00976B99"/>
    <w:rsid w:val="00976D34"/>
    <w:rsid w:val="00976E6A"/>
    <w:rsid w:val="00976F0F"/>
    <w:rsid w:val="00976F31"/>
    <w:rsid w:val="00976F61"/>
    <w:rsid w:val="00977276"/>
    <w:rsid w:val="0097729F"/>
    <w:rsid w:val="009772D3"/>
    <w:rsid w:val="009772E9"/>
    <w:rsid w:val="0097745A"/>
    <w:rsid w:val="00977472"/>
    <w:rsid w:val="00977565"/>
    <w:rsid w:val="009775DF"/>
    <w:rsid w:val="009776A9"/>
    <w:rsid w:val="009776AB"/>
    <w:rsid w:val="00977780"/>
    <w:rsid w:val="009777D6"/>
    <w:rsid w:val="009777F7"/>
    <w:rsid w:val="00977E7C"/>
    <w:rsid w:val="009800CE"/>
    <w:rsid w:val="0098019E"/>
    <w:rsid w:val="00980275"/>
    <w:rsid w:val="009802CD"/>
    <w:rsid w:val="009805DA"/>
    <w:rsid w:val="009806F5"/>
    <w:rsid w:val="009807F3"/>
    <w:rsid w:val="00980A44"/>
    <w:rsid w:val="00980B53"/>
    <w:rsid w:val="00980C09"/>
    <w:rsid w:val="00980C0C"/>
    <w:rsid w:val="00980CA4"/>
    <w:rsid w:val="00980FE1"/>
    <w:rsid w:val="00981004"/>
    <w:rsid w:val="0098115B"/>
    <w:rsid w:val="00981239"/>
    <w:rsid w:val="009812BF"/>
    <w:rsid w:val="00981384"/>
    <w:rsid w:val="009813A6"/>
    <w:rsid w:val="00981948"/>
    <w:rsid w:val="00981990"/>
    <w:rsid w:val="00981A47"/>
    <w:rsid w:val="00981A77"/>
    <w:rsid w:val="00981B73"/>
    <w:rsid w:val="00981C62"/>
    <w:rsid w:val="00981E30"/>
    <w:rsid w:val="00981EAA"/>
    <w:rsid w:val="009820B9"/>
    <w:rsid w:val="009820C1"/>
    <w:rsid w:val="0098221E"/>
    <w:rsid w:val="00982423"/>
    <w:rsid w:val="009824EE"/>
    <w:rsid w:val="009826E2"/>
    <w:rsid w:val="0098273C"/>
    <w:rsid w:val="00982B0F"/>
    <w:rsid w:val="00982B61"/>
    <w:rsid w:val="00982C2B"/>
    <w:rsid w:val="00982D21"/>
    <w:rsid w:val="00982E16"/>
    <w:rsid w:val="00982EC8"/>
    <w:rsid w:val="00982F86"/>
    <w:rsid w:val="00983312"/>
    <w:rsid w:val="0098338C"/>
    <w:rsid w:val="009833F4"/>
    <w:rsid w:val="0098340E"/>
    <w:rsid w:val="009834E8"/>
    <w:rsid w:val="009835A5"/>
    <w:rsid w:val="009836F0"/>
    <w:rsid w:val="00983814"/>
    <w:rsid w:val="00983862"/>
    <w:rsid w:val="00983928"/>
    <w:rsid w:val="009839C0"/>
    <w:rsid w:val="00983A27"/>
    <w:rsid w:val="00983A7B"/>
    <w:rsid w:val="00983D46"/>
    <w:rsid w:val="00983F0A"/>
    <w:rsid w:val="00983F25"/>
    <w:rsid w:val="0098408F"/>
    <w:rsid w:val="00984180"/>
    <w:rsid w:val="00984183"/>
    <w:rsid w:val="009842F8"/>
    <w:rsid w:val="009842FA"/>
    <w:rsid w:val="009843B6"/>
    <w:rsid w:val="00984407"/>
    <w:rsid w:val="00984620"/>
    <w:rsid w:val="00984652"/>
    <w:rsid w:val="009847B0"/>
    <w:rsid w:val="00984820"/>
    <w:rsid w:val="00984A87"/>
    <w:rsid w:val="00984E73"/>
    <w:rsid w:val="009850A3"/>
    <w:rsid w:val="009851E1"/>
    <w:rsid w:val="00985272"/>
    <w:rsid w:val="0098564E"/>
    <w:rsid w:val="0098566A"/>
    <w:rsid w:val="00985817"/>
    <w:rsid w:val="00985AB8"/>
    <w:rsid w:val="00985B8C"/>
    <w:rsid w:val="00985BAB"/>
    <w:rsid w:val="00985D61"/>
    <w:rsid w:val="0098609C"/>
    <w:rsid w:val="00986264"/>
    <w:rsid w:val="00986388"/>
    <w:rsid w:val="009863E2"/>
    <w:rsid w:val="00986528"/>
    <w:rsid w:val="009865C8"/>
    <w:rsid w:val="00986697"/>
    <w:rsid w:val="0098669F"/>
    <w:rsid w:val="009866B2"/>
    <w:rsid w:val="00986726"/>
    <w:rsid w:val="00986729"/>
    <w:rsid w:val="00986949"/>
    <w:rsid w:val="0098697F"/>
    <w:rsid w:val="00986B58"/>
    <w:rsid w:val="00986D99"/>
    <w:rsid w:val="00986E4E"/>
    <w:rsid w:val="00987116"/>
    <w:rsid w:val="0098716D"/>
    <w:rsid w:val="00987306"/>
    <w:rsid w:val="0098753B"/>
    <w:rsid w:val="0098759C"/>
    <w:rsid w:val="009875BE"/>
    <w:rsid w:val="00987626"/>
    <w:rsid w:val="00987704"/>
    <w:rsid w:val="00987806"/>
    <w:rsid w:val="00987857"/>
    <w:rsid w:val="009878D4"/>
    <w:rsid w:val="00987929"/>
    <w:rsid w:val="00987A9B"/>
    <w:rsid w:val="00987AA4"/>
    <w:rsid w:val="00987C5B"/>
    <w:rsid w:val="00987CB4"/>
    <w:rsid w:val="00987D1E"/>
    <w:rsid w:val="00987D34"/>
    <w:rsid w:val="00987DED"/>
    <w:rsid w:val="00987E91"/>
    <w:rsid w:val="00987EFC"/>
    <w:rsid w:val="00987F1C"/>
    <w:rsid w:val="00987F81"/>
    <w:rsid w:val="0099003A"/>
    <w:rsid w:val="0099009E"/>
    <w:rsid w:val="009900B5"/>
    <w:rsid w:val="009901ED"/>
    <w:rsid w:val="00990253"/>
    <w:rsid w:val="0099033B"/>
    <w:rsid w:val="00990343"/>
    <w:rsid w:val="00990409"/>
    <w:rsid w:val="00990572"/>
    <w:rsid w:val="009908C9"/>
    <w:rsid w:val="00990929"/>
    <w:rsid w:val="00990A75"/>
    <w:rsid w:val="00990C82"/>
    <w:rsid w:val="00990DFB"/>
    <w:rsid w:val="00991475"/>
    <w:rsid w:val="00991661"/>
    <w:rsid w:val="0099186B"/>
    <w:rsid w:val="009919AF"/>
    <w:rsid w:val="00991A32"/>
    <w:rsid w:val="00991A5C"/>
    <w:rsid w:val="00991B13"/>
    <w:rsid w:val="00991BD4"/>
    <w:rsid w:val="00991CD3"/>
    <w:rsid w:val="00991CDD"/>
    <w:rsid w:val="00991E56"/>
    <w:rsid w:val="00992003"/>
    <w:rsid w:val="0099207B"/>
    <w:rsid w:val="009920BE"/>
    <w:rsid w:val="00992320"/>
    <w:rsid w:val="00992377"/>
    <w:rsid w:val="00992531"/>
    <w:rsid w:val="009925DB"/>
    <w:rsid w:val="00992617"/>
    <w:rsid w:val="00992642"/>
    <w:rsid w:val="00992698"/>
    <w:rsid w:val="009926E0"/>
    <w:rsid w:val="00992793"/>
    <w:rsid w:val="009927A5"/>
    <w:rsid w:val="009927DF"/>
    <w:rsid w:val="0099280C"/>
    <w:rsid w:val="0099286A"/>
    <w:rsid w:val="009928F4"/>
    <w:rsid w:val="009929B5"/>
    <w:rsid w:val="009929BC"/>
    <w:rsid w:val="009929FB"/>
    <w:rsid w:val="00992E54"/>
    <w:rsid w:val="00992FD9"/>
    <w:rsid w:val="009930F9"/>
    <w:rsid w:val="00993188"/>
    <w:rsid w:val="00993213"/>
    <w:rsid w:val="009932EE"/>
    <w:rsid w:val="00993426"/>
    <w:rsid w:val="00993654"/>
    <w:rsid w:val="00993741"/>
    <w:rsid w:val="00993755"/>
    <w:rsid w:val="009937D0"/>
    <w:rsid w:val="00993AB8"/>
    <w:rsid w:val="00993E62"/>
    <w:rsid w:val="00993FBC"/>
    <w:rsid w:val="00994034"/>
    <w:rsid w:val="00994087"/>
    <w:rsid w:val="009941DF"/>
    <w:rsid w:val="00994404"/>
    <w:rsid w:val="00994749"/>
    <w:rsid w:val="009947D2"/>
    <w:rsid w:val="00994AC3"/>
    <w:rsid w:val="00994C0D"/>
    <w:rsid w:val="00994C54"/>
    <w:rsid w:val="00994CAB"/>
    <w:rsid w:val="00994CC8"/>
    <w:rsid w:val="00994F9C"/>
    <w:rsid w:val="009950B0"/>
    <w:rsid w:val="009950E7"/>
    <w:rsid w:val="00995290"/>
    <w:rsid w:val="00995332"/>
    <w:rsid w:val="00995725"/>
    <w:rsid w:val="009957D2"/>
    <w:rsid w:val="0099590A"/>
    <w:rsid w:val="00995964"/>
    <w:rsid w:val="009959E8"/>
    <w:rsid w:val="00995B27"/>
    <w:rsid w:val="00995E01"/>
    <w:rsid w:val="00995E5C"/>
    <w:rsid w:val="00995E6F"/>
    <w:rsid w:val="00995F4A"/>
    <w:rsid w:val="00995F5D"/>
    <w:rsid w:val="00995FDE"/>
    <w:rsid w:val="009960AF"/>
    <w:rsid w:val="009961C9"/>
    <w:rsid w:val="00996269"/>
    <w:rsid w:val="0099636A"/>
    <w:rsid w:val="0099643D"/>
    <w:rsid w:val="00996578"/>
    <w:rsid w:val="00996894"/>
    <w:rsid w:val="00996962"/>
    <w:rsid w:val="00996991"/>
    <w:rsid w:val="009969C7"/>
    <w:rsid w:val="00996A6A"/>
    <w:rsid w:val="00996B85"/>
    <w:rsid w:val="00996B9A"/>
    <w:rsid w:val="00996F1A"/>
    <w:rsid w:val="00996FC0"/>
    <w:rsid w:val="00997098"/>
    <w:rsid w:val="009970AE"/>
    <w:rsid w:val="0099712B"/>
    <w:rsid w:val="009971DE"/>
    <w:rsid w:val="00997339"/>
    <w:rsid w:val="0099761D"/>
    <w:rsid w:val="00997641"/>
    <w:rsid w:val="009976B4"/>
    <w:rsid w:val="009978AD"/>
    <w:rsid w:val="00997927"/>
    <w:rsid w:val="00997A91"/>
    <w:rsid w:val="00997B28"/>
    <w:rsid w:val="00997B59"/>
    <w:rsid w:val="00997C50"/>
    <w:rsid w:val="00997D62"/>
    <w:rsid w:val="00997E19"/>
    <w:rsid w:val="00997E31"/>
    <w:rsid w:val="00997E65"/>
    <w:rsid w:val="00997FBD"/>
    <w:rsid w:val="009A0016"/>
    <w:rsid w:val="009A01F4"/>
    <w:rsid w:val="009A020F"/>
    <w:rsid w:val="009A0368"/>
    <w:rsid w:val="009A03D1"/>
    <w:rsid w:val="009A05F2"/>
    <w:rsid w:val="009A0611"/>
    <w:rsid w:val="009A0646"/>
    <w:rsid w:val="009A09B3"/>
    <w:rsid w:val="009A0A92"/>
    <w:rsid w:val="009A0B57"/>
    <w:rsid w:val="009A0DF5"/>
    <w:rsid w:val="009A0E9B"/>
    <w:rsid w:val="009A0EF2"/>
    <w:rsid w:val="009A0F1A"/>
    <w:rsid w:val="009A0F9E"/>
    <w:rsid w:val="009A10E8"/>
    <w:rsid w:val="009A125B"/>
    <w:rsid w:val="009A157A"/>
    <w:rsid w:val="009A174C"/>
    <w:rsid w:val="009A1878"/>
    <w:rsid w:val="009A1885"/>
    <w:rsid w:val="009A18C4"/>
    <w:rsid w:val="009A18D1"/>
    <w:rsid w:val="009A18D9"/>
    <w:rsid w:val="009A198D"/>
    <w:rsid w:val="009A1A5E"/>
    <w:rsid w:val="009A1AB9"/>
    <w:rsid w:val="009A1B87"/>
    <w:rsid w:val="009A1CB0"/>
    <w:rsid w:val="009A1CB9"/>
    <w:rsid w:val="009A1D27"/>
    <w:rsid w:val="009A1D3A"/>
    <w:rsid w:val="009A2032"/>
    <w:rsid w:val="009A2045"/>
    <w:rsid w:val="009A2172"/>
    <w:rsid w:val="009A21B5"/>
    <w:rsid w:val="009A22C8"/>
    <w:rsid w:val="009A2361"/>
    <w:rsid w:val="009A23C6"/>
    <w:rsid w:val="009A2471"/>
    <w:rsid w:val="009A249C"/>
    <w:rsid w:val="009A24C3"/>
    <w:rsid w:val="009A24D8"/>
    <w:rsid w:val="009A24FD"/>
    <w:rsid w:val="009A2585"/>
    <w:rsid w:val="009A2624"/>
    <w:rsid w:val="009A26B7"/>
    <w:rsid w:val="009A2742"/>
    <w:rsid w:val="009A2A2A"/>
    <w:rsid w:val="009A2B41"/>
    <w:rsid w:val="009A2B4F"/>
    <w:rsid w:val="009A2F67"/>
    <w:rsid w:val="009A2F6C"/>
    <w:rsid w:val="009A2FA1"/>
    <w:rsid w:val="009A3033"/>
    <w:rsid w:val="009A319B"/>
    <w:rsid w:val="009A341E"/>
    <w:rsid w:val="009A34EE"/>
    <w:rsid w:val="009A359B"/>
    <w:rsid w:val="009A3622"/>
    <w:rsid w:val="009A365F"/>
    <w:rsid w:val="009A37D1"/>
    <w:rsid w:val="009A3921"/>
    <w:rsid w:val="009A3C7A"/>
    <w:rsid w:val="009A3D8D"/>
    <w:rsid w:val="009A3EBF"/>
    <w:rsid w:val="009A40D5"/>
    <w:rsid w:val="009A410B"/>
    <w:rsid w:val="009A415A"/>
    <w:rsid w:val="009A41E7"/>
    <w:rsid w:val="009A4353"/>
    <w:rsid w:val="009A4573"/>
    <w:rsid w:val="009A4581"/>
    <w:rsid w:val="009A45D2"/>
    <w:rsid w:val="009A45D4"/>
    <w:rsid w:val="009A4774"/>
    <w:rsid w:val="009A4878"/>
    <w:rsid w:val="009A48F1"/>
    <w:rsid w:val="009A4951"/>
    <w:rsid w:val="009A4AE1"/>
    <w:rsid w:val="009A4BE1"/>
    <w:rsid w:val="009A4D42"/>
    <w:rsid w:val="009A4D72"/>
    <w:rsid w:val="009A4DE5"/>
    <w:rsid w:val="009A4FD3"/>
    <w:rsid w:val="009A5452"/>
    <w:rsid w:val="009A592B"/>
    <w:rsid w:val="009A59E6"/>
    <w:rsid w:val="009A5A20"/>
    <w:rsid w:val="009A5A32"/>
    <w:rsid w:val="009A5B03"/>
    <w:rsid w:val="009A5B10"/>
    <w:rsid w:val="009A5BB3"/>
    <w:rsid w:val="009A5CDA"/>
    <w:rsid w:val="009A5D31"/>
    <w:rsid w:val="009A5E4F"/>
    <w:rsid w:val="009A5EB1"/>
    <w:rsid w:val="009A5FB2"/>
    <w:rsid w:val="009A6386"/>
    <w:rsid w:val="009A64B5"/>
    <w:rsid w:val="009A65A8"/>
    <w:rsid w:val="009A65FD"/>
    <w:rsid w:val="009A6624"/>
    <w:rsid w:val="009A69CD"/>
    <w:rsid w:val="009A6A42"/>
    <w:rsid w:val="009A6A5A"/>
    <w:rsid w:val="009A6A7E"/>
    <w:rsid w:val="009A6C46"/>
    <w:rsid w:val="009A6C99"/>
    <w:rsid w:val="009A6DAC"/>
    <w:rsid w:val="009A6DAE"/>
    <w:rsid w:val="009A6ED7"/>
    <w:rsid w:val="009A6FA8"/>
    <w:rsid w:val="009A6FBE"/>
    <w:rsid w:val="009A703D"/>
    <w:rsid w:val="009A708E"/>
    <w:rsid w:val="009A70A2"/>
    <w:rsid w:val="009A7153"/>
    <w:rsid w:val="009A717D"/>
    <w:rsid w:val="009A7243"/>
    <w:rsid w:val="009A7330"/>
    <w:rsid w:val="009A7358"/>
    <w:rsid w:val="009A7376"/>
    <w:rsid w:val="009A74FC"/>
    <w:rsid w:val="009A7619"/>
    <w:rsid w:val="009A76B6"/>
    <w:rsid w:val="009A77BF"/>
    <w:rsid w:val="009A7853"/>
    <w:rsid w:val="009A78BA"/>
    <w:rsid w:val="009A7929"/>
    <w:rsid w:val="009A79C4"/>
    <w:rsid w:val="009A7A46"/>
    <w:rsid w:val="009A7AC0"/>
    <w:rsid w:val="009A7ADA"/>
    <w:rsid w:val="009A7B52"/>
    <w:rsid w:val="009A7DA3"/>
    <w:rsid w:val="009B0004"/>
    <w:rsid w:val="009B0141"/>
    <w:rsid w:val="009B01FB"/>
    <w:rsid w:val="009B0284"/>
    <w:rsid w:val="009B02EB"/>
    <w:rsid w:val="009B031B"/>
    <w:rsid w:val="009B046C"/>
    <w:rsid w:val="009B046E"/>
    <w:rsid w:val="009B0554"/>
    <w:rsid w:val="009B05CA"/>
    <w:rsid w:val="009B0604"/>
    <w:rsid w:val="009B07DF"/>
    <w:rsid w:val="009B089D"/>
    <w:rsid w:val="009B0971"/>
    <w:rsid w:val="009B0997"/>
    <w:rsid w:val="009B0AFC"/>
    <w:rsid w:val="009B0B33"/>
    <w:rsid w:val="009B0CF4"/>
    <w:rsid w:val="009B0E3B"/>
    <w:rsid w:val="009B0FB1"/>
    <w:rsid w:val="009B112D"/>
    <w:rsid w:val="009B12A6"/>
    <w:rsid w:val="009B1345"/>
    <w:rsid w:val="009B137F"/>
    <w:rsid w:val="009B15B2"/>
    <w:rsid w:val="009B164A"/>
    <w:rsid w:val="009B179F"/>
    <w:rsid w:val="009B191E"/>
    <w:rsid w:val="009B1B31"/>
    <w:rsid w:val="009B1B33"/>
    <w:rsid w:val="009B1D4E"/>
    <w:rsid w:val="009B1FEB"/>
    <w:rsid w:val="009B2024"/>
    <w:rsid w:val="009B2031"/>
    <w:rsid w:val="009B20B4"/>
    <w:rsid w:val="009B20C5"/>
    <w:rsid w:val="009B2145"/>
    <w:rsid w:val="009B214F"/>
    <w:rsid w:val="009B2244"/>
    <w:rsid w:val="009B2271"/>
    <w:rsid w:val="009B2318"/>
    <w:rsid w:val="009B2330"/>
    <w:rsid w:val="009B23AC"/>
    <w:rsid w:val="009B241C"/>
    <w:rsid w:val="009B2523"/>
    <w:rsid w:val="009B2775"/>
    <w:rsid w:val="009B2795"/>
    <w:rsid w:val="009B2944"/>
    <w:rsid w:val="009B2A1D"/>
    <w:rsid w:val="009B2A3B"/>
    <w:rsid w:val="009B2B2E"/>
    <w:rsid w:val="009B2E01"/>
    <w:rsid w:val="009B2E70"/>
    <w:rsid w:val="009B2F3D"/>
    <w:rsid w:val="009B2FC2"/>
    <w:rsid w:val="009B2FF1"/>
    <w:rsid w:val="009B301D"/>
    <w:rsid w:val="009B3209"/>
    <w:rsid w:val="009B325B"/>
    <w:rsid w:val="009B3280"/>
    <w:rsid w:val="009B349B"/>
    <w:rsid w:val="009B36BC"/>
    <w:rsid w:val="009B39D7"/>
    <w:rsid w:val="009B3BA5"/>
    <w:rsid w:val="009B3BC3"/>
    <w:rsid w:val="009B3DE6"/>
    <w:rsid w:val="009B3EDF"/>
    <w:rsid w:val="009B3FED"/>
    <w:rsid w:val="009B4146"/>
    <w:rsid w:val="009B424B"/>
    <w:rsid w:val="009B4276"/>
    <w:rsid w:val="009B42AB"/>
    <w:rsid w:val="009B42DD"/>
    <w:rsid w:val="009B4340"/>
    <w:rsid w:val="009B443A"/>
    <w:rsid w:val="009B4511"/>
    <w:rsid w:val="009B451D"/>
    <w:rsid w:val="009B49F1"/>
    <w:rsid w:val="009B4D53"/>
    <w:rsid w:val="009B4DF3"/>
    <w:rsid w:val="009B4E84"/>
    <w:rsid w:val="009B51CE"/>
    <w:rsid w:val="009B5236"/>
    <w:rsid w:val="009B5359"/>
    <w:rsid w:val="009B5373"/>
    <w:rsid w:val="009B55C7"/>
    <w:rsid w:val="009B55F8"/>
    <w:rsid w:val="009B58C2"/>
    <w:rsid w:val="009B5951"/>
    <w:rsid w:val="009B59E0"/>
    <w:rsid w:val="009B5A99"/>
    <w:rsid w:val="009B5BCC"/>
    <w:rsid w:val="009B5D1D"/>
    <w:rsid w:val="009B5D7B"/>
    <w:rsid w:val="009B5E0B"/>
    <w:rsid w:val="009B5FB6"/>
    <w:rsid w:val="009B6044"/>
    <w:rsid w:val="009B609C"/>
    <w:rsid w:val="009B657C"/>
    <w:rsid w:val="009B65CE"/>
    <w:rsid w:val="009B66E9"/>
    <w:rsid w:val="009B66F4"/>
    <w:rsid w:val="009B6705"/>
    <w:rsid w:val="009B6787"/>
    <w:rsid w:val="009B6857"/>
    <w:rsid w:val="009B69BC"/>
    <w:rsid w:val="009B69D1"/>
    <w:rsid w:val="009B69F4"/>
    <w:rsid w:val="009B6A9C"/>
    <w:rsid w:val="009B6AA5"/>
    <w:rsid w:val="009B6B5A"/>
    <w:rsid w:val="009B6D96"/>
    <w:rsid w:val="009B6DD4"/>
    <w:rsid w:val="009B6E9F"/>
    <w:rsid w:val="009B7036"/>
    <w:rsid w:val="009B7091"/>
    <w:rsid w:val="009B715F"/>
    <w:rsid w:val="009B74C9"/>
    <w:rsid w:val="009B7580"/>
    <w:rsid w:val="009B75C8"/>
    <w:rsid w:val="009B760B"/>
    <w:rsid w:val="009B77F2"/>
    <w:rsid w:val="009B7851"/>
    <w:rsid w:val="009B797D"/>
    <w:rsid w:val="009B7A2D"/>
    <w:rsid w:val="009B7A3A"/>
    <w:rsid w:val="009B7BE8"/>
    <w:rsid w:val="009B7C01"/>
    <w:rsid w:val="009B7C5A"/>
    <w:rsid w:val="009B7DDE"/>
    <w:rsid w:val="009B7F90"/>
    <w:rsid w:val="009C00B3"/>
    <w:rsid w:val="009C00DA"/>
    <w:rsid w:val="009C0396"/>
    <w:rsid w:val="009C0528"/>
    <w:rsid w:val="009C0537"/>
    <w:rsid w:val="009C0651"/>
    <w:rsid w:val="009C0769"/>
    <w:rsid w:val="009C07D2"/>
    <w:rsid w:val="009C08D0"/>
    <w:rsid w:val="009C0A72"/>
    <w:rsid w:val="009C0B70"/>
    <w:rsid w:val="009C0BBC"/>
    <w:rsid w:val="009C0DE4"/>
    <w:rsid w:val="009C0EE7"/>
    <w:rsid w:val="009C0F39"/>
    <w:rsid w:val="009C10D9"/>
    <w:rsid w:val="009C1158"/>
    <w:rsid w:val="009C1273"/>
    <w:rsid w:val="009C12C4"/>
    <w:rsid w:val="009C1434"/>
    <w:rsid w:val="009C1615"/>
    <w:rsid w:val="009C1731"/>
    <w:rsid w:val="009C1C07"/>
    <w:rsid w:val="009C1C20"/>
    <w:rsid w:val="009C1CA9"/>
    <w:rsid w:val="009C1E7C"/>
    <w:rsid w:val="009C1F8F"/>
    <w:rsid w:val="009C2141"/>
    <w:rsid w:val="009C21C1"/>
    <w:rsid w:val="009C2276"/>
    <w:rsid w:val="009C227D"/>
    <w:rsid w:val="009C2451"/>
    <w:rsid w:val="009C24C1"/>
    <w:rsid w:val="009C2516"/>
    <w:rsid w:val="009C25B4"/>
    <w:rsid w:val="009C25C7"/>
    <w:rsid w:val="009C25DA"/>
    <w:rsid w:val="009C2608"/>
    <w:rsid w:val="009C2620"/>
    <w:rsid w:val="009C2754"/>
    <w:rsid w:val="009C2A03"/>
    <w:rsid w:val="009C2AEC"/>
    <w:rsid w:val="009C2B95"/>
    <w:rsid w:val="009C30BA"/>
    <w:rsid w:val="009C30E7"/>
    <w:rsid w:val="009C312B"/>
    <w:rsid w:val="009C33AB"/>
    <w:rsid w:val="009C3465"/>
    <w:rsid w:val="009C34EE"/>
    <w:rsid w:val="009C358D"/>
    <w:rsid w:val="009C3646"/>
    <w:rsid w:val="009C36BA"/>
    <w:rsid w:val="009C3916"/>
    <w:rsid w:val="009C39E2"/>
    <w:rsid w:val="009C3A81"/>
    <w:rsid w:val="009C3AB9"/>
    <w:rsid w:val="009C3C83"/>
    <w:rsid w:val="009C3F46"/>
    <w:rsid w:val="009C3F67"/>
    <w:rsid w:val="009C40D0"/>
    <w:rsid w:val="009C4237"/>
    <w:rsid w:val="009C425B"/>
    <w:rsid w:val="009C4283"/>
    <w:rsid w:val="009C4370"/>
    <w:rsid w:val="009C44B2"/>
    <w:rsid w:val="009C491F"/>
    <w:rsid w:val="009C4925"/>
    <w:rsid w:val="009C4AA1"/>
    <w:rsid w:val="009C4ACB"/>
    <w:rsid w:val="009C4E21"/>
    <w:rsid w:val="009C4EAF"/>
    <w:rsid w:val="009C5175"/>
    <w:rsid w:val="009C524F"/>
    <w:rsid w:val="009C546A"/>
    <w:rsid w:val="009C553F"/>
    <w:rsid w:val="009C5643"/>
    <w:rsid w:val="009C58C3"/>
    <w:rsid w:val="009C5920"/>
    <w:rsid w:val="009C59DA"/>
    <w:rsid w:val="009C5A0C"/>
    <w:rsid w:val="009C5DF8"/>
    <w:rsid w:val="009C5EE9"/>
    <w:rsid w:val="009C6085"/>
    <w:rsid w:val="009C6114"/>
    <w:rsid w:val="009C6159"/>
    <w:rsid w:val="009C61B7"/>
    <w:rsid w:val="009C61CC"/>
    <w:rsid w:val="009C621E"/>
    <w:rsid w:val="009C622D"/>
    <w:rsid w:val="009C6426"/>
    <w:rsid w:val="009C6626"/>
    <w:rsid w:val="009C67D8"/>
    <w:rsid w:val="009C68A6"/>
    <w:rsid w:val="009C68FA"/>
    <w:rsid w:val="009C6940"/>
    <w:rsid w:val="009C6B0C"/>
    <w:rsid w:val="009C6B1C"/>
    <w:rsid w:val="009C6B9F"/>
    <w:rsid w:val="009C6BE4"/>
    <w:rsid w:val="009C6C0F"/>
    <w:rsid w:val="009C6C5F"/>
    <w:rsid w:val="009C6D25"/>
    <w:rsid w:val="009C6D76"/>
    <w:rsid w:val="009C6D89"/>
    <w:rsid w:val="009C6F09"/>
    <w:rsid w:val="009C6F4B"/>
    <w:rsid w:val="009C6FB2"/>
    <w:rsid w:val="009C703B"/>
    <w:rsid w:val="009C7059"/>
    <w:rsid w:val="009C7089"/>
    <w:rsid w:val="009C71DB"/>
    <w:rsid w:val="009C7515"/>
    <w:rsid w:val="009C752E"/>
    <w:rsid w:val="009C756C"/>
    <w:rsid w:val="009C761E"/>
    <w:rsid w:val="009C7808"/>
    <w:rsid w:val="009C7950"/>
    <w:rsid w:val="009C796A"/>
    <w:rsid w:val="009C7989"/>
    <w:rsid w:val="009C7B01"/>
    <w:rsid w:val="009C7B3E"/>
    <w:rsid w:val="009C7B88"/>
    <w:rsid w:val="009C7B8A"/>
    <w:rsid w:val="009C7B9B"/>
    <w:rsid w:val="009C7BD6"/>
    <w:rsid w:val="009C7BF3"/>
    <w:rsid w:val="009C7C0A"/>
    <w:rsid w:val="009C7C40"/>
    <w:rsid w:val="009C7FA1"/>
    <w:rsid w:val="009D00BD"/>
    <w:rsid w:val="009D024F"/>
    <w:rsid w:val="009D045A"/>
    <w:rsid w:val="009D0460"/>
    <w:rsid w:val="009D04B2"/>
    <w:rsid w:val="009D0576"/>
    <w:rsid w:val="009D05EC"/>
    <w:rsid w:val="009D062A"/>
    <w:rsid w:val="009D06C1"/>
    <w:rsid w:val="009D0792"/>
    <w:rsid w:val="009D07C7"/>
    <w:rsid w:val="009D090D"/>
    <w:rsid w:val="009D09B4"/>
    <w:rsid w:val="009D09FE"/>
    <w:rsid w:val="009D0A8E"/>
    <w:rsid w:val="009D0B97"/>
    <w:rsid w:val="009D0EF4"/>
    <w:rsid w:val="009D110B"/>
    <w:rsid w:val="009D1144"/>
    <w:rsid w:val="009D14E9"/>
    <w:rsid w:val="009D155E"/>
    <w:rsid w:val="009D1563"/>
    <w:rsid w:val="009D1624"/>
    <w:rsid w:val="009D17B8"/>
    <w:rsid w:val="009D1A99"/>
    <w:rsid w:val="009D1BAD"/>
    <w:rsid w:val="009D1C89"/>
    <w:rsid w:val="009D1D35"/>
    <w:rsid w:val="009D1EB4"/>
    <w:rsid w:val="009D1ED6"/>
    <w:rsid w:val="009D1FEB"/>
    <w:rsid w:val="009D2076"/>
    <w:rsid w:val="009D20C1"/>
    <w:rsid w:val="009D22B9"/>
    <w:rsid w:val="009D243B"/>
    <w:rsid w:val="009D248A"/>
    <w:rsid w:val="009D25F9"/>
    <w:rsid w:val="009D2611"/>
    <w:rsid w:val="009D2723"/>
    <w:rsid w:val="009D273E"/>
    <w:rsid w:val="009D2800"/>
    <w:rsid w:val="009D291F"/>
    <w:rsid w:val="009D294A"/>
    <w:rsid w:val="009D2C56"/>
    <w:rsid w:val="009D2DB2"/>
    <w:rsid w:val="009D2DD0"/>
    <w:rsid w:val="009D3030"/>
    <w:rsid w:val="009D331B"/>
    <w:rsid w:val="009D3646"/>
    <w:rsid w:val="009D3668"/>
    <w:rsid w:val="009D36C5"/>
    <w:rsid w:val="009D36CB"/>
    <w:rsid w:val="009D37E5"/>
    <w:rsid w:val="009D3979"/>
    <w:rsid w:val="009D3B48"/>
    <w:rsid w:val="009D3D81"/>
    <w:rsid w:val="009D3F6D"/>
    <w:rsid w:val="009D415E"/>
    <w:rsid w:val="009D429C"/>
    <w:rsid w:val="009D43F4"/>
    <w:rsid w:val="009D4656"/>
    <w:rsid w:val="009D4776"/>
    <w:rsid w:val="009D4A7C"/>
    <w:rsid w:val="009D4AA2"/>
    <w:rsid w:val="009D4CE4"/>
    <w:rsid w:val="009D4E52"/>
    <w:rsid w:val="009D4F02"/>
    <w:rsid w:val="009D4FC9"/>
    <w:rsid w:val="009D5100"/>
    <w:rsid w:val="009D5234"/>
    <w:rsid w:val="009D5250"/>
    <w:rsid w:val="009D52D5"/>
    <w:rsid w:val="009D5390"/>
    <w:rsid w:val="009D544A"/>
    <w:rsid w:val="009D5652"/>
    <w:rsid w:val="009D56CF"/>
    <w:rsid w:val="009D5857"/>
    <w:rsid w:val="009D593F"/>
    <w:rsid w:val="009D5971"/>
    <w:rsid w:val="009D5AA9"/>
    <w:rsid w:val="009D5DB3"/>
    <w:rsid w:val="009D5DBB"/>
    <w:rsid w:val="009D5F03"/>
    <w:rsid w:val="009D6029"/>
    <w:rsid w:val="009D603A"/>
    <w:rsid w:val="009D611B"/>
    <w:rsid w:val="009D6140"/>
    <w:rsid w:val="009D6147"/>
    <w:rsid w:val="009D6331"/>
    <w:rsid w:val="009D643F"/>
    <w:rsid w:val="009D6499"/>
    <w:rsid w:val="009D649D"/>
    <w:rsid w:val="009D67B3"/>
    <w:rsid w:val="009D6892"/>
    <w:rsid w:val="009D68ED"/>
    <w:rsid w:val="009D6A13"/>
    <w:rsid w:val="009D6EF2"/>
    <w:rsid w:val="009D6FAF"/>
    <w:rsid w:val="009D70F8"/>
    <w:rsid w:val="009D7304"/>
    <w:rsid w:val="009D7352"/>
    <w:rsid w:val="009D745C"/>
    <w:rsid w:val="009D7586"/>
    <w:rsid w:val="009D758B"/>
    <w:rsid w:val="009D75B3"/>
    <w:rsid w:val="009D77F8"/>
    <w:rsid w:val="009D7A91"/>
    <w:rsid w:val="009D7BC0"/>
    <w:rsid w:val="009D7D5A"/>
    <w:rsid w:val="009D7F14"/>
    <w:rsid w:val="009D7F32"/>
    <w:rsid w:val="009D7F6B"/>
    <w:rsid w:val="009E01D0"/>
    <w:rsid w:val="009E01F1"/>
    <w:rsid w:val="009E0271"/>
    <w:rsid w:val="009E02A1"/>
    <w:rsid w:val="009E03B7"/>
    <w:rsid w:val="009E03C1"/>
    <w:rsid w:val="009E0404"/>
    <w:rsid w:val="009E05A1"/>
    <w:rsid w:val="009E06CD"/>
    <w:rsid w:val="009E0769"/>
    <w:rsid w:val="009E0774"/>
    <w:rsid w:val="009E0859"/>
    <w:rsid w:val="009E0910"/>
    <w:rsid w:val="009E0983"/>
    <w:rsid w:val="009E0991"/>
    <w:rsid w:val="009E0A9E"/>
    <w:rsid w:val="009E0F7D"/>
    <w:rsid w:val="009E13AF"/>
    <w:rsid w:val="009E142F"/>
    <w:rsid w:val="009E198D"/>
    <w:rsid w:val="009E1B8E"/>
    <w:rsid w:val="009E1C62"/>
    <w:rsid w:val="009E1DC6"/>
    <w:rsid w:val="009E1E0F"/>
    <w:rsid w:val="009E1E84"/>
    <w:rsid w:val="009E1ED2"/>
    <w:rsid w:val="009E1F71"/>
    <w:rsid w:val="009E1FB6"/>
    <w:rsid w:val="009E20DF"/>
    <w:rsid w:val="009E21FC"/>
    <w:rsid w:val="009E23D8"/>
    <w:rsid w:val="009E24F9"/>
    <w:rsid w:val="009E25D4"/>
    <w:rsid w:val="009E26CD"/>
    <w:rsid w:val="009E29A0"/>
    <w:rsid w:val="009E2C4D"/>
    <w:rsid w:val="009E2D44"/>
    <w:rsid w:val="009E2FE8"/>
    <w:rsid w:val="009E307A"/>
    <w:rsid w:val="009E310A"/>
    <w:rsid w:val="009E31D3"/>
    <w:rsid w:val="009E3261"/>
    <w:rsid w:val="009E32F3"/>
    <w:rsid w:val="009E34D3"/>
    <w:rsid w:val="009E3746"/>
    <w:rsid w:val="009E3791"/>
    <w:rsid w:val="009E37B7"/>
    <w:rsid w:val="009E38C8"/>
    <w:rsid w:val="009E3C98"/>
    <w:rsid w:val="009E3FB4"/>
    <w:rsid w:val="009E3FEF"/>
    <w:rsid w:val="009E40BC"/>
    <w:rsid w:val="009E40C5"/>
    <w:rsid w:val="009E40EB"/>
    <w:rsid w:val="009E454B"/>
    <w:rsid w:val="009E465F"/>
    <w:rsid w:val="009E4725"/>
    <w:rsid w:val="009E47F2"/>
    <w:rsid w:val="009E4992"/>
    <w:rsid w:val="009E49C2"/>
    <w:rsid w:val="009E4C22"/>
    <w:rsid w:val="009E4CB3"/>
    <w:rsid w:val="009E4E58"/>
    <w:rsid w:val="009E4E85"/>
    <w:rsid w:val="009E5007"/>
    <w:rsid w:val="009E52F2"/>
    <w:rsid w:val="009E5397"/>
    <w:rsid w:val="009E557C"/>
    <w:rsid w:val="009E5639"/>
    <w:rsid w:val="009E5655"/>
    <w:rsid w:val="009E567A"/>
    <w:rsid w:val="009E5765"/>
    <w:rsid w:val="009E57E1"/>
    <w:rsid w:val="009E5851"/>
    <w:rsid w:val="009E5B6D"/>
    <w:rsid w:val="009E5B98"/>
    <w:rsid w:val="009E5E77"/>
    <w:rsid w:val="009E60A3"/>
    <w:rsid w:val="009E6383"/>
    <w:rsid w:val="009E63CF"/>
    <w:rsid w:val="009E648B"/>
    <w:rsid w:val="009E64B9"/>
    <w:rsid w:val="009E6607"/>
    <w:rsid w:val="009E66AF"/>
    <w:rsid w:val="009E67C9"/>
    <w:rsid w:val="009E6860"/>
    <w:rsid w:val="009E6A55"/>
    <w:rsid w:val="009E6C08"/>
    <w:rsid w:val="009E6D8C"/>
    <w:rsid w:val="009E6E58"/>
    <w:rsid w:val="009E6F05"/>
    <w:rsid w:val="009E6F76"/>
    <w:rsid w:val="009E6FC1"/>
    <w:rsid w:val="009E7262"/>
    <w:rsid w:val="009E7384"/>
    <w:rsid w:val="009E7465"/>
    <w:rsid w:val="009E7530"/>
    <w:rsid w:val="009E7684"/>
    <w:rsid w:val="009E7831"/>
    <w:rsid w:val="009E7832"/>
    <w:rsid w:val="009E791D"/>
    <w:rsid w:val="009E7952"/>
    <w:rsid w:val="009E7BD3"/>
    <w:rsid w:val="009E7FC6"/>
    <w:rsid w:val="009F0016"/>
    <w:rsid w:val="009F03C5"/>
    <w:rsid w:val="009F060A"/>
    <w:rsid w:val="009F06F5"/>
    <w:rsid w:val="009F072F"/>
    <w:rsid w:val="009F080A"/>
    <w:rsid w:val="009F0832"/>
    <w:rsid w:val="009F0847"/>
    <w:rsid w:val="009F09B6"/>
    <w:rsid w:val="009F09BD"/>
    <w:rsid w:val="009F0A9A"/>
    <w:rsid w:val="009F0AA1"/>
    <w:rsid w:val="009F0B80"/>
    <w:rsid w:val="009F0BE2"/>
    <w:rsid w:val="009F0E65"/>
    <w:rsid w:val="009F0EA4"/>
    <w:rsid w:val="009F11C7"/>
    <w:rsid w:val="009F121E"/>
    <w:rsid w:val="009F1268"/>
    <w:rsid w:val="009F129C"/>
    <w:rsid w:val="009F1326"/>
    <w:rsid w:val="009F133D"/>
    <w:rsid w:val="009F137C"/>
    <w:rsid w:val="009F13DD"/>
    <w:rsid w:val="009F14AF"/>
    <w:rsid w:val="009F14DA"/>
    <w:rsid w:val="009F157D"/>
    <w:rsid w:val="009F186B"/>
    <w:rsid w:val="009F1883"/>
    <w:rsid w:val="009F195D"/>
    <w:rsid w:val="009F195E"/>
    <w:rsid w:val="009F19EE"/>
    <w:rsid w:val="009F1C3F"/>
    <w:rsid w:val="009F1CBB"/>
    <w:rsid w:val="009F1CED"/>
    <w:rsid w:val="009F1DBC"/>
    <w:rsid w:val="009F1FC3"/>
    <w:rsid w:val="009F20F0"/>
    <w:rsid w:val="009F210E"/>
    <w:rsid w:val="009F2120"/>
    <w:rsid w:val="009F2188"/>
    <w:rsid w:val="009F2273"/>
    <w:rsid w:val="009F22F6"/>
    <w:rsid w:val="009F24C6"/>
    <w:rsid w:val="009F2544"/>
    <w:rsid w:val="009F26BE"/>
    <w:rsid w:val="009F2805"/>
    <w:rsid w:val="009F29CB"/>
    <w:rsid w:val="009F29FB"/>
    <w:rsid w:val="009F2A22"/>
    <w:rsid w:val="009F2C2B"/>
    <w:rsid w:val="009F2D46"/>
    <w:rsid w:val="009F2DA7"/>
    <w:rsid w:val="009F2E09"/>
    <w:rsid w:val="009F2EB4"/>
    <w:rsid w:val="009F33B9"/>
    <w:rsid w:val="009F3498"/>
    <w:rsid w:val="009F3549"/>
    <w:rsid w:val="009F35E2"/>
    <w:rsid w:val="009F377C"/>
    <w:rsid w:val="009F39C6"/>
    <w:rsid w:val="009F3BCA"/>
    <w:rsid w:val="009F3D87"/>
    <w:rsid w:val="009F3FA3"/>
    <w:rsid w:val="009F3FBF"/>
    <w:rsid w:val="009F4038"/>
    <w:rsid w:val="009F4047"/>
    <w:rsid w:val="009F4098"/>
    <w:rsid w:val="009F4143"/>
    <w:rsid w:val="009F42DA"/>
    <w:rsid w:val="009F432D"/>
    <w:rsid w:val="009F4417"/>
    <w:rsid w:val="009F44D1"/>
    <w:rsid w:val="009F469D"/>
    <w:rsid w:val="009F470A"/>
    <w:rsid w:val="009F4874"/>
    <w:rsid w:val="009F4A7E"/>
    <w:rsid w:val="009F4AF4"/>
    <w:rsid w:val="009F4B4B"/>
    <w:rsid w:val="009F4D27"/>
    <w:rsid w:val="009F501E"/>
    <w:rsid w:val="009F502F"/>
    <w:rsid w:val="009F5161"/>
    <w:rsid w:val="009F5248"/>
    <w:rsid w:val="009F5494"/>
    <w:rsid w:val="009F5577"/>
    <w:rsid w:val="009F565D"/>
    <w:rsid w:val="009F5716"/>
    <w:rsid w:val="009F5735"/>
    <w:rsid w:val="009F585A"/>
    <w:rsid w:val="009F58C6"/>
    <w:rsid w:val="009F58E2"/>
    <w:rsid w:val="009F5C0C"/>
    <w:rsid w:val="009F5DA0"/>
    <w:rsid w:val="009F5DD8"/>
    <w:rsid w:val="009F5E6E"/>
    <w:rsid w:val="009F5F7D"/>
    <w:rsid w:val="009F60CB"/>
    <w:rsid w:val="009F624C"/>
    <w:rsid w:val="009F6334"/>
    <w:rsid w:val="009F639F"/>
    <w:rsid w:val="009F6416"/>
    <w:rsid w:val="009F651C"/>
    <w:rsid w:val="009F6677"/>
    <w:rsid w:val="009F66F3"/>
    <w:rsid w:val="009F6717"/>
    <w:rsid w:val="009F6887"/>
    <w:rsid w:val="009F6918"/>
    <w:rsid w:val="009F69DA"/>
    <w:rsid w:val="009F73CE"/>
    <w:rsid w:val="009F73CF"/>
    <w:rsid w:val="009F749D"/>
    <w:rsid w:val="009F74AE"/>
    <w:rsid w:val="009F753A"/>
    <w:rsid w:val="009F7640"/>
    <w:rsid w:val="009F769F"/>
    <w:rsid w:val="009F76EB"/>
    <w:rsid w:val="009F773A"/>
    <w:rsid w:val="009F782A"/>
    <w:rsid w:val="009F7D54"/>
    <w:rsid w:val="009F7D65"/>
    <w:rsid w:val="009F7DCB"/>
    <w:rsid w:val="009F7E29"/>
    <w:rsid w:val="009F7E59"/>
    <w:rsid w:val="009F7F4A"/>
    <w:rsid w:val="00A00007"/>
    <w:rsid w:val="00A00146"/>
    <w:rsid w:val="00A00348"/>
    <w:rsid w:val="00A00394"/>
    <w:rsid w:val="00A004AA"/>
    <w:rsid w:val="00A00647"/>
    <w:rsid w:val="00A008F5"/>
    <w:rsid w:val="00A009B6"/>
    <w:rsid w:val="00A00A9B"/>
    <w:rsid w:val="00A00C1C"/>
    <w:rsid w:val="00A00CA4"/>
    <w:rsid w:val="00A00E11"/>
    <w:rsid w:val="00A00E21"/>
    <w:rsid w:val="00A00F10"/>
    <w:rsid w:val="00A01198"/>
    <w:rsid w:val="00A01234"/>
    <w:rsid w:val="00A013D1"/>
    <w:rsid w:val="00A0149A"/>
    <w:rsid w:val="00A0154D"/>
    <w:rsid w:val="00A01798"/>
    <w:rsid w:val="00A018EA"/>
    <w:rsid w:val="00A01D52"/>
    <w:rsid w:val="00A01E20"/>
    <w:rsid w:val="00A01F31"/>
    <w:rsid w:val="00A020B6"/>
    <w:rsid w:val="00A02435"/>
    <w:rsid w:val="00A02466"/>
    <w:rsid w:val="00A024B2"/>
    <w:rsid w:val="00A024D4"/>
    <w:rsid w:val="00A0270C"/>
    <w:rsid w:val="00A02C12"/>
    <w:rsid w:val="00A02D75"/>
    <w:rsid w:val="00A02F3D"/>
    <w:rsid w:val="00A03117"/>
    <w:rsid w:val="00A03179"/>
    <w:rsid w:val="00A0324A"/>
    <w:rsid w:val="00A0348E"/>
    <w:rsid w:val="00A03588"/>
    <w:rsid w:val="00A03590"/>
    <w:rsid w:val="00A038B1"/>
    <w:rsid w:val="00A03953"/>
    <w:rsid w:val="00A03AC2"/>
    <w:rsid w:val="00A03AD2"/>
    <w:rsid w:val="00A03AD7"/>
    <w:rsid w:val="00A03BEF"/>
    <w:rsid w:val="00A03C37"/>
    <w:rsid w:val="00A03D3B"/>
    <w:rsid w:val="00A03D84"/>
    <w:rsid w:val="00A03F24"/>
    <w:rsid w:val="00A03F6B"/>
    <w:rsid w:val="00A03FD3"/>
    <w:rsid w:val="00A04071"/>
    <w:rsid w:val="00A04266"/>
    <w:rsid w:val="00A042EB"/>
    <w:rsid w:val="00A04625"/>
    <w:rsid w:val="00A047C7"/>
    <w:rsid w:val="00A047DE"/>
    <w:rsid w:val="00A0484B"/>
    <w:rsid w:val="00A04991"/>
    <w:rsid w:val="00A04B49"/>
    <w:rsid w:val="00A04BD2"/>
    <w:rsid w:val="00A04CA1"/>
    <w:rsid w:val="00A04D00"/>
    <w:rsid w:val="00A04DDF"/>
    <w:rsid w:val="00A04E51"/>
    <w:rsid w:val="00A04E7C"/>
    <w:rsid w:val="00A05047"/>
    <w:rsid w:val="00A0578C"/>
    <w:rsid w:val="00A059B7"/>
    <w:rsid w:val="00A059B8"/>
    <w:rsid w:val="00A05B30"/>
    <w:rsid w:val="00A05BFF"/>
    <w:rsid w:val="00A05EEB"/>
    <w:rsid w:val="00A06039"/>
    <w:rsid w:val="00A061C7"/>
    <w:rsid w:val="00A065A5"/>
    <w:rsid w:val="00A06633"/>
    <w:rsid w:val="00A06645"/>
    <w:rsid w:val="00A06780"/>
    <w:rsid w:val="00A067A2"/>
    <w:rsid w:val="00A067D1"/>
    <w:rsid w:val="00A06825"/>
    <w:rsid w:val="00A069E9"/>
    <w:rsid w:val="00A06A90"/>
    <w:rsid w:val="00A06AF7"/>
    <w:rsid w:val="00A06C11"/>
    <w:rsid w:val="00A06DDD"/>
    <w:rsid w:val="00A06E32"/>
    <w:rsid w:val="00A06E67"/>
    <w:rsid w:val="00A06E69"/>
    <w:rsid w:val="00A06EBC"/>
    <w:rsid w:val="00A07020"/>
    <w:rsid w:val="00A07108"/>
    <w:rsid w:val="00A0730C"/>
    <w:rsid w:val="00A073A8"/>
    <w:rsid w:val="00A073BE"/>
    <w:rsid w:val="00A07489"/>
    <w:rsid w:val="00A074E1"/>
    <w:rsid w:val="00A07545"/>
    <w:rsid w:val="00A07694"/>
    <w:rsid w:val="00A076BE"/>
    <w:rsid w:val="00A076C4"/>
    <w:rsid w:val="00A0776F"/>
    <w:rsid w:val="00A0784F"/>
    <w:rsid w:val="00A078E2"/>
    <w:rsid w:val="00A0790B"/>
    <w:rsid w:val="00A079ED"/>
    <w:rsid w:val="00A07AD1"/>
    <w:rsid w:val="00A10073"/>
    <w:rsid w:val="00A100AC"/>
    <w:rsid w:val="00A100D4"/>
    <w:rsid w:val="00A1021D"/>
    <w:rsid w:val="00A102D9"/>
    <w:rsid w:val="00A10494"/>
    <w:rsid w:val="00A10745"/>
    <w:rsid w:val="00A10948"/>
    <w:rsid w:val="00A10A22"/>
    <w:rsid w:val="00A10B1E"/>
    <w:rsid w:val="00A10B23"/>
    <w:rsid w:val="00A10B6E"/>
    <w:rsid w:val="00A10B8E"/>
    <w:rsid w:val="00A10DF8"/>
    <w:rsid w:val="00A10F8D"/>
    <w:rsid w:val="00A10FC3"/>
    <w:rsid w:val="00A11030"/>
    <w:rsid w:val="00A1107F"/>
    <w:rsid w:val="00A111E9"/>
    <w:rsid w:val="00A11336"/>
    <w:rsid w:val="00A11424"/>
    <w:rsid w:val="00A114A1"/>
    <w:rsid w:val="00A118AE"/>
    <w:rsid w:val="00A11AD7"/>
    <w:rsid w:val="00A11C18"/>
    <w:rsid w:val="00A11D33"/>
    <w:rsid w:val="00A11E42"/>
    <w:rsid w:val="00A11FC7"/>
    <w:rsid w:val="00A1214F"/>
    <w:rsid w:val="00A121BA"/>
    <w:rsid w:val="00A12386"/>
    <w:rsid w:val="00A124A2"/>
    <w:rsid w:val="00A125BE"/>
    <w:rsid w:val="00A126E1"/>
    <w:rsid w:val="00A126E8"/>
    <w:rsid w:val="00A1270A"/>
    <w:rsid w:val="00A1271D"/>
    <w:rsid w:val="00A12815"/>
    <w:rsid w:val="00A12978"/>
    <w:rsid w:val="00A1297A"/>
    <w:rsid w:val="00A12AED"/>
    <w:rsid w:val="00A12D54"/>
    <w:rsid w:val="00A12D68"/>
    <w:rsid w:val="00A12FFD"/>
    <w:rsid w:val="00A13013"/>
    <w:rsid w:val="00A13261"/>
    <w:rsid w:val="00A13309"/>
    <w:rsid w:val="00A13356"/>
    <w:rsid w:val="00A1345F"/>
    <w:rsid w:val="00A136D6"/>
    <w:rsid w:val="00A13867"/>
    <w:rsid w:val="00A13955"/>
    <w:rsid w:val="00A139BB"/>
    <w:rsid w:val="00A13A3A"/>
    <w:rsid w:val="00A13D34"/>
    <w:rsid w:val="00A13D46"/>
    <w:rsid w:val="00A13D89"/>
    <w:rsid w:val="00A13E27"/>
    <w:rsid w:val="00A13F1A"/>
    <w:rsid w:val="00A1413D"/>
    <w:rsid w:val="00A142A4"/>
    <w:rsid w:val="00A143AE"/>
    <w:rsid w:val="00A14499"/>
    <w:rsid w:val="00A144BD"/>
    <w:rsid w:val="00A14597"/>
    <w:rsid w:val="00A1485C"/>
    <w:rsid w:val="00A14CEF"/>
    <w:rsid w:val="00A14D70"/>
    <w:rsid w:val="00A14DC2"/>
    <w:rsid w:val="00A14DC5"/>
    <w:rsid w:val="00A14E78"/>
    <w:rsid w:val="00A14E97"/>
    <w:rsid w:val="00A14F07"/>
    <w:rsid w:val="00A15046"/>
    <w:rsid w:val="00A15088"/>
    <w:rsid w:val="00A1512F"/>
    <w:rsid w:val="00A15231"/>
    <w:rsid w:val="00A154AA"/>
    <w:rsid w:val="00A15670"/>
    <w:rsid w:val="00A156BC"/>
    <w:rsid w:val="00A15721"/>
    <w:rsid w:val="00A1576B"/>
    <w:rsid w:val="00A15876"/>
    <w:rsid w:val="00A1590F"/>
    <w:rsid w:val="00A15B29"/>
    <w:rsid w:val="00A15E6D"/>
    <w:rsid w:val="00A16435"/>
    <w:rsid w:val="00A16584"/>
    <w:rsid w:val="00A165A3"/>
    <w:rsid w:val="00A165E4"/>
    <w:rsid w:val="00A165F1"/>
    <w:rsid w:val="00A166BD"/>
    <w:rsid w:val="00A1676D"/>
    <w:rsid w:val="00A1678A"/>
    <w:rsid w:val="00A1686C"/>
    <w:rsid w:val="00A168A8"/>
    <w:rsid w:val="00A168CA"/>
    <w:rsid w:val="00A16A8F"/>
    <w:rsid w:val="00A16B84"/>
    <w:rsid w:val="00A16CA8"/>
    <w:rsid w:val="00A16D5D"/>
    <w:rsid w:val="00A16DD9"/>
    <w:rsid w:val="00A16E65"/>
    <w:rsid w:val="00A16F31"/>
    <w:rsid w:val="00A170DE"/>
    <w:rsid w:val="00A170EE"/>
    <w:rsid w:val="00A1711B"/>
    <w:rsid w:val="00A17205"/>
    <w:rsid w:val="00A17394"/>
    <w:rsid w:val="00A173EC"/>
    <w:rsid w:val="00A1761A"/>
    <w:rsid w:val="00A177D4"/>
    <w:rsid w:val="00A17B87"/>
    <w:rsid w:val="00A17C8A"/>
    <w:rsid w:val="00A17D41"/>
    <w:rsid w:val="00A2022F"/>
    <w:rsid w:val="00A20231"/>
    <w:rsid w:val="00A20368"/>
    <w:rsid w:val="00A203A9"/>
    <w:rsid w:val="00A20514"/>
    <w:rsid w:val="00A20673"/>
    <w:rsid w:val="00A207BB"/>
    <w:rsid w:val="00A20AAA"/>
    <w:rsid w:val="00A20ED5"/>
    <w:rsid w:val="00A20F36"/>
    <w:rsid w:val="00A20FDC"/>
    <w:rsid w:val="00A21170"/>
    <w:rsid w:val="00A211B4"/>
    <w:rsid w:val="00A21302"/>
    <w:rsid w:val="00A21346"/>
    <w:rsid w:val="00A2148E"/>
    <w:rsid w:val="00A21550"/>
    <w:rsid w:val="00A21633"/>
    <w:rsid w:val="00A2169C"/>
    <w:rsid w:val="00A21842"/>
    <w:rsid w:val="00A21A86"/>
    <w:rsid w:val="00A21C99"/>
    <w:rsid w:val="00A21F7C"/>
    <w:rsid w:val="00A22052"/>
    <w:rsid w:val="00A2219D"/>
    <w:rsid w:val="00A22240"/>
    <w:rsid w:val="00A22292"/>
    <w:rsid w:val="00A222D9"/>
    <w:rsid w:val="00A223F8"/>
    <w:rsid w:val="00A225D2"/>
    <w:rsid w:val="00A2284C"/>
    <w:rsid w:val="00A22887"/>
    <w:rsid w:val="00A22BE8"/>
    <w:rsid w:val="00A22FCC"/>
    <w:rsid w:val="00A2332A"/>
    <w:rsid w:val="00A2335B"/>
    <w:rsid w:val="00A23410"/>
    <w:rsid w:val="00A2347B"/>
    <w:rsid w:val="00A234B9"/>
    <w:rsid w:val="00A23567"/>
    <w:rsid w:val="00A23574"/>
    <w:rsid w:val="00A23684"/>
    <w:rsid w:val="00A2369C"/>
    <w:rsid w:val="00A236E2"/>
    <w:rsid w:val="00A236F6"/>
    <w:rsid w:val="00A238EF"/>
    <w:rsid w:val="00A23A97"/>
    <w:rsid w:val="00A23C26"/>
    <w:rsid w:val="00A23E21"/>
    <w:rsid w:val="00A23E4A"/>
    <w:rsid w:val="00A23E67"/>
    <w:rsid w:val="00A23E91"/>
    <w:rsid w:val="00A23EFB"/>
    <w:rsid w:val="00A24105"/>
    <w:rsid w:val="00A242CA"/>
    <w:rsid w:val="00A243F9"/>
    <w:rsid w:val="00A2459C"/>
    <w:rsid w:val="00A246AE"/>
    <w:rsid w:val="00A24AB4"/>
    <w:rsid w:val="00A24ADF"/>
    <w:rsid w:val="00A24D90"/>
    <w:rsid w:val="00A24F68"/>
    <w:rsid w:val="00A25111"/>
    <w:rsid w:val="00A252CE"/>
    <w:rsid w:val="00A2539A"/>
    <w:rsid w:val="00A255A3"/>
    <w:rsid w:val="00A25601"/>
    <w:rsid w:val="00A257EF"/>
    <w:rsid w:val="00A25937"/>
    <w:rsid w:val="00A25A02"/>
    <w:rsid w:val="00A25A3E"/>
    <w:rsid w:val="00A25C4F"/>
    <w:rsid w:val="00A25D45"/>
    <w:rsid w:val="00A25DE6"/>
    <w:rsid w:val="00A25E13"/>
    <w:rsid w:val="00A25E53"/>
    <w:rsid w:val="00A25EF4"/>
    <w:rsid w:val="00A260E5"/>
    <w:rsid w:val="00A261A9"/>
    <w:rsid w:val="00A26314"/>
    <w:rsid w:val="00A26324"/>
    <w:rsid w:val="00A264EA"/>
    <w:rsid w:val="00A264EE"/>
    <w:rsid w:val="00A2656C"/>
    <w:rsid w:val="00A26578"/>
    <w:rsid w:val="00A26690"/>
    <w:rsid w:val="00A26708"/>
    <w:rsid w:val="00A26757"/>
    <w:rsid w:val="00A26816"/>
    <w:rsid w:val="00A2698B"/>
    <w:rsid w:val="00A269F7"/>
    <w:rsid w:val="00A26ADE"/>
    <w:rsid w:val="00A26B3C"/>
    <w:rsid w:val="00A26BCD"/>
    <w:rsid w:val="00A26C72"/>
    <w:rsid w:val="00A26CAC"/>
    <w:rsid w:val="00A26D6F"/>
    <w:rsid w:val="00A26DBF"/>
    <w:rsid w:val="00A26F01"/>
    <w:rsid w:val="00A27020"/>
    <w:rsid w:val="00A274B2"/>
    <w:rsid w:val="00A27530"/>
    <w:rsid w:val="00A275C6"/>
    <w:rsid w:val="00A2765B"/>
    <w:rsid w:val="00A27752"/>
    <w:rsid w:val="00A2777B"/>
    <w:rsid w:val="00A277FD"/>
    <w:rsid w:val="00A27824"/>
    <w:rsid w:val="00A27991"/>
    <w:rsid w:val="00A279BC"/>
    <w:rsid w:val="00A27A31"/>
    <w:rsid w:val="00A27C4A"/>
    <w:rsid w:val="00A27D8C"/>
    <w:rsid w:val="00A27F34"/>
    <w:rsid w:val="00A3013F"/>
    <w:rsid w:val="00A301FE"/>
    <w:rsid w:val="00A304C5"/>
    <w:rsid w:val="00A3073E"/>
    <w:rsid w:val="00A307D3"/>
    <w:rsid w:val="00A308B9"/>
    <w:rsid w:val="00A30AAC"/>
    <w:rsid w:val="00A30B0A"/>
    <w:rsid w:val="00A30C19"/>
    <w:rsid w:val="00A30C6F"/>
    <w:rsid w:val="00A30DFF"/>
    <w:rsid w:val="00A30E86"/>
    <w:rsid w:val="00A30EBC"/>
    <w:rsid w:val="00A30EFB"/>
    <w:rsid w:val="00A3110C"/>
    <w:rsid w:val="00A312D8"/>
    <w:rsid w:val="00A31392"/>
    <w:rsid w:val="00A31451"/>
    <w:rsid w:val="00A3165A"/>
    <w:rsid w:val="00A317D5"/>
    <w:rsid w:val="00A31851"/>
    <w:rsid w:val="00A31935"/>
    <w:rsid w:val="00A31952"/>
    <w:rsid w:val="00A31B3F"/>
    <w:rsid w:val="00A31C5D"/>
    <w:rsid w:val="00A31CA8"/>
    <w:rsid w:val="00A31D0E"/>
    <w:rsid w:val="00A31D6D"/>
    <w:rsid w:val="00A31D7B"/>
    <w:rsid w:val="00A31DA9"/>
    <w:rsid w:val="00A31F09"/>
    <w:rsid w:val="00A31F80"/>
    <w:rsid w:val="00A320B2"/>
    <w:rsid w:val="00A32287"/>
    <w:rsid w:val="00A322D4"/>
    <w:rsid w:val="00A3234F"/>
    <w:rsid w:val="00A323B5"/>
    <w:rsid w:val="00A32532"/>
    <w:rsid w:val="00A325F7"/>
    <w:rsid w:val="00A32786"/>
    <w:rsid w:val="00A3293C"/>
    <w:rsid w:val="00A32A1A"/>
    <w:rsid w:val="00A32ED7"/>
    <w:rsid w:val="00A33344"/>
    <w:rsid w:val="00A333A6"/>
    <w:rsid w:val="00A335E9"/>
    <w:rsid w:val="00A3367A"/>
    <w:rsid w:val="00A337C5"/>
    <w:rsid w:val="00A338B3"/>
    <w:rsid w:val="00A33A65"/>
    <w:rsid w:val="00A33AB2"/>
    <w:rsid w:val="00A33CD4"/>
    <w:rsid w:val="00A33CE1"/>
    <w:rsid w:val="00A33E20"/>
    <w:rsid w:val="00A33F5C"/>
    <w:rsid w:val="00A34229"/>
    <w:rsid w:val="00A342B1"/>
    <w:rsid w:val="00A347E9"/>
    <w:rsid w:val="00A348A6"/>
    <w:rsid w:val="00A3490A"/>
    <w:rsid w:val="00A34A11"/>
    <w:rsid w:val="00A34A31"/>
    <w:rsid w:val="00A34B41"/>
    <w:rsid w:val="00A34BA5"/>
    <w:rsid w:val="00A34D5D"/>
    <w:rsid w:val="00A3515B"/>
    <w:rsid w:val="00A351AB"/>
    <w:rsid w:val="00A35221"/>
    <w:rsid w:val="00A35302"/>
    <w:rsid w:val="00A3555E"/>
    <w:rsid w:val="00A3564C"/>
    <w:rsid w:val="00A35703"/>
    <w:rsid w:val="00A35750"/>
    <w:rsid w:val="00A3585F"/>
    <w:rsid w:val="00A35A2A"/>
    <w:rsid w:val="00A35C33"/>
    <w:rsid w:val="00A35CA0"/>
    <w:rsid w:val="00A35CEE"/>
    <w:rsid w:val="00A35D02"/>
    <w:rsid w:val="00A35D87"/>
    <w:rsid w:val="00A35D8C"/>
    <w:rsid w:val="00A35D8D"/>
    <w:rsid w:val="00A35DB6"/>
    <w:rsid w:val="00A35E89"/>
    <w:rsid w:val="00A35FA8"/>
    <w:rsid w:val="00A36181"/>
    <w:rsid w:val="00A364DC"/>
    <w:rsid w:val="00A36613"/>
    <w:rsid w:val="00A36763"/>
    <w:rsid w:val="00A368A3"/>
    <w:rsid w:val="00A369B4"/>
    <w:rsid w:val="00A36AD5"/>
    <w:rsid w:val="00A36B6D"/>
    <w:rsid w:val="00A36C4A"/>
    <w:rsid w:val="00A36DDD"/>
    <w:rsid w:val="00A37069"/>
    <w:rsid w:val="00A370F6"/>
    <w:rsid w:val="00A37340"/>
    <w:rsid w:val="00A375D8"/>
    <w:rsid w:val="00A37763"/>
    <w:rsid w:val="00A3791F"/>
    <w:rsid w:val="00A37A13"/>
    <w:rsid w:val="00A37C0C"/>
    <w:rsid w:val="00A37CBE"/>
    <w:rsid w:val="00A37F85"/>
    <w:rsid w:val="00A40005"/>
    <w:rsid w:val="00A40047"/>
    <w:rsid w:val="00A4018A"/>
    <w:rsid w:val="00A4021C"/>
    <w:rsid w:val="00A4022F"/>
    <w:rsid w:val="00A402C8"/>
    <w:rsid w:val="00A40400"/>
    <w:rsid w:val="00A404CD"/>
    <w:rsid w:val="00A409A2"/>
    <w:rsid w:val="00A40A1C"/>
    <w:rsid w:val="00A40A95"/>
    <w:rsid w:val="00A40E52"/>
    <w:rsid w:val="00A40E56"/>
    <w:rsid w:val="00A40EB8"/>
    <w:rsid w:val="00A40EC3"/>
    <w:rsid w:val="00A40EE6"/>
    <w:rsid w:val="00A40F0B"/>
    <w:rsid w:val="00A4102B"/>
    <w:rsid w:val="00A41064"/>
    <w:rsid w:val="00A4121B"/>
    <w:rsid w:val="00A412AE"/>
    <w:rsid w:val="00A4133E"/>
    <w:rsid w:val="00A41413"/>
    <w:rsid w:val="00A415EE"/>
    <w:rsid w:val="00A4168F"/>
    <w:rsid w:val="00A416AF"/>
    <w:rsid w:val="00A41740"/>
    <w:rsid w:val="00A41AA6"/>
    <w:rsid w:val="00A41B8A"/>
    <w:rsid w:val="00A41BF0"/>
    <w:rsid w:val="00A41D39"/>
    <w:rsid w:val="00A41DA7"/>
    <w:rsid w:val="00A422C5"/>
    <w:rsid w:val="00A4237B"/>
    <w:rsid w:val="00A4238A"/>
    <w:rsid w:val="00A423EA"/>
    <w:rsid w:val="00A42450"/>
    <w:rsid w:val="00A42456"/>
    <w:rsid w:val="00A424DB"/>
    <w:rsid w:val="00A42593"/>
    <w:rsid w:val="00A428F5"/>
    <w:rsid w:val="00A42920"/>
    <w:rsid w:val="00A42AE6"/>
    <w:rsid w:val="00A42C70"/>
    <w:rsid w:val="00A42C71"/>
    <w:rsid w:val="00A42EE5"/>
    <w:rsid w:val="00A42F1A"/>
    <w:rsid w:val="00A42FDC"/>
    <w:rsid w:val="00A4305C"/>
    <w:rsid w:val="00A4309A"/>
    <w:rsid w:val="00A431E3"/>
    <w:rsid w:val="00A432E1"/>
    <w:rsid w:val="00A432F0"/>
    <w:rsid w:val="00A433F3"/>
    <w:rsid w:val="00A436D5"/>
    <w:rsid w:val="00A43B2D"/>
    <w:rsid w:val="00A43B8C"/>
    <w:rsid w:val="00A43B92"/>
    <w:rsid w:val="00A43C85"/>
    <w:rsid w:val="00A43D31"/>
    <w:rsid w:val="00A4411A"/>
    <w:rsid w:val="00A44464"/>
    <w:rsid w:val="00A445A1"/>
    <w:rsid w:val="00A44889"/>
    <w:rsid w:val="00A4489A"/>
    <w:rsid w:val="00A448DE"/>
    <w:rsid w:val="00A44A1E"/>
    <w:rsid w:val="00A44A28"/>
    <w:rsid w:val="00A44ABA"/>
    <w:rsid w:val="00A44B86"/>
    <w:rsid w:val="00A44B87"/>
    <w:rsid w:val="00A44C16"/>
    <w:rsid w:val="00A44E19"/>
    <w:rsid w:val="00A44ECF"/>
    <w:rsid w:val="00A44F10"/>
    <w:rsid w:val="00A45378"/>
    <w:rsid w:val="00A45468"/>
    <w:rsid w:val="00A45499"/>
    <w:rsid w:val="00A45784"/>
    <w:rsid w:val="00A45934"/>
    <w:rsid w:val="00A45BB8"/>
    <w:rsid w:val="00A45EE0"/>
    <w:rsid w:val="00A45EFB"/>
    <w:rsid w:val="00A45FB8"/>
    <w:rsid w:val="00A460A6"/>
    <w:rsid w:val="00A460F7"/>
    <w:rsid w:val="00A460FB"/>
    <w:rsid w:val="00A46243"/>
    <w:rsid w:val="00A46489"/>
    <w:rsid w:val="00A464C5"/>
    <w:rsid w:val="00A467D2"/>
    <w:rsid w:val="00A4687B"/>
    <w:rsid w:val="00A46884"/>
    <w:rsid w:val="00A46A94"/>
    <w:rsid w:val="00A46AAC"/>
    <w:rsid w:val="00A46B9B"/>
    <w:rsid w:val="00A46C0D"/>
    <w:rsid w:val="00A46C7B"/>
    <w:rsid w:val="00A46E54"/>
    <w:rsid w:val="00A46E57"/>
    <w:rsid w:val="00A46EB4"/>
    <w:rsid w:val="00A46F56"/>
    <w:rsid w:val="00A470ED"/>
    <w:rsid w:val="00A471B3"/>
    <w:rsid w:val="00A47648"/>
    <w:rsid w:val="00A47675"/>
    <w:rsid w:val="00A4781C"/>
    <w:rsid w:val="00A479E1"/>
    <w:rsid w:val="00A47A7B"/>
    <w:rsid w:val="00A47D8B"/>
    <w:rsid w:val="00A47DF8"/>
    <w:rsid w:val="00A47E18"/>
    <w:rsid w:val="00A47E4A"/>
    <w:rsid w:val="00A47F09"/>
    <w:rsid w:val="00A47F25"/>
    <w:rsid w:val="00A47FC7"/>
    <w:rsid w:val="00A50399"/>
    <w:rsid w:val="00A503DF"/>
    <w:rsid w:val="00A5081D"/>
    <w:rsid w:val="00A5091A"/>
    <w:rsid w:val="00A50D27"/>
    <w:rsid w:val="00A50D3A"/>
    <w:rsid w:val="00A50D63"/>
    <w:rsid w:val="00A50D74"/>
    <w:rsid w:val="00A50DB7"/>
    <w:rsid w:val="00A50DC8"/>
    <w:rsid w:val="00A510D8"/>
    <w:rsid w:val="00A51221"/>
    <w:rsid w:val="00A512C0"/>
    <w:rsid w:val="00A513D0"/>
    <w:rsid w:val="00A513D3"/>
    <w:rsid w:val="00A517D8"/>
    <w:rsid w:val="00A51AB0"/>
    <w:rsid w:val="00A51C51"/>
    <w:rsid w:val="00A51CEC"/>
    <w:rsid w:val="00A51E08"/>
    <w:rsid w:val="00A51E16"/>
    <w:rsid w:val="00A51E39"/>
    <w:rsid w:val="00A51ED7"/>
    <w:rsid w:val="00A51F45"/>
    <w:rsid w:val="00A51F8B"/>
    <w:rsid w:val="00A521D5"/>
    <w:rsid w:val="00A5258E"/>
    <w:rsid w:val="00A5275F"/>
    <w:rsid w:val="00A529B7"/>
    <w:rsid w:val="00A52AF8"/>
    <w:rsid w:val="00A52B09"/>
    <w:rsid w:val="00A52B19"/>
    <w:rsid w:val="00A52C12"/>
    <w:rsid w:val="00A52C9E"/>
    <w:rsid w:val="00A52CEC"/>
    <w:rsid w:val="00A52E06"/>
    <w:rsid w:val="00A52F8C"/>
    <w:rsid w:val="00A52FF4"/>
    <w:rsid w:val="00A53022"/>
    <w:rsid w:val="00A53121"/>
    <w:rsid w:val="00A533E2"/>
    <w:rsid w:val="00A5361F"/>
    <w:rsid w:val="00A5391F"/>
    <w:rsid w:val="00A539EA"/>
    <w:rsid w:val="00A53B64"/>
    <w:rsid w:val="00A53C5E"/>
    <w:rsid w:val="00A53EFF"/>
    <w:rsid w:val="00A53FF6"/>
    <w:rsid w:val="00A53FFA"/>
    <w:rsid w:val="00A540A8"/>
    <w:rsid w:val="00A541C5"/>
    <w:rsid w:val="00A54257"/>
    <w:rsid w:val="00A5430B"/>
    <w:rsid w:val="00A5430D"/>
    <w:rsid w:val="00A543E3"/>
    <w:rsid w:val="00A54551"/>
    <w:rsid w:val="00A54567"/>
    <w:rsid w:val="00A547AA"/>
    <w:rsid w:val="00A548AC"/>
    <w:rsid w:val="00A548EE"/>
    <w:rsid w:val="00A54936"/>
    <w:rsid w:val="00A54995"/>
    <w:rsid w:val="00A54A05"/>
    <w:rsid w:val="00A54A74"/>
    <w:rsid w:val="00A54B4B"/>
    <w:rsid w:val="00A54E26"/>
    <w:rsid w:val="00A54F89"/>
    <w:rsid w:val="00A55216"/>
    <w:rsid w:val="00A5544A"/>
    <w:rsid w:val="00A556AF"/>
    <w:rsid w:val="00A55850"/>
    <w:rsid w:val="00A55856"/>
    <w:rsid w:val="00A55891"/>
    <w:rsid w:val="00A55949"/>
    <w:rsid w:val="00A55A57"/>
    <w:rsid w:val="00A55AAF"/>
    <w:rsid w:val="00A55AC5"/>
    <w:rsid w:val="00A55BCC"/>
    <w:rsid w:val="00A55C5D"/>
    <w:rsid w:val="00A55C80"/>
    <w:rsid w:val="00A55EB0"/>
    <w:rsid w:val="00A55F72"/>
    <w:rsid w:val="00A55FF2"/>
    <w:rsid w:val="00A560F1"/>
    <w:rsid w:val="00A56146"/>
    <w:rsid w:val="00A56181"/>
    <w:rsid w:val="00A56201"/>
    <w:rsid w:val="00A56423"/>
    <w:rsid w:val="00A564CC"/>
    <w:rsid w:val="00A564F6"/>
    <w:rsid w:val="00A56624"/>
    <w:rsid w:val="00A56948"/>
    <w:rsid w:val="00A56A73"/>
    <w:rsid w:val="00A56C03"/>
    <w:rsid w:val="00A56EB5"/>
    <w:rsid w:val="00A56F7F"/>
    <w:rsid w:val="00A56F98"/>
    <w:rsid w:val="00A5701E"/>
    <w:rsid w:val="00A571D1"/>
    <w:rsid w:val="00A571F2"/>
    <w:rsid w:val="00A57297"/>
    <w:rsid w:val="00A572D6"/>
    <w:rsid w:val="00A57400"/>
    <w:rsid w:val="00A57415"/>
    <w:rsid w:val="00A575BE"/>
    <w:rsid w:val="00A578A6"/>
    <w:rsid w:val="00A57991"/>
    <w:rsid w:val="00A57B41"/>
    <w:rsid w:val="00A57B96"/>
    <w:rsid w:val="00A57C86"/>
    <w:rsid w:val="00A57DEC"/>
    <w:rsid w:val="00A57E7B"/>
    <w:rsid w:val="00A57E88"/>
    <w:rsid w:val="00A60034"/>
    <w:rsid w:val="00A60045"/>
    <w:rsid w:val="00A60086"/>
    <w:rsid w:val="00A601DD"/>
    <w:rsid w:val="00A60335"/>
    <w:rsid w:val="00A6057F"/>
    <w:rsid w:val="00A6093B"/>
    <w:rsid w:val="00A60970"/>
    <w:rsid w:val="00A60A09"/>
    <w:rsid w:val="00A60CF2"/>
    <w:rsid w:val="00A60D13"/>
    <w:rsid w:val="00A60DAD"/>
    <w:rsid w:val="00A60DE3"/>
    <w:rsid w:val="00A6132B"/>
    <w:rsid w:val="00A61559"/>
    <w:rsid w:val="00A61824"/>
    <w:rsid w:val="00A618F9"/>
    <w:rsid w:val="00A61E11"/>
    <w:rsid w:val="00A61E17"/>
    <w:rsid w:val="00A61E32"/>
    <w:rsid w:val="00A61FC8"/>
    <w:rsid w:val="00A620C2"/>
    <w:rsid w:val="00A6216B"/>
    <w:rsid w:val="00A62199"/>
    <w:rsid w:val="00A62217"/>
    <w:rsid w:val="00A6222A"/>
    <w:rsid w:val="00A6228F"/>
    <w:rsid w:val="00A62357"/>
    <w:rsid w:val="00A62445"/>
    <w:rsid w:val="00A62505"/>
    <w:rsid w:val="00A6283E"/>
    <w:rsid w:val="00A62891"/>
    <w:rsid w:val="00A628D7"/>
    <w:rsid w:val="00A62953"/>
    <w:rsid w:val="00A6299C"/>
    <w:rsid w:val="00A62CD1"/>
    <w:rsid w:val="00A62D53"/>
    <w:rsid w:val="00A62D85"/>
    <w:rsid w:val="00A62DC1"/>
    <w:rsid w:val="00A62E17"/>
    <w:rsid w:val="00A63082"/>
    <w:rsid w:val="00A630B2"/>
    <w:rsid w:val="00A630C9"/>
    <w:rsid w:val="00A630CF"/>
    <w:rsid w:val="00A6325F"/>
    <w:rsid w:val="00A63915"/>
    <w:rsid w:val="00A63DD1"/>
    <w:rsid w:val="00A63F88"/>
    <w:rsid w:val="00A63FB6"/>
    <w:rsid w:val="00A642FF"/>
    <w:rsid w:val="00A64337"/>
    <w:rsid w:val="00A644C7"/>
    <w:rsid w:val="00A645BB"/>
    <w:rsid w:val="00A64902"/>
    <w:rsid w:val="00A64965"/>
    <w:rsid w:val="00A64A2D"/>
    <w:rsid w:val="00A64AB9"/>
    <w:rsid w:val="00A64ACF"/>
    <w:rsid w:val="00A64BAA"/>
    <w:rsid w:val="00A64D02"/>
    <w:rsid w:val="00A64D95"/>
    <w:rsid w:val="00A65055"/>
    <w:rsid w:val="00A6536F"/>
    <w:rsid w:val="00A6559E"/>
    <w:rsid w:val="00A656AD"/>
    <w:rsid w:val="00A656F9"/>
    <w:rsid w:val="00A657C5"/>
    <w:rsid w:val="00A65841"/>
    <w:rsid w:val="00A6590B"/>
    <w:rsid w:val="00A659CF"/>
    <w:rsid w:val="00A659E3"/>
    <w:rsid w:val="00A65C7A"/>
    <w:rsid w:val="00A65E16"/>
    <w:rsid w:val="00A65F02"/>
    <w:rsid w:val="00A65FFC"/>
    <w:rsid w:val="00A6621D"/>
    <w:rsid w:val="00A6624B"/>
    <w:rsid w:val="00A66537"/>
    <w:rsid w:val="00A66602"/>
    <w:rsid w:val="00A6666F"/>
    <w:rsid w:val="00A666C3"/>
    <w:rsid w:val="00A66748"/>
    <w:rsid w:val="00A667FE"/>
    <w:rsid w:val="00A66918"/>
    <w:rsid w:val="00A66B42"/>
    <w:rsid w:val="00A66DFB"/>
    <w:rsid w:val="00A66F21"/>
    <w:rsid w:val="00A66FA9"/>
    <w:rsid w:val="00A66FCE"/>
    <w:rsid w:val="00A67002"/>
    <w:rsid w:val="00A67189"/>
    <w:rsid w:val="00A671E1"/>
    <w:rsid w:val="00A6728C"/>
    <w:rsid w:val="00A6739F"/>
    <w:rsid w:val="00A673EA"/>
    <w:rsid w:val="00A675D9"/>
    <w:rsid w:val="00A6767D"/>
    <w:rsid w:val="00A67789"/>
    <w:rsid w:val="00A678B9"/>
    <w:rsid w:val="00A678D5"/>
    <w:rsid w:val="00A67A7B"/>
    <w:rsid w:val="00A67B51"/>
    <w:rsid w:val="00A67BD4"/>
    <w:rsid w:val="00A67BE0"/>
    <w:rsid w:val="00A67D18"/>
    <w:rsid w:val="00A67DC7"/>
    <w:rsid w:val="00A67E9A"/>
    <w:rsid w:val="00A67F27"/>
    <w:rsid w:val="00A67FFB"/>
    <w:rsid w:val="00A70016"/>
    <w:rsid w:val="00A703B3"/>
    <w:rsid w:val="00A70522"/>
    <w:rsid w:val="00A7067C"/>
    <w:rsid w:val="00A70856"/>
    <w:rsid w:val="00A70AED"/>
    <w:rsid w:val="00A70B0A"/>
    <w:rsid w:val="00A70C10"/>
    <w:rsid w:val="00A70EFE"/>
    <w:rsid w:val="00A70F5C"/>
    <w:rsid w:val="00A70F8C"/>
    <w:rsid w:val="00A710CE"/>
    <w:rsid w:val="00A71144"/>
    <w:rsid w:val="00A7115A"/>
    <w:rsid w:val="00A71685"/>
    <w:rsid w:val="00A71776"/>
    <w:rsid w:val="00A717AE"/>
    <w:rsid w:val="00A717EE"/>
    <w:rsid w:val="00A718F5"/>
    <w:rsid w:val="00A71936"/>
    <w:rsid w:val="00A7213E"/>
    <w:rsid w:val="00A72224"/>
    <w:rsid w:val="00A72279"/>
    <w:rsid w:val="00A72581"/>
    <w:rsid w:val="00A725B1"/>
    <w:rsid w:val="00A727CF"/>
    <w:rsid w:val="00A728B8"/>
    <w:rsid w:val="00A72946"/>
    <w:rsid w:val="00A72C24"/>
    <w:rsid w:val="00A72DDF"/>
    <w:rsid w:val="00A72DF7"/>
    <w:rsid w:val="00A72E3B"/>
    <w:rsid w:val="00A72F39"/>
    <w:rsid w:val="00A73192"/>
    <w:rsid w:val="00A73311"/>
    <w:rsid w:val="00A73337"/>
    <w:rsid w:val="00A7352E"/>
    <w:rsid w:val="00A7367F"/>
    <w:rsid w:val="00A737E0"/>
    <w:rsid w:val="00A7393C"/>
    <w:rsid w:val="00A73C11"/>
    <w:rsid w:val="00A73FB1"/>
    <w:rsid w:val="00A7401A"/>
    <w:rsid w:val="00A741A9"/>
    <w:rsid w:val="00A741C1"/>
    <w:rsid w:val="00A74283"/>
    <w:rsid w:val="00A74348"/>
    <w:rsid w:val="00A74489"/>
    <w:rsid w:val="00A74699"/>
    <w:rsid w:val="00A746B0"/>
    <w:rsid w:val="00A74C69"/>
    <w:rsid w:val="00A75119"/>
    <w:rsid w:val="00A75217"/>
    <w:rsid w:val="00A7523F"/>
    <w:rsid w:val="00A75359"/>
    <w:rsid w:val="00A753A8"/>
    <w:rsid w:val="00A75440"/>
    <w:rsid w:val="00A75487"/>
    <w:rsid w:val="00A754E6"/>
    <w:rsid w:val="00A75540"/>
    <w:rsid w:val="00A75816"/>
    <w:rsid w:val="00A7588B"/>
    <w:rsid w:val="00A758C0"/>
    <w:rsid w:val="00A75AFF"/>
    <w:rsid w:val="00A75B88"/>
    <w:rsid w:val="00A75C6C"/>
    <w:rsid w:val="00A75F56"/>
    <w:rsid w:val="00A762BC"/>
    <w:rsid w:val="00A7638F"/>
    <w:rsid w:val="00A7639A"/>
    <w:rsid w:val="00A764BB"/>
    <w:rsid w:val="00A76636"/>
    <w:rsid w:val="00A7668C"/>
    <w:rsid w:val="00A7668F"/>
    <w:rsid w:val="00A76779"/>
    <w:rsid w:val="00A7681E"/>
    <w:rsid w:val="00A769AA"/>
    <w:rsid w:val="00A769CE"/>
    <w:rsid w:val="00A769DC"/>
    <w:rsid w:val="00A76BC3"/>
    <w:rsid w:val="00A7711F"/>
    <w:rsid w:val="00A772CB"/>
    <w:rsid w:val="00A77431"/>
    <w:rsid w:val="00A7751A"/>
    <w:rsid w:val="00A77693"/>
    <w:rsid w:val="00A77895"/>
    <w:rsid w:val="00A77992"/>
    <w:rsid w:val="00A77A2A"/>
    <w:rsid w:val="00A77CC0"/>
    <w:rsid w:val="00A77D09"/>
    <w:rsid w:val="00A77D5C"/>
    <w:rsid w:val="00A77D87"/>
    <w:rsid w:val="00A77EC6"/>
    <w:rsid w:val="00A77F01"/>
    <w:rsid w:val="00A800FE"/>
    <w:rsid w:val="00A8044B"/>
    <w:rsid w:val="00A804FE"/>
    <w:rsid w:val="00A805EF"/>
    <w:rsid w:val="00A80604"/>
    <w:rsid w:val="00A806C8"/>
    <w:rsid w:val="00A8078B"/>
    <w:rsid w:val="00A80798"/>
    <w:rsid w:val="00A808EB"/>
    <w:rsid w:val="00A8092C"/>
    <w:rsid w:val="00A80933"/>
    <w:rsid w:val="00A80A30"/>
    <w:rsid w:val="00A80B1D"/>
    <w:rsid w:val="00A80B7B"/>
    <w:rsid w:val="00A80C5A"/>
    <w:rsid w:val="00A81104"/>
    <w:rsid w:val="00A81306"/>
    <w:rsid w:val="00A81309"/>
    <w:rsid w:val="00A81531"/>
    <w:rsid w:val="00A8174A"/>
    <w:rsid w:val="00A81777"/>
    <w:rsid w:val="00A818B4"/>
    <w:rsid w:val="00A81A20"/>
    <w:rsid w:val="00A81D45"/>
    <w:rsid w:val="00A81ED3"/>
    <w:rsid w:val="00A81F9B"/>
    <w:rsid w:val="00A81FC7"/>
    <w:rsid w:val="00A82481"/>
    <w:rsid w:val="00A826FD"/>
    <w:rsid w:val="00A827B4"/>
    <w:rsid w:val="00A827D2"/>
    <w:rsid w:val="00A829DA"/>
    <w:rsid w:val="00A829DE"/>
    <w:rsid w:val="00A82A81"/>
    <w:rsid w:val="00A82DF3"/>
    <w:rsid w:val="00A82F75"/>
    <w:rsid w:val="00A83163"/>
    <w:rsid w:val="00A831E8"/>
    <w:rsid w:val="00A83385"/>
    <w:rsid w:val="00A83407"/>
    <w:rsid w:val="00A8351E"/>
    <w:rsid w:val="00A83577"/>
    <w:rsid w:val="00A835A9"/>
    <w:rsid w:val="00A837DB"/>
    <w:rsid w:val="00A8383A"/>
    <w:rsid w:val="00A83849"/>
    <w:rsid w:val="00A83A2E"/>
    <w:rsid w:val="00A83A92"/>
    <w:rsid w:val="00A83AEA"/>
    <w:rsid w:val="00A83D50"/>
    <w:rsid w:val="00A83D63"/>
    <w:rsid w:val="00A83E62"/>
    <w:rsid w:val="00A83ECC"/>
    <w:rsid w:val="00A840F8"/>
    <w:rsid w:val="00A8417C"/>
    <w:rsid w:val="00A841E1"/>
    <w:rsid w:val="00A8425D"/>
    <w:rsid w:val="00A842CE"/>
    <w:rsid w:val="00A84428"/>
    <w:rsid w:val="00A8448D"/>
    <w:rsid w:val="00A84610"/>
    <w:rsid w:val="00A8472F"/>
    <w:rsid w:val="00A84A55"/>
    <w:rsid w:val="00A84A66"/>
    <w:rsid w:val="00A84AAE"/>
    <w:rsid w:val="00A84B96"/>
    <w:rsid w:val="00A84C0B"/>
    <w:rsid w:val="00A84CEE"/>
    <w:rsid w:val="00A84D46"/>
    <w:rsid w:val="00A84ECB"/>
    <w:rsid w:val="00A84FDD"/>
    <w:rsid w:val="00A8501A"/>
    <w:rsid w:val="00A85068"/>
    <w:rsid w:val="00A85080"/>
    <w:rsid w:val="00A85128"/>
    <w:rsid w:val="00A85410"/>
    <w:rsid w:val="00A854A3"/>
    <w:rsid w:val="00A8553A"/>
    <w:rsid w:val="00A8556E"/>
    <w:rsid w:val="00A8563B"/>
    <w:rsid w:val="00A85923"/>
    <w:rsid w:val="00A8593E"/>
    <w:rsid w:val="00A85B3C"/>
    <w:rsid w:val="00A85B9E"/>
    <w:rsid w:val="00A85D29"/>
    <w:rsid w:val="00A85FFE"/>
    <w:rsid w:val="00A8600B"/>
    <w:rsid w:val="00A860CC"/>
    <w:rsid w:val="00A86132"/>
    <w:rsid w:val="00A862CB"/>
    <w:rsid w:val="00A8632C"/>
    <w:rsid w:val="00A8632F"/>
    <w:rsid w:val="00A86338"/>
    <w:rsid w:val="00A863FA"/>
    <w:rsid w:val="00A8645A"/>
    <w:rsid w:val="00A86476"/>
    <w:rsid w:val="00A8666E"/>
    <w:rsid w:val="00A867A9"/>
    <w:rsid w:val="00A86932"/>
    <w:rsid w:val="00A86978"/>
    <w:rsid w:val="00A869C1"/>
    <w:rsid w:val="00A86A98"/>
    <w:rsid w:val="00A86ADB"/>
    <w:rsid w:val="00A86D9E"/>
    <w:rsid w:val="00A86F79"/>
    <w:rsid w:val="00A8723C"/>
    <w:rsid w:val="00A8727A"/>
    <w:rsid w:val="00A872CC"/>
    <w:rsid w:val="00A872FD"/>
    <w:rsid w:val="00A8737F"/>
    <w:rsid w:val="00A87889"/>
    <w:rsid w:val="00A87921"/>
    <w:rsid w:val="00A879B8"/>
    <w:rsid w:val="00A87A13"/>
    <w:rsid w:val="00A87B0A"/>
    <w:rsid w:val="00A87BA0"/>
    <w:rsid w:val="00A87E56"/>
    <w:rsid w:val="00A87F42"/>
    <w:rsid w:val="00A87F6D"/>
    <w:rsid w:val="00A87F92"/>
    <w:rsid w:val="00A901C4"/>
    <w:rsid w:val="00A90230"/>
    <w:rsid w:val="00A9037F"/>
    <w:rsid w:val="00A903BD"/>
    <w:rsid w:val="00A9054D"/>
    <w:rsid w:val="00A9078A"/>
    <w:rsid w:val="00A907DF"/>
    <w:rsid w:val="00A9081C"/>
    <w:rsid w:val="00A90833"/>
    <w:rsid w:val="00A90997"/>
    <w:rsid w:val="00A90EB6"/>
    <w:rsid w:val="00A90F28"/>
    <w:rsid w:val="00A90FC4"/>
    <w:rsid w:val="00A910E6"/>
    <w:rsid w:val="00A91264"/>
    <w:rsid w:val="00A91560"/>
    <w:rsid w:val="00A915CB"/>
    <w:rsid w:val="00A91645"/>
    <w:rsid w:val="00A9177A"/>
    <w:rsid w:val="00A917FE"/>
    <w:rsid w:val="00A91823"/>
    <w:rsid w:val="00A91837"/>
    <w:rsid w:val="00A9188B"/>
    <w:rsid w:val="00A919B9"/>
    <w:rsid w:val="00A919D7"/>
    <w:rsid w:val="00A919E9"/>
    <w:rsid w:val="00A91A83"/>
    <w:rsid w:val="00A91A87"/>
    <w:rsid w:val="00A91AA3"/>
    <w:rsid w:val="00A91C8E"/>
    <w:rsid w:val="00A91CBB"/>
    <w:rsid w:val="00A91D7D"/>
    <w:rsid w:val="00A91DC2"/>
    <w:rsid w:val="00A91FEF"/>
    <w:rsid w:val="00A920AE"/>
    <w:rsid w:val="00A92489"/>
    <w:rsid w:val="00A926BA"/>
    <w:rsid w:val="00A926D5"/>
    <w:rsid w:val="00A9279F"/>
    <w:rsid w:val="00A929AF"/>
    <w:rsid w:val="00A92AEC"/>
    <w:rsid w:val="00A92CCF"/>
    <w:rsid w:val="00A93117"/>
    <w:rsid w:val="00A9323A"/>
    <w:rsid w:val="00A933D7"/>
    <w:rsid w:val="00A93645"/>
    <w:rsid w:val="00A9379F"/>
    <w:rsid w:val="00A93990"/>
    <w:rsid w:val="00A93A7F"/>
    <w:rsid w:val="00A93AD5"/>
    <w:rsid w:val="00A93DBD"/>
    <w:rsid w:val="00A93E74"/>
    <w:rsid w:val="00A94163"/>
    <w:rsid w:val="00A94198"/>
    <w:rsid w:val="00A941E2"/>
    <w:rsid w:val="00A942E1"/>
    <w:rsid w:val="00A9444D"/>
    <w:rsid w:val="00A94657"/>
    <w:rsid w:val="00A94A4C"/>
    <w:rsid w:val="00A94B07"/>
    <w:rsid w:val="00A94B2D"/>
    <w:rsid w:val="00A94B8C"/>
    <w:rsid w:val="00A94C62"/>
    <w:rsid w:val="00A94D6C"/>
    <w:rsid w:val="00A94F52"/>
    <w:rsid w:val="00A94FAA"/>
    <w:rsid w:val="00A95084"/>
    <w:rsid w:val="00A950E2"/>
    <w:rsid w:val="00A95246"/>
    <w:rsid w:val="00A9549B"/>
    <w:rsid w:val="00A954BE"/>
    <w:rsid w:val="00A9558B"/>
    <w:rsid w:val="00A955B8"/>
    <w:rsid w:val="00A9560A"/>
    <w:rsid w:val="00A956F0"/>
    <w:rsid w:val="00A95743"/>
    <w:rsid w:val="00A957F9"/>
    <w:rsid w:val="00A95B26"/>
    <w:rsid w:val="00A95BF6"/>
    <w:rsid w:val="00A95C50"/>
    <w:rsid w:val="00A95CB1"/>
    <w:rsid w:val="00A95D9E"/>
    <w:rsid w:val="00A95DE7"/>
    <w:rsid w:val="00A95E28"/>
    <w:rsid w:val="00A95E75"/>
    <w:rsid w:val="00A95F4F"/>
    <w:rsid w:val="00A95F78"/>
    <w:rsid w:val="00A9618F"/>
    <w:rsid w:val="00A9619F"/>
    <w:rsid w:val="00A962E0"/>
    <w:rsid w:val="00A96472"/>
    <w:rsid w:val="00A965DE"/>
    <w:rsid w:val="00A9672C"/>
    <w:rsid w:val="00A967B4"/>
    <w:rsid w:val="00A96A16"/>
    <w:rsid w:val="00A96A32"/>
    <w:rsid w:val="00A96D89"/>
    <w:rsid w:val="00A96E53"/>
    <w:rsid w:val="00A96E82"/>
    <w:rsid w:val="00A96EFA"/>
    <w:rsid w:val="00A97060"/>
    <w:rsid w:val="00A971F5"/>
    <w:rsid w:val="00A9724E"/>
    <w:rsid w:val="00A974FC"/>
    <w:rsid w:val="00A975EB"/>
    <w:rsid w:val="00A97715"/>
    <w:rsid w:val="00A97A75"/>
    <w:rsid w:val="00A97B66"/>
    <w:rsid w:val="00A97D72"/>
    <w:rsid w:val="00AA0165"/>
    <w:rsid w:val="00AA0283"/>
    <w:rsid w:val="00AA036B"/>
    <w:rsid w:val="00AA0520"/>
    <w:rsid w:val="00AA0884"/>
    <w:rsid w:val="00AA0888"/>
    <w:rsid w:val="00AA08CC"/>
    <w:rsid w:val="00AA0B0F"/>
    <w:rsid w:val="00AA0B90"/>
    <w:rsid w:val="00AA0C0A"/>
    <w:rsid w:val="00AA103A"/>
    <w:rsid w:val="00AA1324"/>
    <w:rsid w:val="00AA148F"/>
    <w:rsid w:val="00AA1592"/>
    <w:rsid w:val="00AA15C8"/>
    <w:rsid w:val="00AA1749"/>
    <w:rsid w:val="00AA17B3"/>
    <w:rsid w:val="00AA1830"/>
    <w:rsid w:val="00AA1B08"/>
    <w:rsid w:val="00AA1D0B"/>
    <w:rsid w:val="00AA2249"/>
    <w:rsid w:val="00AA2286"/>
    <w:rsid w:val="00AA22E9"/>
    <w:rsid w:val="00AA2599"/>
    <w:rsid w:val="00AA25A8"/>
    <w:rsid w:val="00AA2675"/>
    <w:rsid w:val="00AA26B5"/>
    <w:rsid w:val="00AA2709"/>
    <w:rsid w:val="00AA289D"/>
    <w:rsid w:val="00AA2A52"/>
    <w:rsid w:val="00AA2A85"/>
    <w:rsid w:val="00AA2AA6"/>
    <w:rsid w:val="00AA2B1A"/>
    <w:rsid w:val="00AA2C55"/>
    <w:rsid w:val="00AA2CEC"/>
    <w:rsid w:val="00AA309B"/>
    <w:rsid w:val="00AA30BE"/>
    <w:rsid w:val="00AA3138"/>
    <w:rsid w:val="00AA31D5"/>
    <w:rsid w:val="00AA3278"/>
    <w:rsid w:val="00AA32AE"/>
    <w:rsid w:val="00AA33DF"/>
    <w:rsid w:val="00AA34AF"/>
    <w:rsid w:val="00AA37B4"/>
    <w:rsid w:val="00AA37E5"/>
    <w:rsid w:val="00AA39D4"/>
    <w:rsid w:val="00AA39E5"/>
    <w:rsid w:val="00AA3A54"/>
    <w:rsid w:val="00AA3E8B"/>
    <w:rsid w:val="00AA40A1"/>
    <w:rsid w:val="00AA43BC"/>
    <w:rsid w:val="00AA4434"/>
    <w:rsid w:val="00AA44CA"/>
    <w:rsid w:val="00AA4782"/>
    <w:rsid w:val="00AA498E"/>
    <w:rsid w:val="00AA4A15"/>
    <w:rsid w:val="00AA4A59"/>
    <w:rsid w:val="00AA4BBB"/>
    <w:rsid w:val="00AA4FA4"/>
    <w:rsid w:val="00AA5057"/>
    <w:rsid w:val="00AA5225"/>
    <w:rsid w:val="00AA5277"/>
    <w:rsid w:val="00AA52C5"/>
    <w:rsid w:val="00AA531E"/>
    <w:rsid w:val="00AA54A4"/>
    <w:rsid w:val="00AA55A9"/>
    <w:rsid w:val="00AA5670"/>
    <w:rsid w:val="00AA5680"/>
    <w:rsid w:val="00AA58C4"/>
    <w:rsid w:val="00AA59CD"/>
    <w:rsid w:val="00AA59DC"/>
    <w:rsid w:val="00AA5A25"/>
    <w:rsid w:val="00AA5AC6"/>
    <w:rsid w:val="00AA5B63"/>
    <w:rsid w:val="00AA63AC"/>
    <w:rsid w:val="00AA68E9"/>
    <w:rsid w:val="00AA691D"/>
    <w:rsid w:val="00AA6C1C"/>
    <w:rsid w:val="00AA6C45"/>
    <w:rsid w:val="00AA6C99"/>
    <w:rsid w:val="00AA6D5D"/>
    <w:rsid w:val="00AA6D98"/>
    <w:rsid w:val="00AA6EC1"/>
    <w:rsid w:val="00AA6EF1"/>
    <w:rsid w:val="00AA6F78"/>
    <w:rsid w:val="00AA7153"/>
    <w:rsid w:val="00AA727A"/>
    <w:rsid w:val="00AA7478"/>
    <w:rsid w:val="00AA7683"/>
    <w:rsid w:val="00AA79B6"/>
    <w:rsid w:val="00AA7A3D"/>
    <w:rsid w:val="00AA7CCC"/>
    <w:rsid w:val="00AA7D68"/>
    <w:rsid w:val="00AA7F01"/>
    <w:rsid w:val="00AB012F"/>
    <w:rsid w:val="00AB0273"/>
    <w:rsid w:val="00AB0377"/>
    <w:rsid w:val="00AB06AE"/>
    <w:rsid w:val="00AB082F"/>
    <w:rsid w:val="00AB087E"/>
    <w:rsid w:val="00AB0911"/>
    <w:rsid w:val="00AB0DBB"/>
    <w:rsid w:val="00AB0E80"/>
    <w:rsid w:val="00AB11B2"/>
    <w:rsid w:val="00AB11C0"/>
    <w:rsid w:val="00AB137C"/>
    <w:rsid w:val="00AB13A7"/>
    <w:rsid w:val="00AB13BD"/>
    <w:rsid w:val="00AB15F8"/>
    <w:rsid w:val="00AB171A"/>
    <w:rsid w:val="00AB171B"/>
    <w:rsid w:val="00AB1907"/>
    <w:rsid w:val="00AB191A"/>
    <w:rsid w:val="00AB1945"/>
    <w:rsid w:val="00AB1A3A"/>
    <w:rsid w:val="00AB1A76"/>
    <w:rsid w:val="00AB1C9C"/>
    <w:rsid w:val="00AB200B"/>
    <w:rsid w:val="00AB203A"/>
    <w:rsid w:val="00AB206F"/>
    <w:rsid w:val="00AB2170"/>
    <w:rsid w:val="00AB23A6"/>
    <w:rsid w:val="00AB23DE"/>
    <w:rsid w:val="00AB24FA"/>
    <w:rsid w:val="00AB25A9"/>
    <w:rsid w:val="00AB263C"/>
    <w:rsid w:val="00AB26E3"/>
    <w:rsid w:val="00AB290D"/>
    <w:rsid w:val="00AB2984"/>
    <w:rsid w:val="00AB2B84"/>
    <w:rsid w:val="00AB2D72"/>
    <w:rsid w:val="00AB3018"/>
    <w:rsid w:val="00AB3168"/>
    <w:rsid w:val="00AB31EF"/>
    <w:rsid w:val="00AB3296"/>
    <w:rsid w:val="00AB32E3"/>
    <w:rsid w:val="00AB3377"/>
    <w:rsid w:val="00AB33D5"/>
    <w:rsid w:val="00AB3439"/>
    <w:rsid w:val="00AB34DC"/>
    <w:rsid w:val="00AB3505"/>
    <w:rsid w:val="00AB3725"/>
    <w:rsid w:val="00AB3855"/>
    <w:rsid w:val="00AB38EB"/>
    <w:rsid w:val="00AB392F"/>
    <w:rsid w:val="00AB397D"/>
    <w:rsid w:val="00AB3A1D"/>
    <w:rsid w:val="00AB3B24"/>
    <w:rsid w:val="00AB3B28"/>
    <w:rsid w:val="00AB3B3B"/>
    <w:rsid w:val="00AB3B72"/>
    <w:rsid w:val="00AB3BE1"/>
    <w:rsid w:val="00AB3DA3"/>
    <w:rsid w:val="00AB40DA"/>
    <w:rsid w:val="00AB437E"/>
    <w:rsid w:val="00AB4543"/>
    <w:rsid w:val="00AB4593"/>
    <w:rsid w:val="00AB475C"/>
    <w:rsid w:val="00AB4837"/>
    <w:rsid w:val="00AB494C"/>
    <w:rsid w:val="00AB49A8"/>
    <w:rsid w:val="00AB4A1A"/>
    <w:rsid w:val="00AB4C01"/>
    <w:rsid w:val="00AB4DF5"/>
    <w:rsid w:val="00AB4E88"/>
    <w:rsid w:val="00AB4E8E"/>
    <w:rsid w:val="00AB4F1B"/>
    <w:rsid w:val="00AB4F6D"/>
    <w:rsid w:val="00AB4FA9"/>
    <w:rsid w:val="00AB52DF"/>
    <w:rsid w:val="00AB533D"/>
    <w:rsid w:val="00AB5491"/>
    <w:rsid w:val="00AB562F"/>
    <w:rsid w:val="00AB5647"/>
    <w:rsid w:val="00AB5670"/>
    <w:rsid w:val="00AB57D5"/>
    <w:rsid w:val="00AB5897"/>
    <w:rsid w:val="00AB5912"/>
    <w:rsid w:val="00AB5A09"/>
    <w:rsid w:val="00AB5AFC"/>
    <w:rsid w:val="00AB5B48"/>
    <w:rsid w:val="00AB5BBF"/>
    <w:rsid w:val="00AB5C28"/>
    <w:rsid w:val="00AB5F5D"/>
    <w:rsid w:val="00AB61B5"/>
    <w:rsid w:val="00AB68E1"/>
    <w:rsid w:val="00AB6929"/>
    <w:rsid w:val="00AB69FC"/>
    <w:rsid w:val="00AB6C77"/>
    <w:rsid w:val="00AB6D92"/>
    <w:rsid w:val="00AB6D9E"/>
    <w:rsid w:val="00AB7003"/>
    <w:rsid w:val="00AB7090"/>
    <w:rsid w:val="00AB70A1"/>
    <w:rsid w:val="00AB70BB"/>
    <w:rsid w:val="00AB70C2"/>
    <w:rsid w:val="00AB70E2"/>
    <w:rsid w:val="00AB7218"/>
    <w:rsid w:val="00AB72D7"/>
    <w:rsid w:val="00AB7420"/>
    <w:rsid w:val="00AB74FF"/>
    <w:rsid w:val="00AB75CB"/>
    <w:rsid w:val="00AB778F"/>
    <w:rsid w:val="00AB78D2"/>
    <w:rsid w:val="00AB7A70"/>
    <w:rsid w:val="00AB7A9F"/>
    <w:rsid w:val="00AB7ADA"/>
    <w:rsid w:val="00AB7E6F"/>
    <w:rsid w:val="00AB7E70"/>
    <w:rsid w:val="00AB7FAC"/>
    <w:rsid w:val="00AC012F"/>
    <w:rsid w:val="00AC0590"/>
    <w:rsid w:val="00AC0656"/>
    <w:rsid w:val="00AC090B"/>
    <w:rsid w:val="00AC0936"/>
    <w:rsid w:val="00AC0A0C"/>
    <w:rsid w:val="00AC0A1B"/>
    <w:rsid w:val="00AC0A70"/>
    <w:rsid w:val="00AC0C12"/>
    <w:rsid w:val="00AC0D48"/>
    <w:rsid w:val="00AC0F3B"/>
    <w:rsid w:val="00AC13EE"/>
    <w:rsid w:val="00AC14ED"/>
    <w:rsid w:val="00AC15D6"/>
    <w:rsid w:val="00AC15F9"/>
    <w:rsid w:val="00AC165F"/>
    <w:rsid w:val="00AC1691"/>
    <w:rsid w:val="00AC16AC"/>
    <w:rsid w:val="00AC16E0"/>
    <w:rsid w:val="00AC18F9"/>
    <w:rsid w:val="00AC198D"/>
    <w:rsid w:val="00AC1C45"/>
    <w:rsid w:val="00AC1C86"/>
    <w:rsid w:val="00AC1DE5"/>
    <w:rsid w:val="00AC1E0F"/>
    <w:rsid w:val="00AC205F"/>
    <w:rsid w:val="00AC21DF"/>
    <w:rsid w:val="00AC23B9"/>
    <w:rsid w:val="00AC23F1"/>
    <w:rsid w:val="00AC24A4"/>
    <w:rsid w:val="00AC271A"/>
    <w:rsid w:val="00AC2766"/>
    <w:rsid w:val="00AC2879"/>
    <w:rsid w:val="00AC287F"/>
    <w:rsid w:val="00AC2883"/>
    <w:rsid w:val="00AC2966"/>
    <w:rsid w:val="00AC29A9"/>
    <w:rsid w:val="00AC2BBD"/>
    <w:rsid w:val="00AC31F7"/>
    <w:rsid w:val="00AC3224"/>
    <w:rsid w:val="00AC3285"/>
    <w:rsid w:val="00AC32A6"/>
    <w:rsid w:val="00AC33FA"/>
    <w:rsid w:val="00AC354B"/>
    <w:rsid w:val="00AC369F"/>
    <w:rsid w:val="00AC36DD"/>
    <w:rsid w:val="00AC37C4"/>
    <w:rsid w:val="00AC3825"/>
    <w:rsid w:val="00AC3931"/>
    <w:rsid w:val="00AC3A2E"/>
    <w:rsid w:val="00AC3B2B"/>
    <w:rsid w:val="00AC3C33"/>
    <w:rsid w:val="00AC3CF1"/>
    <w:rsid w:val="00AC3EA1"/>
    <w:rsid w:val="00AC42E0"/>
    <w:rsid w:val="00AC42FA"/>
    <w:rsid w:val="00AC4318"/>
    <w:rsid w:val="00AC4496"/>
    <w:rsid w:val="00AC44BF"/>
    <w:rsid w:val="00AC4619"/>
    <w:rsid w:val="00AC4653"/>
    <w:rsid w:val="00AC4852"/>
    <w:rsid w:val="00AC49FD"/>
    <w:rsid w:val="00AC4C93"/>
    <w:rsid w:val="00AC4CB0"/>
    <w:rsid w:val="00AC4FB1"/>
    <w:rsid w:val="00AC525F"/>
    <w:rsid w:val="00AC54C8"/>
    <w:rsid w:val="00AC54DD"/>
    <w:rsid w:val="00AC56EF"/>
    <w:rsid w:val="00AC5700"/>
    <w:rsid w:val="00AC5778"/>
    <w:rsid w:val="00AC587F"/>
    <w:rsid w:val="00AC5968"/>
    <w:rsid w:val="00AC596C"/>
    <w:rsid w:val="00AC597C"/>
    <w:rsid w:val="00AC5A87"/>
    <w:rsid w:val="00AC5A89"/>
    <w:rsid w:val="00AC5B37"/>
    <w:rsid w:val="00AC5C21"/>
    <w:rsid w:val="00AC5C71"/>
    <w:rsid w:val="00AC5E47"/>
    <w:rsid w:val="00AC64D4"/>
    <w:rsid w:val="00AC674E"/>
    <w:rsid w:val="00AC67BE"/>
    <w:rsid w:val="00AC6B6C"/>
    <w:rsid w:val="00AC6CCB"/>
    <w:rsid w:val="00AC6D46"/>
    <w:rsid w:val="00AC6DB9"/>
    <w:rsid w:val="00AC6EA3"/>
    <w:rsid w:val="00AC6ED2"/>
    <w:rsid w:val="00AC6F4D"/>
    <w:rsid w:val="00AC720B"/>
    <w:rsid w:val="00AC720F"/>
    <w:rsid w:val="00AC726B"/>
    <w:rsid w:val="00AC7448"/>
    <w:rsid w:val="00AC76C6"/>
    <w:rsid w:val="00AC7B7B"/>
    <w:rsid w:val="00AC7C22"/>
    <w:rsid w:val="00AC7D3C"/>
    <w:rsid w:val="00AC7DAE"/>
    <w:rsid w:val="00AC7DC0"/>
    <w:rsid w:val="00AC7EFC"/>
    <w:rsid w:val="00AC7F77"/>
    <w:rsid w:val="00AC7F78"/>
    <w:rsid w:val="00AC7FD8"/>
    <w:rsid w:val="00AD0004"/>
    <w:rsid w:val="00AD02A4"/>
    <w:rsid w:val="00AD02EB"/>
    <w:rsid w:val="00AD031D"/>
    <w:rsid w:val="00AD0366"/>
    <w:rsid w:val="00AD044D"/>
    <w:rsid w:val="00AD062D"/>
    <w:rsid w:val="00AD06A0"/>
    <w:rsid w:val="00AD08B1"/>
    <w:rsid w:val="00AD08C3"/>
    <w:rsid w:val="00AD0AFB"/>
    <w:rsid w:val="00AD0B7F"/>
    <w:rsid w:val="00AD0B97"/>
    <w:rsid w:val="00AD0E8E"/>
    <w:rsid w:val="00AD0EA5"/>
    <w:rsid w:val="00AD0EE9"/>
    <w:rsid w:val="00AD0F21"/>
    <w:rsid w:val="00AD1074"/>
    <w:rsid w:val="00AD111B"/>
    <w:rsid w:val="00AD115B"/>
    <w:rsid w:val="00AD1317"/>
    <w:rsid w:val="00AD15A6"/>
    <w:rsid w:val="00AD1703"/>
    <w:rsid w:val="00AD1746"/>
    <w:rsid w:val="00AD175E"/>
    <w:rsid w:val="00AD17C6"/>
    <w:rsid w:val="00AD1937"/>
    <w:rsid w:val="00AD1BE5"/>
    <w:rsid w:val="00AD1F15"/>
    <w:rsid w:val="00AD1F16"/>
    <w:rsid w:val="00AD203A"/>
    <w:rsid w:val="00AD22A9"/>
    <w:rsid w:val="00AD2386"/>
    <w:rsid w:val="00AD246E"/>
    <w:rsid w:val="00AD24DF"/>
    <w:rsid w:val="00AD261E"/>
    <w:rsid w:val="00AD26B2"/>
    <w:rsid w:val="00AD28CC"/>
    <w:rsid w:val="00AD28DE"/>
    <w:rsid w:val="00AD2934"/>
    <w:rsid w:val="00AD2A41"/>
    <w:rsid w:val="00AD2AB3"/>
    <w:rsid w:val="00AD2ACC"/>
    <w:rsid w:val="00AD2BDE"/>
    <w:rsid w:val="00AD2D39"/>
    <w:rsid w:val="00AD2E90"/>
    <w:rsid w:val="00AD2F0C"/>
    <w:rsid w:val="00AD2FED"/>
    <w:rsid w:val="00AD334C"/>
    <w:rsid w:val="00AD3763"/>
    <w:rsid w:val="00AD3825"/>
    <w:rsid w:val="00AD38D7"/>
    <w:rsid w:val="00AD3962"/>
    <w:rsid w:val="00AD3A5E"/>
    <w:rsid w:val="00AD3B76"/>
    <w:rsid w:val="00AD3BD4"/>
    <w:rsid w:val="00AD3F0A"/>
    <w:rsid w:val="00AD3FFA"/>
    <w:rsid w:val="00AD41C7"/>
    <w:rsid w:val="00AD4317"/>
    <w:rsid w:val="00AD4684"/>
    <w:rsid w:val="00AD46DC"/>
    <w:rsid w:val="00AD46E9"/>
    <w:rsid w:val="00AD4743"/>
    <w:rsid w:val="00AD4769"/>
    <w:rsid w:val="00AD4795"/>
    <w:rsid w:val="00AD47FD"/>
    <w:rsid w:val="00AD4972"/>
    <w:rsid w:val="00AD4C57"/>
    <w:rsid w:val="00AD4D00"/>
    <w:rsid w:val="00AD4EED"/>
    <w:rsid w:val="00AD4F41"/>
    <w:rsid w:val="00AD506A"/>
    <w:rsid w:val="00AD508D"/>
    <w:rsid w:val="00AD5222"/>
    <w:rsid w:val="00AD5384"/>
    <w:rsid w:val="00AD55BE"/>
    <w:rsid w:val="00AD572A"/>
    <w:rsid w:val="00AD57E3"/>
    <w:rsid w:val="00AD5A61"/>
    <w:rsid w:val="00AD5C1F"/>
    <w:rsid w:val="00AD5C9F"/>
    <w:rsid w:val="00AD5E29"/>
    <w:rsid w:val="00AD6134"/>
    <w:rsid w:val="00AD61C4"/>
    <w:rsid w:val="00AD61F2"/>
    <w:rsid w:val="00AD6299"/>
    <w:rsid w:val="00AD631A"/>
    <w:rsid w:val="00AD6327"/>
    <w:rsid w:val="00AD6671"/>
    <w:rsid w:val="00AD66A9"/>
    <w:rsid w:val="00AD683F"/>
    <w:rsid w:val="00AD698C"/>
    <w:rsid w:val="00AD6BF1"/>
    <w:rsid w:val="00AD708F"/>
    <w:rsid w:val="00AD722E"/>
    <w:rsid w:val="00AD73B9"/>
    <w:rsid w:val="00AD78D9"/>
    <w:rsid w:val="00AD7A29"/>
    <w:rsid w:val="00AD7E8E"/>
    <w:rsid w:val="00AD7EAB"/>
    <w:rsid w:val="00AE0183"/>
    <w:rsid w:val="00AE03C0"/>
    <w:rsid w:val="00AE0409"/>
    <w:rsid w:val="00AE0448"/>
    <w:rsid w:val="00AE0474"/>
    <w:rsid w:val="00AE0477"/>
    <w:rsid w:val="00AE048E"/>
    <w:rsid w:val="00AE0534"/>
    <w:rsid w:val="00AE0688"/>
    <w:rsid w:val="00AE078B"/>
    <w:rsid w:val="00AE0881"/>
    <w:rsid w:val="00AE0A2B"/>
    <w:rsid w:val="00AE0C38"/>
    <w:rsid w:val="00AE0C85"/>
    <w:rsid w:val="00AE0D1F"/>
    <w:rsid w:val="00AE1201"/>
    <w:rsid w:val="00AE1388"/>
    <w:rsid w:val="00AE1450"/>
    <w:rsid w:val="00AE16F8"/>
    <w:rsid w:val="00AE1835"/>
    <w:rsid w:val="00AE1A4B"/>
    <w:rsid w:val="00AE1B0B"/>
    <w:rsid w:val="00AE1B43"/>
    <w:rsid w:val="00AE1BD9"/>
    <w:rsid w:val="00AE1E8C"/>
    <w:rsid w:val="00AE204D"/>
    <w:rsid w:val="00AE229E"/>
    <w:rsid w:val="00AE22FF"/>
    <w:rsid w:val="00AE260D"/>
    <w:rsid w:val="00AE2685"/>
    <w:rsid w:val="00AE2849"/>
    <w:rsid w:val="00AE2880"/>
    <w:rsid w:val="00AE294D"/>
    <w:rsid w:val="00AE2A6D"/>
    <w:rsid w:val="00AE2D84"/>
    <w:rsid w:val="00AE3127"/>
    <w:rsid w:val="00AE3514"/>
    <w:rsid w:val="00AE3517"/>
    <w:rsid w:val="00AE37DD"/>
    <w:rsid w:val="00AE3926"/>
    <w:rsid w:val="00AE393A"/>
    <w:rsid w:val="00AE3A20"/>
    <w:rsid w:val="00AE3C86"/>
    <w:rsid w:val="00AE3D7C"/>
    <w:rsid w:val="00AE4027"/>
    <w:rsid w:val="00AE4095"/>
    <w:rsid w:val="00AE424E"/>
    <w:rsid w:val="00AE433A"/>
    <w:rsid w:val="00AE4520"/>
    <w:rsid w:val="00AE474D"/>
    <w:rsid w:val="00AE478A"/>
    <w:rsid w:val="00AE49FA"/>
    <w:rsid w:val="00AE4A50"/>
    <w:rsid w:val="00AE4C76"/>
    <w:rsid w:val="00AE4CFC"/>
    <w:rsid w:val="00AE4E43"/>
    <w:rsid w:val="00AE4FBE"/>
    <w:rsid w:val="00AE509E"/>
    <w:rsid w:val="00AE519F"/>
    <w:rsid w:val="00AE5429"/>
    <w:rsid w:val="00AE5641"/>
    <w:rsid w:val="00AE5678"/>
    <w:rsid w:val="00AE5724"/>
    <w:rsid w:val="00AE58AC"/>
    <w:rsid w:val="00AE5A1C"/>
    <w:rsid w:val="00AE5AF6"/>
    <w:rsid w:val="00AE5BEC"/>
    <w:rsid w:val="00AE5C01"/>
    <w:rsid w:val="00AE5DA0"/>
    <w:rsid w:val="00AE5E1F"/>
    <w:rsid w:val="00AE5F60"/>
    <w:rsid w:val="00AE6055"/>
    <w:rsid w:val="00AE60AC"/>
    <w:rsid w:val="00AE613E"/>
    <w:rsid w:val="00AE6341"/>
    <w:rsid w:val="00AE6477"/>
    <w:rsid w:val="00AE6633"/>
    <w:rsid w:val="00AE69BC"/>
    <w:rsid w:val="00AE6B7F"/>
    <w:rsid w:val="00AE6D31"/>
    <w:rsid w:val="00AE7190"/>
    <w:rsid w:val="00AE7333"/>
    <w:rsid w:val="00AE7488"/>
    <w:rsid w:val="00AE76B7"/>
    <w:rsid w:val="00AE77F1"/>
    <w:rsid w:val="00AE78DD"/>
    <w:rsid w:val="00AE78F2"/>
    <w:rsid w:val="00AE7BB9"/>
    <w:rsid w:val="00AE7BD9"/>
    <w:rsid w:val="00AE7C65"/>
    <w:rsid w:val="00AE7DD0"/>
    <w:rsid w:val="00AE7F17"/>
    <w:rsid w:val="00AF0152"/>
    <w:rsid w:val="00AF0319"/>
    <w:rsid w:val="00AF0420"/>
    <w:rsid w:val="00AF06E0"/>
    <w:rsid w:val="00AF0814"/>
    <w:rsid w:val="00AF0847"/>
    <w:rsid w:val="00AF0885"/>
    <w:rsid w:val="00AF092B"/>
    <w:rsid w:val="00AF0966"/>
    <w:rsid w:val="00AF09B1"/>
    <w:rsid w:val="00AF09D4"/>
    <w:rsid w:val="00AF0B7F"/>
    <w:rsid w:val="00AF0E36"/>
    <w:rsid w:val="00AF1181"/>
    <w:rsid w:val="00AF1210"/>
    <w:rsid w:val="00AF1299"/>
    <w:rsid w:val="00AF1338"/>
    <w:rsid w:val="00AF1399"/>
    <w:rsid w:val="00AF15A3"/>
    <w:rsid w:val="00AF15B2"/>
    <w:rsid w:val="00AF174C"/>
    <w:rsid w:val="00AF17F5"/>
    <w:rsid w:val="00AF18C2"/>
    <w:rsid w:val="00AF1908"/>
    <w:rsid w:val="00AF1A93"/>
    <w:rsid w:val="00AF1ADB"/>
    <w:rsid w:val="00AF1B02"/>
    <w:rsid w:val="00AF1B1E"/>
    <w:rsid w:val="00AF1B6F"/>
    <w:rsid w:val="00AF1EAC"/>
    <w:rsid w:val="00AF1FA4"/>
    <w:rsid w:val="00AF2132"/>
    <w:rsid w:val="00AF21A9"/>
    <w:rsid w:val="00AF21D0"/>
    <w:rsid w:val="00AF21E1"/>
    <w:rsid w:val="00AF22C4"/>
    <w:rsid w:val="00AF230C"/>
    <w:rsid w:val="00AF233A"/>
    <w:rsid w:val="00AF2350"/>
    <w:rsid w:val="00AF24A0"/>
    <w:rsid w:val="00AF2668"/>
    <w:rsid w:val="00AF26D2"/>
    <w:rsid w:val="00AF29DC"/>
    <w:rsid w:val="00AF2BBA"/>
    <w:rsid w:val="00AF2CE6"/>
    <w:rsid w:val="00AF2D1A"/>
    <w:rsid w:val="00AF2E0F"/>
    <w:rsid w:val="00AF2EBD"/>
    <w:rsid w:val="00AF2FAA"/>
    <w:rsid w:val="00AF3046"/>
    <w:rsid w:val="00AF3257"/>
    <w:rsid w:val="00AF3493"/>
    <w:rsid w:val="00AF37B5"/>
    <w:rsid w:val="00AF3987"/>
    <w:rsid w:val="00AF39F4"/>
    <w:rsid w:val="00AF3A2A"/>
    <w:rsid w:val="00AF3B17"/>
    <w:rsid w:val="00AF3CBF"/>
    <w:rsid w:val="00AF3D16"/>
    <w:rsid w:val="00AF3D2A"/>
    <w:rsid w:val="00AF3D5E"/>
    <w:rsid w:val="00AF3F96"/>
    <w:rsid w:val="00AF4054"/>
    <w:rsid w:val="00AF4190"/>
    <w:rsid w:val="00AF4296"/>
    <w:rsid w:val="00AF45FB"/>
    <w:rsid w:val="00AF47BF"/>
    <w:rsid w:val="00AF4B66"/>
    <w:rsid w:val="00AF4C2A"/>
    <w:rsid w:val="00AF4EE4"/>
    <w:rsid w:val="00AF50D5"/>
    <w:rsid w:val="00AF54F4"/>
    <w:rsid w:val="00AF5889"/>
    <w:rsid w:val="00AF5A18"/>
    <w:rsid w:val="00AF5A39"/>
    <w:rsid w:val="00AF5AC7"/>
    <w:rsid w:val="00AF5AFA"/>
    <w:rsid w:val="00AF5E16"/>
    <w:rsid w:val="00AF622C"/>
    <w:rsid w:val="00AF6242"/>
    <w:rsid w:val="00AF6788"/>
    <w:rsid w:val="00AF67B1"/>
    <w:rsid w:val="00AF69EC"/>
    <w:rsid w:val="00AF6B51"/>
    <w:rsid w:val="00AF6B90"/>
    <w:rsid w:val="00AF6CB5"/>
    <w:rsid w:val="00AF6D7F"/>
    <w:rsid w:val="00AF6E06"/>
    <w:rsid w:val="00AF6EB5"/>
    <w:rsid w:val="00AF6F79"/>
    <w:rsid w:val="00AF7063"/>
    <w:rsid w:val="00AF7232"/>
    <w:rsid w:val="00AF73CD"/>
    <w:rsid w:val="00AF750D"/>
    <w:rsid w:val="00AF76E7"/>
    <w:rsid w:val="00AF773D"/>
    <w:rsid w:val="00AF7976"/>
    <w:rsid w:val="00AF79D4"/>
    <w:rsid w:val="00AF7A66"/>
    <w:rsid w:val="00AF7A96"/>
    <w:rsid w:val="00AF7D16"/>
    <w:rsid w:val="00AF7D62"/>
    <w:rsid w:val="00AF7E2C"/>
    <w:rsid w:val="00B00158"/>
    <w:rsid w:val="00B002EE"/>
    <w:rsid w:val="00B00387"/>
    <w:rsid w:val="00B00659"/>
    <w:rsid w:val="00B0068E"/>
    <w:rsid w:val="00B006CC"/>
    <w:rsid w:val="00B0086D"/>
    <w:rsid w:val="00B00882"/>
    <w:rsid w:val="00B008BE"/>
    <w:rsid w:val="00B008EE"/>
    <w:rsid w:val="00B00936"/>
    <w:rsid w:val="00B009A7"/>
    <w:rsid w:val="00B00A68"/>
    <w:rsid w:val="00B00B8D"/>
    <w:rsid w:val="00B00BB3"/>
    <w:rsid w:val="00B00BE7"/>
    <w:rsid w:val="00B00C2F"/>
    <w:rsid w:val="00B00C96"/>
    <w:rsid w:val="00B00CC8"/>
    <w:rsid w:val="00B00DB0"/>
    <w:rsid w:val="00B00DE0"/>
    <w:rsid w:val="00B01244"/>
    <w:rsid w:val="00B0128D"/>
    <w:rsid w:val="00B012EC"/>
    <w:rsid w:val="00B01571"/>
    <w:rsid w:val="00B01576"/>
    <w:rsid w:val="00B01667"/>
    <w:rsid w:val="00B0202C"/>
    <w:rsid w:val="00B024EE"/>
    <w:rsid w:val="00B02518"/>
    <w:rsid w:val="00B025A6"/>
    <w:rsid w:val="00B0271A"/>
    <w:rsid w:val="00B02895"/>
    <w:rsid w:val="00B028D5"/>
    <w:rsid w:val="00B028FB"/>
    <w:rsid w:val="00B02A05"/>
    <w:rsid w:val="00B02AF3"/>
    <w:rsid w:val="00B02C1E"/>
    <w:rsid w:val="00B0318A"/>
    <w:rsid w:val="00B0319C"/>
    <w:rsid w:val="00B03209"/>
    <w:rsid w:val="00B03298"/>
    <w:rsid w:val="00B03668"/>
    <w:rsid w:val="00B036A6"/>
    <w:rsid w:val="00B0389E"/>
    <w:rsid w:val="00B039AD"/>
    <w:rsid w:val="00B03B21"/>
    <w:rsid w:val="00B03B40"/>
    <w:rsid w:val="00B03B47"/>
    <w:rsid w:val="00B03F61"/>
    <w:rsid w:val="00B0433D"/>
    <w:rsid w:val="00B046B3"/>
    <w:rsid w:val="00B046BB"/>
    <w:rsid w:val="00B04810"/>
    <w:rsid w:val="00B0492C"/>
    <w:rsid w:val="00B04931"/>
    <w:rsid w:val="00B04A32"/>
    <w:rsid w:val="00B04B36"/>
    <w:rsid w:val="00B04B4B"/>
    <w:rsid w:val="00B04BBF"/>
    <w:rsid w:val="00B04CBF"/>
    <w:rsid w:val="00B04E17"/>
    <w:rsid w:val="00B04E6B"/>
    <w:rsid w:val="00B04FF9"/>
    <w:rsid w:val="00B050F3"/>
    <w:rsid w:val="00B0511B"/>
    <w:rsid w:val="00B0519C"/>
    <w:rsid w:val="00B05277"/>
    <w:rsid w:val="00B059E7"/>
    <w:rsid w:val="00B05A35"/>
    <w:rsid w:val="00B05ABA"/>
    <w:rsid w:val="00B05CF9"/>
    <w:rsid w:val="00B05EB2"/>
    <w:rsid w:val="00B06010"/>
    <w:rsid w:val="00B061CA"/>
    <w:rsid w:val="00B061F7"/>
    <w:rsid w:val="00B06358"/>
    <w:rsid w:val="00B063C1"/>
    <w:rsid w:val="00B065AC"/>
    <w:rsid w:val="00B065DC"/>
    <w:rsid w:val="00B065E9"/>
    <w:rsid w:val="00B06675"/>
    <w:rsid w:val="00B06800"/>
    <w:rsid w:val="00B0699F"/>
    <w:rsid w:val="00B06B87"/>
    <w:rsid w:val="00B06BCA"/>
    <w:rsid w:val="00B06BDC"/>
    <w:rsid w:val="00B06D52"/>
    <w:rsid w:val="00B06D9F"/>
    <w:rsid w:val="00B06E3E"/>
    <w:rsid w:val="00B06F6F"/>
    <w:rsid w:val="00B0701C"/>
    <w:rsid w:val="00B07298"/>
    <w:rsid w:val="00B074B8"/>
    <w:rsid w:val="00B0754A"/>
    <w:rsid w:val="00B0767C"/>
    <w:rsid w:val="00B07A16"/>
    <w:rsid w:val="00B07B15"/>
    <w:rsid w:val="00B07B5E"/>
    <w:rsid w:val="00B07D3B"/>
    <w:rsid w:val="00B07D82"/>
    <w:rsid w:val="00B07D9E"/>
    <w:rsid w:val="00B07E1B"/>
    <w:rsid w:val="00B07F3B"/>
    <w:rsid w:val="00B10004"/>
    <w:rsid w:val="00B1018A"/>
    <w:rsid w:val="00B10339"/>
    <w:rsid w:val="00B105BF"/>
    <w:rsid w:val="00B1069C"/>
    <w:rsid w:val="00B10759"/>
    <w:rsid w:val="00B108B4"/>
    <w:rsid w:val="00B10A19"/>
    <w:rsid w:val="00B10B61"/>
    <w:rsid w:val="00B10B7E"/>
    <w:rsid w:val="00B10C05"/>
    <w:rsid w:val="00B10C12"/>
    <w:rsid w:val="00B10DB2"/>
    <w:rsid w:val="00B10DD2"/>
    <w:rsid w:val="00B10E58"/>
    <w:rsid w:val="00B10EDF"/>
    <w:rsid w:val="00B10F09"/>
    <w:rsid w:val="00B10F45"/>
    <w:rsid w:val="00B1104E"/>
    <w:rsid w:val="00B112DD"/>
    <w:rsid w:val="00B1142F"/>
    <w:rsid w:val="00B114B2"/>
    <w:rsid w:val="00B1164F"/>
    <w:rsid w:val="00B11887"/>
    <w:rsid w:val="00B11890"/>
    <w:rsid w:val="00B11891"/>
    <w:rsid w:val="00B118D5"/>
    <w:rsid w:val="00B11BB6"/>
    <w:rsid w:val="00B11CFE"/>
    <w:rsid w:val="00B11D66"/>
    <w:rsid w:val="00B11E1C"/>
    <w:rsid w:val="00B11E7F"/>
    <w:rsid w:val="00B11EBE"/>
    <w:rsid w:val="00B11FF8"/>
    <w:rsid w:val="00B12256"/>
    <w:rsid w:val="00B1233E"/>
    <w:rsid w:val="00B126A1"/>
    <w:rsid w:val="00B12728"/>
    <w:rsid w:val="00B12781"/>
    <w:rsid w:val="00B12794"/>
    <w:rsid w:val="00B12B03"/>
    <w:rsid w:val="00B12BA2"/>
    <w:rsid w:val="00B12D24"/>
    <w:rsid w:val="00B12E48"/>
    <w:rsid w:val="00B1305E"/>
    <w:rsid w:val="00B1379A"/>
    <w:rsid w:val="00B13825"/>
    <w:rsid w:val="00B13862"/>
    <w:rsid w:val="00B13CCA"/>
    <w:rsid w:val="00B13CD9"/>
    <w:rsid w:val="00B13FD3"/>
    <w:rsid w:val="00B14067"/>
    <w:rsid w:val="00B14083"/>
    <w:rsid w:val="00B14138"/>
    <w:rsid w:val="00B14228"/>
    <w:rsid w:val="00B14279"/>
    <w:rsid w:val="00B143CB"/>
    <w:rsid w:val="00B14437"/>
    <w:rsid w:val="00B144E3"/>
    <w:rsid w:val="00B14594"/>
    <w:rsid w:val="00B145DF"/>
    <w:rsid w:val="00B146A0"/>
    <w:rsid w:val="00B147DD"/>
    <w:rsid w:val="00B14874"/>
    <w:rsid w:val="00B148E7"/>
    <w:rsid w:val="00B14B20"/>
    <w:rsid w:val="00B14B21"/>
    <w:rsid w:val="00B14B5F"/>
    <w:rsid w:val="00B14B9A"/>
    <w:rsid w:val="00B14DF3"/>
    <w:rsid w:val="00B14FED"/>
    <w:rsid w:val="00B150B0"/>
    <w:rsid w:val="00B15178"/>
    <w:rsid w:val="00B151ED"/>
    <w:rsid w:val="00B151FE"/>
    <w:rsid w:val="00B154F6"/>
    <w:rsid w:val="00B15528"/>
    <w:rsid w:val="00B15A4B"/>
    <w:rsid w:val="00B15BA5"/>
    <w:rsid w:val="00B15C07"/>
    <w:rsid w:val="00B15D35"/>
    <w:rsid w:val="00B15E7C"/>
    <w:rsid w:val="00B15EF3"/>
    <w:rsid w:val="00B15FCD"/>
    <w:rsid w:val="00B16178"/>
    <w:rsid w:val="00B16462"/>
    <w:rsid w:val="00B16967"/>
    <w:rsid w:val="00B1696A"/>
    <w:rsid w:val="00B16A79"/>
    <w:rsid w:val="00B16CB4"/>
    <w:rsid w:val="00B16CE0"/>
    <w:rsid w:val="00B16D44"/>
    <w:rsid w:val="00B16EB6"/>
    <w:rsid w:val="00B16FE9"/>
    <w:rsid w:val="00B1720E"/>
    <w:rsid w:val="00B1726A"/>
    <w:rsid w:val="00B17363"/>
    <w:rsid w:val="00B173AA"/>
    <w:rsid w:val="00B1740D"/>
    <w:rsid w:val="00B17460"/>
    <w:rsid w:val="00B1749C"/>
    <w:rsid w:val="00B1787C"/>
    <w:rsid w:val="00B179FC"/>
    <w:rsid w:val="00B17A25"/>
    <w:rsid w:val="00B17BE4"/>
    <w:rsid w:val="00B17C45"/>
    <w:rsid w:val="00B17C5C"/>
    <w:rsid w:val="00B17D7D"/>
    <w:rsid w:val="00B17DF2"/>
    <w:rsid w:val="00B17E6E"/>
    <w:rsid w:val="00B17EB7"/>
    <w:rsid w:val="00B17F1D"/>
    <w:rsid w:val="00B2011E"/>
    <w:rsid w:val="00B2032E"/>
    <w:rsid w:val="00B203F2"/>
    <w:rsid w:val="00B205DE"/>
    <w:rsid w:val="00B205E9"/>
    <w:rsid w:val="00B2063D"/>
    <w:rsid w:val="00B20691"/>
    <w:rsid w:val="00B20800"/>
    <w:rsid w:val="00B20860"/>
    <w:rsid w:val="00B20870"/>
    <w:rsid w:val="00B20876"/>
    <w:rsid w:val="00B208BC"/>
    <w:rsid w:val="00B209BC"/>
    <w:rsid w:val="00B20FA0"/>
    <w:rsid w:val="00B2100D"/>
    <w:rsid w:val="00B2100E"/>
    <w:rsid w:val="00B21388"/>
    <w:rsid w:val="00B2138A"/>
    <w:rsid w:val="00B213E3"/>
    <w:rsid w:val="00B2154F"/>
    <w:rsid w:val="00B21577"/>
    <w:rsid w:val="00B215DE"/>
    <w:rsid w:val="00B21708"/>
    <w:rsid w:val="00B2174F"/>
    <w:rsid w:val="00B2183D"/>
    <w:rsid w:val="00B2187D"/>
    <w:rsid w:val="00B21946"/>
    <w:rsid w:val="00B219B6"/>
    <w:rsid w:val="00B21A15"/>
    <w:rsid w:val="00B21A72"/>
    <w:rsid w:val="00B21B1D"/>
    <w:rsid w:val="00B21C7A"/>
    <w:rsid w:val="00B21F00"/>
    <w:rsid w:val="00B22110"/>
    <w:rsid w:val="00B2214F"/>
    <w:rsid w:val="00B22215"/>
    <w:rsid w:val="00B2235D"/>
    <w:rsid w:val="00B223DA"/>
    <w:rsid w:val="00B22821"/>
    <w:rsid w:val="00B228BD"/>
    <w:rsid w:val="00B229EA"/>
    <w:rsid w:val="00B22C69"/>
    <w:rsid w:val="00B22C8B"/>
    <w:rsid w:val="00B22E89"/>
    <w:rsid w:val="00B22E9C"/>
    <w:rsid w:val="00B23106"/>
    <w:rsid w:val="00B23119"/>
    <w:rsid w:val="00B23283"/>
    <w:rsid w:val="00B2332D"/>
    <w:rsid w:val="00B23599"/>
    <w:rsid w:val="00B23668"/>
    <w:rsid w:val="00B23698"/>
    <w:rsid w:val="00B237D2"/>
    <w:rsid w:val="00B23830"/>
    <w:rsid w:val="00B23975"/>
    <w:rsid w:val="00B23AD5"/>
    <w:rsid w:val="00B23AFB"/>
    <w:rsid w:val="00B23CB2"/>
    <w:rsid w:val="00B23EE6"/>
    <w:rsid w:val="00B23F5C"/>
    <w:rsid w:val="00B23F74"/>
    <w:rsid w:val="00B24070"/>
    <w:rsid w:val="00B24133"/>
    <w:rsid w:val="00B24226"/>
    <w:rsid w:val="00B2434F"/>
    <w:rsid w:val="00B244C1"/>
    <w:rsid w:val="00B24562"/>
    <w:rsid w:val="00B24665"/>
    <w:rsid w:val="00B2475D"/>
    <w:rsid w:val="00B2483F"/>
    <w:rsid w:val="00B2493C"/>
    <w:rsid w:val="00B24A0E"/>
    <w:rsid w:val="00B24ADF"/>
    <w:rsid w:val="00B24AFC"/>
    <w:rsid w:val="00B24B94"/>
    <w:rsid w:val="00B24C27"/>
    <w:rsid w:val="00B24D81"/>
    <w:rsid w:val="00B24F7B"/>
    <w:rsid w:val="00B24FDC"/>
    <w:rsid w:val="00B25019"/>
    <w:rsid w:val="00B25023"/>
    <w:rsid w:val="00B2528F"/>
    <w:rsid w:val="00B252D5"/>
    <w:rsid w:val="00B254D5"/>
    <w:rsid w:val="00B254E1"/>
    <w:rsid w:val="00B255AC"/>
    <w:rsid w:val="00B255FF"/>
    <w:rsid w:val="00B25688"/>
    <w:rsid w:val="00B256B3"/>
    <w:rsid w:val="00B25C34"/>
    <w:rsid w:val="00B25D94"/>
    <w:rsid w:val="00B25DA8"/>
    <w:rsid w:val="00B25EE9"/>
    <w:rsid w:val="00B25F5C"/>
    <w:rsid w:val="00B26039"/>
    <w:rsid w:val="00B261D1"/>
    <w:rsid w:val="00B261DD"/>
    <w:rsid w:val="00B26312"/>
    <w:rsid w:val="00B26327"/>
    <w:rsid w:val="00B2634C"/>
    <w:rsid w:val="00B2642A"/>
    <w:rsid w:val="00B264BE"/>
    <w:rsid w:val="00B2651C"/>
    <w:rsid w:val="00B2677A"/>
    <w:rsid w:val="00B26A9E"/>
    <w:rsid w:val="00B26B64"/>
    <w:rsid w:val="00B26C17"/>
    <w:rsid w:val="00B26C1A"/>
    <w:rsid w:val="00B26C2A"/>
    <w:rsid w:val="00B26C39"/>
    <w:rsid w:val="00B26DA1"/>
    <w:rsid w:val="00B26EFC"/>
    <w:rsid w:val="00B26FEF"/>
    <w:rsid w:val="00B270E1"/>
    <w:rsid w:val="00B2712B"/>
    <w:rsid w:val="00B272B9"/>
    <w:rsid w:val="00B2737C"/>
    <w:rsid w:val="00B274F3"/>
    <w:rsid w:val="00B27726"/>
    <w:rsid w:val="00B277AE"/>
    <w:rsid w:val="00B27A53"/>
    <w:rsid w:val="00B27D5F"/>
    <w:rsid w:val="00B27DA5"/>
    <w:rsid w:val="00B3006B"/>
    <w:rsid w:val="00B30195"/>
    <w:rsid w:val="00B301EE"/>
    <w:rsid w:val="00B3020B"/>
    <w:rsid w:val="00B30534"/>
    <w:rsid w:val="00B30560"/>
    <w:rsid w:val="00B30640"/>
    <w:rsid w:val="00B30751"/>
    <w:rsid w:val="00B30907"/>
    <w:rsid w:val="00B30A83"/>
    <w:rsid w:val="00B30B1B"/>
    <w:rsid w:val="00B30B59"/>
    <w:rsid w:val="00B30E09"/>
    <w:rsid w:val="00B31025"/>
    <w:rsid w:val="00B31082"/>
    <w:rsid w:val="00B310DE"/>
    <w:rsid w:val="00B315EB"/>
    <w:rsid w:val="00B316CA"/>
    <w:rsid w:val="00B316E9"/>
    <w:rsid w:val="00B31964"/>
    <w:rsid w:val="00B319C7"/>
    <w:rsid w:val="00B31C0B"/>
    <w:rsid w:val="00B31C1B"/>
    <w:rsid w:val="00B31E46"/>
    <w:rsid w:val="00B31F2B"/>
    <w:rsid w:val="00B31FFE"/>
    <w:rsid w:val="00B3222D"/>
    <w:rsid w:val="00B322DD"/>
    <w:rsid w:val="00B3252D"/>
    <w:rsid w:val="00B326A5"/>
    <w:rsid w:val="00B32761"/>
    <w:rsid w:val="00B32938"/>
    <w:rsid w:val="00B3295D"/>
    <w:rsid w:val="00B32A06"/>
    <w:rsid w:val="00B32AE4"/>
    <w:rsid w:val="00B32B52"/>
    <w:rsid w:val="00B32BF2"/>
    <w:rsid w:val="00B32D68"/>
    <w:rsid w:val="00B32D86"/>
    <w:rsid w:val="00B32E21"/>
    <w:rsid w:val="00B32E3B"/>
    <w:rsid w:val="00B32E89"/>
    <w:rsid w:val="00B32F41"/>
    <w:rsid w:val="00B32F51"/>
    <w:rsid w:val="00B330F5"/>
    <w:rsid w:val="00B33253"/>
    <w:rsid w:val="00B3325F"/>
    <w:rsid w:val="00B333DA"/>
    <w:rsid w:val="00B334EF"/>
    <w:rsid w:val="00B33527"/>
    <w:rsid w:val="00B33529"/>
    <w:rsid w:val="00B3359F"/>
    <w:rsid w:val="00B336D0"/>
    <w:rsid w:val="00B336F0"/>
    <w:rsid w:val="00B33738"/>
    <w:rsid w:val="00B33951"/>
    <w:rsid w:val="00B33C8E"/>
    <w:rsid w:val="00B33C9A"/>
    <w:rsid w:val="00B33DB6"/>
    <w:rsid w:val="00B33DD6"/>
    <w:rsid w:val="00B34191"/>
    <w:rsid w:val="00B34265"/>
    <w:rsid w:val="00B34304"/>
    <w:rsid w:val="00B34566"/>
    <w:rsid w:val="00B346F9"/>
    <w:rsid w:val="00B34976"/>
    <w:rsid w:val="00B34E4D"/>
    <w:rsid w:val="00B34FE7"/>
    <w:rsid w:val="00B34FEA"/>
    <w:rsid w:val="00B350F1"/>
    <w:rsid w:val="00B35184"/>
    <w:rsid w:val="00B3519F"/>
    <w:rsid w:val="00B352A2"/>
    <w:rsid w:val="00B35457"/>
    <w:rsid w:val="00B35459"/>
    <w:rsid w:val="00B355A6"/>
    <w:rsid w:val="00B3568A"/>
    <w:rsid w:val="00B356A7"/>
    <w:rsid w:val="00B356B6"/>
    <w:rsid w:val="00B356C2"/>
    <w:rsid w:val="00B35717"/>
    <w:rsid w:val="00B3575F"/>
    <w:rsid w:val="00B358D1"/>
    <w:rsid w:val="00B358D4"/>
    <w:rsid w:val="00B359B4"/>
    <w:rsid w:val="00B35ACF"/>
    <w:rsid w:val="00B35B1F"/>
    <w:rsid w:val="00B35CF4"/>
    <w:rsid w:val="00B35E5B"/>
    <w:rsid w:val="00B35EDB"/>
    <w:rsid w:val="00B36342"/>
    <w:rsid w:val="00B36401"/>
    <w:rsid w:val="00B3649D"/>
    <w:rsid w:val="00B364CD"/>
    <w:rsid w:val="00B364EB"/>
    <w:rsid w:val="00B3655F"/>
    <w:rsid w:val="00B366FC"/>
    <w:rsid w:val="00B36714"/>
    <w:rsid w:val="00B367C4"/>
    <w:rsid w:val="00B367EA"/>
    <w:rsid w:val="00B368CC"/>
    <w:rsid w:val="00B369B5"/>
    <w:rsid w:val="00B369D2"/>
    <w:rsid w:val="00B36A0D"/>
    <w:rsid w:val="00B36A37"/>
    <w:rsid w:val="00B36ACA"/>
    <w:rsid w:val="00B36C93"/>
    <w:rsid w:val="00B36D34"/>
    <w:rsid w:val="00B36F5A"/>
    <w:rsid w:val="00B36F9A"/>
    <w:rsid w:val="00B36FB0"/>
    <w:rsid w:val="00B3708D"/>
    <w:rsid w:val="00B370F3"/>
    <w:rsid w:val="00B371F2"/>
    <w:rsid w:val="00B37212"/>
    <w:rsid w:val="00B3724F"/>
    <w:rsid w:val="00B373A6"/>
    <w:rsid w:val="00B37648"/>
    <w:rsid w:val="00B376EA"/>
    <w:rsid w:val="00B377DD"/>
    <w:rsid w:val="00B37A0A"/>
    <w:rsid w:val="00B37B77"/>
    <w:rsid w:val="00B37D6F"/>
    <w:rsid w:val="00B400E8"/>
    <w:rsid w:val="00B40225"/>
    <w:rsid w:val="00B402F5"/>
    <w:rsid w:val="00B40323"/>
    <w:rsid w:val="00B4050E"/>
    <w:rsid w:val="00B405BB"/>
    <w:rsid w:val="00B40784"/>
    <w:rsid w:val="00B4094D"/>
    <w:rsid w:val="00B40976"/>
    <w:rsid w:val="00B40A09"/>
    <w:rsid w:val="00B40C0F"/>
    <w:rsid w:val="00B40D1A"/>
    <w:rsid w:val="00B40D57"/>
    <w:rsid w:val="00B40E54"/>
    <w:rsid w:val="00B41044"/>
    <w:rsid w:val="00B410A5"/>
    <w:rsid w:val="00B41276"/>
    <w:rsid w:val="00B4152D"/>
    <w:rsid w:val="00B41708"/>
    <w:rsid w:val="00B418DF"/>
    <w:rsid w:val="00B4194A"/>
    <w:rsid w:val="00B41BA9"/>
    <w:rsid w:val="00B41BC1"/>
    <w:rsid w:val="00B41E37"/>
    <w:rsid w:val="00B41ECC"/>
    <w:rsid w:val="00B421A9"/>
    <w:rsid w:val="00B421DA"/>
    <w:rsid w:val="00B42393"/>
    <w:rsid w:val="00B42418"/>
    <w:rsid w:val="00B42527"/>
    <w:rsid w:val="00B425E8"/>
    <w:rsid w:val="00B4265E"/>
    <w:rsid w:val="00B428A6"/>
    <w:rsid w:val="00B428AE"/>
    <w:rsid w:val="00B42901"/>
    <w:rsid w:val="00B429B6"/>
    <w:rsid w:val="00B42B1B"/>
    <w:rsid w:val="00B42B88"/>
    <w:rsid w:val="00B42E43"/>
    <w:rsid w:val="00B42E79"/>
    <w:rsid w:val="00B42EDA"/>
    <w:rsid w:val="00B42FAD"/>
    <w:rsid w:val="00B42FC2"/>
    <w:rsid w:val="00B4300C"/>
    <w:rsid w:val="00B43528"/>
    <w:rsid w:val="00B43667"/>
    <w:rsid w:val="00B43772"/>
    <w:rsid w:val="00B43D64"/>
    <w:rsid w:val="00B43F19"/>
    <w:rsid w:val="00B43F66"/>
    <w:rsid w:val="00B43F7B"/>
    <w:rsid w:val="00B44112"/>
    <w:rsid w:val="00B442E5"/>
    <w:rsid w:val="00B4435E"/>
    <w:rsid w:val="00B443C2"/>
    <w:rsid w:val="00B443F2"/>
    <w:rsid w:val="00B44520"/>
    <w:rsid w:val="00B44591"/>
    <w:rsid w:val="00B4464E"/>
    <w:rsid w:val="00B446C9"/>
    <w:rsid w:val="00B44724"/>
    <w:rsid w:val="00B449E6"/>
    <w:rsid w:val="00B44A8F"/>
    <w:rsid w:val="00B44DAC"/>
    <w:rsid w:val="00B44DFA"/>
    <w:rsid w:val="00B44EE8"/>
    <w:rsid w:val="00B44FB5"/>
    <w:rsid w:val="00B45010"/>
    <w:rsid w:val="00B45052"/>
    <w:rsid w:val="00B45054"/>
    <w:rsid w:val="00B450A5"/>
    <w:rsid w:val="00B45105"/>
    <w:rsid w:val="00B452B4"/>
    <w:rsid w:val="00B452F6"/>
    <w:rsid w:val="00B4532D"/>
    <w:rsid w:val="00B454D9"/>
    <w:rsid w:val="00B45711"/>
    <w:rsid w:val="00B45D6E"/>
    <w:rsid w:val="00B45DDA"/>
    <w:rsid w:val="00B45E65"/>
    <w:rsid w:val="00B45F54"/>
    <w:rsid w:val="00B45FA9"/>
    <w:rsid w:val="00B460F9"/>
    <w:rsid w:val="00B461B8"/>
    <w:rsid w:val="00B461C3"/>
    <w:rsid w:val="00B46411"/>
    <w:rsid w:val="00B464FC"/>
    <w:rsid w:val="00B46539"/>
    <w:rsid w:val="00B46554"/>
    <w:rsid w:val="00B46562"/>
    <w:rsid w:val="00B4658F"/>
    <w:rsid w:val="00B465EB"/>
    <w:rsid w:val="00B46749"/>
    <w:rsid w:val="00B46758"/>
    <w:rsid w:val="00B4677A"/>
    <w:rsid w:val="00B469C6"/>
    <w:rsid w:val="00B46BE0"/>
    <w:rsid w:val="00B46BF1"/>
    <w:rsid w:val="00B46C48"/>
    <w:rsid w:val="00B46C9C"/>
    <w:rsid w:val="00B46FDE"/>
    <w:rsid w:val="00B47132"/>
    <w:rsid w:val="00B47371"/>
    <w:rsid w:val="00B4752D"/>
    <w:rsid w:val="00B4753E"/>
    <w:rsid w:val="00B47546"/>
    <w:rsid w:val="00B475A2"/>
    <w:rsid w:val="00B475B1"/>
    <w:rsid w:val="00B475F7"/>
    <w:rsid w:val="00B4767F"/>
    <w:rsid w:val="00B47683"/>
    <w:rsid w:val="00B47798"/>
    <w:rsid w:val="00B477EC"/>
    <w:rsid w:val="00B47805"/>
    <w:rsid w:val="00B47ADC"/>
    <w:rsid w:val="00B47C17"/>
    <w:rsid w:val="00B47F47"/>
    <w:rsid w:val="00B500F9"/>
    <w:rsid w:val="00B5017C"/>
    <w:rsid w:val="00B50209"/>
    <w:rsid w:val="00B50414"/>
    <w:rsid w:val="00B50559"/>
    <w:rsid w:val="00B505A1"/>
    <w:rsid w:val="00B5073D"/>
    <w:rsid w:val="00B50887"/>
    <w:rsid w:val="00B50A43"/>
    <w:rsid w:val="00B50B57"/>
    <w:rsid w:val="00B50CF7"/>
    <w:rsid w:val="00B50EE1"/>
    <w:rsid w:val="00B50F7C"/>
    <w:rsid w:val="00B51188"/>
    <w:rsid w:val="00B511FC"/>
    <w:rsid w:val="00B51243"/>
    <w:rsid w:val="00B5128C"/>
    <w:rsid w:val="00B51375"/>
    <w:rsid w:val="00B513CC"/>
    <w:rsid w:val="00B51486"/>
    <w:rsid w:val="00B515D6"/>
    <w:rsid w:val="00B51B32"/>
    <w:rsid w:val="00B51B3B"/>
    <w:rsid w:val="00B51B48"/>
    <w:rsid w:val="00B51D54"/>
    <w:rsid w:val="00B51E9C"/>
    <w:rsid w:val="00B5253C"/>
    <w:rsid w:val="00B52656"/>
    <w:rsid w:val="00B52753"/>
    <w:rsid w:val="00B5282C"/>
    <w:rsid w:val="00B52D2C"/>
    <w:rsid w:val="00B52D70"/>
    <w:rsid w:val="00B52E49"/>
    <w:rsid w:val="00B52F4A"/>
    <w:rsid w:val="00B53024"/>
    <w:rsid w:val="00B5308B"/>
    <w:rsid w:val="00B5312E"/>
    <w:rsid w:val="00B5323D"/>
    <w:rsid w:val="00B5328E"/>
    <w:rsid w:val="00B532A2"/>
    <w:rsid w:val="00B53483"/>
    <w:rsid w:val="00B53A92"/>
    <w:rsid w:val="00B53BD2"/>
    <w:rsid w:val="00B53C0E"/>
    <w:rsid w:val="00B53C59"/>
    <w:rsid w:val="00B53F17"/>
    <w:rsid w:val="00B53FB1"/>
    <w:rsid w:val="00B53FC8"/>
    <w:rsid w:val="00B5404D"/>
    <w:rsid w:val="00B540F9"/>
    <w:rsid w:val="00B541E2"/>
    <w:rsid w:val="00B542FB"/>
    <w:rsid w:val="00B545C7"/>
    <w:rsid w:val="00B54703"/>
    <w:rsid w:val="00B54769"/>
    <w:rsid w:val="00B54774"/>
    <w:rsid w:val="00B5479E"/>
    <w:rsid w:val="00B547AD"/>
    <w:rsid w:val="00B54AAF"/>
    <w:rsid w:val="00B54C52"/>
    <w:rsid w:val="00B54DBB"/>
    <w:rsid w:val="00B54DC9"/>
    <w:rsid w:val="00B55082"/>
    <w:rsid w:val="00B55087"/>
    <w:rsid w:val="00B551A8"/>
    <w:rsid w:val="00B5526D"/>
    <w:rsid w:val="00B55470"/>
    <w:rsid w:val="00B55555"/>
    <w:rsid w:val="00B555BA"/>
    <w:rsid w:val="00B5563A"/>
    <w:rsid w:val="00B556AB"/>
    <w:rsid w:val="00B557ED"/>
    <w:rsid w:val="00B558B7"/>
    <w:rsid w:val="00B55A24"/>
    <w:rsid w:val="00B55B06"/>
    <w:rsid w:val="00B55B84"/>
    <w:rsid w:val="00B55C56"/>
    <w:rsid w:val="00B55E02"/>
    <w:rsid w:val="00B55E90"/>
    <w:rsid w:val="00B55EA7"/>
    <w:rsid w:val="00B55F63"/>
    <w:rsid w:val="00B56516"/>
    <w:rsid w:val="00B56532"/>
    <w:rsid w:val="00B566DA"/>
    <w:rsid w:val="00B567C8"/>
    <w:rsid w:val="00B567E1"/>
    <w:rsid w:val="00B5682B"/>
    <w:rsid w:val="00B5691A"/>
    <w:rsid w:val="00B569C6"/>
    <w:rsid w:val="00B56A40"/>
    <w:rsid w:val="00B56C02"/>
    <w:rsid w:val="00B56C90"/>
    <w:rsid w:val="00B56E9E"/>
    <w:rsid w:val="00B56EA2"/>
    <w:rsid w:val="00B56EE5"/>
    <w:rsid w:val="00B57011"/>
    <w:rsid w:val="00B57023"/>
    <w:rsid w:val="00B570B1"/>
    <w:rsid w:val="00B570D4"/>
    <w:rsid w:val="00B570EF"/>
    <w:rsid w:val="00B5717E"/>
    <w:rsid w:val="00B5717F"/>
    <w:rsid w:val="00B5726B"/>
    <w:rsid w:val="00B57353"/>
    <w:rsid w:val="00B573DC"/>
    <w:rsid w:val="00B57430"/>
    <w:rsid w:val="00B575AC"/>
    <w:rsid w:val="00B5761B"/>
    <w:rsid w:val="00B57637"/>
    <w:rsid w:val="00B57960"/>
    <w:rsid w:val="00B57984"/>
    <w:rsid w:val="00B57A7F"/>
    <w:rsid w:val="00B57D47"/>
    <w:rsid w:val="00B57DF8"/>
    <w:rsid w:val="00B6001E"/>
    <w:rsid w:val="00B60246"/>
    <w:rsid w:val="00B602A6"/>
    <w:rsid w:val="00B603C5"/>
    <w:rsid w:val="00B605B0"/>
    <w:rsid w:val="00B6079B"/>
    <w:rsid w:val="00B608BD"/>
    <w:rsid w:val="00B60C46"/>
    <w:rsid w:val="00B60D67"/>
    <w:rsid w:val="00B60E48"/>
    <w:rsid w:val="00B6101C"/>
    <w:rsid w:val="00B610A5"/>
    <w:rsid w:val="00B61155"/>
    <w:rsid w:val="00B61221"/>
    <w:rsid w:val="00B61245"/>
    <w:rsid w:val="00B612D1"/>
    <w:rsid w:val="00B61351"/>
    <w:rsid w:val="00B61357"/>
    <w:rsid w:val="00B6136C"/>
    <w:rsid w:val="00B614E7"/>
    <w:rsid w:val="00B6159D"/>
    <w:rsid w:val="00B61725"/>
    <w:rsid w:val="00B61765"/>
    <w:rsid w:val="00B61880"/>
    <w:rsid w:val="00B6190C"/>
    <w:rsid w:val="00B61954"/>
    <w:rsid w:val="00B61A0B"/>
    <w:rsid w:val="00B61CCC"/>
    <w:rsid w:val="00B61D6E"/>
    <w:rsid w:val="00B61DD0"/>
    <w:rsid w:val="00B61E1D"/>
    <w:rsid w:val="00B61F24"/>
    <w:rsid w:val="00B61F9C"/>
    <w:rsid w:val="00B61FFB"/>
    <w:rsid w:val="00B6225A"/>
    <w:rsid w:val="00B62320"/>
    <w:rsid w:val="00B62332"/>
    <w:rsid w:val="00B62444"/>
    <w:rsid w:val="00B624CD"/>
    <w:rsid w:val="00B62636"/>
    <w:rsid w:val="00B62651"/>
    <w:rsid w:val="00B6294A"/>
    <w:rsid w:val="00B62A98"/>
    <w:rsid w:val="00B62CCE"/>
    <w:rsid w:val="00B62DC2"/>
    <w:rsid w:val="00B62EF6"/>
    <w:rsid w:val="00B62FB2"/>
    <w:rsid w:val="00B6318F"/>
    <w:rsid w:val="00B6320A"/>
    <w:rsid w:val="00B6320F"/>
    <w:rsid w:val="00B632C9"/>
    <w:rsid w:val="00B6335C"/>
    <w:rsid w:val="00B6337A"/>
    <w:rsid w:val="00B63382"/>
    <w:rsid w:val="00B6357B"/>
    <w:rsid w:val="00B6384C"/>
    <w:rsid w:val="00B639B3"/>
    <w:rsid w:val="00B639BC"/>
    <w:rsid w:val="00B63CC6"/>
    <w:rsid w:val="00B63E11"/>
    <w:rsid w:val="00B63E54"/>
    <w:rsid w:val="00B63EF8"/>
    <w:rsid w:val="00B63F76"/>
    <w:rsid w:val="00B6427A"/>
    <w:rsid w:val="00B642BB"/>
    <w:rsid w:val="00B64576"/>
    <w:rsid w:val="00B6465E"/>
    <w:rsid w:val="00B64AEC"/>
    <w:rsid w:val="00B64B5B"/>
    <w:rsid w:val="00B64BBE"/>
    <w:rsid w:val="00B64BE8"/>
    <w:rsid w:val="00B64CE3"/>
    <w:rsid w:val="00B64E23"/>
    <w:rsid w:val="00B64EC8"/>
    <w:rsid w:val="00B653B9"/>
    <w:rsid w:val="00B6541E"/>
    <w:rsid w:val="00B654EE"/>
    <w:rsid w:val="00B65557"/>
    <w:rsid w:val="00B655BA"/>
    <w:rsid w:val="00B65613"/>
    <w:rsid w:val="00B65941"/>
    <w:rsid w:val="00B65942"/>
    <w:rsid w:val="00B65BB7"/>
    <w:rsid w:val="00B65C5E"/>
    <w:rsid w:val="00B65D81"/>
    <w:rsid w:val="00B66085"/>
    <w:rsid w:val="00B660F2"/>
    <w:rsid w:val="00B66438"/>
    <w:rsid w:val="00B666F9"/>
    <w:rsid w:val="00B6682A"/>
    <w:rsid w:val="00B668D9"/>
    <w:rsid w:val="00B6696E"/>
    <w:rsid w:val="00B669C7"/>
    <w:rsid w:val="00B66A9F"/>
    <w:rsid w:val="00B66AB5"/>
    <w:rsid w:val="00B66BC1"/>
    <w:rsid w:val="00B66D74"/>
    <w:rsid w:val="00B66F10"/>
    <w:rsid w:val="00B670EF"/>
    <w:rsid w:val="00B67351"/>
    <w:rsid w:val="00B673BB"/>
    <w:rsid w:val="00B674FC"/>
    <w:rsid w:val="00B67528"/>
    <w:rsid w:val="00B6772D"/>
    <w:rsid w:val="00B67740"/>
    <w:rsid w:val="00B67792"/>
    <w:rsid w:val="00B67838"/>
    <w:rsid w:val="00B67848"/>
    <w:rsid w:val="00B679D7"/>
    <w:rsid w:val="00B67A4B"/>
    <w:rsid w:val="00B67B28"/>
    <w:rsid w:val="00B67B49"/>
    <w:rsid w:val="00B67BCB"/>
    <w:rsid w:val="00B67D8E"/>
    <w:rsid w:val="00B67E35"/>
    <w:rsid w:val="00B702ED"/>
    <w:rsid w:val="00B70389"/>
    <w:rsid w:val="00B70499"/>
    <w:rsid w:val="00B704F4"/>
    <w:rsid w:val="00B70605"/>
    <w:rsid w:val="00B70665"/>
    <w:rsid w:val="00B706F2"/>
    <w:rsid w:val="00B70765"/>
    <w:rsid w:val="00B707DA"/>
    <w:rsid w:val="00B708ED"/>
    <w:rsid w:val="00B70AD3"/>
    <w:rsid w:val="00B70BD4"/>
    <w:rsid w:val="00B70D7E"/>
    <w:rsid w:val="00B70EBC"/>
    <w:rsid w:val="00B70EED"/>
    <w:rsid w:val="00B70F54"/>
    <w:rsid w:val="00B71067"/>
    <w:rsid w:val="00B71208"/>
    <w:rsid w:val="00B713FC"/>
    <w:rsid w:val="00B71407"/>
    <w:rsid w:val="00B71429"/>
    <w:rsid w:val="00B715E4"/>
    <w:rsid w:val="00B715ED"/>
    <w:rsid w:val="00B71767"/>
    <w:rsid w:val="00B718A7"/>
    <w:rsid w:val="00B7192C"/>
    <w:rsid w:val="00B71B6D"/>
    <w:rsid w:val="00B71BD2"/>
    <w:rsid w:val="00B71C00"/>
    <w:rsid w:val="00B71CC6"/>
    <w:rsid w:val="00B72244"/>
    <w:rsid w:val="00B72335"/>
    <w:rsid w:val="00B72394"/>
    <w:rsid w:val="00B7239A"/>
    <w:rsid w:val="00B723CA"/>
    <w:rsid w:val="00B72432"/>
    <w:rsid w:val="00B724F8"/>
    <w:rsid w:val="00B72510"/>
    <w:rsid w:val="00B7262C"/>
    <w:rsid w:val="00B726A8"/>
    <w:rsid w:val="00B729AE"/>
    <w:rsid w:val="00B72ADF"/>
    <w:rsid w:val="00B72AF6"/>
    <w:rsid w:val="00B72B1D"/>
    <w:rsid w:val="00B72B3E"/>
    <w:rsid w:val="00B72B43"/>
    <w:rsid w:val="00B72BD2"/>
    <w:rsid w:val="00B72C13"/>
    <w:rsid w:val="00B72C82"/>
    <w:rsid w:val="00B72DF8"/>
    <w:rsid w:val="00B7305B"/>
    <w:rsid w:val="00B730AC"/>
    <w:rsid w:val="00B7326A"/>
    <w:rsid w:val="00B7327E"/>
    <w:rsid w:val="00B73469"/>
    <w:rsid w:val="00B737B9"/>
    <w:rsid w:val="00B737D3"/>
    <w:rsid w:val="00B737E7"/>
    <w:rsid w:val="00B73891"/>
    <w:rsid w:val="00B7389C"/>
    <w:rsid w:val="00B73A44"/>
    <w:rsid w:val="00B73C01"/>
    <w:rsid w:val="00B73C41"/>
    <w:rsid w:val="00B73DAA"/>
    <w:rsid w:val="00B73DFB"/>
    <w:rsid w:val="00B73F19"/>
    <w:rsid w:val="00B742EF"/>
    <w:rsid w:val="00B746D1"/>
    <w:rsid w:val="00B74711"/>
    <w:rsid w:val="00B74894"/>
    <w:rsid w:val="00B748B8"/>
    <w:rsid w:val="00B748DB"/>
    <w:rsid w:val="00B748E5"/>
    <w:rsid w:val="00B74A47"/>
    <w:rsid w:val="00B74B35"/>
    <w:rsid w:val="00B74B76"/>
    <w:rsid w:val="00B74BC4"/>
    <w:rsid w:val="00B74EA5"/>
    <w:rsid w:val="00B74F0F"/>
    <w:rsid w:val="00B74F51"/>
    <w:rsid w:val="00B74FEF"/>
    <w:rsid w:val="00B7506C"/>
    <w:rsid w:val="00B75080"/>
    <w:rsid w:val="00B751E5"/>
    <w:rsid w:val="00B75314"/>
    <w:rsid w:val="00B7534A"/>
    <w:rsid w:val="00B753ED"/>
    <w:rsid w:val="00B757E9"/>
    <w:rsid w:val="00B759CA"/>
    <w:rsid w:val="00B75A4A"/>
    <w:rsid w:val="00B75A50"/>
    <w:rsid w:val="00B75BAE"/>
    <w:rsid w:val="00B75BF0"/>
    <w:rsid w:val="00B75D4E"/>
    <w:rsid w:val="00B75D6C"/>
    <w:rsid w:val="00B75DDE"/>
    <w:rsid w:val="00B75E6B"/>
    <w:rsid w:val="00B75FC5"/>
    <w:rsid w:val="00B76530"/>
    <w:rsid w:val="00B76594"/>
    <w:rsid w:val="00B76758"/>
    <w:rsid w:val="00B7677C"/>
    <w:rsid w:val="00B7685C"/>
    <w:rsid w:val="00B76B93"/>
    <w:rsid w:val="00B76BFF"/>
    <w:rsid w:val="00B76C24"/>
    <w:rsid w:val="00B76C52"/>
    <w:rsid w:val="00B76CCD"/>
    <w:rsid w:val="00B76DD9"/>
    <w:rsid w:val="00B76F72"/>
    <w:rsid w:val="00B773A7"/>
    <w:rsid w:val="00B77459"/>
    <w:rsid w:val="00B774BE"/>
    <w:rsid w:val="00B77681"/>
    <w:rsid w:val="00B776E0"/>
    <w:rsid w:val="00B77726"/>
    <w:rsid w:val="00B77786"/>
    <w:rsid w:val="00B7782D"/>
    <w:rsid w:val="00B77843"/>
    <w:rsid w:val="00B77975"/>
    <w:rsid w:val="00B77987"/>
    <w:rsid w:val="00B77B7B"/>
    <w:rsid w:val="00B77CF4"/>
    <w:rsid w:val="00B77D8C"/>
    <w:rsid w:val="00B80015"/>
    <w:rsid w:val="00B800A1"/>
    <w:rsid w:val="00B800DF"/>
    <w:rsid w:val="00B8011D"/>
    <w:rsid w:val="00B801FC"/>
    <w:rsid w:val="00B8021B"/>
    <w:rsid w:val="00B80348"/>
    <w:rsid w:val="00B805BB"/>
    <w:rsid w:val="00B80700"/>
    <w:rsid w:val="00B808AD"/>
    <w:rsid w:val="00B80966"/>
    <w:rsid w:val="00B80A2D"/>
    <w:rsid w:val="00B80B1A"/>
    <w:rsid w:val="00B80BB7"/>
    <w:rsid w:val="00B80BD9"/>
    <w:rsid w:val="00B80CD4"/>
    <w:rsid w:val="00B80CD6"/>
    <w:rsid w:val="00B80D22"/>
    <w:rsid w:val="00B80DEF"/>
    <w:rsid w:val="00B80F38"/>
    <w:rsid w:val="00B80F9F"/>
    <w:rsid w:val="00B81064"/>
    <w:rsid w:val="00B81206"/>
    <w:rsid w:val="00B8134F"/>
    <w:rsid w:val="00B814BE"/>
    <w:rsid w:val="00B81506"/>
    <w:rsid w:val="00B816C9"/>
    <w:rsid w:val="00B81807"/>
    <w:rsid w:val="00B81BD5"/>
    <w:rsid w:val="00B81D52"/>
    <w:rsid w:val="00B81E29"/>
    <w:rsid w:val="00B82227"/>
    <w:rsid w:val="00B82270"/>
    <w:rsid w:val="00B82293"/>
    <w:rsid w:val="00B8232E"/>
    <w:rsid w:val="00B8242E"/>
    <w:rsid w:val="00B824F0"/>
    <w:rsid w:val="00B82601"/>
    <w:rsid w:val="00B82736"/>
    <w:rsid w:val="00B827AF"/>
    <w:rsid w:val="00B82ACF"/>
    <w:rsid w:val="00B82B89"/>
    <w:rsid w:val="00B82C0C"/>
    <w:rsid w:val="00B82C2A"/>
    <w:rsid w:val="00B82E5E"/>
    <w:rsid w:val="00B82F79"/>
    <w:rsid w:val="00B82FD6"/>
    <w:rsid w:val="00B83007"/>
    <w:rsid w:val="00B8314E"/>
    <w:rsid w:val="00B83207"/>
    <w:rsid w:val="00B83223"/>
    <w:rsid w:val="00B8329C"/>
    <w:rsid w:val="00B832AF"/>
    <w:rsid w:val="00B832F1"/>
    <w:rsid w:val="00B83521"/>
    <w:rsid w:val="00B8360E"/>
    <w:rsid w:val="00B836DE"/>
    <w:rsid w:val="00B83742"/>
    <w:rsid w:val="00B839E3"/>
    <w:rsid w:val="00B83A0A"/>
    <w:rsid w:val="00B83B58"/>
    <w:rsid w:val="00B83D70"/>
    <w:rsid w:val="00B83DFB"/>
    <w:rsid w:val="00B84145"/>
    <w:rsid w:val="00B841C9"/>
    <w:rsid w:val="00B841CD"/>
    <w:rsid w:val="00B841D1"/>
    <w:rsid w:val="00B841F2"/>
    <w:rsid w:val="00B842E7"/>
    <w:rsid w:val="00B84444"/>
    <w:rsid w:val="00B84696"/>
    <w:rsid w:val="00B84761"/>
    <w:rsid w:val="00B84962"/>
    <w:rsid w:val="00B84A03"/>
    <w:rsid w:val="00B84B03"/>
    <w:rsid w:val="00B84B43"/>
    <w:rsid w:val="00B84BC8"/>
    <w:rsid w:val="00B84E56"/>
    <w:rsid w:val="00B84EE1"/>
    <w:rsid w:val="00B85043"/>
    <w:rsid w:val="00B85181"/>
    <w:rsid w:val="00B85189"/>
    <w:rsid w:val="00B85313"/>
    <w:rsid w:val="00B85626"/>
    <w:rsid w:val="00B85808"/>
    <w:rsid w:val="00B85923"/>
    <w:rsid w:val="00B85A92"/>
    <w:rsid w:val="00B85CFE"/>
    <w:rsid w:val="00B85E48"/>
    <w:rsid w:val="00B85E87"/>
    <w:rsid w:val="00B85E91"/>
    <w:rsid w:val="00B85ED0"/>
    <w:rsid w:val="00B85F4C"/>
    <w:rsid w:val="00B860FB"/>
    <w:rsid w:val="00B8614A"/>
    <w:rsid w:val="00B86211"/>
    <w:rsid w:val="00B8623E"/>
    <w:rsid w:val="00B86263"/>
    <w:rsid w:val="00B8638C"/>
    <w:rsid w:val="00B86438"/>
    <w:rsid w:val="00B8659C"/>
    <w:rsid w:val="00B8676C"/>
    <w:rsid w:val="00B86987"/>
    <w:rsid w:val="00B86A6D"/>
    <w:rsid w:val="00B86AD1"/>
    <w:rsid w:val="00B86B83"/>
    <w:rsid w:val="00B86CD7"/>
    <w:rsid w:val="00B86EE3"/>
    <w:rsid w:val="00B86EEB"/>
    <w:rsid w:val="00B870BF"/>
    <w:rsid w:val="00B87114"/>
    <w:rsid w:val="00B8728B"/>
    <w:rsid w:val="00B87915"/>
    <w:rsid w:val="00B879B5"/>
    <w:rsid w:val="00B87D24"/>
    <w:rsid w:val="00B900FC"/>
    <w:rsid w:val="00B90228"/>
    <w:rsid w:val="00B90552"/>
    <w:rsid w:val="00B905DD"/>
    <w:rsid w:val="00B90689"/>
    <w:rsid w:val="00B906F2"/>
    <w:rsid w:val="00B90873"/>
    <w:rsid w:val="00B908E0"/>
    <w:rsid w:val="00B90936"/>
    <w:rsid w:val="00B909D7"/>
    <w:rsid w:val="00B90A5C"/>
    <w:rsid w:val="00B90AA0"/>
    <w:rsid w:val="00B90B0C"/>
    <w:rsid w:val="00B90B81"/>
    <w:rsid w:val="00B90C2B"/>
    <w:rsid w:val="00B9101F"/>
    <w:rsid w:val="00B91027"/>
    <w:rsid w:val="00B910FC"/>
    <w:rsid w:val="00B9111A"/>
    <w:rsid w:val="00B91156"/>
    <w:rsid w:val="00B911D4"/>
    <w:rsid w:val="00B9125F"/>
    <w:rsid w:val="00B91289"/>
    <w:rsid w:val="00B913EF"/>
    <w:rsid w:val="00B91434"/>
    <w:rsid w:val="00B91458"/>
    <w:rsid w:val="00B91575"/>
    <w:rsid w:val="00B9160D"/>
    <w:rsid w:val="00B9178F"/>
    <w:rsid w:val="00B9184E"/>
    <w:rsid w:val="00B91948"/>
    <w:rsid w:val="00B91ACE"/>
    <w:rsid w:val="00B91B68"/>
    <w:rsid w:val="00B91CB9"/>
    <w:rsid w:val="00B91CFA"/>
    <w:rsid w:val="00B91D12"/>
    <w:rsid w:val="00B91F8C"/>
    <w:rsid w:val="00B9243E"/>
    <w:rsid w:val="00B9253E"/>
    <w:rsid w:val="00B925C1"/>
    <w:rsid w:val="00B9263F"/>
    <w:rsid w:val="00B9274B"/>
    <w:rsid w:val="00B92A6C"/>
    <w:rsid w:val="00B92AC5"/>
    <w:rsid w:val="00B92E28"/>
    <w:rsid w:val="00B92E8C"/>
    <w:rsid w:val="00B92EDD"/>
    <w:rsid w:val="00B92F1A"/>
    <w:rsid w:val="00B92F64"/>
    <w:rsid w:val="00B93003"/>
    <w:rsid w:val="00B93060"/>
    <w:rsid w:val="00B93075"/>
    <w:rsid w:val="00B93181"/>
    <w:rsid w:val="00B93497"/>
    <w:rsid w:val="00B93758"/>
    <w:rsid w:val="00B93A04"/>
    <w:rsid w:val="00B93A2E"/>
    <w:rsid w:val="00B93ACA"/>
    <w:rsid w:val="00B93B0E"/>
    <w:rsid w:val="00B93B51"/>
    <w:rsid w:val="00B93BED"/>
    <w:rsid w:val="00B93D19"/>
    <w:rsid w:val="00B93DA2"/>
    <w:rsid w:val="00B93E39"/>
    <w:rsid w:val="00B93E71"/>
    <w:rsid w:val="00B93EAF"/>
    <w:rsid w:val="00B9410A"/>
    <w:rsid w:val="00B94164"/>
    <w:rsid w:val="00B941EF"/>
    <w:rsid w:val="00B942D9"/>
    <w:rsid w:val="00B9447F"/>
    <w:rsid w:val="00B945EC"/>
    <w:rsid w:val="00B94627"/>
    <w:rsid w:val="00B94709"/>
    <w:rsid w:val="00B947B2"/>
    <w:rsid w:val="00B94900"/>
    <w:rsid w:val="00B949B4"/>
    <w:rsid w:val="00B949EE"/>
    <w:rsid w:val="00B94DCC"/>
    <w:rsid w:val="00B94EAE"/>
    <w:rsid w:val="00B95137"/>
    <w:rsid w:val="00B952A2"/>
    <w:rsid w:val="00B95339"/>
    <w:rsid w:val="00B953BF"/>
    <w:rsid w:val="00B954D3"/>
    <w:rsid w:val="00B95530"/>
    <w:rsid w:val="00B95684"/>
    <w:rsid w:val="00B9573F"/>
    <w:rsid w:val="00B95778"/>
    <w:rsid w:val="00B957D9"/>
    <w:rsid w:val="00B95959"/>
    <w:rsid w:val="00B95CC6"/>
    <w:rsid w:val="00B95E8D"/>
    <w:rsid w:val="00B95EE0"/>
    <w:rsid w:val="00B95FD7"/>
    <w:rsid w:val="00B96098"/>
    <w:rsid w:val="00B961C9"/>
    <w:rsid w:val="00B961E7"/>
    <w:rsid w:val="00B9620F"/>
    <w:rsid w:val="00B962B7"/>
    <w:rsid w:val="00B9644D"/>
    <w:rsid w:val="00B9662A"/>
    <w:rsid w:val="00B96720"/>
    <w:rsid w:val="00B968FD"/>
    <w:rsid w:val="00B96977"/>
    <w:rsid w:val="00B969E6"/>
    <w:rsid w:val="00B96A98"/>
    <w:rsid w:val="00B96ADC"/>
    <w:rsid w:val="00B96B79"/>
    <w:rsid w:val="00B96B86"/>
    <w:rsid w:val="00B96D75"/>
    <w:rsid w:val="00B96DB5"/>
    <w:rsid w:val="00B96DF8"/>
    <w:rsid w:val="00B96DFB"/>
    <w:rsid w:val="00B96F2D"/>
    <w:rsid w:val="00B96FFD"/>
    <w:rsid w:val="00B97074"/>
    <w:rsid w:val="00B970B2"/>
    <w:rsid w:val="00B9712D"/>
    <w:rsid w:val="00B9732E"/>
    <w:rsid w:val="00B97446"/>
    <w:rsid w:val="00B97490"/>
    <w:rsid w:val="00B97631"/>
    <w:rsid w:val="00B9767E"/>
    <w:rsid w:val="00B978E9"/>
    <w:rsid w:val="00B97A1D"/>
    <w:rsid w:val="00B97A2C"/>
    <w:rsid w:val="00B97A3A"/>
    <w:rsid w:val="00B97B8E"/>
    <w:rsid w:val="00B97D1C"/>
    <w:rsid w:val="00B97D3A"/>
    <w:rsid w:val="00B97E54"/>
    <w:rsid w:val="00B97F66"/>
    <w:rsid w:val="00B97F88"/>
    <w:rsid w:val="00BA003D"/>
    <w:rsid w:val="00BA00BC"/>
    <w:rsid w:val="00BA00C1"/>
    <w:rsid w:val="00BA01F7"/>
    <w:rsid w:val="00BA0269"/>
    <w:rsid w:val="00BA02C4"/>
    <w:rsid w:val="00BA06CE"/>
    <w:rsid w:val="00BA0737"/>
    <w:rsid w:val="00BA077F"/>
    <w:rsid w:val="00BA081E"/>
    <w:rsid w:val="00BA0875"/>
    <w:rsid w:val="00BA0885"/>
    <w:rsid w:val="00BA0AF1"/>
    <w:rsid w:val="00BA0BA9"/>
    <w:rsid w:val="00BA0BCE"/>
    <w:rsid w:val="00BA0CA2"/>
    <w:rsid w:val="00BA0D75"/>
    <w:rsid w:val="00BA0E1E"/>
    <w:rsid w:val="00BA0F21"/>
    <w:rsid w:val="00BA145D"/>
    <w:rsid w:val="00BA146D"/>
    <w:rsid w:val="00BA147D"/>
    <w:rsid w:val="00BA16B2"/>
    <w:rsid w:val="00BA16EB"/>
    <w:rsid w:val="00BA180F"/>
    <w:rsid w:val="00BA18B1"/>
    <w:rsid w:val="00BA18F5"/>
    <w:rsid w:val="00BA1A1F"/>
    <w:rsid w:val="00BA22E9"/>
    <w:rsid w:val="00BA2372"/>
    <w:rsid w:val="00BA2513"/>
    <w:rsid w:val="00BA2578"/>
    <w:rsid w:val="00BA258B"/>
    <w:rsid w:val="00BA259F"/>
    <w:rsid w:val="00BA25E0"/>
    <w:rsid w:val="00BA26D4"/>
    <w:rsid w:val="00BA2D10"/>
    <w:rsid w:val="00BA2E0E"/>
    <w:rsid w:val="00BA2E2A"/>
    <w:rsid w:val="00BA2F72"/>
    <w:rsid w:val="00BA2F74"/>
    <w:rsid w:val="00BA2FAD"/>
    <w:rsid w:val="00BA3058"/>
    <w:rsid w:val="00BA3133"/>
    <w:rsid w:val="00BA317A"/>
    <w:rsid w:val="00BA3290"/>
    <w:rsid w:val="00BA32F6"/>
    <w:rsid w:val="00BA334B"/>
    <w:rsid w:val="00BA3453"/>
    <w:rsid w:val="00BA34AD"/>
    <w:rsid w:val="00BA3576"/>
    <w:rsid w:val="00BA360F"/>
    <w:rsid w:val="00BA3AD6"/>
    <w:rsid w:val="00BA3CA9"/>
    <w:rsid w:val="00BA3E89"/>
    <w:rsid w:val="00BA408D"/>
    <w:rsid w:val="00BA40B0"/>
    <w:rsid w:val="00BA4483"/>
    <w:rsid w:val="00BA451F"/>
    <w:rsid w:val="00BA4525"/>
    <w:rsid w:val="00BA45C4"/>
    <w:rsid w:val="00BA476C"/>
    <w:rsid w:val="00BA494C"/>
    <w:rsid w:val="00BA4ADA"/>
    <w:rsid w:val="00BA4B85"/>
    <w:rsid w:val="00BA4B91"/>
    <w:rsid w:val="00BA4C90"/>
    <w:rsid w:val="00BA4CC0"/>
    <w:rsid w:val="00BA4CD6"/>
    <w:rsid w:val="00BA4D07"/>
    <w:rsid w:val="00BA4D49"/>
    <w:rsid w:val="00BA4E2C"/>
    <w:rsid w:val="00BA4EC9"/>
    <w:rsid w:val="00BA52A6"/>
    <w:rsid w:val="00BA5326"/>
    <w:rsid w:val="00BA54B1"/>
    <w:rsid w:val="00BA574B"/>
    <w:rsid w:val="00BA590A"/>
    <w:rsid w:val="00BA59AB"/>
    <w:rsid w:val="00BA5A40"/>
    <w:rsid w:val="00BA5A60"/>
    <w:rsid w:val="00BA5AA7"/>
    <w:rsid w:val="00BA5C6A"/>
    <w:rsid w:val="00BA5D32"/>
    <w:rsid w:val="00BA5D44"/>
    <w:rsid w:val="00BA5E4F"/>
    <w:rsid w:val="00BA61F5"/>
    <w:rsid w:val="00BA64C4"/>
    <w:rsid w:val="00BA6749"/>
    <w:rsid w:val="00BA6901"/>
    <w:rsid w:val="00BA6A80"/>
    <w:rsid w:val="00BA6B25"/>
    <w:rsid w:val="00BA6BE9"/>
    <w:rsid w:val="00BA6D6F"/>
    <w:rsid w:val="00BA6E2A"/>
    <w:rsid w:val="00BA72CD"/>
    <w:rsid w:val="00BA745B"/>
    <w:rsid w:val="00BA778C"/>
    <w:rsid w:val="00BA77B1"/>
    <w:rsid w:val="00BA7965"/>
    <w:rsid w:val="00BA79AC"/>
    <w:rsid w:val="00BA7C6A"/>
    <w:rsid w:val="00BA7D17"/>
    <w:rsid w:val="00BA7DF4"/>
    <w:rsid w:val="00BB01C5"/>
    <w:rsid w:val="00BB026B"/>
    <w:rsid w:val="00BB02AA"/>
    <w:rsid w:val="00BB02E6"/>
    <w:rsid w:val="00BB03EB"/>
    <w:rsid w:val="00BB041B"/>
    <w:rsid w:val="00BB04B0"/>
    <w:rsid w:val="00BB060A"/>
    <w:rsid w:val="00BB06F1"/>
    <w:rsid w:val="00BB08A9"/>
    <w:rsid w:val="00BB0CCA"/>
    <w:rsid w:val="00BB0E0C"/>
    <w:rsid w:val="00BB0F09"/>
    <w:rsid w:val="00BB0F98"/>
    <w:rsid w:val="00BB1028"/>
    <w:rsid w:val="00BB112B"/>
    <w:rsid w:val="00BB1842"/>
    <w:rsid w:val="00BB1927"/>
    <w:rsid w:val="00BB195C"/>
    <w:rsid w:val="00BB1B7D"/>
    <w:rsid w:val="00BB1BC8"/>
    <w:rsid w:val="00BB1BEC"/>
    <w:rsid w:val="00BB1BF4"/>
    <w:rsid w:val="00BB1C27"/>
    <w:rsid w:val="00BB1D2A"/>
    <w:rsid w:val="00BB1D2F"/>
    <w:rsid w:val="00BB1D3A"/>
    <w:rsid w:val="00BB1DE1"/>
    <w:rsid w:val="00BB1EEB"/>
    <w:rsid w:val="00BB2026"/>
    <w:rsid w:val="00BB2136"/>
    <w:rsid w:val="00BB2564"/>
    <w:rsid w:val="00BB2619"/>
    <w:rsid w:val="00BB267D"/>
    <w:rsid w:val="00BB28B2"/>
    <w:rsid w:val="00BB2AE9"/>
    <w:rsid w:val="00BB2BA8"/>
    <w:rsid w:val="00BB2D10"/>
    <w:rsid w:val="00BB2F53"/>
    <w:rsid w:val="00BB2FC6"/>
    <w:rsid w:val="00BB2FCD"/>
    <w:rsid w:val="00BB3197"/>
    <w:rsid w:val="00BB335A"/>
    <w:rsid w:val="00BB33C3"/>
    <w:rsid w:val="00BB33EB"/>
    <w:rsid w:val="00BB33FC"/>
    <w:rsid w:val="00BB346C"/>
    <w:rsid w:val="00BB34C2"/>
    <w:rsid w:val="00BB34DC"/>
    <w:rsid w:val="00BB3624"/>
    <w:rsid w:val="00BB3698"/>
    <w:rsid w:val="00BB397D"/>
    <w:rsid w:val="00BB398E"/>
    <w:rsid w:val="00BB39A7"/>
    <w:rsid w:val="00BB3A22"/>
    <w:rsid w:val="00BB3A6B"/>
    <w:rsid w:val="00BB3B11"/>
    <w:rsid w:val="00BB3B1C"/>
    <w:rsid w:val="00BB3DBC"/>
    <w:rsid w:val="00BB3DF7"/>
    <w:rsid w:val="00BB3E28"/>
    <w:rsid w:val="00BB3EB5"/>
    <w:rsid w:val="00BB4575"/>
    <w:rsid w:val="00BB45B8"/>
    <w:rsid w:val="00BB45C0"/>
    <w:rsid w:val="00BB4653"/>
    <w:rsid w:val="00BB4749"/>
    <w:rsid w:val="00BB48AC"/>
    <w:rsid w:val="00BB492F"/>
    <w:rsid w:val="00BB49C3"/>
    <w:rsid w:val="00BB4A59"/>
    <w:rsid w:val="00BB4B6D"/>
    <w:rsid w:val="00BB4D4F"/>
    <w:rsid w:val="00BB4EA6"/>
    <w:rsid w:val="00BB502B"/>
    <w:rsid w:val="00BB5573"/>
    <w:rsid w:val="00BB568E"/>
    <w:rsid w:val="00BB57E7"/>
    <w:rsid w:val="00BB59FE"/>
    <w:rsid w:val="00BB5C32"/>
    <w:rsid w:val="00BB5E8C"/>
    <w:rsid w:val="00BB5EE5"/>
    <w:rsid w:val="00BB5FC9"/>
    <w:rsid w:val="00BB601B"/>
    <w:rsid w:val="00BB601F"/>
    <w:rsid w:val="00BB6293"/>
    <w:rsid w:val="00BB630C"/>
    <w:rsid w:val="00BB63AB"/>
    <w:rsid w:val="00BB65FC"/>
    <w:rsid w:val="00BB675D"/>
    <w:rsid w:val="00BB6A7D"/>
    <w:rsid w:val="00BB6C69"/>
    <w:rsid w:val="00BB6D72"/>
    <w:rsid w:val="00BB6DF3"/>
    <w:rsid w:val="00BB6E97"/>
    <w:rsid w:val="00BB6F31"/>
    <w:rsid w:val="00BB6F38"/>
    <w:rsid w:val="00BB7074"/>
    <w:rsid w:val="00BB71C3"/>
    <w:rsid w:val="00BB7280"/>
    <w:rsid w:val="00BB72BC"/>
    <w:rsid w:val="00BB7304"/>
    <w:rsid w:val="00BB7360"/>
    <w:rsid w:val="00BB7364"/>
    <w:rsid w:val="00BB7498"/>
    <w:rsid w:val="00BB787A"/>
    <w:rsid w:val="00BB7928"/>
    <w:rsid w:val="00BB7BD7"/>
    <w:rsid w:val="00BB7C31"/>
    <w:rsid w:val="00BB7D6E"/>
    <w:rsid w:val="00BB7DA3"/>
    <w:rsid w:val="00BB7EBA"/>
    <w:rsid w:val="00BB7FBF"/>
    <w:rsid w:val="00BC0103"/>
    <w:rsid w:val="00BC0121"/>
    <w:rsid w:val="00BC03CD"/>
    <w:rsid w:val="00BC04C4"/>
    <w:rsid w:val="00BC04FD"/>
    <w:rsid w:val="00BC055F"/>
    <w:rsid w:val="00BC056B"/>
    <w:rsid w:val="00BC0590"/>
    <w:rsid w:val="00BC05F6"/>
    <w:rsid w:val="00BC0681"/>
    <w:rsid w:val="00BC06B6"/>
    <w:rsid w:val="00BC0B5B"/>
    <w:rsid w:val="00BC0C36"/>
    <w:rsid w:val="00BC0E1D"/>
    <w:rsid w:val="00BC0FF6"/>
    <w:rsid w:val="00BC1020"/>
    <w:rsid w:val="00BC104B"/>
    <w:rsid w:val="00BC1069"/>
    <w:rsid w:val="00BC10B4"/>
    <w:rsid w:val="00BC121E"/>
    <w:rsid w:val="00BC12B2"/>
    <w:rsid w:val="00BC1430"/>
    <w:rsid w:val="00BC17B4"/>
    <w:rsid w:val="00BC1BC7"/>
    <w:rsid w:val="00BC1FA5"/>
    <w:rsid w:val="00BC20F5"/>
    <w:rsid w:val="00BC230B"/>
    <w:rsid w:val="00BC2471"/>
    <w:rsid w:val="00BC24B3"/>
    <w:rsid w:val="00BC255C"/>
    <w:rsid w:val="00BC25D3"/>
    <w:rsid w:val="00BC2631"/>
    <w:rsid w:val="00BC27EF"/>
    <w:rsid w:val="00BC288B"/>
    <w:rsid w:val="00BC2AAD"/>
    <w:rsid w:val="00BC2E8E"/>
    <w:rsid w:val="00BC325A"/>
    <w:rsid w:val="00BC338A"/>
    <w:rsid w:val="00BC339D"/>
    <w:rsid w:val="00BC3415"/>
    <w:rsid w:val="00BC3487"/>
    <w:rsid w:val="00BC3824"/>
    <w:rsid w:val="00BC389C"/>
    <w:rsid w:val="00BC3A57"/>
    <w:rsid w:val="00BC3BA5"/>
    <w:rsid w:val="00BC3EBB"/>
    <w:rsid w:val="00BC3FC5"/>
    <w:rsid w:val="00BC41AA"/>
    <w:rsid w:val="00BC4265"/>
    <w:rsid w:val="00BC4488"/>
    <w:rsid w:val="00BC44A9"/>
    <w:rsid w:val="00BC455F"/>
    <w:rsid w:val="00BC4560"/>
    <w:rsid w:val="00BC46E4"/>
    <w:rsid w:val="00BC4725"/>
    <w:rsid w:val="00BC473E"/>
    <w:rsid w:val="00BC47E1"/>
    <w:rsid w:val="00BC47F5"/>
    <w:rsid w:val="00BC489E"/>
    <w:rsid w:val="00BC4E66"/>
    <w:rsid w:val="00BC4E7E"/>
    <w:rsid w:val="00BC5024"/>
    <w:rsid w:val="00BC529C"/>
    <w:rsid w:val="00BC52AD"/>
    <w:rsid w:val="00BC52D6"/>
    <w:rsid w:val="00BC543E"/>
    <w:rsid w:val="00BC547B"/>
    <w:rsid w:val="00BC5484"/>
    <w:rsid w:val="00BC5796"/>
    <w:rsid w:val="00BC57A1"/>
    <w:rsid w:val="00BC5801"/>
    <w:rsid w:val="00BC580E"/>
    <w:rsid w:val="00BC596B"/>
    <w:rsid w:val="00BC5BF9"/>
    <w:rsid w:val="00BC5C7E"/>
    <w:rsid w:val="00BC5E47"/>
    <w:rsid w:val="00BC5EEF"/>
    <w:rsid w:val="00BC5F68"/>
    <w:rsid w:val="00BC6060"/>
    <w:rsid w:val="00BC612D"/>
    <w:rsid w:val="00BC62CA"/>
    <w:rsid w:val="00BC62D3"/>
    <w:rsid w:val="00BC633F"/>
    <w:rsid w:val="00BC6443"/>
    <w:rsid w:val="00BC6642"/>
    <w:rsid w:val="00BC682B"/>
    <w:rsid w:val="00BC68DE"/>
    <w:rsid w:val="00BC6A08"/>
    <w:rsid w:val="00BC6A15"/>
    <w:rsid w:val="00BC6BA7"/>
    <w:rsid w:val="00BC6F0A"/>
    <w:rsid w:val="00BC6F1C"/>
    <w:rsid w:val="00BC70C1"/>
    <w:rsid w:val="00BC7313"/>
    <w:rsid w:val="00BC7685"/>
    <w:rsid w:val="00BC7693"/>
    <w:rsid w:val="00BC7A27"/>
    <w:rsid w:val="00BC7B07"/>
    <w:rsid w:val="00BC7B79"/>
    <w:rsid w:val="00BC7C60"/>
    <w:rsid w:val="00BC7C99"/>
    <w:rsid w:val="00BC7CAE"/>
    <w:rsid w:val="00BC7E12"/>
    <w:rsid w:val="00BC7ED5"/>
    <w:rsid w:val="00BD00A4"/>
    <w:rsid w:val="00BD0292"/>
    <w:rsid w:val="00BD02CE"/>
    <w:rsid w:val="00BD0880"/>
    <w:rsid w:val="00BD0A16"/>
    <w:rsid w:val="00BD0BD2"/>
    <w:rsid w:val="00BD0FA9"/>
    <w:rsid w:val="00BD0FB5"/>
    <w:rsid w:val="00BD11B6"/>
    <w:rsid w:val="00BD1300"/>
    <w:rsid w:val="00BD130C"/>
    <w:rsid w:val="00BD139A"/>
    <w:rsid w:val="00BD13AF"/>
    <w:rsid w:val="00BD1466"/>
    <w:rsid w:val="00BD150E"/>
    <w:rsid w:val="00BD168B"/>
    <w:rsid w:val="00BD16AE"/>
    <w:rsid w:val="00BD19AA"/>
    <w:rsid w:val="00BD1B08"/>
    <w:rsid w:val="00BD1B2E"/>
    <w:rsid w:val="00BD1E88"/>
    <w:rsid w:val="00BD200E"/>
    <w:rsid w:val="00BD201D"/>
    <w:rsid w:val="00BD20F4"/>
    <w:rsid w:val="00BD2669"/>
    <w:rsid w:val="00BD269F"/>
    <w:rsid w:val="00BD2815"/>
    <w:rsid w:val="00BD2867"/>
    <w:rsid w:val="00BD2DCB"/>
    <w:rsid w:val="00BD2FB7"/>
    <w:rsid w:val="00BD30FC"/>
    <w:rsid w:val="00BD33D0"/>
    <w:rsid w:val="00BD352F"/>
    <w:rsid w:val="00BD35D0"/>
    <w:rsid w:val="00BD36A3"/>
    <w:rsid w:val="00BD3725"/>
    <w:rsid w:val="00BD38B2"/>
    <w:rsid w:val="00BD39DE"/>
    <w:rsid w:val="00BD3E5D"/>
    <w:rsid w:val="00BD41FD"/>
    <w:rsid w:val="00BD431D"/>
    <w:rsid w:val="00BD4355"/>
    <w:rsid w:val="00BD44D8"/>
    <w:rsid w:val="00BD44E0"/>
    <w:rsid w:val="00BD46BC"/>
    <w:rsid w:val="00BD4824"/>
    <w:rsid w:val="00BD4878"/>
    <w:rsid w:val="00BD498C"/>
    <w:rsid w:val="00BD4CD0"/>
    <w:rsid w:val="00BD4E52"/>
    <w:rsid w:val="00BD4FFA"/>
    <w:rsid w:val="00BD5065"/>
    <w:rsid w:val="00BD5265"/>
    <w:rsid w:val="00BD5271"/>
    <w:rsid w:val="00BD5310"/>
    <w:rsid w:val="00BD56D8"/>
    <w:rsid w:val="00BD59A8"/>
    <w:rsid w:val="00BD59C0"/>
    <w:rsid w:val="00BD5A0F"/>
    <w:rsid w:val="00BD5B0B"/>
    <w:rsid w:val="00BD5C76"/>
    <w:rsid w:val="00BD5CDE"/>
    <w:rsid w:val="00BD5CF7"/>
    <w:rsid w:val="00BD5D7A"/>
    <w:rsid w:val="00BD5F6C"/>
    <w:rsid w:val="00BD60FD"/>
    <w:rsid w:val="00BD6100"/>
    <w:rsid w:val="00BD6166"/>
    <w:rsid w:val="00BD61D3"/>
    <w:rsid w:val="00BD6278"/>
    <w:rsid w:val="00BD6302"/>
    <w:rsid w:val="00BD630A"/>
    <w:rsid w:val="00BD6351"/>
    <w:rsid w:val="00BD636A"/>
    <w:rsid w:val="00BD6485"/>
    <w:rsid w:val="00BD653A"/>
    <w:rsid w:val="00BD664B"/>
    <w:rsid w:val="00BD66A1"/>
    <w:rsid w:val="00BD66D8"/>
    <w:rsid w:val="00BD67DA"/>
    <w:rsid w:val="00BD693E"/>
    <w:rsid w:val="00BD6B4B"/>
    <w:rsid w:val="00BD6B90"/>
    <w:rsid w:val="00BD6BE3"/>
    <w:rsid w:val="00BD6C52"/>
    <w:rsid w:val="00BD6DBD"/>
    <w:rsid w:val="00BD6E28"/>
    <w:rsid w:val="00BD7077"/>
    <w:rsid w:val="00BD707D"/>
    <w:rsid w:val="00BD708C"/>
    <w:rsid w:val="00BD7145"/>
    <w:rsid w:val="00BD7156"/>
    <w:rsid w:val="00BD7182"/>
    <w:rsid w:val="00BD72CB"/>
    <w:rsid w:val="00BD751C"/>
    <w:rsid w:val="00BD7603"/>
    <w:rsid w:val="00BD76BF"/>
    <w:rsid w:val="00BD7816"/>
    <w:rsid w:val="00BD78FE"/>
    <w:rsid w:val="00BD7A29"/>
    <w:rsid w:val="00BD7A62"/>
    <w:rsid w:val="00BD7D69"/>
    <w:rsid w:val="00BD7DA4"/>
    <w:rsid w:val="00BD7DAA"/>
    <w:rsid w:val="00BD7E42"/>
    <w:rsid w:val="00BE0197"/>
    <w:rsid w:val="00BE019E"/>
    <w:rsid w:val="00BE02DF"/>
    <w:rsid w:val="00BE047A"/>
    <w:rsid w:val="00BE0484"/>
    <w:rsid w:val="00BE0587"/>
    <w:rsid w:val="00BE062F"/>
    <w:rsid w:val="00BE0980"/>
    <w:rsid w:val="00BE0993"/>
    <w:rsid w:val="00BE0A6C"/>
    <w:rsid w:val="00BE0D22"/>
    <w:rsid w:val="00BE0D39"/>
    <w:rsid w:val="00BE0E8D"/>
    <w:rsid w:val="00BE0EAF"/>
    <w:rsid w:val="00BE0EBD"/>
    <w:rsid w:val="00BE1176"/>
    <w:rsid w:val="00BE1234"/>
    <w:rsid w:val="00BE1241"/>
    <w:rsid w:val="00BE131C"/>
    <w:rsid w:val="00BE1637"/>
    <w:rsid w:val="00BE166D"/>
    <w:rsid w:val="00BE167B"/>
    <w:rsid w:val="00BE1721"/>
    <w:rsid w:val="00BE1818"/>
    <w:rsid w:val="00BE182C"/>
    <w:rsid w:val="00BE1972"/>
    <w:rsid w:val="00BE1AB8"/>
    <w:rsid w:val="00BE1B8A"/>
    <w:rsid w:val="00BE1E49"/>
    <w:rsid w:val="00BE1EB9"/>
    <w:rsid w:val="00BE1EC5"/>
    <w:rsid w:val="00BE1F2C"/>
    <w:rsid w:val="00BE1F61"/>
    <w:rsid w:val="00BE1F88"/>
    <w:rsid w:val="00BE2007"/>
    <w:rsid w:val="00BE2051"/>
    <w:rsid w:val="00BE2098"/>
    <w:rsid w:val="00BE21ED"/>
    <w:rsid w:val="00BE23D1"/>
    <w:rsid w:val="00BE24D4"/>
    <w:rsid w:val="00BE25FA"/>
    <w:rsid w:val="00BE26C5"/>
    <w:rsid w:val="00BE2718"/>
    <w:rsid w:val="00BE2A93"/>
    <w:rsid w:val="00BE2C0D"/>
    <w:rsid w:val="00BE2DB0"/>
    <w:rsid w:val="00BE2DCB"/>
    <w:rsid w:val="00BE2E61"/>
    <w:rsid w:val="00BE2F08"/>
    <w:rsid w:val="00BE2FB5"/>
    <w:rsid w:val="00BE32A7"/>
    <w:rsid w:val="00BE333D"/>
    <w:rsid w:val="00BE33A4"/>
    <w:rsid w:val="00BE3502"/>
    <w:rsid w:val="00BE3590"/>
    <w:rsid w:val="00BE364C"/>
    <w:rsid w:val="00BE3650"/>
    <w:rsid w:val="00BE3796"/>
    <w:rsid w:val="00BE37FB"/>
    <w:rsid w:val="00BE3E22"/>
    <w:rsid w:val="00BE4371"/>
    <w:rsid w:val="00BE43A0"/>
    <w:rsid w:val="00BE44D1"/>
    <w:rsid w:val="00BE475B"/>
    <w:rsid w:val="00BE48D2"/>
    <w:rsid w:val="00BE48D5"/>
    <w:rsid w:val="00BE4C02"/>
    <w:rsid w:val="00BE4C69"/>
    <w:rsid w:val="00BE4D2A"/>
    <w:rsid w:val="00BE5009"/>
    <w:rsid w:val="00BE53FE"/>
    <w:rsid w:val="00BE5561"/>
    <w:rsid w:val="00BE5966"/>
    <w:rsid w:val="00BE5C6D"/>
    <w:rsid w:val="00BE5CBB"/>
    <w:rsid w:val="00BE5E70"/>
    <w:rsid w:val="00BE5ECE"/>
    <w:rsid w:val="00BE5F8C"/>
    <w:rsid w:val="00BE6011"/>
    <w:rsid w:val="00BE603D"/>
    <w:rsid w:val="00BE60B9"/>
    <w:rsid w:val="00BE61DE"/>
    <w:rsid w:val="00BE63F1"/>
    <w:rsid w:val="00BE6558"/>
    <w:rsid w:val="00BE65EB"/>
    <w:rsid w:val="00BE696D"/>
    <w:rsid w:val="00BE698E"/>
    <w:rsid w:val="00BE699C"/>
    <w:rsid w:val="00BE6ABE"/>
    <w:rsid w:val="00BE6E38"/>
    <w:rsid w:val="00BE7258"/>
    <w:rsid w:val="00BE7494"/>
    <w:rsid w:val="00BE74B1"/>
    <w:rsid w:val="00BE7839"/>
    <w:rsid w:val="00BE793C"/>
    <w:rsid w:val="00BE7AF6"/>
    <w:rsid w:val="00BE7D20"/>
    <w:rsid w:val="00BE7EDA"/>
    <w:rsid w:val="00BE7F09"/>
    <w:rsid w:val="00BF0299"/>
    <w:rsid w:val="00BF0310"/>
    <w:rsid w:val="00BF0324"/>
    <w:rsid w:val="00BF04A1"/>
    <w:rsid w:val="00BF04DD"/>
    <w:rsid w:val="00BF07FF"/>
    <w:rsid w:val="00BF087D"/>
    <w:rsid w:val="00BF095C"/>
    <w:rsid w:val="00BF0ACB"/>
    <w:rsid w:val="00BF0BBF"/>
    <w:rsid w:val="00BF0D41"/>
    <w:rsid w:val="00BF0F5F"/>
    <w:rsid w:val="00BF10DC"/>
    <w:rsid w:val="00BF122D"/>
    <w:rsid w:val="00BF132F"/>
    <w:rsid w:val="00BF1577"/>
    <w:rsid w:val="00BF16A8"/>
    <w:rsid w:val="00BF16B2"/>
    <w:rsid w:val="00BF17D9"/>
    <w:rsid w:val="00BF181C"/>
    <w:rsid w:val="00BF1841"/>
    <w:rsid w:val="00BF18A8"/>
    <w:rsid w:val="00BF18AA"/>
    <w:rsid w:val="00BF1EB0"/>
    <w:rsid w:val="00BF1F09"/>
    <w:rsid w:val="00BF2239"/>
    <w:rsid w:val="00BF2263"/>
    <w:rsid w:val="00BF2286"/>
    <w:rsid w:val="00BF23A2"/>
    <w:rsid w:val="00BF2605"/>
    <w:rsid w:val="00BF271B"/>
    <w:rsid w:val="00BF2740"/>
    <w:rsid w:val="00BF2806"/>
    <w:rsid w:val="00BF2842"/>
    <w:rsid w:val="00BF286B"/>
    <w:rsid w:val="00BF28AB"/>
    <w:rsid w:val="00BF28FD"/>
    <w:rsid w:val="00BF292F"/>
    <w:rsid w:val="00BF29E5"/>
    <w:rsid w:val="00BF2A66"/>
    <w:rsid w:val="00BF2C2C"/>
    <w:rsid w:val="00BF2E6E"/>
    <w:rsid w:val="00BF2F0A"/>
    <w:rsid w:val="00BF2FE6"/>
    <w:rsid w:val="00BF312B"/>
    <w:rsid w:val="00BF3145"/>
    <w:rsid w:val="00BF3169"/>
    <w:rsid w:val="00BF318A"/>
    <w:rsid w:val="00BF32E3"/>
    <w:rsid w:val="00BF331A"/>
    <w:rsid w:val="00BF3396"/>
    <w:rsid w:val="00BF3530"/>
    <w:rsid w:val="00BF36A5"/>
    <w:rsid w:val="00BF3703"/>
    <w:rsid w:val="00BF371A"/>
    <w:rsid w:val="00BF383A"/>
    <w:rsid w:val="00BF3887"/>
    <w:rsid w:val="00BF3987"/>
    <w:rsid w:val="00BF399D"/>
    <w:rsid w:val="00BF3A54"/>
    <w:rsid w:val="00BF3C3B"/>
    <w:rsid w:val="00BF3CFC"/>
    <w:rsid w:val="00BF3FCF"/>
    <w:rsid w:val="00BF3FDC"/>
    <w:rsid w:val="00BF4028"/>
    <w:rsid w:val="00BF40B6"/>
    <w:rsid w:val="00BF426E"/>
    <w:rsid w:val="00BF4274"/>
    <w:rsid w:val="00BF4408"/>
    <w:rsid w:val="00BF4632"/>
    <w:rsid w:val="00BF46D4"/>
    <w:rsid w:val="00BF4713"/>
    <w:rsid w:val="00BF4935"/>
    <w:rsid w:val="00BF4D88"/>
    <w:rsid w:val="00BF4D93"/>
    <w:rsid w:val="00BF5127"/>
    <w:rsid w:val="00BF51ED"/>
    <w:rsid w:val="00BF51F5"/>
    <w:rsid w:val="00BF524F"/>
    <w:rsid w:val="00BF53A8"/>
    <w:rsid w:val="00BF540B"/>
    <w:rsid w:val="00BF5452"/>
    <w:rsid w:val="00BF5548"/>
    <w:rsid w:val="00BF556D"/>
    <w:rsid w:val="00BF5733"/>
    <w:rsid w:val="00BF57BE"/>
    <w:rsid w:val="00BF5C23"/>
    <w:rsid w:val="00BF5F17"/>
    <w:rsid w:val="00BF615F"/>
    <w:rsid w:val="00BF642D"/>
    <w:rsid w:val="00BF6868"/>
    <w:rsid w:val="00BF69B1"/>
    <w:rsid w:val="00BF6CCE"/>
    <w:rsid w:val="00BF6DD7"/>
    <w:rsid w:val="00BF6E60"/>
    <w:rsid w:val="00BF71B1"/>
    <w:rsid w:val="00BF75D7"/>
    <w:rsid w:val="00BF77DF"/>
    <w:rsid w:val="00BF7809"/>
    <w:rsid w:val="00BF786D"/>
    <w:rsid w:val="00BF7C9B"/>
    <w:rsid w:val="00BF7E8F"/>
    <w:rsid w:val="00BF7F65"/>
    <w:rsid w:val="00BF7FF3"/>
    <w:rsid w:val="00C00120"/>
    <w:rsid w:val="00C00144"/>
    <w:rsid w:val="00C00397"/>
    <w:rsid w:val="00C0042D"/>
    <w:rsid w:val="00C004D1"/>
    <w:rsid w:val="00C00580"/>
    <w:rsid w:val="00C00629"/>
    <w:rsid w:val="00C006E4"/>
    <w:rsid w:val="00C009BD"/>
    <w:rsid w:val="00C00DB8"/>
    <w:rsid w:val="00C00EE1"/>
    <w:rsid w:val="00C01021"/>
    <w:rsid w:val="00C011F9"/>
    <w:rsid w:val="00C0121C"/>
    <w:rsid w:val="00C01266"/>
    <w:rsid w:val="00C012D9"/>
    <w:rsid w:val="00C01326"/>
    <w:rsid w:val="00C01454"/>
    <w:rsid w:val="00C01482"/>
    <w:rsid w:val="00C0154F"/>
    <w:rsid w:val="00C01717"/>
    <w:rsid w:val="00C0187D"/>
    <w:rsid w:val="00C01A0F"/>
    <w:rsid w:val="00C01B85"/>
    <w:rsid w:val="00C01D9C"/>
    <w:rsid w:val="00C01E70"/>
    <w:rsid w:val="00C01F77"/>
    <w:rsid w:val="00C01F9D"/>
    <w:rsid w:val="00C01FE7"/>
    <w:rsid w:val="00C02103"/>
    <w:rsid w:val="00C02134"/>
    <w:rsid w:val="00C02523"/>
    <w:rsid w:val="00C02596"/>
    <w:rsid w:val="00C025EA"/>
    <w:rsid w:val="00C026CB"/>
    <w:rsid w:val="00C028FF"/>
    <w:rsid w:val="00C029EF"/>
    <w:rsid w:val="00C02A1E"/>
    <w:rsid w:val="00C02C4E"/>
    <w:rsid w:val="00C02CBE"/>
    <w:rsid w:val="00C02E94"/>
    <w:rsid w:val="00C02F46"/>
    <w:rsid w:val="00C02F78"/>
    <w:rsid w:val="00C02FC3"/>
    <w:rsid w:val="00C03096"/>
    <w:rsid w:val="00C030C4"/>
    <w:rsid w:val="00C030DA"/>
    <w:rsid w:val="00C031C2"/>
    <w:rsid w:val="00C035F2"/>
    <w:rsid w:val="00C0384E"/>
    <w:rsid w:val="00C03A1B"/>
    <w:rsid w:val="00C03A37"/>
    <w:rsid w:val="00C03B4A"/>
    <w:rsid w:val="00C03B6B"/>
    <w:rsid w:val="00C03B8A"/>
    <w:rsid w:val="00C03D10"/>
    <w:rsid w:val="00C03D2B"/>
    <w:rsid w:val="00C03DAA"/>
    <w:rsid w:val="00C03DAF"/>
    <w:rsid w:val="00C03FE0"/>
    <w:rsid w:val="00C0406E"/>
    <w:rsid w:val="00C04119"/>
    <w:rsid w:val="00C041F2"/>
    <w:rsid w:val="00C042A6"/>
    <w:rsid w:val="00C04303"/>
    <w:rsid w:val="00C04466"/>
    <w:rsid w:val="00C0446A"/>
    <w:rsid w:val="00C044C8"/>
    <w:rsid w:val="00C045CB"/>
    <w:rsid w:val="00C046CA"/>
    <w:rsid w:val="00C0499C"/>
    <w:rsid w:val="00C04B74"/>
    <w:rsid w:val="00C04C2F"/>
    <w:rsid w:val="00C04C45"/>
    <w:rsid w:val="00C04D00"/>
    <w:rsid w:val="00C04E2E"/>
    <w:rsid w:val="00C04E88"/>
    <w:rsid w:val="00C050E6"/>
    <w:rsid w:val="00C0526B"/>
    <w:rsid w:val="00C0527A"/>
    <w:rsid w:val="00C05339"/>
    <w:rsid w:val="00C0559E"/>
    <w:rsid w:val="00C055BB"/>
    <w:rsid w:val="00C055D6"/>
    <w:rsid w:val="00C05620"/>
    <w:rsid w:val="00C056FA"/>
    <w:rsid w:val="00C05718"/>
    <w:rsid w:val="00C0579C"/>
    <w:rsid w:val="00C0592A"/>
    <w:rsid w:val="00C05B18"/>
    <w:rsid w:val="00C05F4A"/>
    <w:rsid w:val="00C05FC5"/>
    <w:rsid w:val="00C05FD1"/>
    <w:rsid w:val="00C0607C"/>
    <w:rsid w:val="00C0607E"/>
    <w:rsid w:val="00C06476"/>
    <w:rsid w:val="00C065AD"/>
    <w:rsid w:val="00C06617"/>
    <w:rsid w:val="00C066B0"/>
    <w:rsid w:val="00C066F7"/>
    <w:rsid w:val="00C067AA"/>
    <w:rsid w:val="00C06926"/>
    <w:rsid w:val="00C069CC"/>
    <w:rsid w:val="00C06C38"/>
    <w:rsid w:val="00C06C43"/>
    <w:rsid w:val="00C06E94"/>
    <w:rsid w:val="00C07019"/>
    <w:rsid w:val="00C070B9"/>
    <w:rsid w:val="00C071B5"/>
    <w:rsid w:val="00C071FB"/>
    <w:rsid w:val="00C07215"/>
    <w:rsid w:val="00C072AF"/>
    <w:rsid w:val="00C07310"/>
    <w:rsid w:val="00C07467"/>
    <w:rsid w:val="00C07626"/>
    <w:rsid w:val="00C07696"/>
    <w:rsid w:val="00C0789C"/>
    <w:rsid w:val="00C07AA3"/>
    <w:rsid w:val="00C07B03"/>
    <w:rsid w:val="00C07B7B"/>
    <w:rsid w:val="00C07C4E"/>
    <w:rsid w:val="00C07C5A"/>
    <w:rsid w:val="00C07C9B"/>
    <w:rsid w:val="00C07D1F"/>
    <w:rsid w:val="00C07D82"/>
    <w:rsid w:val="00C07DA2"/>
    <w:rsid w:val="00C07E9A"/>
    <w:rsid w:val="00C10326"/>
    <w:rsid w:val="00C1070D"/>
    <w:rsid w:val="00C107B5"/>
    <w:rsid w:val="00C108D6"/>
    <w:rsid w:val="00C1091B"/>
    <w:rsid w:val="00C10A37"/>
    <w:rsid w:val="00C10A8E"/>
    <w:rsid w:val="00C10BB4"/>
    <w:rsid w:val="00C10C58"/>
    <w:rsid w:val="00C10C9D"/>
    <w:rsid w:val="00C10D6B"/>
    <w:rsid w:val="00C10E9E"/>
    <w:rsid w:val="00C10F8D"/>
    <w:rsid w:val="00C11154"/>
    <w:rsid w:val="00C11203"/>
    <w:rsid w:val="00C114E3"/>
    <w:rsid w:val="00C1154C"/>
    <w:rsid w:val="00C115CD"/>
    <w:rsid w:val="00C115D4"/>
    <w:rsid w:val="00C11790"/>
    <w:rsid w:val="00C118AB"/>
    <w:rsid w:val="00C118C5"/>
    <w:rsid w:val="00C11955"/>
    <w:rsid w:val="00C11AB2"/>
    <w:rsid w:val="00C11AB8"/>
    <w:rsid w:val="00C11B23"/>
    <w:rsid w:val="00C11B77"/>
    <w:rsid w:val="00C11D6C"/>
    <w:rsid w:val="00C11D9F"/>
    <w:rsid w:val="00C11DBE"/>
    <w:rsid w:val="00C11DE1"/>
    <w:rsid w:val="00C11FDC"/>
    <w:rsid w:val="00C12129"/>
    <w:rsid w:val="00C12371"/>
    <w:rsid w:val="00C12716"/>
    <w:rsid w:val="00C1281E"/>
    <w:rsid w:val="00C12845"/>
    <w:rsid w:val="00C1284E"/>
    <w:rsid w:val="00C1288B"/>
    <w:rsid w:val="00C128F7"/>
    <w:rsid w:val="00C129B8"/>
    <w:rsid w:val="00C12B7C"/>
    <w:rsid w:val="00C12CB5"/>
    <w:rsid w:val="00C12CF7"/>
    <w:rsid w:val="00C12D3B"/>
    <w:rsid w:val="00C12DEB"/>
    <w:rsid w:val="00C130AB"/>
    <w:rsid w:val="00C13256"/>
    <w:rsid w:val="00C13318"/>
    <w:rsid w:val="00C133B7"/>
    <w:rsid w:val="00C13482"/>
    <w:rsid w:val="00C1350D"/>
    <w:rsid w:val="00C137A8"/>
    <w:rsid w:val="00C139C2"/>
    <w:rsid w:val="00C13A9B"/>
    <w:rsid w:val="00C13CFB"/>
    <w:rsid w:val="00C13E4A"/>
    <w:rsid w:val="00C13F8E"/>
    <w:rsid w:val="00C1401D"/>
    <w:rsid w:val="00C14051"/>
    <w:rsid w:val="00C141AD"/>
    <w:rsid w:val="00C141BC"/>
    <w:rsid w:val="00C14286"/>
    <w:rsid w:val="00C14316"/>
    <w:rsid w:val="00C143C9"/>
    <w:rsid w:val="00C145BC"/>
    <w:rsid w:val="00C14632"/>
    <w:rsid w:val="00C146A2"/>
    <w:rsid w:val="00C1475E"/>
    <w:rsid w:val="00C148AF"/>
    <w:rsid w:val="00C148F9"/>
    <w:rsid w:val="00C14908"/>
    <w:rsid w:val="00C1497F"/>
    <w:rsid w:val="00C149BB"/>
    <w:rsid w:val="00C14A70"/>
    <w:rsid w:val="00C14B44"/>
    <w:rsid w:val="00C14B45"/>
    <w:rsid w:val="00C14C51"/>
    <w:rsid w:val="00C14F18"/>
    <w:rsid w:val="00C14F67"/>
    <w:rsid w:val="00C15086"/>
    <w:rsid w:val="00C153EF"/>
    <w:rsid w:val="00C15430"/>
    <w:rsid w:val="00C155F5"/>
    <w:rsid w:val="00C1573A"/>
    <w:rsid w:val="00C15794"/>
    <w:rsid w:val="00C157C9"/>
    <w:rsid w:val="00C15A1B"/>
    <w:rsid w:val="00C15A38"/>
    <w:rsid w:val="00C15B72"/>
    <w:rsid w:val="00C15CA2"/>
    <w:rsid w:val="00C15FDF"/>
    <w:rsid w:val="00C16290"/>
    <w:rsid w:val="00C16415"/>
    <w:rsid w:val="00C1642E"/>
    <w:rsid w:val="00C16560"/>
    <w:rsid w:val="00C165B2"/>
    <w:rsid w:val="00C165B4"/>
    <w:rsid w:val="00C166FC"/>
    <w:rsid w:val="00C16735"/>
    <w:rsid w:val="00C167C2"/>
    <w:rsid w:val="00C16AD2"/>
    <w:rsid w:val="00C16BFC"/>
    <w:rsid w:val="00C16DA8"/>
    <w:rsid w:val="00C16E41"/>
    <w:rsid w:val="00C16EEB"/>
    <w:rsid w:val="00C170C6"/>
    <w:rsid w:val="00C171D6"/>
    <w:rsid w:val="00C1732A"/>
    <w:rsid w:val="00C17348"/>
    <w:rsid w:val="00C1749A"/>
    <w:rsid w:val="00C175F9"/>
    <w:rsid w:val="00C175FA"/>
    <w:rsid w:val="00C176B2"/>
    <w:rsid w:val="00C176DD"/>
    <w:rsid w:val="00C17704"/>
    <w:rsid w:val="00C1788A"/>
    <w:rsid w:val="00C17A18"/>
    <w:rsid w:val="00C17AAC"/>
    <w:rsid w:val="00C17ABF"/>
    <w:rsid w:val="00C17AF4"/>
    <w:rsid w:val="00C17BF9"/>
    <w:rsid w:val="00C17CD9"/>
    <w:rsid w:val="00C17D00"/>
    <w:rsid w:val="00C17DC5"/>
    <w:rsid w:val="00C17DCD"/>
    <w:rsid w:val="00C17E56"/>
    <w:rsid w:val="00C17E64"/>
    <w:rsid w:val="00C17E74"/>
    <w:rsid w:val="00C17E8C"/>
    <w:rsid w:val="00C17EBB"/>
    <w:rsid w:val="00C17F38"/>
    <w:rsid w:val="00C17FB0"/>
    <w:rsid w:val="00C20013"/>
    <w:rsid w:val="00C20082"/>
    <w:rsid w:val="00C200D1"/>
    <w:rsid w:val="00C20100"/>
    <w:rsid w:val="00C202CA"/>
    <w:rsid w:val="00C202F3"/>
    <w:rsid w:val="00C203AC"/>
    <w:rsid w:val="00C203E1"/>
    <w:rsid w:val="00C20488"/>
    <w:rsid w:val="00C2052C"/>
    <w:rsid w:val="00C20566"/>
    <w:rsid w:val="00C20577"/>
    <w:rsid w:val="00C205C3"/>
    <w:rsid w:val="00C20B1D"/>
    <w:rsid w:val="00C20E4B"/>
    <w:rsid w:val="00C20FAC"/>
    <w:rsid w:val="00C210D7"/>
    <w:rsid w:val="00C214E1"/>
    <w:rsid w:val="00C215A1"/>
    <w:rsid w:val="00C216C9"/>
    <w:rsid w:val="00C21722"/>
    <w:rsid w:val="00C21744"/>
    <w:rsid w:val="00C21797"/>
    <w:rsid w:val="00C217BE"/>
    <w:rsid w:val="00C21A71"/>
    <w:rsid w:val="00C21AF7"/>
    <w:rsid w:val="00C21C3A"/>
    <w:rsid w:val="00C21D44"/>
    <w:rsid w:val="00C220AE"/>
    <w:rsid w:val="00C220CB"/>
    <w:rsid w:val="00C22327"/>
    <w:rsid w:val="00C224C8"/>
    <w:rsid w:val="00C226B7"/>
    <w:rsid w:val="00C22726"/>
    <w:rsid w:val="00C22864"/>
    <w:rsid w:val="00C22871"/>
    <w:rsid w:val="00C22A85"/>
    <w:rsid w:val="00C22C03"/>
    <w:rsid w:val="00C22C51"/>
    <w:rsid w:val="00C22D2B"/>
    <w:rsid w:val="00C22E00"/>
    <w:rsid w:val="00C22E1B"/>
    <w:rsid w:val="00C22F0B"/>
    <w:rsid w:val="00C22F84"/>
    <w:rsid w:val="00C23117"/>
    <w:rsid w:val="00C232FC"/>
    <w:rsid w:val="00C23452"/>
    <w:rsid w:val="00C23530"/>
    <w:rsid w:val="00C235E8"/>
    <w:rsid w:val="00C2368A"/>
    <w:rsid w:val="00C2383E"/>
    <w:rsid w:val="00C23BD4"/>
    <w:rsid w:val="00C23BFC"/>
    <w:rsid w:val="00C23D07"/>
    <w:rsid w:val="00C23D79"/>
    <w:rsid w:val="00C23E7F"/>
    <w:rsid w:val="00C23EB7"/>
    <w:rsid w:val="00C23EE0"/>
    <w:rsid w:val="00C24014"/>
    <w:rsid w:val="00C24033"/>
    <w:rsid w:val="00C242B0"/>
    <w:rsid w:val="00C242FD"/>
    <w:rsid w:val="00C24349"/>
    <w:rsid w:val="00C244B2"/>
    <w:rsid w:val="00C245A5"/>
    <w:rsid w:val="00C245A7"/>
    <w:rsid w:val="00C245BD"/>
    <w:rsid w:val="00C2462B"/>
    <w:rsid w:val="00C248B3"/>
    <w:rsid w:val="00C24C5A"/>
    <w:rsid w:val="00C24F61"/>
    <w:rsid w:val="00C25019"/>
    <w:rsid w:val="00C25056"/>
    <w:rsid w:val="00C25085"/>
    <w:rsid w:val="00C250D7"/>
    <w:rsid w:val="00C25113"/>
    <w:rsid w:val="00C25264"/>
    <w:rsid w:val="00C253D1"/>
    <w:rsid w:val="00C255CA"/>
    <w:rsid w:val="00C255CE"/>
    <w:rsid w:val="00C25766"/>
    <w:rsid w:val="00C2597F"/>
    <w:rsid w:val="00C25B37"/>
    <w:rsid w:val="00C25B3B"/>
    <w:rsid w:val="00C25BC6"/>
    <w:rsid w:val="00C25D1D"/>
    <w:rsid w:val="00C25E06"/>
    <w:rsid w:val="00C25E22"/>
    <w:rsid w:val="00C25F81"/>
    <w:rsid w:val="00C2602B"/>
    <w:rsid w:val="00C26058"/>
    <w:rsid w:val="00C26102"/>
    <w:rsid w:val="00C26152"/>
    <w:rsid w:val="00C261F7"/>
    <w:rsid w:val="00C265CD"/>
    <w:rsid w:val="00C266AB"/>
    <w:rsid w:val="00C268F7"/>
    <w:rsid w:val="00C269EE"/>
    <w:rsid w:val="00C26AD7"/>
    <w:rsid w:val="00C26AD8"/>
    <w:rsid w:val="00C26B2E"/>
    <w:rsid w:val="00C26B72"/>
    <w:rsid w:val="00C26EBA"/>
    <w:rsid w:val="00C270EC"/>
    <w:rsid w:val="00C2728E"/>
    <w:rsid w:val="00C272AB"/>
    <w:rsid w:val="00C272DA"/>
    <w:rsid w:val="00C272FB"/>
    <w:rsid w:val="00C2753D"/>
    <w:rsid w:val="00C276D5"/>
    <w:rsid w:val="00C278DD"/>
    <w:rsid w:val="00C27911"/>
    <w:rsid w:val="00C27A8E"/>
    <w:rsid w:val="00C27B69"/>
    <w:rsid w:val="00C27BB0"/>
    <w:rsid w:val="00C27BB7"/>
    <w:rsid w:val="00C27C76"/>
    <w:rsid w:val="00C27C88"/>
    <w:rsid w:val="00C27F05"/>
    <w:rsid w:val="00C27FC5"/>
    <w:rsid w:val="00C30257"/>
    <w:rsid w:val="00C302D0"/>
    <w:rsid w:val="00C30587"/>
    <w:rsid w:val="00C30604"/>
    <w:rsid w:val="00C306E3"/>
    <w:rsid w:val="00C3071F"/>
    <w:rsid w:val="00C30807"/>
    <w:rsid w:val="00C30873"/>
    <w:rsid w:val="00C30997"/>
    <w:rsid w:val="00C30DB5"/>
    <w:rsid w:val="00C30E10"/>
    <w:rsid w:val="00C30E2C"/>
    <w:rsid w:val="00C30F17"/>
    <w:rsid w:val="00C31188"/>
    <w:rsid w:val="00C31406"/>
    <w:rsid w:val="00C31430"/>
    <w:rsid w:val="00C3147B"/>
    <w:rsid w:val="00C317BB"/>
    <w:rsid w:val="00C3198E"/>
    <w:rsid w:val="00C31A3F"/>
    <w:rsid w:val="00C31AD5"/>
    <w:rsid w:val="00C31B17"/>
    <w:rsid w:val="00C31CC8"/>
    <w:rsid w:val="00C31EEE"/>
    <w:rsid w:val="00C31F21"/>
    <w:rsid w:val="00C3231A"/>
    <w:rsid w:val="00C323C4"/>
    <w:rsid w:val="00C32534"/>
    <w:rsid w:val="00C32617"/>
    <w:rsid w:val="00C32699"/>
    <w:rsid w:val="00C326F3"/>
    <w:rsid w:val="00C328BE"/>
    <w:rsid w:val="00C3291D"/>
    <w:rsid w:val="00C32BB9"/>
    <w:rsid w:val="00C32BCC"/>
    <w:rsid w:val="00C32CA8"/>
    <w:rsid w:val="00C32D1F"/>
    <w:rsid w:val="00C32D85"/>
    <w:rsid w:val="00C32F80"/>
    <w:rsid w:val="00C32F9E"/>
    <w:rsid w:val="00C33171"/>
    <w:rsid w:val="00C331C9"/>
    <w:rsid w:val="00C332E5"/>
    <w:rsid w:val="00C3335B"/>
    <w:rsid w:val="00C33367"/>
    <w:rsid w:val="00C33376"/>
    <w:rsid w:val="00C33498"/>
    <w:rsid w:val="00C33524"/>
    <w:rsid w:val="00C3354B"/>
    <w:rsid w:val="00C3371F"/>
    <w:rsid w:val="00C33746"/>
    <w:rsid w:val="00C33807"/>
    <w:rsid w:val="00C33E33"/>
    <w:rsid w:val="00C340CE"/>
    <w:rsid w:val="00C34150"/>
    <w:rsid w:val="00C341A4"/>
    <w:rsid w:val="00C3421F"/>
    <w:rsid w:val="00C34271"/>
    <w:rsid w:val="00C3453E"/>
    <w:rsid w:val="00C34542"/>
    <w:rsid w:val="00C34622"/>
    <w:rsid w:val="00C34844"/>
    <w:rsid w:val="00C3486F"/>
    <w:rsid w:val="00C348E8"/>
    <w:rsid w:val="00C34A13"/>
    <w:rsid w:val="00C34C04"/>
    <w:rsid w:val="00C34DC3"/>
    <w:rsid w:val="00C34DE3"/>
    <w:rsid w:val="00C34E5A"/>
    <w:rsid w:val="00C34F93"/>
    <w:rsid w:val="00C35017"/>
    <w:rsid w:val="00C35059"/>
    <w:rsid w:val="00C35061"/>
    <w:rsid w:val="00C3525B"/>
    <w:rsid w:val="00C3525E"/>
    <w:rsid w:val="00C3536E"/>
    <w:rsid w:val="00C35390"/>
    <w:rsid w:val="00C35441"/>
    <w:rsid w:val="00C3546E"/>
    <w:rsid w:val="00C35562"/>
    <w:rsid w:val="00C35638"/>
    <w:rsid w:val="00C35701"/>
    <w:rsid w:val="00C359FC"/>
    <w:rsid w:val="00C35A46"/>
    <w:rsid w:val="00C35B7C"/>
    <w:rsid w:val="00C35E70"/>
    <w:rsid w:val="00C35EA0"/>
    <w:rsid w:val="00C361A1"/>
    <w:rsid w:val="00C361F1"/>
    <w:rsid w:val="00C36468"/>
    <w:rsid w:val="00C366A2"/>
    <w:rsid w:val="00C36707"/>
    <w:rsid w:val="00C3676F"/>
    <w:rsid w:val="00C36828"/>
    <w:rsid w:val="00C36888"/>
    <w:rsid w:val="00C368E5"/>
    <w:rsid w:val="00C36B9A"/>
    <w:rsid w:val="00C36E71"/>
    <w:rsid w:val="00C3700C"/>
    <w:rsid w:val="00C37064"/>
    <w:rsid w:val="00C37133"/>
    <w:rsid w:val="00C37325"/>
    <w:rsid w:val="00C3741E"/>
    <w:rsid w:val="00C3754C"/>
    <w:rsid w:val="00C37874"/>
    <w:rsid w:val="00C37983"/>
    <w:rsid w:val="00C37A6E"/>
    <w:rsid w:val="00C37C20"/>
    <w:rsid w:val="00C37D5E"/>
    <w:rsid w:val="00C3F4D3"/>
    <w:rsid w:val="00C40091"/>
    <w:rsid w:val="00C40520"/>
    <w:rsid w:val="00C40620"/>
    <w:rsid w:val="00C406E9"/>
    <w:rsid w:val="00C40725"/>
    <w:rsid w:val="00C40852"/>
    <w:rsid w:val="00C4086D"/>
    <w:rsid w:val="00C40956"/>
    <w:rsid w:val="00C409E9"/>
    <w:rsid w:val="00C40A06"/>
    <w:rsid w:val="00C40D91"/>
    <w:rsid w:val="00C40E5C"/>
    <w:rsid w:val="00C40F69"/>
    <w:rsid w:val="00C41170"/>
    <w:rsid w:val="00C411E3"/>
    <w:rsid w:val="00C4138F"/>
    <w:rsid w:val="00C4146F"/>
    <w:rsid w:val="00C4172E"/>
    <w:rsid w:val="00C41835"/>
    <w:rsid w:val="00C418FD"/>
    <w:rsid w:val="00C41945"/>
    <w:rsid w:val="00C41A3E"/>
    <w:rsid w:val="00C41CE3"/>
    <w:rsid w:val="00C41FE1"/>
    <w:rsid w:val="00C420B1"/>
    <w:rsid w:val="00C42194"/>
    <w:rsid w:val="00C42275"/>
    <w:rsid w:val="00C4227A"/>
    <w:rsid w:val="00C423B3"/>
    <w:rsid w:val="00C42401"/>
    <w:rsid w:val="00C426B9"/>
    <w:rsid w:val="00C426F6"/>
    <w:rsid w:val="00C427B2"/>
    <w:rsid w:val="00C428E9"/>
    <w:rsid w:val="00C4296E"/>
    <w:rsid w:val="00C429AE"/>
    <w:rsid w:val="00C42A2C"/>
    <w:rsid w:val="00C42A34"/>
    <w:rsid w:val="00C42D2B"/>
    <w:rsid w:val="00C42F65"/>
    <w:rsid w:val="00C43279"/>
    <w:rsid w:val="00C4331C"/>
    <w:rsid w:val="00C433AD"/>
    <w:rsid w:val="00C43416"/>
    <w:rsid w:val="00C434C4"/>
    <w:rsid w:val="00C4356B"/>
    <w:rsid w:val="00C43618"/>
    <w:rsid w:val="00C436D5"/>
    <w:rsid w:val="00C4390D"/>
    <w:rsid w:val="00C43954"/>
    <w:rsid w:val="00C43978"/>
    <w:rsid w:val="00C43B60"/>
    <w:rsid w:val="00C43B95"/>
    <w:rsid w:val="00C43BF0"/>
    <w:rsid w:val="00C43C8A"/>
    <w:rsid w:val="00C43DEE"/>
    <w:rsid w:val="00C43F30"/>
    <w:rsid w:val="00C43FA7"/>
    <w:rsid w:val="00C43FCE"/>
    <w:rsid w:val="00C4401C"/>
    <w:rsid w:val="00C44101"/>
    <w:rsid w:val="00C4411B"/>
    <w:rsid w:val="00C44176"/>
    <w:rsid w:val="00C443E4"/>
    <w:rsid w:val="00C4440D"/>
    <w:rsid w:val="00C4442E"/>
    <w:rsid w:val="00C4447E"/>
    <w:rsid w:val="00C44500"/>
    <w:rsid w:val="00C4494C"/>
    <w:rsid w:val="00C4499F"/>
    <w:rsid w:val="00C44ADA"/>
    <w:rsid w:val="00C44B67"/>
    <w:rsid w:val="00C44F1C"/>
    <w:rsid w:val="00C44F40"/>
    <w:rsid w:val="00C44FE7"/>
    <w:rsid w:val="00C4502C"/>
    <w:rsid w:val="00C451D8"/>
    <w:rsid w:val="00C452AC"/>
    <w:rsid w:val="00C4540C"/>
    <w:rsid w:val="00C45583"/>
    <w:rsid w:val="00C45708"/>
    <w:rsid w:val="00C457AD"/>
    <w:rsid w:val="00C458A6"/>
    <w:rsid w:val="00C458C1"/>
    <w:rsid w:val="00C45A1F"/>
    <w:rsid w:val="00C45C31"/>
    <w:rsid w:val="00C45D92"/>
    <w:rsid w:val="00C45DEA"/>
    <w:rsid w:val="00C45DF7"/>
    <w:rsid w:val="00C46020"/>
    <w:rsid w:val="00C46167"/>
    <w:rsid w:val="00C462DA"/>
    <w:rsid w:val="00C4639E"/>
    <w:rsid w:val="00C46652"/>
    <w:rsid w:val="00C466E1"/>
    <w:rsid w:val="00C4689D"/>
    <w:rsid w:val="00C468A6"/>
    <w:rsid w:val="00C46C5D"/>
    <w:rsid w:val="00C46C5F"/>
    <w:rsid w:val="00C46CF2"/>
    <w:rsid w:val="00C46DB0"/>
    <w:rsid w:val="00C46E3C"/>
    <w:rsid w:val="00C46E3D"/>
    <w:rsid w:val="00C46EC1"/>
    <w:rsid w:val="00C471AE"/>
    <w:rsid w:val="00C471EB"/>
    <w:rsid w:val="00C472D8"/>
    <w:rsid w:val="00C473AD"/>
    <w:rsid w:val="00C4742C"/>
    <w:rsid w:val="00C4767E"/>
    <w:rsid w:val="00C476BE"/>
    <w:rsid w:val="00C476CA"/>
    <w:rsid w:val="00C47725"/>
    <w:rsid w:val="00C4775A"/>
    <w:rsid w:val="00C4785A"/>
    <w:rsid w:val="00C47915"/>
    <w:rsid w:val="00C4794D"/>
    <w:rsid w:val="00C47A26"/>
    <w:rsid w:val="00C47A3E"/>
    <w:rsid w:val="00C47AA4"/>
    <w:rsid w:val="00C47D3A"/>
    <w:rsid w:val="00C47D53"/>
    <w:rsid w:val="00C47E08"/>
    <w:rsid w:val="00C47EBD"/>
    <w:rsid w:val="00C47FB6"/>
    <w:rsid w:val="00C50033"/>
    <w:rsid w:val="00C502EA"/>
    <w:rsid w:val="00C50373"/>
    <w:rsid w:val="00C5053D"/>
    <w:rsid w:val="00C505FF"/>
    <w:rsid w:val="00C5068C"/>
    <w:rsid w:val="00C506FB"/>
    <w:rsid w:val="00C50862"/>
    <w:rsid w:val="00C50951"/>
    <w:rsid w:val="00C50D1E"/>
    <w:rsid w:val="00C50EF1"/>
    <w:rsid w:val="00C50F14"/>
    <w:rsid w:val="00C50F65"/>
    <w:rsid w:val="00C50F9A"/>
    <w:rsid w:val="00C51193"/>
    <w:rsid w:val="00C511AA"/>
    <w:rsid w:val="00C511CD"/>
    <w:rsid w:val="00C511DE"/>
    <w:rsid w:val="00C5122A"/>
    <w:rsid w:val="00C5122C"/>
    <w:rsid w:val="00C51428"/>
    <w:rsid w:val="00C51442"/>
    <w:rsid w:val="00C5168F"/>
    <w:rsid w:val="00C51699"/>
    <w:rsid w:val="00C516CF"/>
    <w:rsid w:val="00C51710"/>
    <w:rsid w:val="00C517E2"/>
    <w:rsid w:val="00C5187D"/>
    <w:rsid w:val="00C519C5"/>
    <w:rsid w:val="00C51ADE"/>
    <w:rsid w:val="00C51B2E"/>
    <w:rsid w:val="00C51BA2"/>
    <w:rsid w:val="00C51BB3"/>
    <w:rsid w:val="00C51C0C"/>
    <w:rsid w:val="00C51C0E"/>
    <w:rsid w:val="00C51FE9"/>
    <w:rsid w:val="00C52068"/>
    <w:rsid w:val="00C5207F"/>
    <w:rsid w:val="00C52230"/>
    <w:rsid w:val="00C5235E"/>
    <w:rsid w:val="00C523B8"/>
    <w:rsid w:val="00C5241D"/>
    <w:rsid w:val="00C5244C"/>
    <w:rsid w:val="00C52A1C"/>
    <w:rsid w:val="00C52E49"/>
    <w:rsid w:val="00C52F8F"/>
    <w:rsid w:val="00C53111"/>
    <w:rsid w:val="00C53378"/>
    <w:rsid w:val="00C534F4"/>
    <w:rsid w:val="00C5355E"/>
    <w:rsid w:val="00C539F7"/>
    <w:rsid w:val="00C53B03"/>
    <w:rsid w:val="00C53C06"/>
    <w:rsid w:val="00C53CB8"/>
    <w:rsid w:val="00C53F00"/>
    <w:rsid w:val="00C53F06"/>
    <w:rsid w:val="00C5414B"/>
    <w:rsid w:val="00C5422F"/>
    <w:rsid w:val="00C54324"/>
    <w:rsid w:val="00C54418"/>
    <w:rsid w:val="00C544ED"/>
    <w:rsid w:val="00C54558"/>
    <w:rsid w:val="00C5455B"/>
    <w:rsid w:val="00C546A5"/>
    <w:rsid w:val="00C54768"/>
    <w:rsid w:val="00C54C9E"/>
    <w:rsid w:val="00C54D9B"/>
    <w:rsid w:val="00C54F44"/>
    <w:rsid w:val="00C55031"/>
    <w:rsid w:val="00C551AD"/>
    <w:rsid w:val="00C553D9"/>
    <w:rsid w:val="00C55479"/>
    <w:rsid w:val="00C55525"/>
    <w:rsid w:val="00C556A2"/>
    <w:rsid w:val="00C55720"/>
    <w:rsid w:val="00C55727"/>
    <w:rsid w:val="00C55740"/>
    <w:rsid w:val="00C55823"/>
    <w:rsid w:val="00C55B99"/>
    <w:rsid w:val="00C55BA4"/>
    <w:rsid w:val="00C55CDE"/>
    <w:rsid w:val="00C55E1E"/>
    <w:rsid w:val="00C55E4D"/>
    <w:rsid w:val="00C55E9E"/>
    <w:rsid w:val="00C55F97"/>
    <w:rsid w:val="00C55FB2"/>
    <w:rsid w:val="00C55FD2"/>
    <w:rsid w:val="00C56050"/>
    <w:rsid w:val="00C561B1"/>
    <w:rsid w:val="00C56406"/>
    <w:rsid w:val="00C56484"/>
    <w:rsid w:val="00C56664"/>
    <w:rsid w:val="00C56827"/>
    <w:rsid w:val="00C569A7"/>
    <w:rsid w:val="00C56BE1"/>
    <w:rsid w:val="00C56C58"/>
    <w:rsid w:val="00C56CDE"/>
    <w:rsid w:val="00C56E2F"/>
    <w:rsid w:val="00C56E59"/>
    <w:rsid w:val="00C56F18"/>
    <w:rsid w:val="00C56F36"/>
    <w:rsid w:val="00C56FFA"/>
    <w:rsid w:val="00C570F1"/>
    <w:rsid w:val="00C57186"/>
    <w:rsid w:val="00C5723C"/>
    <w:rsid w:val="00C572B3"/>
    <w:rsid w:val="00C57498"/>
    <w:rsid w:val="00C57522"/>
    <w:rsid w:val="00C57531"/>
    <w:rsid w:val="00C575D1"/>
    <w:rsid w:val="00C576B1"/>
    <w:rsid w:val="00C576C0"/>
    <w:rsid w:val="00C578D5"/>
    <w:rsid w:val="00C57942"/>
    <w:rsid w:val="00C579B4"/>
    <w:rsid w:val="00C57B09"/>
    <w:rsid w:val="00C57B6B"/>
    <w:rsid w:val="00C57DBA"/>
    <w:rsid w:val="00C57F18"/>
    <w:rsid w:val="00C57FEA"/>
    <w:rsid w:val="00C60092"/>
    <w:rsid w:val="00C600EA"/>
    <w:rsid w:val="00C601E7"/>
    <w:rsid w:val="00C60356"/>
    <w:rsid w:val="00C604B6"/>
    <w:rsid w:val="00C6086C"/>
    <w:rsid w:val="00C6092F"/>
    <w:rsid w:val="00C60A9A"/>
    <w:rsid w:val="00C60B2F"/>
    <w:rsid w:val="00C60BF3"/>
    <w:rsid w:val="00C60C14"/>
    <w:rsid w:val="00C60D6E"/>
    <w:rsid w:val="00C60E25"/>
    <w:rsid w:val="00C60F76"/>
    <w:rsid w:val="00C60FC5"/>
    <w:rsid w:val="00C61024"/>
    <w:rsid w:val="00C611B0"/>
    <w:rsid w:val="00C6134D"/>
    <w:rsid w:val="00C6154F"/>
    <w:rsid w:val="00C618B5"/>
    <w:rsid w:val="00C6195F"/>
    <w:rsid w:val="00C61C85"/>
    <w:rsid w:val="00C61CF0"/>
    <w:rsid w:val="00C61DA1"/>
    <w:rsid w:val="00C61E11"/>
    <w:rsid w:val="00C61E22"/>
    <w:rsid w:val="00C61F7F"/>
    <w:rsid w:val="00C620D3"/>
    <w:rsid w:val="00C6217C"/>
    <w:rsid w:val="00C62373"/>
    <w:rsid w:val="00C623FA"/>
    <w:rsid w:val="00C6256B"/>
    <w:rsid w:val="00C62577"/>
    <w:rsid w:val="00C625B3"/>
    <w:rsid w:val="00C625F3"/>
    <w:rsid w:val="00C6260D"/>
    <w:rsid w:val="00C62611"/>
    <w:rsid w:val="00C6269E"/>
    <w:rsid w:val="00C626B2"/>
    <w:rsid w:val="00C628C8"/>
    <w:rsid w:val="00C629ED"/>
    <w:rsid w:val="00C62A25"/>
    <w:rsid w:val="00C62A51"/>
    <w:rsid w:val="00C62BD4"/>
    <w:rsid w:val="00C62C5C"/>
    <w:rsid w:val="00C62DC2"/>
    <w:rsid w:val="00C62E8B"/>
    <w:rsid w:val="00C62E93"/>
    <w:rsid w:val="00C62FFC"/>
    <w:rsid w:val="00C630B5"/>
    <w:rsid w:val="00C631F8"/>
    <w:rsid w:val="00C63280"/>
    <w:rsid w:val="00C63367"/>
    <w:rsid w:val="00C633B8"/>
    <w:rsid w:val="00C6347A"/>
    <w:rsid w:val="00C63638"/>
    <w:rsid w:val="00C63C11"/>
    <w:rsid w:val="00C63DF6"/>
    <w:rsid w:val="00C63E40"/>
    <w:rsid w:val="00C63FED"/>
    <w:rsid w:val="00C64152"/>
    <w:rsid w:val="00C6416E"/>
    <w:rsid w:val="00C641AE"/>
    <w:rsid w:val="00C641EC"/>
    <w:rsid w:val="00C64226"/>
    <w:rsid w:val="00C64234"/>
    <w:rsid w:val="00C6428C"/>
    <w:rsid w:val="00C645A1"/>
    <w:rsid w:val="00C645B9"/>
    <w:rsid w:val="00C64711"/>
    <w:rsid w:val="00C647BA"/>
    <w:rsid w:val="00C647CD"/>
    <w:rsid w:val="00C64845"/>
    <w:rsid w:val="00C6494E"/>
    <w:rsid w:val="00C64AA3"/>
    <w:rsid w:val="00C64B6D"/>
    <w:rsid w:val="00C64C72"/>
    <w:rsid w:val="00C64CEB"/>
    <w:rsid w:val="00C6500E"/>
    <w:rsid w:val="00C6543C"/>
    <w:rsid w:val="00C654A5"/>
    <w:rsid w:val="00C656F4"/>
    <w:rsid w:val="00C65711"/>
    <w:rsid w:val="00C65ABE"/>
    <w:rsid w:val="00C65B72"/>
    <w:rsid w:val="00C65BAD"/>
    <w:rsid w:val="00C65DF7"/>
    <w:rsid w:val="00C65F3D"/>
    <w:rsid w:val="00C6616D"/>
    <w:rsid w:val="00C663C1"/>
    <w:rsid w:val="00C66496"/>
    <w:rsid w:val="00C664CE"/>
    <w:rsid w:val="00C66527"/>
    <w:rsid w:val="00C665B9"/>
    <w:rsid w:val="00C665DF"/>
    <w:rsid w:val="00C666C7"/>
    <w:rsid w:val="00C6675B"/>
    <w:rsid w:val="00C667BE"/>
    <w:rsid w:val="00C66838"/>
    <w:rsid w:val="00C66A22"/>
    <w:rsid w:val="00C66E47"/>
    <w:rsid w:val="00C671EC"/>
    <w:rsid w:val="00C67271"/>
    <w:rsid w:val="00C6757A"/>
    <w:rsid w:val="00C675E7"/>
    <w:rsid w:val="00C6786F"/>
    <w:rsid w:val="00C678AE"/>
    <w:rsid w:val="00C678F7"/>
    <w:rsid w:val="00C67DC4"/>
    <w:rsid w:val="00C67DEA"/>
    <w:rsid w:val="00C67DF7"/>
    <w:rsid w:val="00C67E08"/>
    <w:rsid w:val="00C700A1"/>
    <w:rsid w:val="00C700AC"/>
    <w:rsid w:val="00C702B9"/>
    <w:rsid w:val="00C70541"/>
    <w:rsid w:val="00C706AB"/>
    <w:rsid w:val="00C70708"/>
    <w:rsid w:val="00C708F3"/>
    <w:rsid w:val="00C70BE9"/>
    <w:rsid w:val="00C70C4D"/>
    <w:rsid w:val="00C70D6D"/>
    <w:rsid w:val="00C70D8D"/>
    <w:rsid w:val="00C70E17"/>
    <w:rsid w:val="00C70EA1"/>
    <w:rsid w:val="00C70ECF"/>
    <w:rsid w:val="00C70F67"/>
    <w:rsid w:val="00C70FD8"/>
    <w:rsid w:val="00C70FFE"/>
    <w:rsid w:val="00C71023"/>
    <w:rsid w:val="00C71070"/>
    <w:rsid w:val="00C710D4"/>
    <w:rsid w:val="00C71257"/>
    <w:rsid w:val="00C713E5"/>
    <w:rsid w:val="00C7154B"/>
    <w:rsid w:val="00C71651"/>
    <w:rsid w:val="00C71695"/>
    <w:rsid w:val="00C7183F"/>
    <w:rsid w:val="00C719ED"/>
    <w:rsid w:val="00C71A8B"/>
    <w:rsid w:val="00C71B13"/>
    <w:rsid w:val="00C71B7C"/>
    <w:rsid w:val="00C71D16"/>
    <w:rsid w:val="00C71E7F"/>
    <w:rsid w:val="00C72013"/>
    <w:rsid w:val="00C72085"/>
    <w:rsid w:val="00C720C7"/>
    <w:rsid w:val="00C7245D"/>
    <w:rsid w:val="00C724FA"/>
    <w:rsid w:val="00C7264B"/>
    <w:rsid w:val="00C726C5"/>
    <w:rsid w:val="00C7286A"/>
    <w:rsid w:val="00C729F5"/>
    <w:rsid w:val="00C72AE0"/>
    <w:rsid w:val="00C72BB0"/>
    <w:rsid w:val="00C72CBB"/>
    <w:rsid w:val="00C73108"/>
    <w:rsid w:val="00C73143"/>
    <w:rsid w:val="00C736EC"/>
    <w:rsid w:val="00C73985"/>
    <w:rsid w:val="00C73986"/>
    <w:rsid w:val="00C739B2"/>
    <w:rsid w:val="00C73A6F"/>
    <w:rsid w:val="00C73A79"/>
    <w:rsid w:val="00C73A88"/>
    <w:rsid w:val="00C73AD7"/>
    <w:rsid w:val="00C73B47"/>
    <w:rsid w:val="00C73CAF"/>
    <w:rsid w:val="00C73CC8"/>
    <w:rsid w:val="00C73DE1"/>
    <w:rsid w:val="00C73E94"/>
    <w:rsid w:val="00C740AB"/>
    <w:rsid w:val="00C740C3"/>
    <w:rsid w:val="00C74152"/>
    <w:rsid w:val="00C74547"/>
    <w:rsid w:val="00C7454F"/>
    <w:rsid w:val="00C74558"/>
    <w:rsid w:val="00C74642"/>
    <w:rsid w:val="00C747E2"/>
    <w:rsid w:val="00C74984"/>
    <w:rsid w:val="00C749DF"/>
    <w:rsid w:val="00C74BC5"/>
    <w:rsid w:val="00C74D00"/>
    <w:rsid w:val="00C74EF1"/>
    <w:rsid w:val="00C74F6B"/>
    <w:rsid w:val="00C751D4"/>
    <w:rsid w:val="00C75401"/>
    <w:rsid w:val="00C75508"/>
    <w:rsid w:val="00C755D6"/>
    <w:rsid w:val="00C756CC"/>
    <w:rsid w:val="00C75721"/>
    <w:rsid w:val="00C7577B"/>
    <w:rsid w:val="00C75891"/>
    <w:rsid w:val="00C758ED"/>
    <w:rsid w:val="00C75B13"/>
    <w:rsid w:val="00C75BCA"/>
    <w:rsid w:val="00C75CB2"/>
    <w:rsid w:val="00C75CC4"/>
    <w:rsid w:val="00C75EBA"/>
    <w:rsid w:val="00C75F85"/>
    <w:rsid w:val="00C76035"/>
    <w:rsid w:val="00C761E1"/>
    <w:rsid w:val="00C7625E"/>
    <w:rsid w:val="00C76261"/>
    <w:rsid w:val="00C76431"/>
    <w:rsid w:val="00C76470"/>
    <w:rsid w:val="00C764F7"/>
    <w:rsid w:val="00C7655D"/>
    <w:rsid w:val="00C765C0"/>
    <w:rsid w:val="00C765CA"/>
    <w:rsid w:val="00C7670D"/>
    <w:rsid w:val="00C76962"/>
    <w:rsid w:val="00C769B1"/>
    <w:rsid w:val="00C76D8D"/>
    <w:rsid w:val="00C76FE0"/>
    <w:rsid w:val="00C77085"/>
    <w:rsid w:val="00C770EC"/>
    <w:rsid w:val="00C771DE"/>
    <w:rsid w:val="00C774B4"/>
    <w:rsid w:val="00C77502"/>
    <w:rsid w:val="00C7753B"/>
    <w:rsid w:val="00C77582"/>
    <w:rsid w:val="00C775EF"/>
    <w:rsid w:val="00C7762E"/>
    <w:rsid w:val="00C77730"/>
    <w:rsid w:val="00C777F1"/>
    <w:rsid w:val="00C77969"/>
    <w:rsid w:val="00C779F4"/>
    <w:rsid w:val="00C77A0A"/>
    <w:rsid w:val="00C77A3A"/>
    <w:rsid w:val="00C77B19"/>
    <w:rsid w:val="00C77BB7"/>
    <w:rsid w:val="00C77CB8"/>
    <w:rsid w:val="00C77D44"/>
    <w:rsid w:val="00C77D60"/>
    <w:rsid w:val="00C77DB1"/>
    <w:rsid w:val="00C77EB4"/>
    <w:rsid w:val="00C77F86"/>
    <w:rsid w:val="00C80002"/>
    <w:rsid w:val="00C800CE"/>
    <w:rsid w:val="00C801B5"/>
    <w:rsid w:val="00C80373"/>
    <w:rsid w:val="00C803B0"/>
    <w:rsid w:val="00C804A5"/>
    <w:rsid w:val="00C80582"/>
    <w:rsid w:val="00C80596"/>
    <w:rsid w:val="00C805AF"/>
    <w:rsid w:val="00C806A7"/>
    <w:rsid w:val="00C80771"/>
    <w:rsid w:val="00C808E0"/>
    <w:rsid w:val="00C809CE"/>
    <w:rsid w:val="00C80ACE"/>
    <w:rsid w:val="00C80ADD"/>
    <w:rsid w:val="00C80BCE"/>
    <w:rsid w:val="00C80DDB"/>
    <w:rsid w:val="00C80F5E"/>
    <w:rsid w:val="00C810B7"/>
    <w:rsid w:val="00C811DB"/>
    <w:rsid w:val="00C812DA"/>
    <w:rsid w:val="00C81495"/>
    <w:rsid w:val="00C81879"/>
    <w:rsid w:val="00C819F2"/>
    <w:rsid w:val="00C81A2B"/>
    <w:rsid w:val="00C81AB1"/>
    <w:rsid w:val="00C820D5"/>
    <w:rsid w:val="00C82223"/>
    <w:rsid w:val="00C8225A"/>
    <w:rsid w:val="00C822D2"/>
    <w:rsid w:val="00C823AB"/>
    <w:rsid w:val="00C8252A"/>
    <w:rsid w:val="00C82650"/>
    <w:rsid w:val="00C82865"/>
    <w:rsid w:val="00C82A25"/>
    <w:rsid w:val="00C82C0B"/>
    <w:rsid w:val="00C82CF2"/>
    <w:rsid w:val="00C82F2E"/>
    <w:rsid w:val="00C830FF"/>
    <w:rsid w:val="00C83234"/>
    <w:rsid w:val="00C835AB"/>
    <w:rsid w:val="00C835E3"/>
    <w:rsid w:val="00C835F9"/>
    <w:rsid w:val="00C8362E"/>
    <w:rsid w:val="00C837D6"/>
    <w:rsid w:val="00C837DF"/>
    <w:rsid w:val="00C83869"/>
    <w:rsid w:val="00C83A7D"/>
    <w:rsid w:val="00C83C31"/>
    <w:rsid w:val="00C83C6C"/>
    <w:rsid w:val="00C83D00"/>
    <w:rsid w:val="00C83D27"/>
    <w:rsid w:val="00C83E37"/>
    <w:rsid w:val="00C83F17"/>
    <w:rsid w:val="00C83F9D"/>
    <w:rsid w:val="00C8402F"/>
    <w:rsid w:val="00C840DB"/>
    <w:rsid w:val="00C84158"/>
    <w:rsid w:val="00C841D1"/>
    <w:rsid w:val="00C841EF"/>
    <w:rsid w:val="00C843FE"/>
    <w:rsid w:val="00C84468"/>
    <w:rsid w:val="00C844CB"/>
    <w:rsid w:val="00C84561"/>
    <w:rsid w:val="00C846F7"/>
    <w:rsid w:val="00C84A5D"/>
    <w:rsid w:val="00C84B36"/>
    <w:rsid w:val="00C84BE6"/>
    <w:rsid w:val="00C84C95"/>
    <w:rsid w:val="00C84ED7"/>
    <w:rsid w:val="00C84F98"/>
    <w:rsid w:val="00C850DA"/>
    <w:rsid w:val="00C85232"/>
    <w:rsid w:val="00C85254"/>
    <w:rsid w:val="00C8528B"/>
    <w:rsid w:val="00C85298"/>
    <w:rsid w:val="00C852EE"/>
    <w:rsid w:val="00C853E2"/>
    <w:rsid w:val="00C85540"/>
    <w:rsid w:val="00C85921"/>
    <w:rsid w:val="00C85923"/>
    <w:rsid w:val="00C85978"/>
    <w:rsid w:val="00C85E04"/>
    <w:rsid w:val="00C85E2F"/>
    <w:rsid w:val="00C860E2"/>
    <w:rsid w:val="00C860EE"/>
    <w:rsid w:val="00C8610F"/>
    <w:rsid w:val="00C861F4"/>
    <w:rsid w:val="00C862F4"/>
    <w:rsid w:val="00C8652A"/>
    <w:rsid w:val="00C865B3"/>
    <w:rsid w:val="00C865FA"/>
    <w:rsid w:val="00C86664"/>
    <w:rsid w:val="00C86732"/>
    <w:rsid w:val="00C86A7A"/>
    <w:rsid w:val="00C86BB7"/>
    <w:rsid w:val="00C86CDC"/>
    <w:rsid w:val="00C86F0E"/>
    <w:rsid w:val="00C86F7B"/>
    <w:rsid w:val="00C871C6"/>
    <w:rsid w:val="00C875BF"/>
    <w:rsid w:val="00C875FF"/>
    <w:rsid w:val="00C877A7"/>
    <w:rsid w:val="00C87C5A"/>
    <w:rsid w:val="00C87E37"/>
    <w:rsid w:val="00C87EEE"/>
    <w:rsid w:val="00C87FAB"/>
    <w:rsid w:val="00C90009"/>
    <w:rsid w:val="00C9009F"/>
    <w:rsid w:val="00C90223"/>
    <w:rsid w:val="00C903A4"/>
    <w:rsid w:val="00C9044F"/>
    <w:rsid w:val="00C90576"/>
    <w:rsid w:val="00C905B7"/>
    <w:rsid w:val="00C905F9"/>
    <w:rsid w:val="00C9060F"/>
    <w:rsid w:val="00C906D7"/>
    <w:rsid w:val="00C909DF"/>
    <w:rsid w:val="00C90ACE"/>
    <w:rsid w:val="00C90B9B"/>
    <w:rsid w:val="00C90DF0"/>
    <w:rsid w:val="00C90EAA"/>
    <w:rsid w:val="00C91081"/>
    <w:rsid w:val="00C911B6"/>
    <w:rsid w:val="00C911B8"/>
    <w:rsid w:val="00C912F2"/>
    <w:rsid w:val="00C91461"/>
    <w:rsid w:val="00C91489"/>
    <w:rsid w:val="00C914DB"/>
    <w:rsid w:val="00C914F2"/>
    <w:rsid w:val="00C9150A"/>
    <w:rsid w:val="00C916E8"/>
    <w:rsid w:val="00C91961"/>
    <w:rsid w:val="00C91BE2"/>
    <w:rsid w:val="00C91C56"/>
    <w:rsid w:val="00C91C93"/>
    <w:rsid w:val="00C91D7B"/>
    <w:rsid w:val="00C9228C"/>
    <w:rsid w:val="00C923B5"/>
    <w:rsid w:val="00C92631"/>
    <w:rsid w:val="00C926F9"/>
    <w:rsid w:val="00C92750"/>
    <w:rsid w:val="00C927EB"/>
    <w:rsid w:val="00C9299D"/>
    <w:rsid w:val="00C92A89"/>
    <w:rsid w:val="00C92AAA"/>
    <w:rsid w:val="00C92C8D"/>
    <w:rsid w:val="00C92CE4"/>
    <w:rsid w:val="00C92E79"/>
    <w:rsid w:val="00C92EA5"/>
    <w:rsid w:val="00C930DC"/>
    <w:rsid w:val="00C93336"/>
    <w:rsid w:val="00C935F9"/>
    <w:rsid w:val="00C9372A"/>
    <w:rsid w:val="00C9389A"/>
    <w:rsid w:val="00C93B4B"/>
    <w:rsid w:val="00C93B5C"/>
    <w:rsid w:val="00C93D62"/>
    <w:rsid w:val="00C93F65"/>
    <w:rsid w:val="00C93F98"/>
    <w:rsid w:val="00C941E8"/>
    <w:rsid w:val="00C941FB"/>
    <w:rsid w:val="00C94238"/>
    <w:rsid w:val="00C9432E"/>
    <w:rsid w:val="00C943C8"/>
    <w:rsid w:val="00C94458"/>
    <w:rsid w:val="00C94550"/>
    <w:rsid w:val="00C94759"/>
    <w:rsid w:val="00C94869"/>
    <w:rsid w:val="00C94AFD"/>
    <w:rsid w:val="00C94B36"/>
    <w:rsid w:val="00C9500F"/>
    <w:rsid w:val="00C951EC"/>
    <w:rsid w:val="00C95320"/>
    <w:rsid w:val="00C9550A"/>
    <w:rsid w:val="00C956DC"/>
    <w:rsid w:val="00C956E7"/>
    <w:rsid w:val="00C95856"/>
    <w:rsid w:val="00C9588E"/>
    <w:rsid w:val="00C959DF"/>
    <w:rsid w:val="00C95AA9"/>
    <w:rsid w:val="00C95AAE"/>
    <w:rsid w:val="00C95AF7"/>
    <w:rsid w:val="00C95BAF"/>
    <w:rsid w:val="00C95D45"/>
    <w:rsid w:val="00C95DDD"/>
    <w:rsid w:val="00C95E70"/>
    <w:rsid w:val="00C95FB8"/>
    <w:rsid w:val="00C960C2"/>
    <w:rsid w:val="00C961E9"/>
    <w:rsid w:val="00C9621F"/>
    <w:rsid w:val="00C96248"/>
    <w:rsid w:val="00C9629D"/>
    <w:rsid w:val="00C962A3"/>
    <w:rsid w:val="00C963FE"/>
    <w:rsid w:val="00C9699B"/>
    <w:rsid w:val="00C969AC"/>
    <w:rsid w:val="00C96E84"/>
    <w:rsid w:val="00C96FFB"/>
    <w:rsid w:val="00C9722B"/>
    <w:rsid w:val="00C972C0"/>
    <w:rsid w:val="00C972DE"/>
    <w:rsid w:val="00C9731B"/>
    <w:rsid w:val="00C9737F"/>
    <w:rsid w:val="00C973E0"/>
    <w:rsid w:val="00C974C6"/>
    <w:rsid w:val="00C9750B"/>
    <w:rsid w:val="00C97538"/>
    <w:rsid w:val="00C97649"/>
    <w:rsid w:val="00C97746"/>
    <w:rsid w:val="00C97BF1"/>
    <w:rsid w:val="00C97D41"/>
    <w:rsid w:val="00C97D91"/>
    <w:rsid w:val="00C97D9D"/>
    <w:rsid w:val="00C97E7E"/>
    <w:rsid w:val="00C97ED3"/>
    <w:rsid w:val="00C97F62"/>
    <w:rsid w:val="00CA00D9"/>
    <w:rsid w:val="00CA073D"/>
    <w:rsid w:val="00CA0798"/>
    <w:rsid w:val="00CA0A5D"/>
    <w:rsid w:val="00CA0B7D"/>
    <w:rsid w:val="00CA0BDB"/>
    <w:rsid w:val="00CA0D24"/>
    <w:rsid w:val="00CA0D4C"/>
    <w:rsid w:val="00CA0F25"/>
    <w:rsid w:val="00CA0F5F"/>
    <w:rsid w:val="00CA0FA7"/>
    <w:rsid w:val="00CA0FF4"/>
    <w:rsid w:val="00CA15BE"/>
    <w:rsid w:val="00CA16FE"/>
    <w:rsid w:val="00CA178E"/>
    <w:rsid w:val="00CA19A1"/>
    <w:rsid w:val="00CA1A9E"/>
    <w:rsid w:val="00CA1B54"/>
    <w:rsid w:val="00CA1BC8"/>
    <w:rsid w:val="00CA1DA9"/>
    <w:rsid w:val="00CA1E74"/>
    <w:rsid w:val="00CA2151"/>
    <w:rsid w:val="00CA21F7"/>
    <w:rsid w:val="00CA2263"/>
    <w:rsid w:val="00CA2340"/>
    <w:rsid w:val="00CA253B"/>
    <w:rsid w:val="00CA2612"/>
    <w:rsid w:val="00CA2637"/>
    <w:rsid w:val="00CA26D0"/>
    <w:rsid w:val="00CA2705"/>
    <w:rsid w:val="00CA271D"/>
    <w:rsid w:val="00CA2946"/>
    <w:rsid w:val="00CA2A49"/>
    <w:rsid w:val="00CA2D05"/>
    <w:rsid w:val="00CA2E87"/>
    <w:rsid w:val="00CA2EF4"/>
    <w:rsid w:val="00CA3044"/>
    <w:rsid w:val="00CA3174"/>
    <w:rsid w:val="00CA3207"/>
    <w:rsid w:val="00CA3863"/>
    <w:rsid w:val="00CA3865"/>
    <w:rsid w:val="00CA393E"/>
    <w:rsid w:val="00CA39F5"/>
    <w:rsid w:val="00CA3A62"/>
    <w:rsid w:val="00CA3B11"/>
    <w:rsid w:val="00CA3B97"/>
    <w:rsid w:val="00CA3BB7"/>
    <w:rsid w:val="00CA3BD3"/>
    <w:rsid w:val="00CA3C90"/>
    <w:rsid w:val="00CA3D94"/>
    <w:rsid w:val="00CA3EAB"/>
    <w:rsid w:val="00CA3EB2"/>
    <w:rsid w:val="00CA3FE4"/>
    <w:rsid w:val="00CA40A4"/>
    <w:rsid w:val="00CA419D"/>
    <w:rsid w:val="00CA42A8"/>
    <w:rsid w:val="00CA4476"/>
    <w:rsid w:val="00CA449E"/>
    <w:rsid w:val="00CA488E"/>
    <w:rsid w:val="00CA4A2C"/>
    <w:rsid w:val="00CA4ACF"/>
    <w:rsid w:val="00CA4D8E"/>
    <w:rsid w:val="00CA4D94"/>
    <w:rsid w:val="00CA4F0F"/>
    <w:rsid w:val="00CA50FA"/>
    <w:rsid w:val="00CA5564"/>
    <w:rsid w:val="00CA55D1"/>
    <w:rsid w:val="00CA5AFF"/>
    <w:rsid w:val="00CA5B24"/>
    <w:rsid w:val="00CA5B37"/>
    <w:rsid w:val="00CA5BC1"/>
    <w:rsid w:val="00CA5C93"/>
    <w:rsid w:val="00CA5C94"/>
    <w:rsid w:val="00CA5D81"/>
    <w:rsid w:val="00CA5DAA"/>
    <w:rsid w:val="00CA5E61"/>
    <w:rsid w:val="00CA5F29"/>
    <w:rsid w:val="00CA609E"/>
    <w:rsid w:val="00CA61E7"/>
    <w:rsid w:val="00CA61F9"/>
    <w:rsid w:val="00CA640A"/>
    <w:rsid w:val="00CA64BD"/>
    <w:rsid w:val="00CA65A3"/>
    <w:rsid w:val="00CA682C"/>
    <w:rsid w:val="00CA6A4F"/>
    <w:rsid w:val="00CA6BF1"/>
    <w:rsid w:val="00CA6CFF"/>
    <w:rsid w:val="00CA6E62"/>
    <w:rsid w:val="00CA6E77"/>
    <w:rsid w:val="00CA6F8D"/>
    <w:rsid w:val="00CA71AC"/>
    <w:rsid w:val="00CA71BA"/>
    <w:rsid w:val="00CA7278"/>
    <w:rsid w:val="00CA72E8"/>
    <w:rsid w:val="00CA7503"/>
    <w:rsid w:val="00CA794E"/>
    <w:rsid w:val="00CA79C8"/>
    <w:rsid w:val="00CA7A0F"/>
    <w:rsid w:val="00CA7AE9"/>
    <w:rsid w:val="00CA7CA4"/>
    <w:rsid w:val="00CA7E2E"/>
    <w:rsid w:val="00CB0084"/>
    <w:rsid w:val="00CB00E2"/>
    <w:rsid w:val="00CB014A"/>
    <w:rsid w:val="00CB03C4"/>
    <w:rsid w:val="00CB03ED"/>
    <w:rsid w:val="00CB040A"/>
    <w:rsid w:val="00CB05C4"/>
    <w:rsid w:val="00CB0613"/>
    <w:rsid w:val="00CB0626"/>
    <w:rsid w:val="00CB07AD"/>
    <w:rsid w:val="00CB0918"/>
    <w:rsid w:val="00CB0A7C"/>
    <w:rsid w:val="00CB0BF3"/>
    <w:rsid w:val="00CB0CEB"/>
    <w:rsid w:val="00CB0DF4"/>
    <w:rsid w:val="00CB122A"/>
    <w:rsid w:val="00CB12BA"/>
    <w:rsid w:val="00CB155C"/>
    <w:rsid w:val="00CB15AA"/>
    <w:rsid w:val="00CB15AD"/>
    <w:rsid w:val="00CB16F7"/>
    <w:rsid w:val="00CB1742"/>
    <w:rsid w:val="00CB178A"/>
    <w:rsid w:val="00CB18AC"/>
    <w:rsid w:val="00CB19B6"/>
    <w:rsid w:val="00CB19B7"/>
    <w:rsid w:val="00CB1B38"/>
    <w:rsid w:val="00CB1B50"/>
    <w:rsid w:val="00CB1BE0"/>
    <w:rsid w:val="00CB1C0A"/>
    <w:rsid w:val="00CB1C5D"/>
    <w:rsid w:val="00CB1D0A"/>
    <w:rsid w:val="00CB1FA0"/>
    <w:rsid w:val="00CB1FAE"/>
    <w:rsid w:val="00CB223E"/>
    <w:rsid w:val="00CB2243"/>
    <w:rsid w:val="00CB2436"/>
    <w:rsid w:val="00CB2530"/>
    <w:rsid w:val="00CB2553"/>
    <w:rsid w:val="00CB2583"/>
    <w:rsid w:val="00CB2698"/>
    <w:rsid w:val="00CB2733"/>
    <w:rsid w:val="00CB27AF"/>
    <w:rsid w:val="00CB2946"/>
    <w:rsid w:val="00CB29B1"/>
    <w:rsid w:val="00CB2B78"/>
    <w:rsid w:val="00CB2D55"/>
    <w:rsid w:val="00CB2E2B"/>
    <w:rsid w:val="00CB2E87"/>
    <w:rsid w:val="00CB336F"/>
    <w:rsid w:val="00CB3440"/>
    <w:rsid w:val="00CB3491"/>
    <w:rsid w:val="00CB36C9"/>
    <w:rsid w:val="00CB3781"/>
    <w:rsid w:val="00CB37BE"/>
    <w:rsid w:val="00CB38B9"/>
    <w:rsid w:val="00CB3A98"/>
    <w:rsid w:val="00CB3B6F"/>
    <w:rsid w:val="00CB3D46"/>
    <w:rsid w:val="00CB3E1B"/>
    <w:rsid w:val="00CB3E5D"/>
    <w:rsid w:val="00CB3F05"/>
    <w:rsid w:val="00CB4030"/>
    <w:rsid w:val="00CB414D"/>
    <w:rsid w:val="00CB41E3"/>
    <w:rsid w:val="00CB467F"/>
    <w:rsid w:val="00CB48DA"/>
    <w:rsid w:val="00CB48E5"/>
    <w:rsid w:val="00CB493F"/>
    <w:rsid w:val="00CB4A0C"/>
    <w:rsid w:val="00CB4B8B"/>
    <w:rsid w:val="00CB4B9E"/>
    <w:rsid w:val="00CB4C28"/>
    <w:rsid w:val="00CB4DC4"/>
    <w:rsid w:val="00CB5124"/>
    <w:rsid w:val="00CB514A"/>
    <w:rsid w:val="00CB5153"/>
    <w:rsid w:val="00CB5186"/>
    <w:rsid w:val="00CB5267"/>
    <w:rsid w:val="00CB52A6"/>
    <w:rsid w:val="00CB533B"/>
    <w:rsid w:val="00CB534A"/>
    <w:rsid w:val="00CB53D4"/>
    <w:rsid w:val="00CB5472"/>
    <w:rsid w:val="00CB54B1"/>
    <w:rsid w:val="00CB56C8"/>
    <w:rsid w:val="00CB5745"/>
    <w:rsid w:val="00CB57CD"/>
    <w:rsid w:val="00CB58C5"/>
    <w:rsid w:val="00CB59E3"/>
    <w:rsid w:val="00CB5A98"/>
    <w:rsid w:val="00CB5CB1"/>
    <w:rsid w:val="00CB5DD6"/>
    <w:rsid w:val="00CB624B"/>
    <w:rsid w:val="00CB640D"/>
    <w:rsid w:val="00CB664B"/>
    <w:rsid w:val="00CB6953"/>
    <w:rsid w:val="00CB6A8E"/>
    <w:rsid w:val="00CB6EA2"/>
    <w:rsid w:val="00CB6F88"/>
    <w:rsid w:val="00CB7019"/>
    <w:rsid w:val="00CB708E"/>
    <w:rsid w:val="00CB71BB"/>
    <w:rsid w:val="00CB7453"/>
    <w:rsid w:val="00CB7880"/>
    <w:rsid w:val="00CB78B2"/>
    <w:rsid w:val="00CB79CE"/>
    <w:rsid w:val="00CB7A2B"/>
    <w:rsid w:val="00CB7D70"/>
    <w:rsid w:val="00CB7EF9"/>
    <w:rsid w:val="00CB7F54"/>
    <w:rsid w:val="00CC008C"/>
    <w:rsid w:val="00CC0192"/>
    <w:rsid w:val="00CC0375"/>
    <w:rsid w:val="00CC049D"/>
    <w:rsid w:val="00CC04A6"/>
    <w:rsid w:val="00CC04FA"/>
    <w:rsid w:val="00CC056F"/>
    <w:rsid w:val="00CC069A"/>
    <w:rsid w:val="00CC06FF"/>
    <w:rsid w:val="00CC087A"/>
    <w:rsid w:val="00CC0A5E"/>
    <w:rsid w:val="00CC0EC9"/>
    <w:rsid w:val="00CC0F18"/>
    <w:rsid w:val="00CC0F23"/>
    <w:rsid w:val="00CC109D"/>
    <w:rsid w:val="00CC1133"/>
    <w:rsid w:val="00CC11F2"/>
    <w:rsid w:val="00CC124F"/>
    <w:rsid w:val="00CC12B4"/>
    <w:rsid w:val="00CC1543"/>
    <w:rsid w:val="00CC1AF3"/>
    <w:rsid w:val="00CC1BE0"/>
    <w:rsid w:val="00CC1CFB"/>
    <w:rsid w:val="00CC1F68"/>
    <w:rsid w:val="00CC1FDB"/>
    <w:rsid w:val="00CC2014"/>
    <w:rsid w:val="00CC20AB"/>
    <w:rsid w:val="00CC232C"/>
    <w:rsid w:val="00CC2351"/>
    <w:rsid w:val="00CC23FE"/>
    <w:rsid w:val="00CC2532"/>
    <w:rsid w:val="00CC265F"/>
    <w:rsid w:val="00CC28E0"/>
    <w:rsid w:val="00CC298F"/>
    <w:rsid w:val="00CC29DD"/>
    <w:rsid w:val="00CC2C6C"/>
    <w:rsid w:val="00CC2D77"/>
    <w:rsid w:val="00CC2E8F"/>
    <w:rsid w:val="00CC3029"/>
    <w:rsid w:val="00CC33EF"/>
    <w:rsid w:val="00CC3411"/>
    <w:rsid w:val="00CC35A8"/>
    <w:rsid w:val="00CC373D"/>
    <w:rsid w:val="00CC38DB"/>
    <w:rsid w:val="00CC3B72"/>
    <w:rsid w:val="00CC3BB3"/>
    <w:rsid w:val="00CC3BE5"/>
    <w:rsid w:val="00CC3BFC"/>
    <w:rsid w:val="00CC3C13"/>
    <w:rsid w:val="00CC3CDD"/>
    <w:rsid w:val="00CC3D5A"/>
    <w:rsid w:val="00CC3D7C"/>
    <w:rsid w:val="00CC3DDC"/>
    <w:rsid w:val="00CC3ECC"/>
    <w:rsid w:val="00CC408C"/>
    <w:rsid w:val="00CC40C3"/>
    <w:rsid w:val="00CC4447"/>
    <w:rsid w:val="00CC468A"/>
    <w:rsid w:val="00CC4732"/>
    <w:rsid w:val="00CC497E"/>
    <w:rsid w:val="00CC4CFC"/>
    <w:rsid w:val="00CC4D07"/>
    <w:rsid w:val="00CC4D0C"/>
    <w:rsid w:val="00CC5008"/>
    <w:rsid w:val="00CC5241"/>
    <w:rsid w:val="00CC5260"/>
    <w:rsid w:val="00CC527F"/>
    <w:rsid w:val="00CC5535"/>
    <w:rsid w:val="00CC57D2"/>
    <w:rsid w:val="00CC580F"/>
    <w:rsid w:val="00CC582D"/>
    <w:rsid w:val="00CC590D"/>
    <w:rsid w:val="00CC59F7"/>
    <w:rsid w:val="00CC5B01"/>
    <w:rsid w:val="00CC5B2B"/>
    <w:rsid w:val="00CC5BCC"/>
    <w:rsid w:val="00CC5D26"/>
    <w:rsid w:val="00CC5ECC"/>
    <w:rsid w:val="00CC5FC1"/>
    <w:rsid w:val="00CC61A9"/>
    <w:rsid w:val="00CC61B4"/>
    <w:rsid w:val="00CC61CC"/>
    <w:rsid w:val="00CC6667"/>
    <w:rsid w:val="00CC6A38"/>
    <w:rsid w:val="00CC6A9B"/>
    <w:rsid w:val="00CC6CE3"/>
    <w:rsid w:val="00CC6DF3"/>
    <w:rsid w:val="00CC6E5C"/>
    <w:rsid w:val="00CC743B"/>
    <w:rsid w:val="00CC74CC"/>
    <w:rsid w:val="00CC757E"/>
    <w:rsid w:val="00CC7603"/>
    <w:rsid w:val="00CC762F"/>
    <w:rsid w:val="00CC76A6"/>
    <w:rsid w:val="00CC76D4"/>
    <w:rsid w:val="00CC79A3"/>
    <w:rsid w:val="00CC7C36"/>
    <w:rsid w:val="00CC7C55"/>
    <w:rsid w:val="00CC7D3B"/>
    <w:rsid w:val="00CC7E17"/>
    <w:rsid w:val="00CC7E8B"/>
    <w:rsid w:val="00CD00DD"/>
    <w:rsid w:val="00CD00F2"/>
    <w:rsid w:val="00CD0139"/>
    <w:rsid w:val="00CD0339"/>
    <w:rsid w:val="00CD03AC"/>
    <w:rsid w:val="00CD03DF"/>
    <w:rsid w:val="00CD043E"/>
    <w:rsid w:val="00CD04FA"/>
    <w:rsid w:val="00CD05C5"/>
    <w:rsid w:val="00CD0749"/>
    <w:rsid w:val="00CD0A6D"/>
    <w:rsid w:val="00CD0AB5"/>
    <w:rsid w:val="00CD0CFB"/>
    <w:rsid w:val="00CD0D31"/>
    <w:rsid w:val="00CD0D57"/>
    <w:rsid w:val="00CD0DB2"/>
    <w:rsid w:val="00CD0E36"/>
    <w:rsid w:val="00CD1137"/>
    <w:rsid w:val="00CD11A7"/>
    <w:rsid w:val="00CD15DA"/>
    <w:rsid w:val="00CD1645"/>
    <w:rsid w:val="00CD16AB"/>
    <w:rsid w:val="00CD16E4"/>
    <w:rsid w:val="00CD1853"/>
    <w:rsid w:val="00CD187C"/>
    <w:rsid w:val="00CD195F"/>
    <w:rsid w:val="00CD19CD"/>
    <w:rsid w:val="00CD1AB9"/>
    <w:rsid w:val="00CD1B25"/>
    <w:rsid w:val="00CD1D32"/>
    <w:rsid w:val="00CD1D8E"/>
    <w:rsid w:val="00CD2327"/>
    <w:rsid w:val="00CD2443"/>
    <w:rsid w:val="00CD2665"/>
    <w:rsid w:val="00CD29A2"/>
    <w:rsid w:val="00CD29A5"/>
    <w:rsid w:val="00CD2B19"/>
    <w:rsid w:val="00CD2BA9"/>
    <w:rsid w:val="00CD2D01"/>
    <w:rsid w:val="00CD2D1A"/>
    <w:rsid w:val="00CD2D1D"/>
    <w:rsid w:val="00CD2D9D"/>
    <w:rsid w:val="00CD306A"/>
    <w:rsid w:val="00CD30D8"/>
    <w:rsid w:val="00CD30FF"/>
    <w:rsid w:val="00CD32BF"/>
    <w:rsid w:val="00CD33FE"/>
    <w:rsid w:val="00CD35B1"/>
    <w:rsid w:val="00CD3A3F"/>
    <w:rsid w:val="00CD3BFA"/>
    <w:rsid w:val="00CD4114"/>
    <w:rsid w:val="00CD43A6"/>
    <w:rsid w:val="00CD43F9"/>
    <w:rsid w:val="00CD442E"/>
    <w:rsid w:val="00CD4447"/>
    <w:rsid w:val="00CD4568"/>
    <w:rsid w:val="00CD46E5"/>
    <w:rsid w:val="00CD4700"/>
    <w:rsid w:val="00CD4855"/>
    <w:rsid w:val="00CD49A5"/>
    <w:rsid w:val="00CD49D9"/>
    <w:rsid w:val="00CD49FB"/>
    <w:rsid w:val="00CD4A3A"/>
    <w:rsid w:val="00CD4A5E"/>
    <w:rsid w:val="00CD4AB1"/>
    <w:rsid w:val="00CD4ACA"/>
    <w:rsid w:val="00CD4AD9"/>
    <w:rsid w:val="00CD4B42"/>
    <w:rsid w:val="00CD4BEF"/>
    <w:rsid w:val="00CD4EB3"/>
    <w:rsid w:val="00CD5147"/>
    <w:rsid w:val="00CD51A7"/>
    <w:rsid w:val="00CD51D4"/>
    <w:rsid w:val="00CD523B"/>
    <w:rsid w:val="00CD5258"/>
    <w:rsid w:val="00CD5381"/>
    <w:rsid w:val="00CD53F0"/>
    <w:rsid w:val="00CD5432"/>
    <w:rsid w:val="00CD55AF"/>
    <w:rsid w:val="00CD55EA"/>
    <w:rsid w:val="00CD5622"/>
    <w:rsid w:val="00CD5796"/>
    <w:rsid w:val="00CD5813"/>
    <w:rsid w:val="00CD5A62"/>
    <w:rsid w:val="00CD5AFF"/>
    <w:rsid w:val="00CD5B27"/>
    <w:rsid w:val="00CD5CBB"/>
    <w:rsid w:val="00CD5D02"/>
    <w:rsid w:val="00CD5D87"/>
    <w:rsid w:val="00CD5F3F"/>
    <w:rsid w:val="00CD5F6F"/>
    <w:rsid w:val="00CD6180"/>
    <w:rsid w:val="00CD61C4"/>
    <w:rsid w:val="00CD63A4"/>
    <w:rsid w:val="00CD6534"/>
    <w:rsid w:val="00CD6579"/>
    <w:rsid w:val="00CD6623"/>
    <w:rsid w:val="00CD671D"/>
    <w:rsid w:val="00CD67A6"/>
    <w:rsid w:val="00CD689F"/>
    <w:rsid w:val="00CD6902"/>
    <w:rsid w:val="00CD699D"/>
    <w:rsid w:val="00CD6A0B"/>
    <w:rsid w:val="00CD6F30"/>
    <w:rsid w:val="00CD6F53"/>
    <w:rsid w:val="00CD6FE1"/>
    <w:rsid w:val="00CD700E"/>
    <w:rsid w:val="00CD70BF"/>
    <w:rsid w:val="00CD717C"/>
    <w:rsid w:val="00CD7325"/>
    <w:rsid w:val="00CD73C0"/>
    <w:rsid w:val="00CD75DB"/>
    <w:rsid w:val="00CD7651"/>
    <w:rsid w:val="00CD76CB"/>
    <w:rsid w:val="00CD7745"/>
    <w:rsid w:val="00CD7A0B"/>
    <w:rsid w:val="00CD7B3E"/>
    <w:rsid w:val="00CD7B73"/>
    <w:rsid w:val="00CD7C80"/>
    <w:rsid w:val="00CD7D44"/>
    <w:rsid w:val="00CD7D98"/>
    <w:rsid w:val="00CD7E5D"/>
    <w:rsid w:val="00CD7EE6"/>
    <w:rsid w:val="00CE0232"/>
    <w:rsid w:val="00CE0406"/>
    <w:rsid w:val="00CE0494"/>
    <w:rsid w:val="00CE0712"/>
    <w:rsid w:val="00CE0756"/>
    <w:rsid w:val="00CE0926"/>
    <w:rsid w:val="00CE0952"/>
    <w:rsid w:val="00CE0BA2"/>
    <w:rsid w:val="00CE0BBA"/>
    <w:rsid w:val="00CE0CB8"/>
    <w:rsid w:val="00CE0DDA"/>
    <w:rsid w:val="00CE0F7D"/>
    <w:rsid w:val="00CE0FC3"/>
    <w:rsid w:val="00CE10A1"/>
    <w:rsid w:val="00CE126E"/>
    <w:rsid w:val="00CE1391"/>
    <w:rsid w:val="00CE1639"/>
    <w:rsid w:val="00CE19FF"/>
    <w:rsid w:val="00CE1A73"/>
    <w:rsid w:val="00CE1C20"/>
    <w:rsid w:val="00CE1D56"/>
    <w:rsid w:val="00CE1FCF"/>
    <w:rsid w:val="00CE2024"/>
    <w:rsid w:val="00CE2310"/>
    <w:rsid w:val="00CE2741"/>
    <w:rsid w:val="00CE2810"/>
    <w:rsid w:val="00CE28A9"/>
    <w:rsid w:val="00CE28EF"/>
    <w:rsid w:val="00CE2C27"/>
    <w:rsid w:val="00CE2F56"/>
    <w:rsid w:val="00CE31BD"/>
    <w:rsid w:val="00CE32CC"/>
    <w:rsid w:val="00CE36AE"/>
    <w:rsid w:val="00CE36CF"/>
    <w:rsid w:val="00CE3716"/>
    <w:rsid w:val="00CE3991"/>
    <w:rsid w:val="00CE3C3B"/>
    <w:rsid w:val="00CE3CB4"/>
    <w:rsid w:val="00CE3CB7"/>
    <w:rsid w:val="00CE3DB8"/>
    <w:rsid w:val="00CE3DE5"/>
    <w:rsid w:val="00CE3F11"/>
    <w:rsid w:val="00CE3FAB"/>
    <w:rsid w:val="00CE41A1"/>
    <w:rsid w:val="00CE426A"/>
    <w:rsid w:val="00CE42D7"/>
    <w:rsid w:val="00CE4426"/>
    <w:rsid w:val="00CE4757"/>
    <w:rsid w:val="00CE4A50"/>
    <w:rsid w:val="00CE4A7A"/>
    <w:rsid w:val="00CE4AEB"/>
    <w:rsid w:val="00CE4B75"/>
    <w:rsid w:val="00CE4C7D"/>
    <w:rsid w:val="00CE4CE6"/>
    <w:rsid w:val="00CE4DD9"/>
    <w:rsid w:val="00CE4DFF"/>
    <w:rsid w:val="00CE4E1F"/>
    <w:rsid w:val="00CE4E77"/>
    <w:rsid w:val="00CE4EAA"/>
    <w:rsid w:val="00CE4EB1"/>
    <w:rsid w:val="00CE4FB8"/>
    <w:rsid w:val="00CE506E"/>
    <w:rsid w:val="00CE50F8"/>
    <w:rsid w:val="00CE5230"/>
    <w:rsid w:val="00CE5670"/>
    <w:rsid w:val="00CE570B"/>
    <w:rsid w:val="00CE577E"/>
    <w:rsid w:val="00CE57D5"/>
    <w:rsid w:val="00CE58A2"/>
    <w:rsid w:val="00CE5944"/>
    <w:rsid w:val="00CE5995"/>
    <w:rsid w:val="00CE59B4"/>
    <w:rsid w:val="00CE5A79"/>
    <w:rsid w:val="00CE5E8D"/>
    <w:rsid w:val="00CE5FED"/>
    <w:rsid w:val="00CE6516"/>
    <w:rsid w:val="00CE6569"/>
    <w:rsid w:val="00CE669E"/>
    <w:rsid w:val="00CE674F"/>
    <w:rsid w:val="00CE6888"/>
    <w:rsid w:val="00CE6B10"/>
    <w:rsid w:val="00CE6B4E"/>
    <w:rsid w:val="00CE6B80"/>
    <w:rsid w:val="00CE6D02"/>
    <w:rsid w:val="00CE6E54"/>
    <w:rsid w:val="00CE6E8F"/>
    <w:rsid w:val="00CE6F96"/>
    <w:rsid w:val="00CE7057"/>
    <w:rsid w:val="00CE71A1"/>
    <w:rsid w:val="00CE7552"/>
    <w:rsid w:val="00CE776E"/>
    <w:rsid w:val="00CE78AF"/>
    <w:rsid w:val="00CE7A6B"/>
    <w:rsid w:val="00CE7A73"/>
    <w:rsid w:val="00CE7C09"/>
    <w:rsid w:val="00CE7C9A"/>
    <w:rsid w:val="00CE7D51"/>
    <w:rsid w:val="00CF00ED"/>
    <w:rsid w:val="00CF025B"/>
    <w:rsid w:val="00CF0461"/>
    <w:rsid w:val="00CF04C8"/>
    <w:rsid w:val="00CF0508"/>
    <w:rsid w:val="00CF0663"/>
    <w:rsid w:val="00CF0A98"/>
    <w:rsid w:val="00CF0C6D"/>
    <w:rsid w:val="00CF0D57"/>
    <w:rsid w:val="00CF0DE5"/>
    <w:rsid w:val="00CF0F5C"/>
    <w:rsid w:val="00CF1047"/>
    <w:rsid w:val="00CF10B2"/>
    <w:rsid w:val="00CF147F"/>
    <w:rsid w:val="00CF14CD"/>
    <w:rsid w:val="00CF1545"/>
    <w:rsid w:val="00CF1632"/>
    <w:rsid w:val="00CF1647"/>
    <w:rsid w:val="00CF1694"/>
    <w:rsid w:val="00CF16AD"/>
    <w:rsid w:val="00CF1806"/>
    <w:rsid w:val="00CF18CF"/>
    <w:rsid w:val="00CF1AEA"/>
    <w:rsid w:val="00CF1B2F"/>
    <w:rsid w:val="00CF1D1F"/>
    <w:rsid w:val="00CF1DCF"/>
    <w:rsid w:val="00CF1E13"/>
    <w:rsid w:val="00CF1E87"/>
    <w:rsid w:val="00CF21C5"/>
    <w:rsid w:val="00CF23A7"/>
    <w:rsid w:val="00CF26E2"/>
    <w:rsid w:val="00CF27EC"/>
    <w:rsid w:val="00CF2822"/>
    <w:rsid w:val="00CF2864"/>
    <w:rsid w:val="00CF28D2"/>
    <w:rsid w:val="00CF29B0"/>
    <w:rsid w:val="00CF2A76"/>
    <w:rsid w:val="00CF2A80"/>
    <w:rsid w:val="00CF2AA9"/>
    <w:rsid w:val="00CF2BEB"/>
    <w:rsid w:val="00CF2D77"/>
    <w:rsid w:val="00CF2E9D"/>
    <w:rsid w:val="00CF2EA9"/>
    <w:rsid w:val="00CF2FB4"/>
    <w:rsid w:val="00CF3091"/>
    <w:rsid w:val="00CF31A6"/>
    <w:rsid w:val="00CF3225"/>
    <w:rsid w:val="00CF32D6"/>
    <w:rsid w:val="00CF33C0"/>
    <w:rsid w:val="00CF359E"/>
    <w:rsid w:val="00CF3648"/>
    <w:rsid w:val="00CF36F4"/>
    <w:rsid w:val="00CF3772"/>
    <w:rsid w:val="00CF3797"/>
    <w:rsid w:val="00CF394B"/>
    <w:rsid w:val="00CF39E1"/>
    <w:rsid w:val="00CF3A45"/>
    <w:rsid w:val="00CF3C05"/>
    <w:rsid w:val="00CF3E13"/>
    <w:rsid w:val="00CF3E26"/>
    <w:rsid w:val="00CF3F46"/>
    <w:rsid w:val="00CF440F"/>
    <w:rsid w:val="00CF45B8"/>
    <w:rsid w:val="00CF46AA"/>
    <w:rsid w:val="00CF477B"/>
    <w:rsid w:val="00CF47B2"/>
    <w:rsid w:val="00CF4977"/>
    <w:rsid w:val="00CF49DC"/>
    <w:rsid w:val="00CF4A93"/>
    <w:rsid w:val="00CF4E4E"/>
    <w:rsid w:val="00CF4FB2"/>
    <w:rsid w:val="00CF5112"/>
    <w:rsid w:val="00CF51C6"/>
    <w:rsid w:val="00CF5308"/>
    <w:rsid w:val="00CF5418"/>
    <w:rsid w:val="00CF556F"/>
    <w:rsid w:val="00CF55BA"/>
    <w:rsid w:val="00CF55F6"/>
    <w:rsid w:val="00CF5748"/>
    <w:rsid w:val="00CF5754"/>
    <w:rsid w:val="00CF577A"/>
    <w:rsid w:val="00CF57D4"/>
    <w:rsid w:val="00CF583B"/>
    <w:rsid w:val="00CF583E"/>
    <w:rsid w:val="00CF58BE"/>
    <w:rsid w:val="00CF58D0"/>
    <w:rsid w:val="00CF58F7"/>
    <w:rsid w:val="00CF59F5"/>
    <w:rsid w:val="00CF5A0A"/>
    <w:rsid w:val="00CF5BBA"/>
    <w:rsid w:val="00CF5C6D"/>
    <w:rsid w:val="00CF5C77"/>
    <w:rsid w:val="00CF5ED3"/>
    <w:rsid w:val="00CF5EE0"/>
    <w:rsid w:val="00CF5F1A"/>
    <w:rsid w:val="00CF5F7C"/>
    <w:rsid w:val="00CF6183"/>
    <w:rsid w:val="00CF61E6"/>
    <w:rsid w:val="00CF6369"/>
    <w:rsid w:val="00CF6385"/>
    <w:rsid w:val="00CF63CA"/>
    <w:rsid w:val="00CF65CD"/>
    <w:rsid w:val="00CF67B0"/>
    <w:rsid w:val="00CF67D9"/>
    <w:rsid w:val="00CF69C3"/>
    <w:rsid w:val="00CF69F1"/>
    <w:rsid w:val="00CF6A74"/>
    <w:rsid w:val="00CF6A8F"/>
    <w:rsid w:val="00CF6B7F"/>
    <w:rsid w:val="00CF6BC3"/>
    <w:rsid w:val="00CF6BD2"/>
    <w:rsid w:val="00CF6D55"/>
    <w:rsid w:val="00CF7091"/>
    <w:rsid w:val="00CF71AA"/>
    <w:rsid w:val="00CF71C7"/>
    <w:rsid w:val="00CF7338"/>
    <w:rsid w:val="00CF74B5"/>
    <w:rsid w:val="00CF75CE"/>
    <w:rsid w:val="00CF75DC"/>
    <w:rsid w:val="00CF77BB"/>
    <w:rsid w:val="00CF7998"/>
    <w:rsid w:val="00CF7A5A"/>
    <w:rsid w:val="00CF7ABE"/>
    <w:rsid w:val="00CF7B11"/>
    <w:rsid w:val="00CF7D82"/>
    <w:rsid w:val="00CF7D9A"/>
    <w:rsid w:val="00CF7DF7"/>
    <w:rsid w:val="00CF7E39"/>
    <w:rsid w:val="00CF7EBA"/>
    <w:rsid w:val="00CF7F9F"/>
    <w:rsid w:val="00D00283"/>
    <w:rsid w:val="00D0035A"/>
    <w:rsid w:val="00D00366"/>
    <w:rsid w:val="00D007FA"/>
    <w:rsid w:val="00D007FB"/>
    <w:rsid w:val="00D0080B"/>
    <w:rsid w:val="00D00A4B"/>
    <w:rsid w:val="00D00A82"/>
    <w:rsid w:val="00D00E42"/>
    <w:rsid w:val="00D00E8D"/>
    <w:rsid w:val="00D00FEE"/>
    <w:rsid w:val="00D01010"/>
    <w:rsid w:val="00D0102C"/>
    <w:rsid w:val="00D011E9"/>
    <w:rsid w:val="00D0123C"/>
    <w:rsid w:val="00D012D3"/>
    <w:rsid w:val="00D012FB"/>
    <w:rsid w:val="00D01722"/>
    <w:rsid w:val="00D019AC"/>
    <w:rsid w:val="00D01B0A"/>
    <w:rsid w:val="00D01D09"/>
    <w:rsid w:val="00D01D3F"/>
    <w:rsid w:val="00D01E09"/>
    <w:rsid w:val="00D01EF0"/>
    <w:rsid w:val="00D020C9"/>
    <w:rsid w:val="00D02283"/>
    <w:rsid w:val="00D022D5"/>
    <w:rsid w:val="00D02576"/>
    <w:rsid w:val="00D02770"/>
    <w:rsid w:val="00D028DE"/>
    <w:rsid w:val="00D02924"/>
    <w:rsid w:val="00D02C82"/>
    <w:rsid w:val="00D02CA1"/>
    <w:rsid w:val="00D02D12"/>
    <w:rsid w:val="00D02D4F"/>
    <w:rsid w:val="00D02EFA"/>
    <w:rsid w:val="00D02FC5"/>
    <w:rsid w:val="00D02FE9"/>
    <w:rsid w:val="00D03060"/>
    <w:rsid w:val="00D03068"/>
    <w:rsid w:val="00D03076"/>
    <w:rsid w:val="00D032BF"/>
    <w:rsid w:val="00D0340F"/>
    <w:rsid w:val="00D034BD"/>
    <w:rsid w:val="00D03664"/>
    <w:rsid w:val="00D03744"/>
    <w:rsid w:val="00D037DB"/>
    <w:rsid w:val="00D038B9"/>
    <w:rsid w:val="00D03A0E"/>
    <w:rsid w:val="00D03BC6"/>
    <w:rsid w:val="00D0400B"/>
    <w:rsid w:val="00D040B4"/>
    <w:rsid w:val="00D04221"/>
    <w:rsid w:val="00D04326"/>
    <w:rsid w:val="00D0433F"/>
    <w:rsid w:val="00D04496"/>
    <w:rsid w:val="00D04669"/>
    <w:rsid w:val="00D04752"/>
    <w:rsid w:val="00D04805"/>
    <w:rsid w:val="00D04836"/>
    <w:rsid w:val="00D04840"/>
    <w:rsid w:val="00D0485B"/>
    <w:rsid w:val="00D04A87"/>
    <w:rsid w:val="00D04B3F"/>
    <w:rsid w:val="00D04C49"/>
    <w:rsid w:val="00D04D95"/>
    <w:rsid w:val="00D04E04"/>
    <w:rsid w:val="00D04E39"/>
    <w:rsid w:val="00D04E54"/>
    <w:rsid w:val="00D04E8C"/>
    <w:rsid w:val="00D04F0D"/>
    <w:rsid w:val="00D04F15"/>
    <w:rsid w:val="00D04FB6"/>
    <w:rsid w:val="00D050D5"/>
    <w:rsid w:val="00D051AB"/>
    <w:rsid w:val="00D0547D"/>
    <w:rsid w:val="00D0561F"/>
    <w:rsid w:val="00D0566F"/>
    <w:rsid w:val="00D057A8"/>
    <w:rsid w:val="00D058D2"/>
    <w:rsid w:val="00D05C5C"/>
    <w:rsid w:val="00D060FA"/>
    <w:rsid w:val="00D06108"/>
    <w:rsid w:val="00D062F3"/>
    <w:rsid w:val="00D064FA"/>
    <w:rsid w:val="00D06525"/>
    <w:rsid w:val="00D06578"/>
    <w:rsid w:val="00D06605"/>
    <w:rsid w:val="00D06766"/>
    <w:rsid w:val="00D06A3B"/>
    <w:rsid w:val="00D06ACA"/>
    <w:rsid w:val="00D06B51"/>
    <w:rsid w:val="00D06C62"/>
    <w:rsid w:val="00D06F0E"/>
    <w:rsid w:val="00D06F15"/>
    <w:rsid w:val="00D07012"/>
    <w:rsid w:val="00D0701D"/>
    <w:rsid w:val="00D0705F"/>
    <w:rsid w:val="00D072BF"/>
    <w:rsid w:val="00D072D5"/>
    <w:rsid w:val="00D076AE"/>
    <w:rsid w:val="00D078B2"/>
    <w:rsid w:val="00D078C1"/>
    <w:rsid w:val="00D078C5"/>
    <w:rsid w:val="00D079D6"/>
    <w:rsid w:val="00D07A75"/>
    <w:rsid w:val="00D07B86"/>
    <w:rsid w:val="00D07BF9"/>
    <w:rsid w:val="00D07C2E"/>
    <w:rsid w:val="00D07D9F"/>
    <w:rsid w:val="00D07DB2"/>
    <w:rsid w:val="00D07EB2"/>
    <w:rsid w:val="00D07EC1"/>
    <w:rsid w:val="00D07FFD"/>
    <w:rsid w:val="00D101AE"/>
    <w:rsid w:val="00D10267"/>
    <w:rsid w:val="00D1031C"/>
    <w:rsid w:val="00D104B0"/>
    <w:rsid w:val="00D10568"/>
    <w:rsid w:val="00D106A5"/>
    <w:rsid w:val="00D10A2F"/>
    <w:rsid w:val="00D10BA1"/>
    <w:rsid w:val="00D10BDA"/>
    <w:rsid w:val="00D10C8B"/>
    <w:rsid w:val="00D10CD7"/>
    <w:rsid w:val="00D10D6A"/>
    <w:rsid w:val="00D10F27"/>
    <w:rsid w:val="00D10F84"/>
    <w:rsid w:val="00D10FAE"/>
    <w:rsid w:val="00D114AD"/>
    <w:rsid w:val="00D1151B"/>
    <w:rsid w:val="00D11664"/>
    <w:rsid w:val="00D11708"/>
    <w:rsid w:val="00D1195C"/>
    <w:rsid w:val="00D119BD"/>
    <w:rsid w:val="00D11A9D"/>
    <w:rsid w:val="00D11D80"/>
    <w:rsid w:val="00D11E2B"/>
    <w:rsid w:val="00D11EB5"/>
    <w:rsid w:val="00D11F6E"/>
    <w:rsid w:val="00D1204C"/>
    <w:rsid w:val="00D12052"/>
    <w:rsid w:val="00D12215"/>
    <w:rsid w:val="00D124E7"/>
    <w:rsid w:val="00D125DF"/>
    <w:rsid w:val="00D12608"/>
    <w:rsid w:val="00D126AD"/>
    <w:rsid w:val="00D12773"/>
    <w:rsid w:val="00D127B3"/>
    <w:rsid w:val="00D12B1D"/>
    <w:rsid w:val="00D12B99"/>
    <w:rsid w:val="00D12CD5"/>
    <w:rsid w:val="00D12CFB"/>
    <w:rsid w:val="00D12D5D"/>
    <w:rsid w:val="00D12E2B"/>
    <w:rsid w:val="00D12E8B"/>
    <w:rsid w:val="00D12F5C"/>
    <w:rsid w:val="00D13148"/>
    <w:rsid w:val="00D1330C"/>
    <w:rsid w:val="00D133A3"/>
    <w:rsid w:val="00D1354A"/>
    <w:rsid w:val="00D135D0"/>
    <w:rsid w:val="00D13861"/>
    <w:rsid w:val="00D13AF0"/>
    <w:rsid w:val="00D13C36"/>
    <w:rsid w:val="00D13C69"/>
    <w:rsid w:val="00D13CA0"/>
    <w:rsid w:val="00D13D41"/>
    <w:rsid w:val="00D13DF9"/>
    <w:rsid w:val="00D13E66"/>
    <w:rsid w:val="00D13F7D"/>
    <w:rsid w:val="00D13F8A"/>
    <w:rsid w:val="00D14062"/>
    <w:rsid w:val="00D14071"/>
    <w:rsid w:val="00D1409D"/>
    <w:rsid w:val="00D14251"/>
    <w:rsid w:val="00D142D8"/>
    <w:rsid w:val="00D14409"/>
    <w:rsid w:val="00D1441B"/>
    <w:rsid w:val="00D14493"/>
    <w:rsid w:val="00D144AE"/>
    <w:rsid w:val="00D1451B"/>
    <w:rsid w:val="00D145CC"/>
    <w:rsid w:val="00D14701"/>
    <w:rsid w:val="00D14796"/>
    <w:rsid w:val="00D148CA"/>
    <w:rsid w:val="00D1495A"/>
    <w:rsid w:val="00D14C3D"/>
    <w:rsid w:val="00D14C47"/>
    <w:rsid w:val="00D14CE2"/>
    <w:rsid w:val="00D14DCB"/>
    <w:rsid w:val="00D15004"/>
    <w:rsid w:val="00D1507F"/>
    <w:rsid w:val="00D150FE"/>
    <w:rsid w:val="00D15461"/>
    <w:rsid w:val="00D155AB"/>
    <w:rsid w:val="00D159C5"/>
    <w:rsid w:val="00D15B8A"/>
    <w:rsid w:val="00D15BD7"/>
    <w:rsid w:val="00D15C9D"/>
    <w:rsid w:val="00D15E6E"/>
    <w:rsid w:val="00D15EA1"/>
    <w:rsid w:val="00D15F09"/>
    <w:rsid w:val="00D15F60"/>
    <w:rsid w:val="00D16095"/>
    <w:rsid w:val="00D1646F"/>
    <w:rsid w:val="00D1662D"/>
    <w:rsid w:val="00D16679"/>
    <w:rsid w:val="00D1687C"/>
    <w:rsid w:val="00D16936"/>
    <w:rsid w:val="00D1695F"/>
    <w:rsid w:val="00D16A29"/>
    <w:rsid w:val="00D16A9D"/>
    <w:rsid w:val="00D16B39"/>
    <w:rsid w:val="00D16D11"/>
    <w:rsid w:val="00D16D9E"/>
    <w:rsid w:val="00D16E1E"/>
    <w:rsid w:val="00D16FA1"/>
    <w:rsid w:val="00D17038"/>
    <w:rsid w:val="00D1718C"/>
    <w:rsid w:val="00D171B4"/>
    <w:rsid w:val="00D173E7"/>
    <w:rsid w:val="00D1750F"/>
    <w:rsid w:val="00D1775F"/>
    <w:rsid w:val="00D17762"/>
    <w:rsid w:val="00D17838"/>
    <w:rsid w:val="00D17A7C"/>
    <w:rsid w:val="00D17C36"/>
    <w:rsid w:val="00D17F67"/>
    <w:rsid w:val="00D17F77"/>
    <w:rsid w:val="00D200C5"/>
    <w:rsid w:val="00D200FB"/>
    <w:rsid w:val="00D2046F"/>
    <w:rsid w:val="00D204B7"/>
    <w:rsid w:val="00D20543"/>
    <w:rsid w:val="00D20743"/>
    <w:rsid w:val="00D2084D"/>
    <w:rsid w:val="00D20970"/>
    <w:rsid w:val="00D20A47"/>
    <w:rsid w:val="00D20BE2"/>
    <w:rsid w:val="00D20DE2"/>
    <w:rsid w:val="00D20E52"/>
    <w:rsid w:val="00D20ED1"/>
    <w:rsid w:val="00D20F92"/>
    <w:rsid w:val="00D212C8"/>
    <w:rsid w:val="00D21370"/>
    <w:rsid w:val="00D213D9"/>
    <w:rsid w:val="00D2155C"/>
    <w:rsid w:val="00D21677"/>
    <w:rsid w:val="00D216BD"/>
    <w:rsid w:val="00D216F2"/>
    <w:rsid w:val="00D21884"/>
    <w:rsid w:val="00D2194E"/>
    <w:rsid w:val="00D2198E"/>
    <w:rsid w:val="00D21C5F"/>
    <w:rsid w:val="00D21CC7"/>
    <w:rsid w:val="00D22021"/>
    <w:rsid w:val="00D220BC"/>
    <w:rsid w:val="00D221B8"/>
    <w:rsid w:val="00D22272"/>
    <w:rsid w:val="00D2246F"/>
    <w:rsid w:val="00D22479"/>
    <w:rsid w:val="00D2258A"/>
    <w:rsid w:val="00D2281A"/>
    <w:rsid w:val="00D2293D"/>
    <w:rsid w:val="00D22991"/>
    <w:rsid w:val="00D22B49"/>
    <w:rsid w:val="00D22B91"/>
    <w:rsid w:val="00D22BF2"/>
    <w:rsid w:val="00D22CD5"/>
    <w:rsid w:val="00D22CF3"/>
    <w:rsid w:val="00D23051"/>
    <w:rsid w:val="00D232B4"/>
    <w:rsid w:val="00D23358"/>
    <w:rsid w:val="00D233B5"/>
    <w:rsid w:val="00D233BF"/>
    <w:rsid w:val="00D234B1"/>
    <w:rsid w:val="00D2359C"/>
    <w:rsid w:val="00D23608"/>
    <w:rsid w:val="00D23857"/>
    <w:rsid w:val="00D238A4"/>
    <w:rsid w:val="00D2392B"/>
    <w:rsid w:val="00D23A0D"/>
    <w:rsid w:val="00D23A14"/>
    <w:rsid w:val="00D23C6F"/>
    <w:rsid w:val="00D23DA0"/>
    <w:rsid w:val="00D23E70"/>
    <w:rsid w:val="00D23E8C"/>
    <w:rsid w:val="00D23ECF"/>
    <w:rsid w:val="00D23FA3"/>
    <w:rsid w:val="00D23FD8"/>
    <w:rsid w:val="00D240CC"/>
    <w:rsid w:val="00D243F1"/>
    <w:rsid w:val="00D244A7"/>
    <w:rsid w:val="00D24750"/>
    <w:rsid w:val="00D247F6"/>
    <w:rsid w:val="00D24800"/>
    <w:rsid w:val="00D24A1F"/>
    <w:rsid w:val="00D24C0A"/>
    <w:rsid w:val="00D24D3C"/>
    <w:rsid w:val="00D24DC0"/>
    <w:rsid w:val="00D24E9F"/>
    <w:rsid w:val="00D24EBF"/>
    <w:rsid w:val="00D24F12"/>
    <w:rsid w:val="00D250CB"/>
    <w:rsid w:val="00D251B4"/>
    <w:rsid w:val="00D252A2"/>
    <w:rsid w:val="00D25306"/>
    <w:rsid w:val="00D2532E"/>
    <w:rsid w:val="00D25507"/>
    <w:rsid w:val="00D2569F"/>
    <w:rsid w:val="00D25840"/>
    <w:rsid w:val="00D25872"/>
    <w:rsid w:val="00D259BE"/>
    <w:rsid w:val="00D259C8"/>
    <w:rsid w:val="00D259DC"/>
    <w:rsid w:val="00D25B6D"/>
    <w:rsid w:val="00D26010"/>
    <w:rsid w:val="00D26340"/>
    <w:rsid w:val="00D26416"/>
    <w:rsid w:val="00D26433"/>
    <w:rsid w:val="00D2646B"/>
    <w:rsid w:val="00D2661F"/>
    <w:rsid w:val="00D266FB"/>
    <w:rsid w:val="00D2674B"/>
    <w:rsid w:val="00D26794"/>
    <w:rsid w:val="00D269A8"/>
    <w:rsid w:val="00D26A45"/>
    <w:rsid w:val="00D26C13"/>
    <w:rsid w:val="00D26CE5"/>
    <w:rsid w:val="00D26D36"/>
    <w:rsid w:val="00D26DE8"/>
    <w:rsid w:val="00D26E45"/>
    <w:rsid w:val="00D270B8"/>
    <w:rsid w:val="00D2733E"/>
    <w:rsid w:val="00D2738C"/>
    <w:rsid w:val="00D27549"/>
    <w:rsid w:val="00D275F7"/>
    <w:rsid w:val="00D27776"/>
    <w:rsid w:val="00D27832"/>
    <w:rsid w:val="00D27857"/>
    <w:rsid w:val="00D27947"/>
    <w:rsid w:val="00D279AB"/>
    <w:rsid w:val="00D27B90"/>
    <w:rsid w:val="00D27C08"/>
    <w:rsid w:val="00D27E6F"/>
    <w:rsid w:val="00D3000D"/>
    <w:rsid w:val="00D30150"/>
    <w:rsid w:val="00D301D7"/>
    <w:rsid w:val="00D3024C"/>
    <w:rsid w:val="00D3024F"/>
    <w:rsid w:val="00D30517"/>
    <w:rsid w:val="00D3051A"/>
    <w:rsid w:val="00D306BD"/>
    <w:rsid w:val="00D309D3"/>
    <w:rsid w:val="00D30ABC"/>
    <w:rsid w:val="00D30AC0"/>
    <w:rsid w:val="00D30C3E"/>
    <w:rsid w:val="00D30E63"/>
    <w:rsid w:val="00D30F8D"/>
    <w:rsid w:val="00D30FA8"/>
    <w:rsid w:val="00D31027"/>
    <w:rsid w:val="00D310B3"/>
    <w:rsid w:val="00D312AF"/>
    <w:rsid w:val="00D31464"/>
    <w:rsid w:val="00D314C2"/>
    <w:rsid w:val="00D3158C"/>
    <w:rsid w:val="00D315BB"/>
    <w:rsid w:val="00D31621"/>
    <w:rsid w:val="00D3181F"/>
    <w:rsid w:val="00D3189A"/>
    <w:rsid w:val="00D31DC0"/>
    <w:rsid w:val="00D31E32"/>
    <w:rsid w:val="00D31F4E"/>
    <w:rsid w:val="00D31FAC"/>
    <w:rsid w:val="00D320E4"/>
    <w:rsid w:val="00D32105"/>
    <w:rsid w:val="00D32455"/>
    <w:rsid w:val="00D32539"/>
    <w:rsid w:val="00D32639"/>
    <w:rsid w:val="00D326AF"/>
    <w:rsid w:val="00D326C4"/>
    <w:rsid w:val="00D326CF"/>
    <w:rsid w:val="00D32753"/>
    <w:rsid w:val="00D32811"/>
    <w:rsid w:val="00D32974"/>
    <w:rsid w:val="00D32A29"/>
    <w:rsid w:val="00D32AEE"/>
    <w:rsid w:val="00D32B1E"/>
    <w:rsid w:val="00D32CE0"/>
    <w:rsid w:val="00D32DF6"/>
    <w:rsid w:val="00D33543"/>
    <w:rsid w:val="00D33583"/>
    <w:rsid w:val="00D33769"/>
    <w:rsid w:val="00D33894"/>
    <w:rsid w:val="00D33945"/>
    <w:rsid w:val="00D3395C"/>
    <w:rsid w:val="00D3396A"/>
    <w:rsid w:val="00D33970"/>
    <w:rsid w:val="00D33C8B"/>
    <w:rsid w:val="00D33D99"/>
    <w:rsid w:val="00D34073"/>
    <w:rsid w:val="00D3429B"/>
    <w:rsid w:val="00D342F1"/>
    <w:rsid w:val="00D3441F"/>
    <w:rsid w:val="00D3477F"/>
    <w:rsid w:val="00D34DFD"/>
    <w:rsid w:val="00D34F18"/>
    <w:rsid w:val="00D35460"/>
    <w:rsid w:val="00D355F4"/>
    <w:rsid w:val="00D355FC"/>
    <w:rsid w:val="00D35633"/>
    <w:rsid w:val="00D35AC8"/>
    <w:rsid w:val="00D35B98"/>
    <w:rsid w:val="00D35C38"/>
    <w:rsid w:val="00D35FCA"/>
    <w:rsid w:val="00D36283"/>
    <w:rsid w:val="00D363DF"/>
    <w:rsid w:val="00D3665E"/>
    <w:rsid w:val="00D36852"/>
    <w:rsid w:val="00D3691F"/>
    <w:rsid w:val="00D36AB6"/>
    <w:rsid w:val="00D36AF0"/>
    <w:rsid w:val="00D36B79"/>
    <w:rsid w:val="00D36BCB"/>
    <w:rsid w:val="00D36C52"/>
    <w:rsid w:val="00D36DBE"/>
    <w:rsid w:val="00D36E50"/>
    <w:rsid w:val="00D36F43"/>
    <w:rsid w:val="00D36FD4"/>
    <w:rsid w:val="00D370B1"/>
    <w:rsid w:val="00D37159"/>
    <w:rsid w:val="00D3717F"/>
    <w:rsid w:val="00D371B2"/>
    <w:rsid w:val="00D37369"/>
    <w:rsid w:val="00D375C3"/>
    <w:rsid w:val="00D3767A"/>
    <w:rsid w:val="00D377E6"/>
    <w:rsid w:val="00D37817"/>
    <w:rsid w:val="00D37A74"/>
    <w:rsid w:val="00D37C22"/>
    <w:rsid w:val="00D37E17"/>
    <w:rsid w:val="00D37E9A"/>
    <w:rsid w:val="00D4013A"/>
    <w:rsid w:val="00D4013F"/>
    <w:rsid w:val="00D4024E"/>
    <w:rsid w:val="00D4037E"/>
    <w:rsid w:val="00D4070C"/>
    <w:rsid w:val="00D408B6"/>
    <w:rsid w:val="00D40AE1"/>
    <w:rsid w:val="00D40CA8"/>
    <w:rsid w:val="00D40D19"/>
    <w:rsid w:val="00D40DD5"/>
    <w:rsid w:val="00D40EDD"/>
    <w:rsid w:val="00D40F1F"/>
    <w:rsid w:val="00D411AD"/>
    <w:rsid w:val="00D411C0"/>
    <w:rsid w:val="00D41333"/>
    <w:rsid w:val="00D4140D"/>
    <w:rsid w:val="00D417EE"/>
    <w:rsid w:val="00D41803"/>
    <w:rsid w:val="00D41906"/>
    <w:rsid w:val="00D41A42"/>
    <w:rsid w:val="00D41C65"/>
    <w:rsid w:val="00D41CA3"/>
    <w:rsid w:val="00D41CBA"/>
    <w:rsid w:val="00D41D07"/>
    <w:rsid w:val="00D41E33"/>
    <w:rsid w:val="00D420FE"/>
    <w:rsid w:val="00D4215C"/>
    <w:rsid w:val="00D42272"/>
    <w:rsid w:val="00D42499"/>
    <w:rsid w:val="00D4270E"/>
    <w:rsid w:val="00D427D0"/>
    <w:rsid w:val="00D42858"/>
    <w:rsid w:val="00D42864"/>
    <w:rsid w:val="00D428A2"/>
    <w:rsid w:val="00D4294C"/>
    <w:rsid w:val="00D42B6D"/>
    <w:rsid w:val="00D42C12"/>
    <w:rsid w:val="00D42C56"/>
    <w:rsid w:val="00D42D37"/>
    <w:rsid w:val="00D42D4F"/>
    <w:rsid w:val="00D42F09"/>
    <w:rsid w:val="00D43015"/>
    <w:rsid w:val="00D43074"/>
    <w:rsid w:val="00D4328C"/>
    <w:rsid w:val="00D43311"/>
    <w:rsid w:val="00D4336C"/>
    <w:rsid w:val="00D43420"/>
    <w:rsid w:val="00D43457"/>
    <w:rsid w:val="00D4348D"/>
    <w:rsid w:val="00D43620"/>
    <w:rsid w:val="00D43756"/>
    <w:rsid w:val="00D43AA2"/>
    <w:rsid w:val="00D43B31"/>
    <w:rsid w:val="00D43F70"/>
    <w:rsid w:val="00D43FA3"/>
    <w:rsid w:val="00D44053"/>
    <w:rsid w:val="00D44165"/>
    <w:rsid w:val="00D44319"/>
    <w:rsid w:val="00D443BB"/>
    <w:rsid w:val="00D444A8"/>
    <w:rsid w:val="00D44550"/>
    <w:rsid w:val="00D44590"/>
    <w:rsid w:val="00D44649"/>
    <w:rsid w:val="00D448BF"/>
    <w:rsid w:val="00D44AE4"/>
    <w:rsid w:val="00D44B00"/>
    <w:rsid w:val="00D44B01"/>
    <w:rsid w:val="00D44B83"/>
    <w:rsid w:val="00D44BD7"/>
    <w:rsid w:val="00D44C58"/>
    <w:rsid w:val="00D44CC8"/>
    <w:rsid w:val="00D44E8A"/>
    <w:rsid w:val="00D44FC1"/>
    <w:rsid w:val="00D44FCD"/>
    <w:rsid w:val="00D45055"/>
    <w:rsid w:val="00D450A9"/>
    <w:rsid w:val="00D4516C"/>
    <w:rsid w:val="00D45208"/>
    <w:rsid w:val="00D45277"/>
    <w:rsid w:val="00D452C8"/>
    <w:rsid w:val="00D453B8"/>
    <w:rsid w:val="00D45444"/>
    <w:rsid w:val="00D4546C"/>
    <w:rsid w:val="00D45593"/>
    <w:rsid w:val="00D45A54"/>
    <w:rsid w:val="00D45C33"/>
    <w:rsid w:val="00D45DA9"/>
    <w:rsid w:val="00D45EDB"/>
    <w:rsid w:val="00D45FE2"/>
    <w:rsid w:val="00D46114"/>
    <w:rsid w:val="00D463AC"/>
    <w:rsid w:val="00D463DD"/>
    <w:rsid w:val="00D4646D"/>
    <w:rsid w:val="00D464B0"/>
    <w:rsid w:val="00D46974"/>
    <w:rsid w:val="00D46C7D"/>
    <w:rsid w:val="00D46D05"/>
    <w:rsid w:val="00D46D39"/>
    <w:rsid w:val="00D46DD4"/>
    <w:rsid w:val="00D46DDF"/>
    <w:rsid w:val="00D46E52"/>
    <w:rsid w:val="00D46F8A"/>
    <w:rsid w:val="00D46FD0"/>
    <w:rsid w:val="00D47052"/>
    <w:rsid w:val="00D471CB"/>
    <w:rsid w:val="00D4722A"/>
    <w:rsid w:val="00D472E6"/>
    <w:rsid w:val="00D474F7"/>
    <w:rsid w:val="00D4760D"/>
    <w:rsid w:val="00D4766C"/>
    <w:rsid w:val="00D47B66"/>
    <w:rsid w:val="00D47CB5"/>
    <w:rsid w:val="00D47DCE"/>
    <w:rsid w:val="00D47EE4"/>
    <w:rsid w:val="00D47F93"/>
    <w:rsid w:val="00D50216"/>
    <w:rsid w:val="00D50246"/>
    <w:rsid w:val="00D502B3"/>
    <w:rsid w:val="00D50550"/>
    <w:rsid w:val="00D50703"/>
    <w:rsid w:val="00D50708"/>
    <w:rsid w:val="00D508D7"/>
    <w:rsid w:val="00D50E88"/>
    <w:rsid w:val="00D51108"/>
    <w:rsid w:val="00D5113C"/>
    <w:rsid w:val="00D51246"/>
    <w:rsid w:val="00D513A9"/>
    <w:rsid w:val="00D515C2"/>
    <w:rsid w:val="00D517EA"/>
    <w:rsid w:val="00D51F20"/>
    <w:rsid w:val="00D51F69"/>
    <w:rsid w:val="00D5203B"/>
    <w:rsid w:val="00D52098"/>
    <w:rsid w:val="00D521AE"/>
    <w:rsid w:val="00D52339"/>
    <w:rsid w:val="00D5244B"/>
    <w:rsid w:val="00D52485"/>
    <w:rsid w:val="00D524E6"/>
    <w:rsid w:val="00D524EE"/>
    <w:rsid w:val="00D5250F"/>
    <w:rsid w:val="00D5251E"/>
    <w:rsid w:val="00D528A0"/>
    <w:rsid w:val="00D529DE"/>
    <w:rsid w:val="00D52B9E"/>
    <w:rsid w:val="00D52C87"/>
    <w:rsid w:val="00D52C89"/>
    <w:rsid w:val="00D52CE5"/>
    <w:rsid w:val="00D52D21"/>
    <w:rsid w:val="00D52DC6"/>
    <w:rsid w:val="00D52EC3"/>
    <w:rsid w:val="00D52ED3"/>
    <w:rsid w:val="00D5323D"/>
    <w:rsid w:val="00D53269"/>
    <w:rsid w:val="00D5332F"/>
    <w:rsid w:val="00D5337A"/>
    <w:rsid w:val="00D534C4"/>
    <w:rsid w:val="00D537E9"/>
    <w:rsid w:val="00D53835"/>
    <w:rsid w:val="00D53852"/>
    <w:rsid w:val="00D538F4"/>
    <w:rsid w:val="00D5393E"/>
    <w:rsid w:val="00D539F2"/>
    <w:rsid w:val="00D539F3"/>
    <w:rsid w:val="00D53B1E"/>
    <w:rsid w:val="00D53D43"/>
    <w:rsid w:val="00D53D55"/>
    <w:rsid w:val="00D53DFD"/>
    <w:rsid w:val="00D53F04"/>
    <w:rsid w:val="00D5434F"/>
    <w:rsid w:val="00D5462A"/>
    <w:rsid w:val="00D54728"/>
    <w:rsid w:val="00D54831"/>
    <w:rsid w:val="00D549AA"/>
    <w:rsid w:val="00D54B0A"/>
    <w:rsid w:val="00D54B6C"/>
    <w:rsid w:val="00D54EA8"/>
    <w:rsid w:val="00D54F07"/>
    <w:rsid w:val="00D54FD2"/>
    <w:rsid w:val="00D5501E"/>
    <w:rsid w:val="00D55109"/>
    <w:rsid w:val="00D55320"/>
    <w:rsid w:val="00D556BB"/>
    <w:rsid w:val="00D55899"/>
    <w:rsid w:val="00D55955"/>
    <w:rsid w:val="00D55967"/>
    <w:rsid w:val="00D55C03"/>
    <w:rsid w:val="00D55C7A"/>
    <w:rsid w:val="00D55C7D"/>
    <w:rsid w:val="00D55CC8"/>
    <w:rsid w:val="00D55CED"/>
    <w:rsid w:val="00D55D92"/>
    <w:rsid w:val="00D55E49"/>
    <w:rsid w:val="00D55FF6"/>
    <w:rsid w:val="00D5622B"/>
    <w:rsid w:val="00D5640A"/>
    <w:rsid w:val="00D56480"/>
    <w:rsid w:val="00D565B1"/>
    <w:rsid w:val="00D56A33"/>
    <w:rsid w:val="00D56B78"/>
    <w:rsid w:val="00D56CC7"/>
    <w:rsid w:val="00D56EEA"/>
    <w:rsid w:val="00D56FEC"/>
    <w:rsid w:val="00D56FFB"/>
    <w:rsid w:val="00D5707C"/>
    <w:rsid w:val="00D5711F"/>
    <w:rsid w:val="00D57346"/>
    <w:rsid w:val="00D57388"/>
    <w:rsid w:val="00D573A4"/>
    <w:rsid w:val="00D5744C"/>
    <w:rsid w:val="00D57724"/>
    <w:rsid w:val="00D577AA"/>
    <w:rsid w:val="00D57CBA"/>
    <w:rsid w:val="00D57D27"/>
    <w:rsid w:val="00D57D85"/>
    <w:rsid w:val="00D57DC0"/>
    <w:rsid w:val="00D57DEC"/>
    <w:rsid w:val="00D57ED6"/>
    <w:rsid w:val="00D57EF6"/>
    <w:rsid w:val="00D57FC2"/>
    <w:rsid w:val="00D57FEB"/>
    <w:rsid w:val="00D600FB"/>
    <w:rsid w:val="00D60565"/>
    <w:rsid w:val="00D605D7"/>
    <w:rsid w:val="00D60600"/>
    <w:rsid w:val="00D608CE"/>
    <w:rsid w:val="00D609C1"/>
    <w:rsid w:val="00D60E73"/>
    <w:rsid w:val="00D60FF0"/>
    <w:rsid w:val="00D610C5"/>
    <w:rsid w:val="00D610DD"/>
    <w:rsid w:val="00D6110C"/>
    <w:rsid w:val="00D61221"/>
    <w:rsid w:val="00D6160C"/>
    <w:rsid w:val="00D61960"/>
    <w:rsid w:val="00D61A7C"/>
    <w:rsid w:val="00D61B94"/>
    <w:rsid w:val="00D61D3B"/>
    <w:rsid w:val="00D61D7A"/>
    <w:rsid w:val="00D62103"/>
    <w:rsid w:val="00D6227C"/>
    <w:rsid w:val="00D62453"/>
    <w:rsid w:val="00D62841"/>
    <w:rsid w:val="00D628F8"/>
    <w:rsid w:val="00D629A4"/>
    <w:rsid w:val="00D62A84"/>
    <w:rsid w:val="00D62BF0"/>
    <w:rsid w:val="00D62CB7"/>
    <w:rsid w:val="00D62D6E"/>
    <w:rsid w:val="00D62DF5"/>
    <w:rsid w:val="00D62DF7"/>
    <w:rsid w:val="00D63009"/>
    <w:rsid w:val="00D630CE"/>
    <w:rsid w:val="00D63101"/>
    <w:rsid w:val="00D63216"/>
    <w:rsid w:val="00D634B9"/>
    <w:rsid w:val="00D6354F"/>
    <w:rsid w:val="00D638C1"/>
    <w:rsid w:val="00D6390A"/>
    <w:rsid w:val="00D63AEA"/>
    <w:rsid w:val="00D63B1C"/>
    <w:rsid w:val="00D63D0A"/>
    <w:rsid w:val="00D63D79"/>
    <w:rsid w:val="00D64096"/>
    <w:rsid w:val="00D640DA"/>
    <w:rsid w:val="00D642EA"/>
    <w:rsid w:val="00D6435A"/>
    <w:rsid w:val="00D6445B"/>
    <w:rsid w:val="00D6449F"/>
    <w:rsid w:val="00D645C9"/>
    <w:rsid w:val="00D646B9"/>
    <w:rsid w:val="00D6484A"/>
    <w:rsid w:val="00D64C3D"/>
    <w:rsid w:val="00D64C93"/>
    <w:rsid w:val="00D6508F"/>
    <w:rsid w:val="00D65130"/>
    <w:rsid w:val="00D65185"/>
    <w:rsid w:val="00D6546D"/>
    <w:rsid w:val="00D6552C"/>
    <w:rsid w:val="00D655C9"/>
    <w:rsid w:val="00D656E8"/>
    <w:rsid w:val="00D656F2"/>
    <w:rsid w:val="00D657A3"/>
    <w:rsid w:val="00D657DC"/>
    <w:rsid w:val="00D6583C"/>
    <w:rsid w:val="00D658EB"/>
    <w:rsid w:val="00D65ABE"/>
    <w:rsid w:val="00D65AC1"/>
    <w:rsid w:val="00D65B0A"/>
    <w:rsid w:val="00D65B5D"/>
    <w:rsid w:val="00D65B7A"/>
    <w:rsid w:val="00D65D43"/>
    <w:rsid w:val="00D65E25"/>
    <w:rsid w:val="00D65EE9"/>
    <w:rsid w:val="00D66150"/>
    <w:rsid w:val="00D66289"/>
    <w:rsid w:val="00D662B1"/>
    <w:rsid w:val="00D66312"/>
    <w:rsid w:val="00D663A9"/>
    <w:rsid w:val="00D663EE"/>
    <w:rsid w:val="00D66438"/>
    <w:rsid w:val="00D6643D"/>
    <w:rsid w:val="00D66486"/>
    <w:rsid w:val="00D664F3"/>
    <w:rsid w:val="00D66539"/>
    <w:rsid w:val="00D66620"/>
    <w:rsid w:val="00D66736"/>
    <w:rsid w:val="00D66988"/>
    <w:rsid w:val="00D66D66"/>
    <w:rsid w:val="00D66D6D"/>
    <w:rsid w:val="00D66F62"/>
    <w:rsid w:val="00D66F9C"/>
    <w:rsid w:val="00D66FA6"/>
    <w:rsid w:val="00D67071"/>
    <w:rsid w:val="00D67116"/>
    <w:rsid w:val="00D67182"/>
    <w:rsid w:val="00D671A3"/>
    <w:rsid w:val="00D672A7"/>
    <w:rsid w:val="00D67327"/>
    <w:rsid w:val="00D67529"/>
    <w:rsid w:val="00D6758A"/>
    <w:rsid w:val="00D6763A"/>
    <w:rsid w:val="00D6775E"/>
    <w:rsid w:val="00D677D4"/>
    <w:rsid w:val="00D6782D"/>
    <w:rsid w:val="00D67C18"/>
    <w:rsid w:val="00D67E28"/>
    <w:rsid w:val="00D67EC1"/>
    <w:rsid w:val="00D67EEC"/>
    <w:rsid w:val="00D67F75"/>
    <w:rsid w:val="00D7003B"/>
    <w:rsid w:val="00D700C9"/>
    <w:rsid w:val="00D700F3"/>
    <w:rsid w:val="00D7012C"/>
    <w:rsid w:val="00D70199"/>
    <w:rsid w:val="00D703EC"/>
    <w:rsid w:val="00D70562"/>
    <w:rsid w:val="00D7089C"/>
    <w:rsid w:val="00D708A1"/>
    <w:rsid w:val="00D70987"/>
    <w:rsid w:val="00D7099F"/>
    <w:rsid w:val="00D70B39"/>
    <w:rsid w:val="00D70B6A"/>
    <w:rsid w:val="00D70D79"/>
    <w:rsid w:val="00D70E22"/>
    <w:rsid w:val="00D70E66"/>
    <w:rsid w:val="00D70E70"/>
    <w:rsid w:val="00D71104"/>
    <w:rsid w:val="00D7138A"/>
    <w:rsid w:val="00D7155B"/>
    <w:rsid w:val="00D7168A"/>
    <w:rsid w:val="00D716BB"/>
    <w:rsid w:val="00D7173E"/>
    <w:rsid w:val="00D71904"/>
    <w:rsid w:val="00D71A10"/>
    <w:rsid w:val="00D71B51"/>
    <w:rsid w:val="00D71EA0"/>
    <w:rsid w:val="00D721A5"/>
    <w:rsid w:val="00D72537"/>
    <w:rsid w:val="00D72B97"/>
    <w:rsid w:val="00D72C29"/>
    <w:rsid w:val="00D72E4A"/>
    <w:rsid w:val="00D7305F"/>
    <w:rsid w:val="00D730FF"/>
    <w:rsid w:val="00D73301"/>
    <w:rsid w:val="00D73359"/>
    <w:rsid w:val="00D73363"/>
    <w:rsid w:val="00D7338D"/>
    <w:rsid w:val="00D735A5"/>
    <w:rsid w:val="00D735CC"/>
    <w:rsid w:val="00D73637"/>
    <w:rsid w:val="00D73831"/>
    <w:rsid w:val="00D7388C"/>
    <w:rsid w:val="00D738C1"/>
    <w:rsid w:val="00D73F43"/>
    <w:rsid w:val="00D7402E"/>
    <w:rsid w:val="00D740F9"/>
    <w:rsid w:val="00D74234"/>
    <w:rsid w:val="00D742C9"/>
    <w:rsid w:val="00D742E8"/>
    <w:rsid w:val="00D744B3"/>
    <w:rsid w:val="00D74517"/>
    <w:rsid w:val="00D745A5"/>
    <w:rsid w:val="00D74772"/>
    <w:rsid w:val="00D74AE5"/>
    <w:rsid w:val="00D74E2B"/>
    <w:rsid w:val="00D74E7A"/>
    <w:rsid w:val="00D74EA7"/>
    <w:rsid w:val="00D74FA6"/>
    <w:rsid w:val="00D74FA8"/>
    <w:rsid w:val="00D750B3"/>
    <w:rsid w:val="00D7549A"/>
    <w:rsid w:val="00D754A4"/>
    <w:rsid w:val="00D754CE"/>
    <w:rsid w:val="00D754E8"/>
    <w:rsid w:val="00D75515"/>
    <w:rsid w:val="00D75724"/>
    <w:rsid w:val="00D75795"/>
    <w:rsid w:val="00D758DD"/>
    <w:rsid w:val="00D75962"/>
    <w:rsid w:val="00D759C7"/>
    <w:rsid w:val="00D75A46"/>
    <w:rsid w:val="00D75BAC"/>
    <w:rsid w:val="00D75BBC"/>
    <w:rsid w:val="00D75C99"/>
    <w:rsid w:val="00D75CE8"/>
    <w:rsid w:val="00D75E28"/>
    <w:rsid w:val="00D75E30"/>
    <w:rsid w:val="00D76248"/>
    <w:rsid w:val="00D76296"/>
    <w:rsid w:val="00D7645E"/>
    <w:rsid w:val="00D76625"/>
    <w:rsid w:val="00D766AA"/>
    <w:rsid w:val="00D76790"/>
    <w:rsid w:val="00D76A83"/>
    <w:rsid w:val="00D76AF9"/>
    <w:rsid w:val="00D76BCD"/>
    <w:rsid w:val="00D76E01"/>
    <w:rsid w:val="00D77051"/>
    <w:rsid w:val="00D77074"/>
    <w:rsid w:val="00D773C7"/>
    <w:rsid w:val="00D773F9"/>
    <w:rsid w:val="00D7760A"/>
    <w:rsid w:val="00D77725"/>
    <w:rsid w:val="00D77749"/>
    <w:rsid w:val="00D77D1C"/>
    <w:rsid w:val="00D77D28"/>
    <w:rsid w:val="00D77DB8"/>
    <w:rsid w:val="00D77E8F"/>
    <w:rsid w:val="00D77EE3"/>
    <w:rsid w:val="00D80001"/>
    <w:rsid w:val="00D8037E"/>
    <w:rsid w:val="00D8040A"/>
    <w:rsid w:val="00D8051E"/>
    <w:rsid w:val="00D80540"/>
    <w:rsid w:val="00D80801"/>
    <w:rsid w:val="00D8082F"/>
    <w:rsid w:val="00D80A38"/>
    <w:rsid w:val="00D80B31"/>
    <w:rsid w:val="00D80C7D"/>
    <w:rsid w:val="00D80E44"/>
    <w:rsid w:val="00D80ED2"/>
    <w:rsid w:val="00D80ED3"/>
    <w:rsid w:val="00D80EF6"/>
    <w:rsid w:val="00D80F43"/>
    <w:rsid w:val="00D81037"/>
    <w:rsid w:val="00D810FA"/>
    <w:rsid w:val="00D8112D"/>
    <w:rsid w:val="00D812CE"/>
    <w:rsid w:val="00D8152F"/>
    <w:rsid w:val="00D81533"/>
    <w:rsid w:val="00D8180A"/>
    <w:rsid w:val="00D818D4"/>
    <w:rsid w:val="00D818F0"/>
    <w:rsid w:val="00D81972"/>
    <w:rsid w:val="00D81A72"/>
    <w:rsid w:val="00D81BA7"/>
    <w:rsid w:val="00D81C1A"/>
    <w:rsid w:val="00D81C96"/>
    <w:rsid w:val="00D81D0C"/>
    <w:rsid w:val="00D82249"/>
    <w:rsid w:val="00D82290"/>
    <w:rsid w:val="00D82313"/>
    <w:rsid w:val="00D824AE"/>
    <w:rsid w:val="00D826C7"/>
    <w:rsid w:val="00D82773"/>
    <w:rsid w:val="00D8287A"/>
    <w:rsid w:val="00D82965"/>
    <w:rsid w:val="00D82B01"/>
    <w:rsid w:val="00D82BA9"/>
    <w:rsid w:val="00D82DB8"/>
    <w:rsid w:val="00D82E00"/>
    <w:rsid w:val="00D82E92"/>
    <w:rsid w:val="00D82F98"/>
    <w:rsid w:val="00D82FD9"/>
    <w:rsid w:val="00D82FE4"/>
    <w:rsid w:val="00D83642"/>
    <w:rsid w:val="00D838E2"/>
    <w:rsid w:val="00D83940"/>
    <w:rsid w:val="00D839BB"/>
    <w:rsid w:val="00D83AA5"/>
    <w:rsid w:val="00D83DAD"/>
    <w:rsid w:val="00D84067"/>
    <w:rsid w:val="00D8414E"/>
    <w:rsid w:val="00D8434F"/>
    <w:rsid w:val="00D844B4"/>
    <w:rsid w:val="00D844C0"/>
    <w:rsid w:val="00D84522"/>
    <w:rsid w:val="00D8455D"/>
    <w:rsid w:val="00D84605"/>
    <w:rsid w:val="00D84A73"/>
    <w:rsid w:val="00D84B1C"/>
    <w:rsid w:val="00D84C9D"/>
    <w:rsid w:val="00D84CA7"/>
    <w:rsid w:val="00D85214"/>
    <w:rsid w:val="00D85245"/>
    <w:rsid w:val="00D852FB"/>
    <w:rsid w:val="00D85513"/>
    <w:rsid w:val="00D85725"/>
    <w:rsid w:val="00D85958"/>
    <w:rsid w:val="00D85A18"/>
    <w:rsid w:val="00D85BB4"/>
    <w:rsid w:val="00D85D6D"/>
    <w:rsid w:val="00D85E63"/>
    <w:rsid w:val="00D85F48"/>
    <w:rsid w:val="00D85F54"/>
    <w:rsid w:val="00D85FB1"/>
    <w:rsid w:val="00D85FC9"/>
    <w:rsid w:val="00D86028"/>
    <w:rsid w:val="00D860F7"/>
    <w:rsid w:val="00D8611B"/>
    <w:rsid w:val="00D86211"/>
    <w:rsid w:val="00D863AA"/>
    <w:rsid w:val="00D8658F"/>
    <w:rsid w:val="00D86667"/>
    <w:rsid w:val="00D86779"/>
    <w:rsid w:val="00D867E7"/>
    <w:rsid w:val="00D868CC"/>
    <w:rsid w:val="00D868F5"/>
    <w:rsid w:val="00D86CE2"/>
    <w:rsid w:val="00D86DC6"/>
    <w:rsid w:val="00D86DD7"/>
    <w:rsid w:val="00D86E54"/>
    <w:rsid w:val="00D86E5D"/>
    <w:rsid w:val="00D870A2"/>
    <w:rsid w:val="00D870B4"/>
    <w:rsid w:val="00D8713D"/>
    <w:rsid w:val="00D873B9"/>
    <w:rsid w:val="00D8742F"/>
    <w:rsid w:val="00D876AE"/>
    <w:rsid w:val="00D876B6"/>
    <w:rsid w:val="00D87800"/>
    <w:rsid w:val="00D87892"/>
    <w:rsid w:val="00D87BCB"/>
    <w:rsid w:val="00D87D43"/>
    <w:rsid w:val="00D87DE6"/>
    <w:rsid w:val="00D87F16"/>
    <w:rsid w:val="00D90187"/>
    <w:rsid w:val="00D903F6"/>
    <w:rsid w:val="00D903FD"/>
    <w:rsid w:val="00D9044C"/>
    <w:rsid w:val="00D9084E"/>
    <w:rsid w:val="00D90C04"/>
    <w:rsid w:val="00D90CCB"/>
    <w:rsid w:val="00D90D1A"/>
    <w:rsid w:val="00D90D7B"/>
    <w:rsid w:val="00D90DC9"/>
    <w:rsid w:val="00D90ED9"/>
    <w:rsid w:val="00D90F09"/>
    <w:rsid w:val="00D9107B"/>
    <w:rsid w:val="00D9139B"/>
    <w:rsid w:val="00D914FE"/>
    <w:rsid w:val="00D918C6"/>
    <w:rsid w:val="00D91BB6"/>
    <w:rsid w:val="00D91C22"/>
    <w:rsid w:val="00D91D6E"/>
    <w:rsid w:val="00D91DA3"/>
    <w:rsid w:val="00D91E3E"/>
    <w:rsid w:val="00D91EA8"/>
    <w:rsid w:val="00D91F2B"/>
    <w:rsid w:val="00D91FF8"/>
    <w:rsid w:val="00D9227E"/>
    <w:rsid w:val="00D923EA"/>
    <w:rsid w:val="00D92407"/>
    <w:rsid w:val="00D92523"/>
    <w:rsid w:val="00D92588"/>
    <w:rsid w:val="00D925C9"/>
    <w:rsid w:val="00D927FD"/>
    <w:rsid w:val="00D92D35"/>
    <w:rsid w:val="00D92D36"/>
    <w:rsid w:val="00D92E26"/>
    <w:rsid w:val="00D92E91"/>
    <w:rsid w:val="00D92F13"/>
    <w:rsid w:val="00D92FC9"/>
    <w:rsid w:val="00D93002"/>
    <w:rsid w:val="00D9300F"/>
    <w:rsid w:val="00D930F1"/>
    <w:rsid w:val="00D933C2"/>
    <w:rsid w:val="00D934B6"/>
    <w:rsid w:val="00D935D8"/>
    <w:rsid w:val="00D936AC"/>
    <w:rsid w:val="00D93726"/>
    <w:rsid w:val="00D937E2"/>
    <w:rsid w:val="00D9392E"/>
    <w:rsid w:val="00D939B6"/>
    <w:rsid w:val="00D93A6D"/>
    <w:rsid w:val="00D93AA0"/>
    <w:rsid w:val="00D93AEC"/>
    <w:rsid w:val="00D93D0E"/>
    <w:rsid w:val="00D93D48"/>
    <w:rsid w:val="00D93F13"/>
    <w:rsid w:val="00D9413F"/>
    <w:rsid w:val="00D941C0"/>
    <w:rsid w:val="00D942E2"/>
    <w:rsid w:val="00D94338"/>
    <w:rsid w:val="00D943C8"/>
    <w:rsid w:val="00D94478"/>
    <w:rsid w:val="00D945D9"/>
    <w:rsid w:val="00D94949"/>
    <w:rsid w:val="00D94A97"/>
    <w:rsid w:val="00D94B87"/>
    <w:rsid w:val="00D94C6C"/>
    <w:rsid w:val="00D94CB9"/>
    <w:rsid w:val="00D94D8E"/>
    <w:rsid w:val="00D94DA8"/>
    <w:rsid w:val="00D9510D"/>
    <w:rsid w:val="00D9536E"/>
    <w:rsid w:val="00D954A1"/>
    <w:rsid w:val="00D95516"/>
    <w:rsid w:val="00D955C4"/>
    <w:rsid w:val="00D9597B"/>
    <w:rsid w:val="00D959E3"/>
    <w:rsid w:val="00D95B56"/>
    <w:rsid w:val="00D95BE4"/>
    <w:rsid w:val="00D95C1F"/>
    <w:rsid w:val="00D95EC8"/>
    <w:rsid w:val="00D95EFC"/>
    <w:rsid w:val="00D96068"/>
    <w:rsid w:val="00D9612B"/>
    <w:rsid w:val="00D962F7"/>
    <w:rsid w:val="00D963B7"/>
    <w:rsid w:val="00D966BD"/>
    <w:rsid w:val="00D96987"/>
    <w:rsid w:val="00D969AD"/>
    <w:rsid w:val="00D96A87"/>
    <w:rsid w:val="00D96B07"/>
    <w:rsid w:val="00D96B31"/>
    <w:rsid w:val="00D96CE6"/>
    <w:rsid w:val="00D96D13"/>
    <w:rsid w:val="00D96F5E"/>
    <w:rsid w:val="00D96F7F"/>
    <w:rsid w:val="00D96FAF"/>
    <w:rsid w:val="00D970E0"/>
    <w:rsid w:val="00D9713D"/>
    <w:rsid w:val="00D97487"/>
    <w:rsid w:val="00D974EF"/>
    <w:rsid w:val="00D9753B"/>
    <w:rsid w:val="00D9759C"/>
    <w:rsid w:val="00D975CA"/>
    <w:rsid w:val="00D975FB"/>
    <w:rsid w:val="00D977E1"/>
    <w:rsid w:val="00D97C18"/>
    <w:rsid w:val="00D97C98"/>
    <w:rsid w:val="00DA001E"/>
    <w:rsid w:val="00DA003B"/>
    <w:rsid w:val="00DA02A7"/>
    <w:rsid w:val="00DA035B"/>
    <w:rsid w:val="00DA043D"/>
    <w:rsid w:val="00DA04E7"/>
    <w:rsid w:val="00DA083D"/>
    <w:rsid w:val="00DA09BF"/>
    <w:rsid w:val="00DA0B71"/>
    <w:rsid w:val="00DA0BA6"/>
    <w:rsid w:val="00DA0CC3"/>
    <w:rsid w:val="00DA0CD8"/>
    <w:rsid w:val="00DA0E51"/>
    <w:rsid w:val="00DA11AF"/>
    <w:rsid w:val="00DA1334"/>
    <w:rsid w:val="00DA1366"/>
    <w:rsid w:val="00DA159B"/>
    <w:rsid w:val="00DA1788"/>
    <w:rsid w:val="00DA182F"/>
    <w:rsid w:val="00DA1978"/>
    <w:rsid w:val="00DA1A4F"/>
    <w:rsid w:val="00DA1B02"/>
    <w:rsid w:val="00DA1E08"/>
    <w:rsid w:val="00DA1E35"/>
    <w:rsid w:val="00DA20BF"/>
    <w:rsid w:val="00DA2102"/>
    <w:rsid w:val="00DA212B"/>
    <w:rsid w:val="00DA21E5"/>
    <w:rsid w:val="00DA2211"/>
    <w:rsid w:val="00DA2249"/>
    <w:rsid w:val="00DA23E4"/>
    <w:rsid w:val="00DA2876"/>
    <w:rsid w:val="00DA289F"/>
    <w:rsid w:val="00DA2A5E"/>
    <w:rsid w:val="00DA2A8A"/>
    <w:rsid w:val="00DA2F5A"/>
    <w:rsid w:val="00DA2FBA"/>
    <w:rsid w:val="00DA2FD2"/>
    <w:rsid w:val="00DA30AD"/>
    <w:rsid w:val="00DA30E6"/>
    <w:rsid w:val="00DA31F5"/>
    <w:rsid w:val="00DA34CD"/>
    <w:rsid w:val="00DA34F1"/>
    <w:rsid w:val="00DA3593"/>
    <w:rsid w:val="00DA37B2"/>
    <w:rsid w:val="00DA38BA"/>
    <w:rsid w:val="00DA3B3F"/>
    <w:rsid w:val="00DA3D70"/>
    <w:rsid w:val="00DA3DAA"/>
    <w:rsid w:val="00DA3E8D"/>
    <w:rsid w:val="00DA3FD4"/>
    <w:rsid w:val="00DA3FD7"/>
    <w:rsid w:val="00DA4192"/>
    <w:rsid w:val="00DA41E2"/>
    <w:rsid w:val="00DA420E"/>
    <w:rsid w:val="00DA43B8"/>
    <w:rsid w:val="00DA4408"/>
    <w:rsid w:val="00DA44D7"/>
    <w:rsid w:val="00DA45DA"/>
    <w:rsid w:val="00DA4797"/>
    <w:rsid w:val="00DA480C"/>
    <w:rsid w:val="00DA4928"/>
    <w:rsid w:val="00DA498B"/>
    <w:rsid w:val="00DA4A85"/>
    <w:rsid w:val="00DA4AF2"/>
    <w:rsid w:val="00DA4B52"/>
    <w:rsid w:val="00DA4C9E"/>
    <w:rsid w:val="00DA4E27"/>
    <w:rsid w:val="00DA4F2A"/>
    <w:rsid w:val="00DA502E"/>
    <w:rsid w:val="00DA521E"/>
    <w:rsid w:val="00DA53DF"/>
    <w:rsid w:val="00DA5602"/>
    <w:rsid w:val="00DA570F"/>
    <w:rsid w:val="00DA57FE"/>
    <w:rsid w:val="00DA5C3E"/>
    <w:rsid w:val="00DA5E9F"/>
    <w:rsid w:val="00DA5EDA"/>
    <w:rsid w:val="00DA5F59"/>
    <w:rsid w:val="00DA6154"/>
    <w:rsid w:val="00DA628F"/>
    <w:rsid w:val="00DA62EE"/>
    <w:rsid w:val="00DA648F"/>
    <w:rsid w:val="00DA67E6"/>
    <w:rsid w:val="00DA6836"/>
    <w:rsid w:val="00DA6A31"/>
    <w:rsid w:val="00DA6A43"/>
    <w:rsid w:val="00DA6B2E"/>
    <w:rsid w:val="00DA6BE3"/>
    <w:rsid w:val="00DA7032"/>
    <w:rsid w:val="00DA710F"/>
    <w:rsid w:val="00DA71F1"/>
    <w:rsid w:val="00DA7231"/>
    <w:rsid w:val="00DA7258"/>
    <w:rsid w:val="00DA735E"/>
    <w:rsid w:val="00DA735F"/>
    <w:rsid w:val="00DA7361"/>
    <w:rsid w:val="00DA736C"/>
    <w:rsid w:val="00DA7423"/>
    <w:rsid w:val="00DA7465"/>
    <w:rsid w:val="00DA769E"/>
    <w:rsid w:val="00DA7924"/>
    <w:rsid w:val="00DA795B"/>
    <w:rsid w:val="00DA7A46"/>
    <w:rsid w:val="00DA7B4E"/>
    <w:rsid w:val="00DA7C12"/>
    <w:rsid w:val="00DA7C9E"/>
    <w:rsid w:val="00DA7DEE"/>
    <w:rsid w:val="00DA7E86"/>
    <w:rsid w:val="00DA7FA2"/>
    <w:rsid w:val="00DB00CD"/>
    <w:rsid w:val="00DB016C"/>
    <w:rsid w:val="00DB0383"/>
    <w:rsid w:val="00DB0468"/>
    <w:rsid w:val="00DB0516"/>
    <w:rsid w:val="00DB05CD"/>
    <w:rsid w:val="00DB063A"/>
    <w:rsid w:val="00DB06EF"/>
    <w:rsid w:val="00DB06F6"/>
    <w:rsid w:val="00DB079A"/>
    <w:rsid w:val="00DB0A36"/>
    <w:rsid w:val="00DB0B17"/>
    <w:rsid w:val="00DB0CBE"/>
    <w:rsid w:val="00DB0D10"/>
    <w:rsid w:val="00DB0D5A"/>
    <w:rsid w:val="00DB0D73"/>
    <w:rsid w:val="00DB0D8A"/>
    <w:rsid w:val="00DB13AD"/>
    <w:rsid w:val="00DB13CD"/>
    <w:rsid w:val="00DB1413"/>
    <w:rsid w:val="00DB1489"/>
    <w:rsid w:val="00DB151E"/>
    <w:rsid w:val="00DB16EB"/>
    <w:rsid w:val="00DB189B"/>
    <w:rsid w:val="00DB193D"/>
    <w:rsid w:val="00DB19A3"/>
    <w:rsid w:val="00DB19CD"/>
    <w:rsid w:val="00DB1C80"/>
    <w:rsid w:val="00DB1DF4"/>
    <w:rsid w:val="00DB201F"/>
    <w:rsid w:val="00DB20A0"/>
    <w:rsid w:val="00DB20BC"/>
    <w:rsid w:val="00DB2222"/>
    <w:rsid w:val="00DB232B"/>
    <w:rsid w:val="00DB239A"/>
    <w:rsid w:val="00DB2434"/>
    <w:rsid w:val="00DB24D7"/>
    <w:rsid w:val="00DB25F9"/>
    <w:rsid w:val="00DB266E"/>
    <w:rsid w:val="00DB2793"/>
    <w:rsid w:val="00DB2806"/>
    <w:rsid w:val="00DB288E"/>
    <w:rsid w:val="00DB29F6"/>
    <w:rsid w:val="00DB2A30"/>
    <w:rsid w:val="00DB2B63"/>
    <w:rsid w:val="00DB2C24"/>
    <w:rsid w:val="00DB2C43"/>
    <w:rsid w:val="00DB2E57"/>
    <w:rsid w:val="00DB2EF7"/>
    <w:rsid w:val="00DB2FDF"/>
    <w:rsid w:val="00DB33FB"/>
    <w:rsid w:val="00DB34F4"/>
    <w:rsid w:val="00DB3794"/>
    <w:rsid w:val="00DB3834"/>
    <w:rsid w:val="00DB3905"/>
    <w:rsid w:val="00DB3937"/>
    <w:rsid w:val="00DB3942"/>
    <w:rsid w:val="00DB3A28"/>
    <w:rsid w:val="00DB3AAB"/>
    <w:rsid w:val="00DB3BC2"/>
    <w:rsid w:val="00DB3C61"/>
    <w:rsid w:val="00DB3E90"/>
    <w:rsid w:val="00DB3F14"/>
    <w:rsid w:val="00DB3F50"/>
    <w:rsid w:val="00DB4017"/>
    <w:rsid w:val="00DB40A4"/>
    <w:rsid w:val="00DB417D"/>
    <w:rsid w:val="00DB434E"/>
    <w:rsid w:val="00DB467D"/>
    <w:rsid w:val="00DB479A"/>
    <w:rsid w:val="00DB4AD0"/>
    <w:rsid w:val="00DB4B2A"/>
    <w:rsid w:val="00DB4B6B"/>
    <w:rsid w:val="00DB4BC2"/>
    <w:rsid w:val="00DB4CD3"/>
    <w:rsid w:val="00DB4CFE"/>
    <w:rsid w:val="00DB4DD7"/>
    <w:rsid w:val="00DB4F59"/>
    <w:rsid w:val="00DB4F79"/>
    <w:rsid w:val="00DB5056"/>
    <w:rsid w:val="00DB50BA"/>
    <w:rsid w:val="00DB5439"/>
    <w:rsid w:val="00DB5444"/>
    <w:rsid w:val="00DB547F"/>
    <w:rsid w:val="00DB5496"/>
    <w:rsid w:val="00DB5899"/>
    <w:rsid w:val="00DB59FA"/>
    <w:rsid w:val="00DB5A75"/>
    <w:rsid w:val="00DB5BD0"/>
    <w:rsid w:val="00DB5BFF"/>
    <w:rsid w:val="00DB5C7F"/>
    <w:rsid w:val="00DB5CF0"/>
    <w:rsid w:val="00DB5E4C"/>
    <w:rsid w:val="00DB5EEF"/>
    <w:rsid w:val="00DB5F5C"/>
    <w:rsid w:val="00DB5FF8"/>
    <w:rsid w:val="00DB6019"/>
    <w:rsid w:val="00DB620B"/>
    <w:rsid w:val="00DB6256"/>
    <w:rsid w:val="00DB63C6"/>
    <w:rsid w:val="00DB63E3"/>
    <w:rsid w:val="00DB6476"/>
    <w:rsid w:val="00DB66E9"/>
    <w:rsid w:val="00DB6879"/>
    <w:rsid w:val="00DB6B7B"/>
    <w:rsid w:val="00DB705C"/>
    <w:rsid w:val="00DB70ED"/>
    <w:rsid w:val="00DB7168"/>
    <w:rsid w:val="00DB7320"/>
    <w:rsid w:val="00DB73E6"/>
    <w:rsid w:val="00DB73FC"/>
    <w:rsid w:val="00DB743C"/>
    <w:rsid w:val="00DB74AF"/>
    <w:rsid w:val="00DB7625"/>
    <w:rsid w:val="00DB76D9"/>
    <w:rsid w:val="00DB7B9B"/>
    <w:rsid w:val="00DB7BAC"/>
    <w:rsid w:val="00DB7CC6"/>
    <w:rsid w:val="00DB7CE9"/>
    <w:rsid w:val="00DB7D18"/>
    <w:rsid w:val="00DB7D1F"/>
    <w:rsid w:val="00DB7EBA"/>
    <w:rsid w:val="00DB7FF2"/>
    <w:rsid w:val="00DC0024"/>
    <w:rsid w:val="00DC014E"/>
    <w:rsid w:val="00DC028E"/>
    <w:rsid w:val="00DC045F"/>
    <w:rsid w:val="00DC0548"/>
    <w:rsid w:val="00DC06F0"/>
    <w:rsid w:val="00DC06F5"/>
    <w:rsid w:val="00DC081B"/>
    <w:rsid w:val="00DC0927"/>
    <w:rsid w:val="00DC0A84"/>
    <w:rsid w:val="00DC0AB2"/>
    <w:rsid w:val="00DC10FB"/>
    <w:rsid w:val="00DC115F"/>
    <w:rsid w:val="00DC11BB"/>
    <w:rsid w:val="00DC12AE"/>
    <w:rsid w:val="00DC14DE"/>
    <w:rsid w:val="00DC1557"/>
    <w:rsid w:val="00DC186E"/>
    <w:rsid w:val="00DC18FB"/>
    <w:rsid w:val="00DC1932"/>
    <w:rsid w:val="00DC1A36"/>
    <w:rsid w:val="00DC2117"/>
    <w:rsid w:val="00DC2439"/>
    <w:rsid w:val="00DC25D5"/>
    <w:rsid w:val="00DC2615"/>
    <w:rsid w:val="00DC26E9"/>
    <w:rsid w:val="00DC26EE"/>
    <w:rsid w:val="00DC2792"/>
    <w:rsid w:val="00DC2819"/>
    <w:rsid w:val="00DC28D0"/>
    <w:rsid w:val="00DC2976"/>
    <w:rsid w:val="00DC2B47"/>
    <w:rsid w:val="00DC2BBE"/>
    <w:rsid w:val="00DC2C30"/>
    <w:rsid w:val="00DC2CD6"/>
    <w:rsid w:val="00DC2CE0"/>
    <w:rsid w:val="00DC2CE8"/>
    <w:rsid w:val="00DC2D33"/>
    <w:rsid w:val="00DC2F3C"/>
    <w:rsid w:val="00DC2FCF"/>
    <w:rsid w:val="00DC30FE"/>
    <w:rsid w:val="00DC32AA"/>
    <w:rsid w:val="00DC32FA"/>
    <w:rsid w:val="00DC3411"/>
    <w:rsid w:val="00DC34DC"/>
    <w:rsid w:val="00DC363E"/>
    <w:rsid w:val="00DC36D8"/>
    <w:rsid w:val="00DC3800"/>
    <w:rsid w:val="00DC39ED"/>
    <w:rsid w:val="00DC3ABA"/>
    <w:rsid w:val="00DC3B44"/>
    <w:rsid w:val="00DC3BA5"/>
    <w:rsid w:val="00DC3D0A"/>
    <w:rsid w:val="00DC3E34"/>
    <w:rsid w:val="00DC405F"/>
    <w:rsid w:val="00DC41AC"/>
    <w:rsid w:val="00DC41E2"/>
    <w:rsid w:val="00DC4244"/>
    <w:rsid w:val="00DC434C"/>
    <w:rsid w:val="00DC4655"/>
    <w:rsid w:val="00DC46A4"/>
    <w:rsid w:val="00DC4712"/>
    <w:rsid w:val="00DC478A"/>
    <w:rsid w:val="00DC49A1"/>
    <w:rsid w:val="00DC4D45"/>
    <w:rsid w:val="00DC4E68"/>
    <w:rsid w:val="00DC4E80"/>
    <w:rsid w:val="00DC4E92"/>
    <w:rsid w:val="00DC4F88"/>
    <w:rsid w:val="00DC5049"/>
    <w:rsid w:val="00DC5056"/>
    <w:rsid w:val="00DC517A"/>
    <w:rsid w:val="00DC5200"/>
    <w:rsid w:val="00DC531B"/>
    <w:rsid w:val="00DC5559"/>
    <w:rsid w:val="00DC5605"/>
    <w:rsid w:val="00DC56A6"/>
    <w:rsid w:val="00DC587E"/>
    <w:rsid w:val="00DC5937"/>
    <w:rsid w:val="00DC5A7F"/>
    <w:rsid w:val="00DC5B6F"/>
    <w:rsid w:val="00DC5DB9"/>
    <w:rsid w:val="00DC5DCD"/>
    <w:rsid w:val="00DC5ED8"/>
    <w:rsid w:val="00DC6155"/>
    <w:rsid w:val="00DC61D5"/>
    <w:rsid w:val="00DC62AB"/>
    <w:rsid w:val="00DC62DD"/>
    <w:rsid w:val="00DC6330"/>
    <w:rsid w:val="00DC64F2"/>
    <w:rsid w:val="00DC6623"/>
    <w:rsid w:val="00DC68ED"/>
    <w:rsid w:val="00DC69EA"/>
    <w:rsid w:val="00DC6A79"/>
    <w:rsid w:val="00DC6B04"/>
    <w:rsid w:val="00DC6B11"/>
    <w:rsid w:val="00DC6D93"/>
    <w:rsid w:val="00DC70B1"/>
    <w:rsid w:val="00DC7388"/>
    <w:rsid w:val="00DC73D8"/>
    <w:rsid w:val="00DC74BB"/>
    <w:rsid w:val="00DC7552"/>
    <w:rsid w:val="00DC7634"/>
    <w:rsid w:val="00DC76D1"/>
    <w:rsid w:val="00DC778B"/>
    <w:rsid w:val="00DC78A2"/>
    <w:rsid w:val="00DC791A"/>
    <w:rsid w:val="00DC7A94"/>
    <w:rsid w:val="00DD0058"/>
    <w:rsid w:val="00DD00A7"/>
    <w:rsid w:val="00DD00F3"/>
    <w:rsid w:val="00DD0130"/>
    <w:rsid w:val="00DD0356"/>
    <w:rsid w:val="00DD038F"/>
    <w:rsid w:val="00DD0602"/>
    <w:rsid w:val="00DD0741"/>
    <w:rsid w:val="00DD0896"/>
    <w:rsid w:val="00DD0919"/>
    <w:rsid w:val="00DD0B78"/>
    <w:rsid w:val="00DD0B8D"/>
    <w:rsid w:val="00DD0BD7"/>
    <w:rsid w:val="00DD0C3A"/>
    <w:rsid w:val="00DD0CA5"/>
    <w:rsid w:val="00DD0F10"/>
    <w:rsid w:val="00DD1038"/>
    <w:rsid w:val="00DD1052"/>
    <w:rsid w:val="00DD1155"/>
    <w:rsid w:val="00DD115F"/>
    <w:rsid w:val="00DD127A"/>
    <w:rsid w:val="00DD132B"/>
    <w:rsid w:val="00DD14B0"/>
    <w:rsid w:val="00DD1651"/>
    <w:rsid w:val="00DD17EE"/>
    <w:rsid w:val="00DD17FC"/>
    <w:rsid w:val="00DD1886"/>
    <w:rsid w:val="00DD18CD"/>
    <w:rsid w:val="00DD1942"/>
    <w:rsid w:val="00DD1992"/>
    <w:rsid w:val="00DD1A07"/>
    <w:rsid w:val="00DD1A5A"/>
    <w:rsid w:val="00DD1CC1"/>
    <w:rsid w:val="00DD20CC"/>
    <w:rsid w:val="00DD2177"/>
    <w:rsid w:val="00DD24B7"/>
    <w:rsid w:val="00DD24C6"/>
    <w:rsid w:val="00DD2675"/>
    <w:rsid w:val="00DD2739"/>
    <w:rsid w:val="00DD2AFD"/>
    <w:rsid w:val="00DD2CCB"/>
    <w:rsid w:val="00DD2F02"/>
    <w:rsid w:val="00DD30D2"/>
    <w:rsid w:val="00DD3431"/>
    <w:rsid w:val="00DD3488"/>
    <w:rsid w:val="00DD36BE"/>
    <w:rsid w:val="00DD3992"/>
    <w:rsid w:val="00DD3B5C"/>
    <w:rsid w:val="00DD3D09"/>
    <w:rsid w:val="00DD3E50"/>
    <w:rsid w:val="00DD3E57"/>
    <w:rsid w:val="00DD3EAC"/>
    <w:rsid w:val="00DD40AE"/>
    <w:rsid w:val="00DD4126"/>
    <w:rsid w:val="00DD4249"/>
    <w:rsid w:val="00DD42E6"/>
    <w:rsid w:val="00DD439D"/>
    <w:rsid w:val="00DD456A"/>
    <w:rsid w:val="00DD4643"/>
    <w:rsid w:val="00DD464C"/>
    <w:rsid w:val="00DD4702"/>
    <w:rsid w:val="00DD4731"/>
    <w:rsid w:val="00DD4776"/>
    <w:rsid w:val="00DD4842"/>
    <w:rsid w:val="00DD4A15"/>
    <w:rsid w:val="00DD4A22"/>
    <w:rsid w:val="00DD4A4A"/>
    <w:rsid w:val="00DD4ABD"/>
    <w:rsid w:val="00DD4B1D"/>
    <w:rsid w:val="00DD4B26"/>
    <w:rsid w:val="00DD4B73"/>
    <w:rsid w:val="00DD4BE7"/>
    <w:rsid w:val="00DD4C72"/>
    <w:rsid w:val="00DD4DB2"/>
    <w:rsid w:val="00DD4DD1"/>
    <w:rsid w:val="00DD4DF3"/>
    <w:rsid w:val="00DD4E2A"/>
    <w:rsid w:val="00DD4E56"/>
    <w:rsid w:val="00DD4EC8"/>
    <w:rsid w:val="00DD5146"/>
    <w:rsid w:val="00DD520D"/>
    <w:rsid w:val="00DD5362"/>
    <w:rsid w:val="00DD5424"/>
    <w:rsid w:val="00DD547B"/>
    <w:rsid w:val="00DD5635"/>
    <w:rsid w:val="00DD56BC"/>
    <w:rsid w:val="00DD57F7"/>
    <w:rsid w:val="00DD589A"/>
    <w:rsid w:val="00DD58E4"/>
    <w:rsid w:val="00DD5B45"/>
    <w:rsid w:val="00DD5B76"/>
    <w:rsid w:val="00DD5C4E"/>
    <w:rsid w:val="00DD5D1D"/>
    <w:rsid w:val="00DD5E7E"/>
    <w:rsid w:val="00DD5F47"/>
    <w:rsid w:val="00DD6137"/>
    <w:rsid w:val="00DD617E"/>
    <w:rsid w:val="00DD6189"/>
    <w:rsid w:val="00DD64EA"/>
    <w:rsid w:val="00DD660F"/>
    <w:rsid w:val="00DD677A"/>
    <w:rsid w:val="00DD6811"/>
    <w:rsid w:val="00DD682D"/>
    <w:rsid w:val="00DD6904"/>
    <w:rsid w:val="00DD6A29"/>
    <w:rsid w:val="00DD6AAE"/>
    <w:rsid w:val="00DD6BD0"/>
    <w:rsid w:val="00DD6D9B"/>
    <w:rsid w:val="00DD6DBB"/>
    <w:rsid w:val="00DD6EFC"/>
    <w:rsid w:val="00DD702C"/>
    <w:rsid w:val="00DD7127"/>
    <w:rsid w:val="00DD719E"/>
    <w:rsid w:val="00DD7213"/>
    <w:rsid w:val="00DD7363"/>
    <w:rsid w:val="00DD738A"/>
    <w:rsid w:val="00DD738F"/>
    <w:rsid w:val="00DD743E"/>
    <w:rsid w:val="00DD7451"/>
    <w:rsid w:val="00DD7521"/>
    <w:rsid w:val="00DD7566"/>
    <w:rsid w:val="00DD77A8"/>
    <w:rsid w:val="00DD78FD"/>
    <w:rsid w:val="00DD79C3"/>
    <w:rsid w:val="00DD79C4"/>
    <w:rsid w:val="00DD7A01"/>
    <w:rsid w:val="00DD7D3D"/>
    <w:rsid w:val="00DD7EB9"/>
    <w:rsid w:val="00DD7EF9"/>
    <w:rsid w:val="00DE0000"/>
    <w:rsid w:val="00DE0030"/>
    <w:rsid w:val="00DE0135"/>
    <w:rsid w:val="00DE0233"/>
    <w:rsid w:val="00DE03AE"/>
    <w:rsid w:val="00DE0505"/>
    <w:rsid w:val="00DE05CB"/>
    <w:rsid w:val="00DE06D3"/>
    <w:rsid w:val="00DE0B22"/>
    <w:rsid w:val="00DE0CC1"/>
    <w:rsid w:val="00DE0D8C"/>
    <w:rsid w:val="00DE0E38"/>
    <w:rsid w:val="00DE0E6D"/>
    <w:rsid w:val="00DE108E"/>
    <w:rsid w:val="00DE1309"/>
    <w:rsid w:val="00DE13A2"/>
    <w:rsid w:val="00DE14B2"/>
    <w:rsid w:val="00DE1596"/>
    <w:rsid w:val="00DE15C6"/>
    <w:rsid w:val="00DE1612"/>
    <w:rsid w:val="00DE1617"/>
    <w:rsid w:val="00DE1736"/>
    <w:rsid w:val="00DE17A6"/>
    <w:rsid w:val="00DE1902"/>
    <w:rsid w:val="00DE1960"/>
    <w:rsid w:val="00DE198B"/>
    <w:rsid w:val="00DE1C08"/>
    <w:rsid w:val="00DE1D95"/>
    <w:rsid w:val="00DE1EF0"/>
    <w:rsid w:val="00DE1F2A"/>
    <w:rsid w:val="00DE1FE2"/>
    <w:rsid w:val="00DE20F3"/>
    <w:rsid w:val="00DE2267"/>
    <w:rsid w:val="00DE2522"/>
    <w:rsid w:val="00DE25C6"/>
    <w:rsid w:val="00DE27B2"/>
    <w:rsid w:val="00DE289B"/>
    <w:rsid w:val="00DE28B0"/>
    <w:rsid w:val="00DE2970"/>
    <w:rsid w:val="00DE2A1C"/>
    <w:rsid w:val="00DE2A64"/>
    <w:rsid w:val="00DE2C36"/>
    <w:rsid w:val="00DE2D15"/>
    <w:rsid w:val="00DE2E33"/>
    <w:rsid w:val="00DE2F51"/>
    <w:rsid w:val="00DE303F"/>
    <w:rsid w:val="00DE3050"/>
    <w:rsid w:val="00DE305B"/>
    <w:rsid w:val="00DE3173"/>
    <w:rsid w:val="00DE31A2"/>
    <w:rsid w:val="00DE3313"/>
    <w:rsid w:val="00DE335A"/>
    <w:rsid w:val="00DE338E"/>
    <w:rsid w:val="00DE33C1"/>
    <w:rsid w:val="00DE3515"/>
    <w:rsid w:val="00DE355B"/>
    <w:rsid w:val="00DE35F2"/>
    <w:rsid w:val="00DE37CD"/>
    <w:rsid w:val="00DE3A8A"/>
    <w:rsid w:val="00DE3C56"/>
    <w:rsid w:val="00DE43AE"/>
    <w:rsid w:val="00DE4648"/>
    <w:rsid w:val="00DE469D"/>
    <w:rsid w:val="00DE47E4"/>
    <w:rsid w:val="00DE48C6"/>
    <w:rsid w:val="00DE493F"/>
    <w:rsid w:val="00DE49DF"/>
    <w:rsid w:val="00DE4B48"/>
    <w:rsid w:val="00DE4ECA"/>
    <w:rsid w:val="00DE5070"/>
    <w:rsid w:val="00DE5159"/>
    <w:rsid w:val="00DE5183"/>
    <w:rsid w:val="00DE52F7"/>
    <w:rsid w:val="00DE5365"/>
    <w:rsid w:val="00DE54D2"/>
    <w:rsid w:val="00DE5637"/>
    <w:rsid w:val="00DE56CD"/>
    <w:rsid w:val="00DE57E4"/>
    <w:rsid w:val="00DE58AC"/>
    <w:rsid w:val="00DE5999"/>
    <w:rsid w:val="00DE59FB"/>
    <w:rsid w:val="00DE5B28"/>
    <w:rsid w:val="00DE5DAC"/>
    <w:rsid w:val="00DE5E2C"/>
    <w:rsid w:val="00DE5E59"/>
    <w:rsid w:val="00DE5EBC"/>
    <w:rsid w:val="00DE5F1F"/>
    <w:rsid w:val="00DE602E"/>
    <w:rsid w:val="00DE6035"/>
    <w:rsid w:val="00DE61A2"/>
    <w:rsid w:val="00DE6203"/>
    <w:rsid w:val="00DE6232"/>
    <w:rsid w:val="00DE63A5"/>
    <w:rsid w:val="00DE63B0"/>
    <w:rsid w:val="00DE683D"/>
    <w:rsid w:val="00DE68FC"/>
    <w:rsid w:val="00DE6AFE"/>
    <w:rsid w:val="00DE6B8C"/>
    <w:rsid w:val="00DE6C67"/>
    <w:rsid w:val="00DE6CDE"/>
    <w:rsid w:val="00DE6DED"/>
    <w:rsid w:val="00DE6E42"/>
    <w:rsid w:val="00DE6F88"/>
    <w:rsid w:val="00DE7083"/>
    <w:rsid w:val="00DE747D"/>
    <w:rsid w:val="00DE76B4"/>
    <w:rsid w:val="00DE7910"/>
    <w:rsid w:val="00DE7AF1"/>
    <w:rsid w:val="00DE7BB9"/>
    <w:rsid w:val="00DE7BEA"/>
    <w:rsid w:val="00DE7BFC"/>
    <w:rsid w:val="00DE7C64"/>
    <w:rsid w:val="00DE7CE2"/>
    <w:rsid w:val="00DE7D2F"/>
    <w:rsid w:val="00DF005E"/>
    <w:rsid w:val="00DF0094"/>
    <w:rsid w:val="00DF027A"/>
    <w:rsid w:val="00DF0299"/>
    <w:rsid w:val="00DF04B4"/>
    <w:rsid w:val="00DF050F"/>
    <w:rsid w:val="00DF0541"/>
    <w:rsid w:val="00DF0940"/>
    <w:rsid w:val="00DF0B98"/>
    <w:rsid w:val="00DF0BB7"/>
    <w:rsid w:val="00DF0C58"/>
    <w:rsid w:val="00DF0DBE"/>
    <w:rsid w:val="00DF0DFD"/>
    <w:rsid w:val="00DF0F5F"/>
    <w:rsid w:val="00DF1063"/>
    <w:rsid w:val="00DF112E"/>
    <w:rsid w:val="00DF1308"/>
    <w:rsid w:val="00DF1368"/>
    <w:rsid w:val="00DF1399"/>
    <w:rsid w:val="00DF141A"/>
    <w:rsid w:val="00DF1526"/>
    <w:rsid w:val="00DF1690"/>
    <w:rsid w:val="00DF16C3"/>
    <w:rsid w:val="00DF18B1"/>
    <w:rsid w:val="00DF198E"/>
    <w:rsid w:val="00DF1F7F"/>
    <w:rsid w:val="00DF1FB2"/>
    <w:rsid w:val="00DF208D"/>
    <w:rsid w:val="00DF20CC"/>
    <w:rsid w:val="00DF225A"/>
    <w:rsid w:val="00DF24AD"/>
    <w:rsid w:val="00DF251A"/>
    <w:rsid w:val="00DF27A3"/>
    <w:rsid w:val="00DF2986"/>
    <w:rsid w:val="00DF2990"/>
    <w:rsid w:val="00DF29E5"/>
    <w:rsid w:val="00DF2A14"/>
    <w:rsid w:val="00DF2C43"/>
    <w:rsid w:val="00DF2C87"/>
    <w:rsid w:val="00DF2EFC"/>
    <w:rsid w:val="00DF3278"/>
    <w:rsid w:val="00DF3364"/>
    <w:rsid w:val="00DF347A"/>
    <w:rsid w:val="00DF369D"/>
    <w:rsid w:val="00DF3726"/>
    <w:rsid w:val="00DF37D3"/>
    <w:rsid w:val="00DF388D"/>
    <w:rsid w:val="00DF3936"/>
    <w:rsid w:val="00DF3AE0"/>
    <w:rsid w:val="00DF3BE6"/>
    <w:rsid w:val="00DF3DA5"/>
    <w:rsid w:val="00DF4117"/>
    <w:rsid w:val="00DF42DB"/>
    <w:rsid w:val="00DF43BC"/>
    <w:rsid w:val="00DF44F0"/>
    <w:rsid w:val="00DF496F"/>
    <w:rsid w:val="00DF4B55"/>
    <w:rsid w:val="00DF4BB2"/>
    <w:rsid w:val="00DF4DD8"/>
    <w:rsid w:val="00DF4DED"/>
    <w:rsid w:val="00DF5173"/>
    <w:rsid w:val="00DF5271"/>
    <w:rsid w:val="00DF53CC"/>
    <w:rsid w:val="00DF55F3"/>
    <w:rsid w:val="00DF565A"/>
    <w:rsid w:val="00DF5671"/>
    <w:rsid w:val="00DF5675"/>
    <w:rsid w:val="00DF576F"/>
    <w:rsid w:val="00DF5A99"/>
    <w:rsid w:val="00DF5B25"/>
    <w:rsid w:val="00DF5B5F"/>
    <w:rsid w:val="00DF5C70"/>
    <w:rsid w:val="00DF5D7C"/>
    <w:rsid w:val="00DF5F7C"/>
    <w:rsid w:val="00DF6017"/>
    <w:rsid w:val="00DF6148"/>
    <w:rsid w:val="00DF61A3"/>
    <w:rsid w:val="00DF6327"/>
    <w:rsid w:val="00DF642C"/>
    <w:rsid w:val="00DF649A"/>
    <w:rsid w:val="00DF64D6"/>
    <w:rsid w:val="00DF66A1"/>
    <w:rsid w:val="00DF69B8"/>
    <w:rsid w:val="00DF6A3F"/>
    <w:rsid w:val="00DF6B3B"/>
    <w:rsid w:val="00DF6D26"/>
    <w:rsid w:val="00DF6D8A"/>
    <w:rsid w:val="00DF6E0D"/>
    <w:rsid w:val="00DF6E20"/>
    <w:rsid w:val="00DF6E51"/>
    <w:rsid w:val="00DF6EF5"/>
    <w:rsid w:val="00DF6F3D"/>
    <w:rsid w:val="00DF7008"/>
    <w:rsid w:val="00DF7211"/>
    <w:rsid w:val="00DF7232"/>
    <w:rsid w:val="00DF72BE"/>
    <w:rsid w:val="00DF7457"/>
    <w:rsid w:val="00DF7614"/>
    <w:rsid w:val="00DF779B"/>
    <w:rsid w:val="00DF787C"/>
    <w:rsid w:val="00DF796E"/>
    <w:rsid w:val="00DF7E51"/>
    <w:rsid w:val="00DF7ED9"/>
    <w:rsid w:val="00E0001E"/>
    <w:rsid w:val="00E000C2"/>
    <w:rsid w:val="00E00189"/>
    <w:rsid w:val="00E00292"/>
    <w:rsid w:val="00E00363"/>
    <w:rsid w:val="00E00434"/>
    <w:rsid w:val="00E005DC"/>
    <w:rsid w:val="00E006F6"/>
    <w:rsid w:val="00E00828"/>
    <w:rsid w:val="00E00933"/>
    <w:rsid w:val="00E00A42"/>
    <w:rsid w:val="00E00B32"/>
    <w:rsid w:val="00E00B71"/>
    <w:rsid w:val="00E00CCA"/>
    <w:rsid w:val="00E00E33"/>
    <w:rsid w:val="00E00F08"/>
    <w:rsid w:val="00E00F38"/>
    <w:rsid w:val="00E0117C"/>
    <w:rsid w:val="00E012C5"/>
    <w:rsid w:val="00E013C0"/>
    <w:rsid w:val="00E01422"/>
    <w:rsid w:val="00E015AC"/>
    <w:rsid w:val="00E0166B"/>
    <w:rsid w:val="00E01AB5"/>
    <w:rsid w:val="00E01B2A"/>
    <w:rsid w:val="00E01C64"/>
    <w:rsid w:val="00E01D9A"/>
    <w:rsid w:val="00E01E6F"/>
    <w:rsid w:val="00E01FE8"/>
    <w:rsid w:val="00E02059"/>
    <w:rsid w:val="00E02101"/>
    <w:rsid w:val="00E021D5"/>
    <w:rsid w:val="00E021F8"/>
    <w:rsid w:val="00E0248A"/>
    <w:rsid w:val="00E02522"/>
    <w:rsid w:val="00E02528"/>
    <w:rsid w:val="00E0256F"/>
    <w:rsid w:val="00E025D0"/>
    <w:rsid w:val="00E02853"/>
    <w:rsid w:val="00E02BB2"/>
    <w:rsid w:val="00E02CF8"/>
    <w:rsid w:val="00E02E50"/>
    <w:rsid w:val="00E0303A"/>
    <w:rsid w:val="00E03047"/>
    <w:rsid w:val="00E0305E"/>
    <w:rsid w:val="00E03470"/>
    <w:rsid w:val="00E03568"/>
    <w:rsid w:val="00E03641"/>
    <w:rsid w:val="00E0366D"/>
    <w:rsid w:val="00E03683"/>
    <w:rsid w:val="00E037A9"/>
    <w:rsid w:val="00E037D5"/>
    <w:rsid w:val="00E038AE"/>
    <w:rsid w:val="00E038E3"/>
    <w:rsid w:val="00E03A7B"/>
    <w:rsid w:val="00E03A9E"/>
    <w:rsid w:val="00E03C46"/>
    <w:rsid w:val="00E03CB5"/>
    <w:rsid w:val="00E03D0D"/>
    <w:rsid w:val="00E03DD0"/>
    <w:rsid w:val="00E04148"/>
    <w:rsid w:val="00E041C3"/>
    <w:rsid w:val="00E0434A"/>
    <w:rsid w:val="00E04455"/>
    <w:rsid w:val="00E0452D"/>
    <w:rsid w:val="00E0465F"/>
    <w:rsid w:val="00E0497F"/>
    <w:rsid w:val="00E04B27"/>
    <w:rsid w:val="00E04C0F"/>
    <w:rsid w:val="00E04C13"/>
    <w:rsid w:val="00E04E2E"/>
    <w:rsid w:val="00E04E49"/>
    <w:rsid w:val="00E04F4A"/>
    <w:rsid w:val="00E0518A"/>
    <w:rsid w:val="00E0518D"/>
    <w:rsid w:val="00E052C5"/>
    <w:rsid w:val="00E05503"/>
    <w:rsid w:val="00E0567F"/>
    <w:rsid w:val="00E056C1"/>
    <w:rsid w:val="00E056E1"/>
    <w:rsid w:val="00E0581C"/>
    <w:rsid w:val="00E05894"/>
    <w:rsid w:val="00E05958"/>
    <w:rsid w:val="00E05980"/>
    <w:rsid w:val="00E05BD6"/>
    <w:rsid w:val="00E05C29"/>
    <w:rsid w:val="00E05C82"/>
    <w:rsid w:val="00E05E77"/>
    <w:rsid w:val="00E060AE"/>
    <w:rsid w:val="00E066E7"/>
    <w:rsid w:val="00E06826"/>
    <w:rsid w:val="00E068BC"/>
    <w:rsid w:val="00E06A2E"/>
    <w:rsid w:val="00E06B9B"/>
    <w:rsid w:val="00E06BA1"/>
    <w:rsid w:val="00E07227"/>
    <w:rsid w:val="00E073D3"/>
    <w:rsid w:val="00E075D8"/>
    <w:rsid w:val="00E075D9"/>
    <w:rsid w:val="00E07687"/>
    <w:rsid w:val="00E076AE"/>
    <w:rsid w:val="00E0780D"/>
    <w:rsid w:val="00E079FC"/>
    <w:rsid w:val="00E07BDC"/>
    <w:rsid w:val="00E07D23"/>
    <w:rsid w:val="00E07EBB"/>
    <w:rsid w:val="00E07EFB"/>
    <w:rsid w:val="00E1024F"/>
    <w:rsid w:val="00E1035F"/>
    <w:rsid w:val="00E10497"/>
    <w:rsid w:val="00E105F4"/>
    <w:rsid w:val="00E1078C"/>
    <w:rsid w:val="00E1083C"/>
    <w:rsid w:val="00E10865"/>
    <w:rsid w:val="00E108DB"/>
    <w:rsid w:val="00E108EA"/>
    <w:rsid w:val="00E10B6F"/>
    <w:rsid w:val="00E10D13"/>
    <w:rsid w:val="00E10E1C"/>
    <w:rsid w:val="00E10FF0"/>
    <w:rsid w:val="00E112E7"/>
    <w:rsid w:val="00E11333"/>
    <w:rsid w:val="00E11387"/>
    <w:rsid w:val="00E11519"/>
    <w:rsid w:val="00E1185D"/>
    <w:rsid w:val="00E1198D"/>
    <w:rsid w:val="00E119FB"/>
    <w:rsid w:val="00E11A52"/>
    <w:rsid w:val="00E11B34"/>
    <w:rsid w:val="00E11B82"/>
    <w:rsid w:val="00E11BA2"/>
    <w:rsid w:val="00E11BCA"/>
    <w:rsid w:val="00E11C13"/>
    <w:rsid w:val="00E11C21"/>
    <w:rsid w:val="00E11C9B"/>
    <w:rsid w:val="00E11CB8"/>
    <w:rsid w:val="00E12042"/>
    <w:rsid w:val="00E1206C"/>
    <w:rsid w:val="00E12122"/>
    <w:rsid w:val="00E12295"/>
    <w:rsid w:val="00E122DB"/>
    <w:rsid w:val="00E1231E"/>
    <w:rsid w:val="00E1243E"/>
    <w:rsid w:val="00E12503"/>
    <w:rsid w:val="00E12871"/>
    <w:rsid w:val="00E129BB"/>
    <w:rsid w:val="00E12C3E"/>
    <w:rsid w:val="00E12E52"/>
    <w:rsid w:val="00E12E93"/>
    <w:rsid w:val="00E13034"/>
    <w:rsid w:val="00E13044"/>
    <w:rsid w:val="00E130A8"/>
    <w:rsid w:val="00E135B0"/>
    <w:rsid w:val="00E135D1"/>
    <w:rsid w:val="00E13619"/>
    <w:rsid w:val="00E13695"/>
    <w:rsid w:val="00E1370E"/>
    <w:rsid w:val="00E1382C"/>
    <w:rsid w:val="00E13918"/>
    <w:rsid w:val="00E1394F"/>
    <w:rsid w:val="00E13983"/>
    <w:rsid w:val="00E139AB"/>
    <w:rsid w:val="00E13C2C"/>
    <w:rsid w:val="00E13C68"/>
    <w:rsid w:val="00E13DCA"/>
    <w:rsid w:val="00E13EDF"/>
    <w:rsid w:val="00E13F6C"/>
    <w:rsid w:val="00E1403E"/>
    <w:rsid w:val="00E14050"/>
    <w:rsid w:val="00E1453A"/>
    <w:rsid w:val="00E14A3A"/>
    <w:rsid w:val="00E14B8F"/>
    <w:rsid w:val="00E14D22"/>
    <w:rsid w:val="00E14F36"/>
    <w:rsid w:val="00E1532D"/>
    <w:rsid w:val="00E154D9"/>
    <w:rsid w:val="00E154E3"/>
    <w:rsid w:val="00E157F6"/>
    <w:rsid w:val="00E15990"/>
    <w:rsid w:val="00E15992"/>
    <w:rsid w:val="00E15BC8"/>
    <w:rsid w:val="00E15CB1"/>
    <w:rsid w:val="00E15D10"/>
    <w:rsid w:val="00E15D42"/>
    <w:rsid w:val="00E15DB8"/>
    <w:rsid w:val="00E15F87"/>
    <w:rsid w:val="00E160CF"/>
    <w:rsid w:val="00E1614E"/>
    <w:rsid w:val="00E161E6"/>
    <w:rsid w:val="00E162D4"/>
    <w:rsid w:val="00E1634A"/>
    <w:rsid w:val="00E16492"/>
    <w:rsid w:val="00E16700"/>
    <w:rsid w:val="00E16762"/>
    <w:rsid w:val="00E1690B"/>
    <w:rsid w:val="00E169E0"/>
    <w:rsid w:val="00E16B1D"/>
    <w:rsid w:val="00E16BBD"/>
    <w:rsid w:val="00E16BD6"/>
    <w:rsid w:val="00E16D0B"/>
    <w:rsid w:val="00E16D81"/>
    <w:rsid w:val="00E16DB0"/>
    <w:rsid w:val="00E16DCC"/>
    <w:rsid w:val="00E16E96"/>
    <w:rsid w:val="00E16EBA"/>
    <w:rsid w:val="00E1729E"/>
    <w:rsid w:val="00E172FC"/>
    <w:rsid w:val="00E173CC"/>
    <w:rsid w:val="00E1741E"/>
    <w:rsid w:val="00E17482"/>
    <w:rsid w:val="00E174E6"/>
    <w:rsid w:val="00E17530"/>
    <w:rsid w:val="00E176EB"/>
    <w:rsid w:val="00E177A9"/>
    <w:rsid w:val="00E1787C"/>
    <w:rsid w:val="00E17987"/>
    <w:rsid w:val="00E17D01"/>
    <w:rsid w:val="00E17E35"/>
    <w:rsid w:val="00E17F84"/>
    <w:rsid w:val="00E20023"/>
    <w:rsid w:val="00E2018D"/>
    <w:rsid w:val="00E201C5"/>
    <w:rsid w:val="00E203AB"/>
    <w:rsid w:val="00E203F8"/>
    <w:rsid w:val="00E204CC"/>
    <w:rsid w:val="00E205D9"/>
    <w:rsid w:val="00E20627"/>
    <w:rsid w:val="00E20651"/>
    <w:rsid w:val="00E20658"/>
    <w:rsid w:val="00E20713"/>
    <w:rsid w:val="00E207B9"/>
    <w:rsid w:val="00E208EA"/>
    <w:rsid w:val="00E209C1"/>
    <w:rsid w:val="00E209F2"/>
    <w:rsid w:val="00E20A51"/>
    <w:rsid w:val="00E20AC1"/>
    <w:rsid w:val="00E20BC4"/>
    <w:rsid w:val="00E20BDB"/>
    <w:rsid w:val="00E20D5A"/>
    <w:rsid w:val="00E20F2B"/>
    <w:rsid w:val="00E2103A"/>
    <w:rsid w:val="00E213E5"/>
    <w:rsid w:val="00E216A4"/>
    <w:rsid w:val="00E216DA"/>
    <w:rsid w:val="00E2188C"/>
    <w:rsid w:val="00E2196F"/>
    <w:rsid w:val="00E21976"/>
    <w:rsid w:val="00E21AD6"/>
    <w:rsid w:val="00E21BB7"/>
    <w:rsid w:val="00E21CAF"/>
    <w:rsid w:val="00E221C3"/>
    <w:rsid w:val="00E221DF"/>
    <w:rsid w:val="00E22288"/>
    <w:rsid w:val="00E222DB"/>
    <w:rsid w:val="00E22386"/>
    <w:rsid w:val="00E2248F"/>
    <w:rsid w:val="00E2278D"/>
    <w:rsid w:val="00E2279D"/>
    <w:rsid w:val="00E22817"/>
    <w:rsid w:val="00E22BC9"/>
    <w:rsid w:val="00E22D98"/>
    <w:rsid w:val="00E22E88"/>
    <w:rsid w:val="00E22F4B"/>
    <w:rsid w:val="00E2317F"/>
    <w:rsid w:val="00E233F9"/>
    <w:rsid w:val="00E2388A"/>
    <w:rsid w:val="00E23DBD"/>
    <w:rsid w:val="00E23DD5"/>
    <w:rsid w:val="00E23E7E"/>
    <w:rsid w:val="00E23F9A"/>
    <w:rsid w:val="00E240D7"/>
    <w:rsid w:val="00E243A8"/>
    <w:rsid w:val="00E24A9E"/>
    <w:rsid w:val="00E24D7D"/>
    <w:rsid w:val="00E24DA3"/>
    <w:rsid w:val="00E24DED"/>
    <w:rsid w:val="00E24E8A"/>
    <w:rsid w:val="00E24EC1"/>
    <w:rsid w:val="00E24F39"/>
    <w:rsid w:val="00E24FA6"/>
    <w:rsid w:val="00E24FBD"/>
    <w:rsid w:val="00E2506D"/>
    <w:rsid w:val="00E250AC"/>
    <w:rsid w:val="00E250D1"/>
    <w:rsid w:val="00E2520E"/>
    <w:rsid w:val="00E25336"/>
    <w:rsid w:val="00E25483"/>
    <w:rsid w:val="00E2557E"/>
    <w:rsid w:val="00E255CA"/>
    <w:rsid w:val="00E2560C"/>
    <w:rsid w:val="00E256E8"/>
    <w:rsid w:val="00E25791"/>
    <w:rsid w:val="00E259CF"/>
    <w:rsid w:val="00E25AEF"/>
    <w:rsid w:val="00E25B45"/>
    <w:rsid w:val="00E25BCA"/>
    <w:rsid w:val="00E25BDC"/>
    <w:rsid w:val="00E25CC3"/>
    <w:rsid w:val="00E25D46"/>
    <w:rsid w:val="00E2617B"/>
    <w:rsid w:val="00E26346"/>
    <w:rsid w:val="00E263E9"/>
    <w:rsid w:val="00E2646E"/>
    <w:rsid w:val="00E26649"/>
    <w:rsid w:val="00E26770"/>
    <w:rsid w:val="00E26A0B"/>
    <w:rsid w:val="00E26AF2"/>
    <w:rsid w:val="00E26B4C"/>
    <w:rsid w:val="00E26C7D"/>
    <w:rsid w:val="00E26DBC"/>
    <w:rsid w:val="00E26E00"/>
    <w:rsid w:val="00E26EAE"/>
    <w:rsid w:val="00E26F7C"/>
    <w:rsid w:val="00E27321"/>
    <w:rsid w:val="00E273AF"/>
    <w:rsid w:val="00E2748E"/>
    <w:rsid w:val="00E274BB"/>
    <w:rsid w:val="00E2756A"/>
    <w:rsid w:val="00E27614"/>
    <w:rsid w:val="00E276A1"/>
    <w:rsid w:val="00E276FB"/>
    <w:rsid w:val="00E27821"/>
    <w:rsid w:val="00E2796A"/>
    <w:rsid w:val="00E27B48"/>
    <w:rsid w:val="00E27DB1"/>
    <w:rsid w:val="00E27DC8"/>
    <w:rsid w:val="00E27E83"/>
    <w:rsid w:val="00E3008C"/>
    <w:rsid w:val="00E30111"/>
    <w:rsid w:val="00E301BE"/>
    <w:rsid w:val="00E3022D"/>
    <w:rsid w:val="00E30299"/>
    <w:rsid w:val="00E3036E"/>
    <w:rsid w:val="00E306C3"/>
    <w:rsid w:val="00E307C8"/>
    <w:rsid w:val="00E3092D"/>
    <w:rsid w:val="00E309C0"/>
    <w:rsid w:val="00E30B0E"/>
    <w:rsid w:val="00E30BFF"/>
    <w:rsid w:val="00E30C7A"/>
    <w:rsid w:val="00E30D9B"/>
    <w:rsid w:val="00E30DB4"/>
    <w:rsid w:val="00E30F61"/>
    <w:rsid w:val="00E30F67"/>
    <w:rsid w:val="00E30FA9"/>
    <w:rsid w:val="00E30FB8"/>
    <w:rsid w:val="00E31097"/>
    <w:rsid w:val="00E310DD"/>
    <w:rsid w:val="00E3119F"/>
    <w:rsid w:val="00E3127B"/>
    <w:rsid w:val="00E314D5"/>
    <w:rsid w:val="00E3156D"/>
    <w:rsid w:val="00E3158C"/>
    <w:rsid w:val="00E31598"/>
    <w:rsid w:val="00E316A8"/>
    <w:rsid w:val="00E31702"/>
    <w:rsid w:val="00E317CF"/>
    <w:rsid w:val="00E31869"/>
    <w:rsid w:val="00E3188B"/>
    <w:rsid w:val="00E3192B"/>
    <w:rsid w:val="00E31DC8"/>
    <w:rsid w:val="00E31F48"/>
    <w:rsid w:val="00E321C5"/>
    <w:rsid w:val="00E322FD"/>
    <w:rsid w:val="00E32373"/>
    <w:rsid w:val="00E3237D"/>
    <w:rsid w:val="00E32388"/>
    <w:rsid w:val="00E32490"/>
    <w:rsid w:val="00E324A6"/>
    <w:rsid w:val="00E32672"/>
    <w:rsid w:val="00E32674"/>
    <w:rsid w:val="00E328D6"/>
    <w:rsid w:val="00E32B2C"/>
    <w:rsid w:val="00E32B48"/>
    <w:rsid w:val="00E33024"/>
    <w:rsid w:val="00E3317B"/>
    <w:rsid w:val="00E33189"/>
    <w:rsid w:val="00E3325B"/>
    <w:rsid w:val="00E332F8"/>
    <w:rsid w:val="00E33365"/>
    <w:rsid w:val="00E33393"/>
    <w:rsid w:val="00E3362D"/>
    <w:rsid w:val="00E33872"/>
    <w:rsid w:val="00E338ED"/>
    <w:rsid w:val="00E33969"/>
    <w:rsid w:val="00E33A09"/>
    <w:rsid w:val="00E33A96"/>
    <w:rsid w:val="00E33BE6"/>
    <w:rsid w:val="00E33E5F"/>
    <w:rsid w:val="00E34151"/>
    <w:rsid w:val="00E341F4"/>
    <w:rsid w:val="00E34322"/>
    <w:rsid w:val="00E34504"/>
    <w:rsid w:val="00E347AD"/>
    <w:rsid w:val="00E34801"/>
    <w:rsid w:val="00E34933"/>
    <w:rsid w:val="00E34DD0"/>
    <w:rsid w:val="00E34DD5"/>
    <w:rsid w:val="00E3509E"/>
    <w:rsid w:val="00E351F8"/>
    <w:rsid w:val="00E35214"/>
    <w:rsid w:val="00E3534B"/>
    <w:rsid w:val="00E3534C"/>
    <w:rsid w:val="00E35377"/>
    <w:rsid w:val="00E353AF"/>
    <w:rsid w:val="00E35546"/>
    <w:rsid w:val="00E357BB"/>
    <w:rsid w:val="00E357D5"/>
    <w:rsid w:val="00E358FA"/>
    <w:rsid w:val="00E35AAF"/>
    <w:rsid w:val="00E35BFC"/>
    <w:rsid w:val="00E35C19"/>
    <w:rsid w:val="00E35CEC"/>
    <w:rsid w:val="00E35DC4"/>
    <w:rsid w:val="00E35FC2"/>
    <w:rsid w:val="00E36468"/>
    <w:rsid w:val="00E36531"/>
    <w:rsid w:val="00E3657A"/>
    <w:rsid w:val="00E3660B"/>
    <w:rsid w:val="00E3667B"/>
    <w:rsid w:val="00E366C5"/>
    <w:rsid w:val="00E367F5"/>
    <w:rsid w:val="00E3685E"/>
    <w:rsid w:val="00E36875"/>
    <w:rsid w:val="00E3696F"/>
    <w:rsid w:val="00E369DF"/>
    <w:rsid w:val="00E36B8C"/>
    <w:rsid w:val="00E36D30"/>
    <w:rsid w:val="00E36E96"/>
    <w:rsid w:val="00E36EAC"/>
    <w:rsid w:val="00E36F79"/>
    <w:rsid w:val="00E37016"/>
    <w:rsid w:val="00E37112"/>
    <w:rsid w:val="00E37121"/>
    <w:rsid w:val="00E371E8"/>
    <w:rsid w:val="00E3721C"/>
    <w:rsid w:val="00E37419"/>
    <w:rsid w:val="00E374A3"/>
    <w:rsid w:val="00E374E9"/>
    <w:rsid w:val="00E375ED"/>
    <w:rsid w:val="00E378A2"/>
    <w:rsid w:val="00E37F7D"/>
    <w:rsid w:val="00E37FE2"/>
    <w:rsid w:val="00E40027"/>
    <w:rsid w:val="00E40124"/>
    <w:rsid w:val="00E40206"/>
    <w:rsid w:val="00E40306"/>
    <w:rsid w:val="00E4040B"/>
    <w:rsid w:val="00E40415"/>
    <w:rsid w:val="00E4049F"/>
    <w:rsid w:val="00E404DE"/>
    <w:rsid w:val="00E406E6"/>
    <w:rsid w:val="00E40724"/>
    <w:rsid w:val="00E40762"/>
    <w:rsid w:val="00E40920"/>
    <w:rsid w:val="00E409EC"/>
    <w:rsid w:val="00E40B5A"/>
    <w:rsid w:val="00E40D93"/>
    <w:rsid w:val="00E40DBD"/>
    <w:rsid w:val="00E40E48"/>
    <w:rsid w:val="00E40E60"/>
    <w:rsid w:val="00E41135"/>
    <w:rsid w:val="00E41172"/>
    <w:rsid w:val="00E4121A"/>
    <w:rsid w:val="00E412A4"/>
    <w:rsid w:val="00E41364"/>
    <w:rsid w:val="00E41892"/>
    <w:rsid w:val="00E418B3"/>
    <w:rsid w:val="00E419B3"/>
    <w:rsid w:val="00E41AD3"/>
    <w:rsid w:val="00E41D16"/>
    <w:rsid w:val="00E41DD9"/>
    <w:rsid w:val="00E41F76"/>
    <w:rsid w:val="00E42320"/>
    <w:rsid w:val="00E4241C"/>
    <w:rsid w:val="00E4265A"/>
    <w:rsid w:val="00E426B3"/>
    <w:rsid w:val="00E4272E"/>
    <w:rsid w:val="00E42740"/>
    <w:rsid w:val="00E428F3"/>
    <w:rsid w:val="00E42FB9"/>
    <w:rsid w:val="00E43018"/>
    <w:rsid w:val="00E431C7"/>
    <w:rsid w:val="00E43237"/>
    <w:rsid w:val="00E432FB"/>
    <w:rsid w:val="00E4333B"/>
    <w:rsid w:val="00E43368"/>
    <w:rsid w:val="00E433F1"/>
    <w:rsid w:val="00E434F5"/>
    <w:rsid w:val="00E436F7"/>
    <w:rsid w:val="00E4385C"/>
    <w:rsid w:val="00E439FD"/>
    <w:rsid w:val="00E43ABB"/>
    <w:rsid w:val="00E43B9E"/>
    <w:rsid w:val="00E43BCA"/>
    <w:rsid w:val="00E43C8E"/>
    <w:rsid w:val="00E43CB9"/>
    <w:rsid w:val="00E43ECC"/>
    <w:rsid w:val="00E43F95"/>
    <w:rsid w:val="00E44018"/>
    <w:rsid w:val="00E44100"/>
    <w:rsid w:val="00E44190"/>
    <w:rsid w:val="00E441A6"/>
    <w:rsid w:val="00E444B6"/>
    <w:rsid w:val="00E445B4"/>
    <w:rsid w:val="00E44783"/>
    <w:rsid w:val="00E447F1"/>
    <w:rsid w:val="00E44B27"/>
    <w:rsid w:val="00E44BEB"/>
    <w:rsid w:val="00E44D82"/>
    <w:rsid w:val="00E44F23"/>
    <w:rsid w:val="00E45019"/>
    <w:rsid w:val="00E45042"/>
    <w:rsid w:val="00E4506C"/>
    <w:rsid w:val="00E45780"/>
    <w:rsid w:val="00E45841"/>
    <w:rsid w:val="00E4593A"/>
    <w:rsid w:val="00E45C4D"/>
    <w:rsid w:val="00E45D14"/>
    <w:rsid w:val="00E45F93"/>
    <w:rsid w:val="00E45FC6"/>
    <w:rsid w:val="00E46339"/>
    <w:rsid w:val="00E4643A"/>
    <w:rsid w:val="00E4656A"/>
    <w:rsid w:val="00E46A4C"/>
    <w:rsid w:val="00E46B57"/>
    <w:rsid w:val="00E46C88"/>
    <w:rsid w:val="00E46CEC"/>
    <w:rsid w:val="00E46F92"/>
    <w:rsid w:val="00E47266"/>
    <w:rsid w:val="00E472ED"/>
    <w:rsid w:val="00E473F7"/>
    <w:rsid w:val="00E47575"/>
    <w:rsid w:val="00E476EC"/>
    <w:rsid w:val="00E477E3"/>
    <w:rsid w:val="00E478F5"/>
    <w:rsid w:val="00E47CCB"/>
    <w:rsid w:val="00E47D6C"/>
    <w:rsid w:val="00E47DAD"/>
    <w:rsid w:val="00E47E2A"/>
    <w:rsid w:val="00E47E46"/>
    <w:rsid w:val="00E47E7C"/>
    <w:rsid w:val="00E47EA3"/>
    <w:rsid w:val="00E47FED"/>
    <w:rsid w:val="00E5000D"/>
    <w:rsid w:val="00E50022"/>
    <w:rsid w:val="00E5019C"/>
    <w:rsid w:val="00E5019D"/>
    <w:rsid w:val="00E50206"/>
    <w:rsid w:val="00E50208"/>
    <w:rsid w:val="00E50279"/>
    <w:rsid w:val="00E503AE"/>
    <w:rsid w:val="00E5069E"/>
    <w:rsid w:val="00E506CA"/>
    <w:rsid w:val="00E50738"/>
    <w:rsid w:val="00E5075E"/>
    <w:rsid w:val="00E50967"/>
    <w:rsid w:val="00E50A90"/>
    <w:rsid w:val="00E50ADF"/>
    <w:rsid w:val="00E50EA5"/>
    <w:rsid w:val="00E50EB0"/>
    <w:rsid w:val="00E50F01"/>
    <w:rsid w:val="00E5101E"/>
    <w:rsid w:val="00E51281"/>
    <w:rsid w:val="00E51389"/>
    <w:rsid w:val="00E51455"/>
    <w:rsid w:val="00E514BB"/>
    <w:rsid w:val="00E51643"/>
    <w:rsid w:val="00E51678"/>
    <w:rsid w:val="00E516EB"/>
    <w:rsid w:val="00E51725"/>
    <w:rsid w:val="00E518B2"/>
    <w:rsid w:val="00E518CC"/>
    <w:rsid w:val="00E519A2"/>
    <w:rsid w:val="00E51EE8"/>
    <w:rsid w:val="00E522AC"/>
    <w:rsid w:val="00E52365"/>
    <w:rsid w:val="00E523A7"/>
    <w:rsid w:val="00E5244A"/>
    <w:rsid w:val="00E524E9"/>
    <w:rsid w:val="00E5266C"/>
    <w:rsid w:val="00E52682"/>
    <w:rsid w:val="00E52703"/>
    <w:rsid w:val="00E527C3"/>
    <w:rsid w:val="00E52A8D"/>
    <w:rsid w:val="00E52AE4"/>
    <w:rsid w:val="00E52B6E"/>
    <w:rsid w:val="00E52C6C"/>
    <w:rsid w:val="00E52CEF"/>
    <w:rsid w:val="00E52D7A"/>
    <w:rsid w:val="00E52DCC"/>
    <w:rsid w:val="00E52EA9"/>
    <w:rsid w:val="00E52EAE"/>
    <w:rsid w:val="00E52F3D"/>
    <w:rsid w:val="00E5303F"/>
    <w:rsid w:val="00E533D7"/>
    <w:rsid w:val="00E53412"/>
    <w:rsid w:val="00E53921"/>
    <w:rsid w:val="00E5397C"/>
    <w:rsid w:val="00E539E8"/>
    <w:rsid w:val="00E53BBA"/>
    <w:rsid w:val="00E53C2D"/>
    <w:rsid w:val="00E53C69"/>
    <w:rsid w:val="00E53E0E"/>
    <w:rsid w:val="00E541D4"/>
    <w:rsid w:val="00E541DA"/>
    <w:rsid w:val="00E541E5"/>
    <w:rsid w:val="00E54202"/>
    <w:rsid w:val="00E543C6"/>
    <w:rsid w:val="00E547B6"/>
    <w:rsid w:val="00E548FD"/>
    <w:rsid w:val="00E5491F"/>
    <w:rsid w:val="00E549E1"/>
    <w:rsid w:val="00E54A99"/>
    <w:rsid w:val="00E54BB5"/>
    <w:rsid w:val="00E54BF3"/>
    <w:rsid w:val="00E54E17"/>
    <w:rsid w:val="00E54EE5"/>
    <w:rsid w:val="00E550BA"/>
    <w:rsid w:val="00E551CD"/>
    <w:rsid w:val="00E552B6"/>
    <w:rsid w:val="00E552D1"/>
    <w:rsid w:val="00E5546D"/>
    <w:rsid w:val="00E5546E"/>
    <w:rsid w:val="00E554C5"/>
    <w:rsid w:val="00E5563A"/>
    <w:rsid w:val="00E556A4"/>
    <w:rsid w:val="00E556A6"/>
    <w:rsid w:val="00E55B46"/>
    <w:rsid w:val="00E55B47"/>
    <w:rsid w:val="00E55DCF"/>
    <w:rsid w:val="00E55E2E"/>
    <w:rsid w:val="00E55EFE"/>
    <w:rsid w:val="00E55F1D"/>
    <w:rsid w:val="00E5606F"/>
    <w:rsid w:val="00E561F0"/>
    <w:rsid w:val="00E5629F"/>
    <w:rsid w:val="00E562BC"/>
    <w:rsid w:val="00E562D0"/>
    <w:rsid w:val="00E56333"/>
    <w:rsid w:val="00E5636D"/>
    <w:rsid w:val="00E566F3"/>
    <w:rsid w:val="00E56B97"/>
    <w:rsid w:val="00E56CA9"/>
    <w:rsid w:val="00E56D63"/>
    <w:rsid w:val="00E56D73"/>
    <w:rsid w:val="00E56E40"/>
    <w:rsid w:val="00E56EE1"/>
    <w:rsid w:val="00E56EFA"/>
    <w:rsid w:val="00E56FE0"/>
    <w:rsid w:val="00E57006"/>
    <w:rsid w:val="00E571F4"/>
    <w:rsid w:val="00E5727C"/>
    <w:rsid w:val="00E572B5"/>
    <w:rsid w:val="00E574A6"/>
    <w:rsid w:val="00E5753B"/>
    <w:rsid w:val="00E5757A"/>
    <w:rsid w:val="00E5776D"/>
    <w:rsid w:val="00E577BA"/>
    <w:rsid w:val="00E5787D"/>
    <w:rsid w:val="00E57AD2"/>
    <w:rsid w:val="00E57ADB"/>
    <w:rsid w:val="00E57B8F"/>
    <w:rsid w:val="00E57BEC"/>
    <w:rsid w:val="00E57DF3"/>
    <w:rsid w:val="00E57E4A"/>
    <w:rsid w:val="00E57E80"/>
    <w:rsid w:val="00E60084"/>
    <w:rsid w:val="00E6011E"/>
    <w:rsid w:val="00E601CF"/>
    <w:rsid w:val="00E601F6"/>
    <w:rsid w:val="00E603E9"/>
    <w:rsid w:val="00E60455"/>
    <w:rsid w:val="00E604F9"/>
    <w:rsid w:val="00E60515"/>
    <w:rsid w:val="00E60678"/>
    <w:rsid w:val="00E606B0"/>
    <w:rsid w:val="00E607F0"/>
    <w:rsid w:val="00E609E4"/>
    <w:rsid w:val="00E60A08"/>
    <w:rsid w:val="00E60A90"/>
    <w:rsid w:val="00E60B1F"/>
    <w:rsid w:val="00E60CB6"/>
    <w:rsid w:val="00E60E1D"/>
    <w:rsid w:val="00E60F05"/>
    <w:rsid w:val="00E60F5A"/>
    <w:rsid w:val="00E60FCD"/>
    <w:rsid w:val="00E610CD"/>
    <w:rsid w:val="00E61285"/>
    <w:rsid w:val="00E61312"/>
    <w:rsid w:val="00E61351"/>
    <w:rsid w:val="00E6144D"/>
    <w:rsid w:val="00E6145F"/>
    <w:rsid w:val="00E615F2"/>
    <w:rsid w:val="00E61746"/>
    <w:rsid w:val="00E6175A"/>
    <w:rsid w:val="00E61833"/>
    <w:rsid w:val="00E619D8"/>
    <w:rsid w:val="00E61ACB"/>
    <w:rsid w:val="00E61B24"/>
    <w:rsid w:val="00E61B6B"/>
    <w:rsid w:val="00E61BAE"/>
    <w:rsid w:val="00E61BC0"/>
    <w:rsid w:val="00E61D25"/>
    <w:rsid w:val="00E61D8B"/>
    <w:rsid w:val="00E62187"/>
    <w:rsid w:val="00E621CC"/>
    <w:rsid w:val="00E6220E"/>
    <w:rsid w:val="00E624DF"/>
    <w:rsid w:val="00E62591"/>
    <w:rsid w:val="00E625E7"/>
    <w:rsid w:val="00E62787"/>
    <w:rsid w:val="00E62A4D"/>
    <w:rsid w:val="00E62B03"/>
    <w:rsid w:val="00E62D5B"/>
    <w:rsid w:val="00E62E74"/>
    <w:rsid w:val="00E63033"/>
    <w:rsid w:val="00E63256"/>
    <w:rsid w:val="00E63703"/>
    <w:rsid w:val="00E63965"/>
    <w:rsid w:val="00E63A5C"/>
    <w:rsid w:val="00E63A88"/>
    <w:rsid w:val="00E63D1F"/>
    <w:rsid w:val="00E63EE2"/>
    <w:rsid w:val="00E6454F"/>
    <w:rsid w:val="00E64741"/>
    <w:rsid w:val="00E64881"/>
    <w:rsid w:val="00E649C4"/>
    <w:rsid w:val="00E64AC5"/>
    <w:rsid w:val="00E64B6D"/>
    <w:rsid w:val="00E64FE2"/>
    <w:rsid w:val="00E6510B"/>
    <w:rsid w:val="00E65577"/>
    <w:rsid w:val="00E65595"/>
    <w:rsid w:val="00E65779"/>
    <w:rsid w:val="00E657C3"/>
    <w:rsid w:val="00E65A5C"/>
    <w:rsid w:val="00E65B48"/>
    <w:rsid w:val="00E65C8A"/>
    <w:rsid w:val="00E65DCF"/>
    <w:rsid w:val="00E65EE2"/>
    <w:rsid w:val="00E65FAC"/>
    <w:rsid w:val="00E66505"/>
    <w:rsid w:val="00E66525"/>
    <w:rsid w:val="00E66596"/>
    <w:rsid w:val="00E666B5"/>
    <w:rsid w:val="00E66757"/>
    <w:rsid w:val="00E66798"/>
    <w:rsid w:val="00E668B0"/>
    <w:rsid w:val="00E668FA"/>
    <w:rsid w:val="00E66A4A"/>
    <w:rsid w:val="00E66A89"/>
    <w:rsid w:val="00E66A8B"/>
    <w:rsid w:val="00E66CFB"/>
    <w:rsid w:val="00E66D12"/>
    <w:rsid w:val="00E66D70"/>
    <w:rsid w:val="00E66DA9"/>
    <w:rsid w:val="00E66DDB"/>
    <w:rsid w:val="00E66E0B"/>
    <w:rsid w:val="00E66E29"/>
    <w:rsid w:val="00E67034"/>
    <w:rsid w:val="00E670D4"/>
    <w:rsid w:val="00E670E2"/>
    <w:rsid w:val="00E67234"/>
    <w:rsid w:val="00E67295"/>
    <w:rsid w:val="00E672F6"/>
    <w:rsid w:val="00E67523"/>
    <w:rsid w:val="00E67533"/>
    <w:rsid w:val="00E6772A"/>
    <w:rsid w:val="00E67735"/>
    <w:rsid w:val="00E678C6"/>
    <w:rsid w:val="00E67E10"/>
    <w:rsid w:val="00E67FDE"/>
    <w:rsid w:val="00E700DD"/>
    <w:rsid w:val="00E7016D"/>
    <w:rsid w:val="00E7045B"/>
    <w:rsid w:val="00E70660"/>
    <w:rsid w:val="00E70762"/>
    <w:rsid w:val="00E70819"/>
    <w:rsid w:val="00E70AED"/>
    <w:rsid w:val="00E70B6F"/>
    <w:rsid w:val="00E70B9E"/>
    <w:rsid w:val="00E70C65"/>
    <w:rsid w:val="00E70CD8"/>
    <w:rsid w:val="00E70D6B"/>
    <w:rsid w:val="00E71013"/>
    <w:rsid w:val="00E713C8"/>
    <w:rsid w:val="00E715C0"/>
    <w:rsid w:val="00E71670"/>
    <w:rsid w:val="00E71839"/>
    <w:rsid w:val="00E71975"/>
    <w:rsid w:val="00E719A6"/>
    <w:rsid w:val="00E71A46"/>
    <w:rsid w:val="00E71CA4"/>
    <w:rsid w:val="00E71D5D"/>
    <w:rsid w:val="00E71D9F"/>
    <w:rsid w:val="00E71EB4"/>
    <w:rsid w:val="00E7210A"/>
    <w:rsid w:val="00E7216A"/>
    <w:rsid w:val="00E7235C"/>
    <w:rsid w:val="00E72379"/>
    <w:rsid w:val="00E7249F"/>
    <w:rsid w:val="00E724CC"/>
    <w:rsid w:val="00E724E7"/>
    <w:rsid w:val="00E72638"/>
    <w:rsid w:val="00E726D9"/>
    <w:rsid w:val="00E72886"/>
    <w:rsid w:val="00E728C0"/>
    <w:rsid w:val="00E72905"/>
    <w:rsid w:val="00E72A49"/>
    <w:rsid w:val="00E72A4C"/>
    <w:rsid w:val="00E72A94"/>
    <w:rsid w:val="00E72C5C"/>
    <w:rsid w:val="00E72C6F"/>
    <w:rsid w:val="00E72D23"/>
    <w:rsid w:val="00E72D49"/>
    <w:rsid w:val="00E7306D"/>
    <w:rsid w:val="00E731A6"/>
    <w:rsid w:val="00E73459"/>
    <w:rsid w:val="00E735EA"/>
    <w:rsid w:val="00E735EC"/>
    <w:rsid w:val="00E73633"/>
    <w:rsid w:val="00E73638"/>
    <w:rsid w:val="00E73857"/>
    <w:rsid w:val="00E73907"/>
    <w:rsid w:val="00E7391B"/>
    <w:rsid w:val="00E73AD0"/>
    <w:rsid w:val="00E73B02"/>
    <w:rsid w:val="00E73E5F"/>
    <w:rsid w:val="00E73F38"/>
    <w:rsid w:val="00E74001"/>
    <w:rsid w:val="00E741AD"/>
    <w:rsid w:val="00E74205"/>
    <w:rsid w:val="00E74345"/>
    <w:rsid w:val="00E7443A"/>
    <w:rsid w:val="00E744A6"/>
    <w:rsid w:val="00E7457B"/>
    <w:rsid w:val="00E746C1"/>
    <w:rsid w:val="00E746F7"/>
    <w:rsid w:val="00E7497B"/>
    <w:rsid w:val="00E74AAA"/>
    <w:rsid w:val="00E74B54"/>
    <w:rsid w:val="00E74BBC"/>
    <w:rsid w:val="00E74CEF"/>
    <w:rsid w:val="00E74E52"/>
    <w:rsid w:val="00E74F21"/>
    <w:rsid w:val="00E74FE4"/>
    <w:rsid w:val="00E7510C"/>
    <w:rsid w:val="00E751B5"/>
    <w:rsid w:val="00E752DB"/>
    <w:rsid w:val="00E75337"/>
    <w:rsid w:val="00E753F0"/>
    <w:rsid w:val="00E75416"/>
    <w:rsid w:val="00E75509"/>
    <w:rsid w:val="00E7568B"/>
    <w:rsid w:val="00E757B4"/>
    <w:rsid w:val="00E75830"/>
    <w:rsid w:val="00E75976"/>
    <w:rsid w:val="00E75A1E"/>
    <w:rsid w:val="00E75AA9"/>
    <w:rsid w:val="00E75C3E"/>
    <w:rsid w:val="00E75F16"/>
    <w:rsid w:val="00E75FAD"/>
    <w:rsid w:val="00E760F5"/>
    <w:rsid w:val="00E76108"/>
    <w:rsid w:val="00E7624D"/>
    <w:rsid w:val="00E763F6"/>
    <w:rsid w:val="00E76517"/>
    <w:rsid w:val="00E7660B"/>
    <w:rsid w:val="00E766E7"/>
    <w:rsid w:val="00E767C0"/>
    <w:rsid w:val="00E7684D"/>
    <w:rsid w:val="00E76BA5"/>
    <w:rsid w:val="00E76C21"/>
    <w:rsid w:val="00E771DC"/>
    <w:rsid w:val="00E77402"/>
    <w:rsid w:val="00E775B8"/>
    <w:rsid w:val="00E77614"/>
    <w:rsid w:val="00E77811"/>
    <w:rsid w:val="00E77A50"/>
    <w:rsid w:val="00E77ACE"/>
    <w:rsid w:val="00E77AD1"/>
    <w:rsid w:val="00E77BDE"/>
    <w:rsid w:val="00E77D57"/>
    <w:rsid w:val="00E77D67"/>
    <w:rsid w:val="00E77EE2"/>
    <w:rsid w:val="00E77FB4"/>
    <w:rsid w:val="00E8001F"/>
    <w:rsid w:val="00E8007D"/>
    <w:rsid w:val="00E80386"/>
    <w:rsid w:val="00E8038D"/>
    <w:rsid w:val="00E803DF"/>
    <w:rsid w:val="00E80806"/>
    <w:rsid w:val="00E808C4"/>
    <w:rsid w:val="00E80947"/>
    <w:rsid w:val="00E80970"/>
    <w:rsid w:val="00E80C4C"/>
    <w:rsid w:val="00E80F3A"/>
    <w:rsid w:val="00E80F4E"/>
    <w:rsid w:val="00E81038"/>
    <w:rsid w:val="00E810F6"/>
    <w:rsid w:val="00E8143B"/>
    <w:rsid w:val="00E81928"/>
    <w:rsid w:val="00E819FF"/>
    <w:rsid w:val="00E81AA8"/>
    <w:rsid w:val="00E81AE6"/>
    <w:rsid w:val="00E81B98"/>
    <w:rsid w:val="00E81CD3"/>
    <w:rsid w:val="00E81D9B"/>
    <w:rsid w:val="00E81DB9"/>
    <w:rsid w:val="00E81E01"/>
    <w:rsid w:val="00E81E85"/>
    <w:rsid w:val="00E81EA0"/>
    <w:rsid w:val="00E8200D"/>
    <w:rsid w:val="00E8203A"/>
    <w:rsid w:val="00E82070"/>
    <w:rsid w:val="00E8209E"/>
    <w:rsid w:val="00E82761"/>
    <w:rsid w:val="00E82826"/>
    <w:rsid w:val="00E82849"/>
    <w:rsid w:val="00E828F3"/>
    <w:rsid w:val="00E82936"/>
    <w:rsid w:val="00E82962"/>
    <w:rsid w:val="00E82A79"/>
    <w:rsid w:val="00E82B5C"/>
    <w:rsid w:val="00E82BB3"/>
    <w:rsid w:val="00E82C64"/>
    <w:rsid w:val="00E82EC9"/>
    <w:rsid w:val="00E83099"/>
    <w:rsid w:val="00E8336D"/>
    <w:rsid w:val="00E833AC"/>
    <w:rsid w:val="00E83411"/>
    <w:rsid w:val="00E839E9"/>
    <w:rsid w:val="00E83A92"/>
    <w:rsid w:val="00E83ABE"/>
    <w:rsid w:val="00E83B26"/>
    <w:rsid w:val="00E83D42"/>
    <w:rsid w:val="00E83D83"/>
    <w:rsid w:val="00E83E6F"/>
    <w:rsid w:val="00E840EC"/>
    <w:rsid w:val="00E841C0"/>
    <w:rsid w:val="00E84286"/>
    <w:rsid w:val="00E842B9"/>
    <w:rsid w:val="00E84391"/>
    <w:rsid w:val="00E8449A"/>
    <w:rsid w:val="00E84579"/>
    <w:rsid w:val="00E845F6"/>
    <w:rsid w:val="00E84870"/>
    <w:rsid w:val="00E848DE"/>
    <w:rsid w:val="00E84919"/>
    <w:rsid w:val="00E84AC0"/>
    <w:rsid w:val="00E84AF5"/>
    <w:rsid w:val="00E84B62"/>
    <w:rsid w:val="00E84BEB"/>
    <w:rsid w:val="00E84C06"/>
    <w:rsid w:val="00E84D0A"/>
    <w:rsid w:val="00E84D6C"/>
    <w:rsid w:val="00E84ED9"/>
    <w:rsid w:val="00E85005"/>
    <w:rsid w:val="00E850EE"/>
    <w:rsid w:val="00E85278"/>
    <w:rsid w:val="00E852EC"/>
    <w:rsid w:val="00E853ED"/>
    <w:rsid w:val="00E85596"/>
    <w:rsid w:val="00E856A5"/>
    <w:rsid w:val="00E8577D"/>
    <w:rsid w:val="00E85872"/>
    <w:rsid w:val="00E85894"/>
    <w:rsid w:val="00E859A2"/>
    <w:rsid w:val="00E85B2A"/>
    <w:rsid w:val="00E85BC4"/>
    <w:rsid w:val="00E85C22"/>
    <w:rsid w:val="00E85C25"/>
    <w:rsid w:val="00E85DB9"/>
    <w:rsid w:val="00E85E4A"/>
    <w:rsid w:val="00E85E8F"/>
    <w:rsid w:val="00E86134"/>
    <w:rsid w:val="00E861CC"/>
    <w:rsid w:val="00E86391"/>
    <w:rsid w:val="00E863B8"/>
    <w:rsid w:val="00E86618"/>
    <w:rsid w:val="00E869B5"/>
    <w:rsid w:val="00E86AEF"/>
    <w:rsid w:val="00E86B92"/>
    <w:rsid w:val="00E86D93"/>
    <w:rsid w:val="00E86DF3"/>
    <w:rsid w:val="00E86E30"/>
    <w:rsid w:val="00E86EB5"/>
    <w:rsid w:val="00E86ECA"/>
    <w:rsid w:val="00E86F3A"/>
    <w:rsid w:val="00E86FAA"/>
    <w:rsid w:val="00E87191"/>
    <w:rsid w:val="00E87269"/>
    <w:rsid w:val="00E8731F"/>
    <w:rsid w:val="00E87531"/>
    <w:rsid w:val="00E8759B"/>
    <w:rsid w:val="00E875B6"/>
    <w:rsid w:val="00E87605"/>
    <w:rsid w:val="00E87651"/>
    <w:rsid w:val="00E87775"/>
    <w:rsid w:val="00E87863"/>
    <w:rsid w:val="00E8793C"/>
    <w:rsid w:val="00E8798C"/>
    <w:rsid w:val="00E879FC"/>
    <w:rsid w:val="00E87A78"/>
    <w:rsid w:val="00E87A9C"/>
    <w:rsid w:val="00E87B24"/>
    <w:rsid w:val="00E87C03"/>
    <w:rsid w:val="00E87C42"/>
    <w:rsid w:val="00E87E77"/>
    <w:rsid w:val="00E87E81"/>
    <w:rsid w:val="00E87EBD"/>
    <w:rsid w:val="00E87F6C"/>
    <w:rsid w:val="00E90096"/>
    <w:rsid w:val="00E90097"/>
    <w:rsid w:val="00E90142"/>
    <w:rsid w:val="00E90241"/>
    <w:rsid w:val="00E902E3"/>
    <w:rsid w:val="00E9030E"/>
    <w:rsid w:val="00E903D8"/>
    <w:rsid w:val="00E90428"/>
    <w:rsid w:val="00E90447"/>
    <w:rsid w:val="00E90459"/>
    <w:rsid w:val="00E90486"/>
    <w:rsid w:val="00E90DF1"/>
    <w:rsid w:val="00E911B7"/>
    <w:rsid w:val="00E9126B"/>
    <w:rsid w:val="00E91299"/>
    <w:rsid w:val="00E9131D"/>
    <w:rsid w:val="00E9136B"/>
    <w:rsid w:val="00E91489"/>
    <w:rsid w:val="00E914F5"/>
    <w:rsid w:val="00E91799"/>
    <w:rsid w:val="00E917B9"/>
    <w:rsid w:val="00E91879"/>
    <w:rsid w:val="00E91A7D"/>
    <w:rsid w:val="00E91AF8"/>
    <w:rsid w:val="00E91B01"/>
    <w:rsid w:val="00E91C45"/>
    <w:rsid w:val="00E91D5F"/>
    <w:rsid w:val="00E91EEF"/>
    <w:rsid w:val="00E92025"/>
    <w:rsid w:val="00E920F2"/>
    <w:rsid w:val="00E92133"/>
    <w:rsid w:val="00E921EC"/>
    <w:rsid w:val="00E9222B"/>
    <w:rsid w:val="00E922E9"/>
    <w:rsid w:val="00E926FA"/>
    <w:rsid w:val="00E92731"/>
    <w:rsid w:val="00E92983"/>
    <w:rsid w:val="00E92AD3"/>
    <w:rsid w:val="00E92CD3"/>
    <w:rsid w:val="00E9309D"/>
    <w:rsid w:val="00E9331E"/>
    <w:rsid w:val="00E93751"/>
    <w:rsid w:val="00E938F2"/>
    <w:rsid w:val="00E9396F"/>
    <w:rsid w:val="00E93AAA"/>
    <w:rsid w:val="00E93BAE"/>
    <w:rsid w:val="00E93BE3"/>
    <w:rsid w:val="00E93E45"/>
    <w:rsid w:val="00E93E52"/>
    <w:rsid w:val="00E943C8"/>
    <w:rsid w:val="00E94414"/>
    <w:rsid w:val="00E94432"/>
    <w:rsid w:val="00E94482"/>
    <w:rsid w:val="00E9451D"/>
    <w:rsid w:val="00E945D3"/>
    <w:rsid w:val="00E94779"/>
    <w:rsid w:val="00E94811"/>
    <w:rsid w:val="00E9484B"/>
    <w:rsid w:val="00E94855"/>
    <w:rsid w:val="00E94893"/>
    <w:rsid w:val="00E94912"/>
    <w:rsid w:val="00E94A70"/>
    <w:rsid w:val="00E94AA9"/>
    <w:rsid w:val="00E94B7B"/>
    <w:rsid w:val="00E94CCE"/>
    <w:rsid w:val="00E94E5B"/>
    <w:rsid w:val="00E94EDA"/>
    <w:rsid w:val="00E95023"/>
    <w:rsid w:val="00E9508C"/>
    <w:rsid w:val="00E9517F"/>
    <w:rsid w:val="00E951B5"/>
    <w:rsid w:val="00E95464"/>
    <w:rsid w:val="00E95532"/>
    <w:rsid w:val="00E955A4"/>
    <w:rsid w:val="00E955F8"/>
    <w:rsid w:val="00E95773"/>
    <w:rsid w:val="00E95781"/>
    <w:rsid w:val="00E9582D"/>
    <w:rsid w:val="00E95838"/>
    <w:rsid w:val="00E958BE"/>
    <w:rsid w:val="00E95988"/>
    <w:rsid w:val="00E95998"/>
    <w:rsid w:val="00E959B8"/>
    <w:rsid w:val="00E95A20"/>
    <w:rsid w:val="00E95AD2"/>
    <w:rsid w:val="00E95AF2"/>
    <w:rsid w:val="00E95D2B"/>
    <w:rsid w:val="00E95DE9"/>
    <w:rsid w:val="00E95E00"/>
    <w:rsid w:val="00E95EB5"/>
    <w:rsid w:val="00E95F26"/>
    <w:rsid w:val="00E960C5"/>
    <w:rsid w:val="00E9628B"/>
    <w:rsid w:val="00E96309"/>
    <w:rsid w:val="00E96395"/>
    <w:rsid w:val="00E9647C"/>
    <w:rsid w:val="00E9648A"/>
    <w:rsid w:val="00E9666C"/>
    <w:rsid w:val="00E966AD"/>
    <w:rsid w:val="00E9677D"/>
    <w:rsid w:val="00E967E6"/>
    <w:rsid w:val="00E96A74"/>
    <w:rsid w:val="00E96D35"/>
    <w:rsid w:val="00E97110"/>
    <w:rsid w:val="00E972F3"/>
    <w:rsid w:val="00E973C8"/>
    <w:rsid w:val="00E973D8"/>
    <w:rsid w:val="00E973F8"/>
    <w:rsid w:val="00E97468"/>
    <w:rsid w:val="00E9756A"/>
    <w:rsid w:val="00E975B4"/>
    <w:rsid w:val="00E97658"/>
    <w:rsid w:val="00E97758"/>
    <w:rsid w:val="00E9792A"/>
    <w:rsid w:val="00E97B8A"/>
    <w:rsid w:val="00E97BA4"/>
    <w:rsid w:val="00E97D6C"/>
    <w:rsid w:val="00E97E3F"/>
    <w:rsid w:val="00EA0001"/>
    <w:rsid w:val="00EA000E"/>
    <w:rsid w:val="00EA0134"/>
    <w:rsid w:val="00EA029A"/>
    <w:rsid w:val="00EA0406"/>
    <w:rsid w:val="00EA0523"/>
    <w:rsid w:val="00EA0580"/>
    <w:rsid w:val="00EA069F"/>
    <w:rsid w:val="00EA06A2"/>
    <w:rsid w:val="00EA06A8"/>
    <w:rsid w:val="00EA07BC"/>
    <w:rsid w:val="00EA07F1"/>
    <w:rsid w:val="00EA09D3"/>
    <w:rsid w:val="00EA09D9"/>
    <w:rsid w:val="00EA0A03"/>
    <w:rsid w:val="00EA0E84"/>
    <w:rsid w:val="00EA0E8B"/>
    <w:rsid w:val="00EA0F28"/>
    <w:rsid w:val="00EA0F30"/>
    <w:rsid w:val="00EA10E5"/>
    <w:rsid w:val="00EA1130"/>
    <w:rsid w:val="00EA1390"/>
    <w:rsid w:val="00EA13C9"/>
    <w:rsid w:val="00EA1441"/>
    <w:rsid w:val="00EA1736"/>
    <w:rsid w:val="00EA17A6"/>
    <w:rsid w:val="00EA17BF"/>
    <w:rsid w:val="00EA1909"/>
    <w:rsid w:val="00EA1C1D"/>
    <w:rsid w:val="00EA1D07"/>
    <w:rsid w:val="00EA1D23"/>
    <w:rsid w:val="00EA1D35"/>
    <w:rsid w:val="00EA2280"/>
    <w:rsid w:val="00EA23A4"/>
    <w:rsid w:val="00EA23B1"/>
    <w:rsid w:val="00EA2420"/>
    <w:rsid w:val="00EA2459"/>
    <w:rsid w:val="00EA25E7"/>
    <w:rsid w:val="00EA261D"/>
    <w:rsid w:val="00EA272A"/>
    <w:rsid w:val="00EA279C"/>
    <w:rsid w:val="00EA283C"/>
    <w:rsid w:val="00EA2DF2"/>
    <w:rsid w:val="00EA3015"/>
    <w:rsid w:val="00EA31AD"/>
    <w:rsid w:val="00EA3210"/>
    <w:rsid w:val="00EA32C9"/>
    <w:rsid w:val="00EA32D9"/>
    <w:rsid w:val="00EA3305"/>
    <w:rsid w:val="00EA3358"/>
    <w:rsid w:val="00EA33E2"/>
    <w:rsid w:val="00EA351E"/>
    <w:rsid w:val="00EA37CF"/>
    <w:rsid w:val="00EA3BD6"/>
    <w:rsid w:val="00EA3EAF"/>
    <w:rsid w:val="00EA404D"/>
    <w:rsid w:val="00EA40EA"/>
    <w:rsid w:val="00EA424A"/>
    <w:rsid w:val="00EA43AC"/>
    <w:rsid w:val="00EA43CD"/>
    <w:rsid w:val="00EA43CF"/>
    <w:rsid w:val="00EA43E4"/>
    <w:rsid w:val="00EA4555"/>
    <w:rsid w:val="00EA465F"/>
    <w:rsid w:val="00EA468B"/>
    <w:rsid w:val="00EA48CD"/>
    <w:rsid w:val="00EA4AEC"/>
    <w:rsid w:val="00EA4B3B"/>
    <w:rsid w:val="00EA4BDF"/>
    <w:rsid w:val="00EA4C65"/>
    <w:rsid w:val="00EA50D5"/>
    <w:rsid w:val="00EA526A"/>
    <w:rsid w:val="00EA52C6"/>
    <w:rsid w:val="00EA53A6"/>
    <w:rsid w:val="00EA54BD"/>
    <w:rsid w:val="00EA54CC"/>
    <w:rsid w:val="00EA55A5"/>
    <w:rsid w:val="00EA5686"/>
    <w:rsid w:val="00EA5769"/>
    <w:rsid w:val="00EA586D"/>
    <w:rsid w:val="00EA5ACA"/>
    <w:rsid w:val="00EA5C59"/>
    <w:rsid w:val="00EA5CAF"/>
    <w:rsid w:val="00EA5CB2"/>
    <w:rsid w:val="00EA5EA2"/>
    <w:rsid w:val="00EA5EE7"/>
    <w:rsid w:val="00EA6001"/>
    <w:rsid w:val="00EA6085"/>
    <w:rsid w:val="00EA6095"/>
    <w:rsid w:val="00EA60B5"/>
    <w:rsid w:val="00EA60DC"/>
    <w:rsid w:val="00EA63C2"/>
    <w:rsid w:val="00EA65DA"/>
    <w:rsid w:val="00EA6680"/>
    <w:rsid w:val="00EA6747"/>
    <w:rsid w:val="00EA6765"/>
    <w:rsid w:val="00EA6778"/>
    <w:rsid w:val="00EA6863"/>
    <w:rsid w:val="00EA6BA9"/>
    <w:rsid w:val="00EA6BDA"/>
    <w:rsid w:val="00EA6C1D"/>
    <w:rsid w:val="00EA6CDD"/>
    <w:rsid w:val="00EA6DB9"/>
    <w:rsid w:val="00EA70B3"/>
    <w:rsid w:val="00EA73C8"/>
    <w:rsid w:val="00EA73FC"/>
    <w:rsid w:val="00EA753D"/>
    <w:rsid w:val="00EA75F0"/>
    <w:rsid w:val="00EA7789"/>
    <w:rsid w:val="00EA7961"/>
    <w:rsid w:val="00EA7A7F"/>
    <w:rsid w:val="00EA7A92"/>
    <w:rsid w:val="00EA7AC0"/>
    <w:rsid w:val="00EA7B8A"/>
    <w:rsid w:val="00EA7F89"/>
    <w:rsid w:val="00EB01A4"/>
    <w:rsid w:val="00EB048E"/>
    <w:rsid w:val="00EB062C"/>
    <w:rsid w:val="00EB08C3"/>
    <w:rsid w:val="00EB0941"/>
    <w:rsid w:val="00EB09EB"/>
    <w:rsid w:val="00EB0A34"/>
    <w:rsid w:val="00EB0A92"/>
    <w:rsid w:val="00EB0F85"/>
    <w:rsid w:val="00EB1083"/>
    <w:rsid w:val="00EB1199"/>
    <w:rsid w:val="00EB133D"/>
    <w:rsid w:val="00EB1394"/>
    <w:rsid w:val="00EB144D"/>
    <w:rsid w:val="00EB171E"/>
    <w:rsid w:val="00EB1865"/>
    <w:rsid w:val="00EB1AC9"/>
    <w:rsid w:val="00EB1D53"/>
    <w:rsid w:val="00EB1EA5"/>
    <w:rsid w:val="00EB200C"/>
    <w:rsid w:val="00EB2151"/>
    <w:rsid w:val="00EB21F5"/>
    <w:rsid w:val="00EB23C3"/>
    <w:rsid w:val="00EB24A4"/>
    <w:rsid w:val="00EB2549"/>
    <w:rsid w:val="00EB25B7"/>
    <w:rsid w:val="00EB2743"/>
    <w:rsid w:val="00EB27F8"/>
    <w:rsid w:val="00EB2847"/>
    <w:rsid w:val="00EB28EF"/>
    <w:rsid w:val="00EB2952"/>
    <w:rsid w:val="00EB29B9"/>
    <w:rsid w:val="00EB2A2B"/>
    <w:rsid w:val="00EB2A79"/>
    <w:rsid w:val="00EB2D56"/>
    <w:rsid w:val="00EB2DCB"/>
    <w:rsid w:val="00EB2FDE"/>
    <w:rsid w:val="00EB311E"/>
    <w:rsid w:val="00EB322B"/>
    <w:rsid w:val="00EB352F"/>
    <w:rsid w:val="00EB35AC"/>
    <w:rsid w:val="00EB37E0"/>
    <w:rsid w:val="00EB3980"/>
    <w:rsid w:val="00EB3AC8"/>
    <w:rsid w:val="00EB3F67"/>
    <w:rsid w:val="00EB3F6F"/>
    <w:rsid w:val="00EB421C"/>
    <w:rsid w:val="00EB43CC"/>
    <w:rsid w:val="00EB444E"/>
    <w:rsid w:val="00EB4672"/>
    <w:rsid w:val="00EB479C"/>
    <w:rsid w:val="00EB47FF"/>
    <w:rsid w:val="00EB4A79"/>
    <w:rsid w:val="00EB4BDE"/>
    <w:rsid w:val="00EB4DFB"/>
    <w:rsid w:val="00EB4E4F"/>
    <w:rsid w:val="00EB4EF4"/>
    <w:rsid w:val="00EB50B1"/>
    <w:rsid w:val="00EB5103"/>
    <w:rsid w:val="00EB5185"/>
    <w:rsid w:val="00EB53CB"/>
    <w:rsid w:val="00EB556A"/>
    <w:rsid w:val="00EB566F"/>
    <w:rsid w:val="00EB5693"/>
    <w:rsid w:val="00EB57B1"/>
    <w:rsid w:val="00EB5AF1"/>
    <w:rsid w:val="00EB5B9F"/>
    <w:rsid w:val="00EB5DDC"/>
    <w:rsid w:val="00EB5F29"/>
    <w:rsid w:val="00EB5F92"/>
    <w:rsid w:val="00EB6413"/>
    <w:rsid w:val="00EB664F"/>
    <w:rsid w:val="00EB670E"/>
    <w:rsid w:val="00EB6716"/>
    <w:rsid w:val="00EB6834"/>
    <w:rsid w:val="00EB6CB8"/>
    <w:rsid w:val="00EB6D3F"/>
    <w:rsid w:val="00EB6DE9"/>
    <w:rsid w:val="00EB6E59"/>
    <w:rsid w:val="00EB6ECD"/>
    <w:rsid w:val="00EB6F9E"/>
    <w:rsid w:val="00EB71B8"/>
    <w:rsid w:val="00EB71D5"/>
    <w:rsid w:val="00EB7424"/>
    <w:rsid w:val="00EB76D4"/>
    <w:rsid w:val="00EB782B"/>
    <w:rsid w:val="00EB794E"/>
    <w:rsid w:val="00EB7AEF"/>
    <w:rsid w:val="00EB7CA1"/>
    <w:rsid w:val="00EB7CB1"/>
    <w:rsid w:val="00EB7E8C"/>
    <w:rsid w:val="00EB7F33"/>
    <w:rsid w:val="00EB7F55"/>
    <w:rsid w:val="00EC0083"/>
    <w:rsid w:val="00EC0154"/>
    <w:rsid w:val="00EC01B8"/>
    <w:rsid w:val="00EC02B0"/>
    <w:rsid w:val="00EC02C9"/>
    <w:rsid w:val="00EC035F"/>
    <w:rsid w:val="00EC044F"/>
    <w:rsid w:val="00EC060E"/>
    <w:rsid w:val="00EC0692"/>
    <w:rsid w:val="00EC0886"/>
    <w:rsid w:val="00EC0991"/>
    <w:rsid w:val="00EC09F1"/>
    <w:rsid w:val="00EC0A24"/>
    <w:rsid w:val="00EC0CF5"/>
    <w:rsid w:val="00EC0CFD"/>
    <w:rsid w:val="00EC1036"/>
    <w:rsid w:val="00EC1117"/>
    <w:rsid w:val="00EC11C7"/>
    <w:rsid w:val="00EC1348"/>
    <w:rsid w:val="00EC13C1"/>
    <w:rsid w:val="00EC1401"/>
    <w:rsid w:val="00EC141C"/>
    <w:rsid w:val="00EC1497"/>
    <w:rsid w:val="00EC153F"/>
    <w:rsid w:val="00EC157E"/>
    <w:rsid w:val="00EC166A"/>
    <w:rsid w:val="00EC1838"/>
    <w:rsid w:val="00EC1AEA"/>
    <w:rsid w:val="00EC1F07"/>
    <w:rsid w:val="00EC2159"/>
    <w:rsid w:val="00EC2408"/>
    <w:rsid w:val="00EC244E"/>
    <w:rsid w:val="00EC24D5"/>
    <w:rsid w:val="00EC24F8"/>
    <w:rsid w:val="00EC2831"/>
    <w:rsid w:val="00EC289A"/>
    <w:rsid w:val="00EC295A"/>
    <w:rsid w:val="00EC296C"/>
    <w:rsid w:val="00EC2A08"/>
    <w:rsid w:val="00EC2AA8"/>
    <w:rsid w:val="00EC2AFD"/>
    <w:rsid w:val="00EC2B4B"/>
    <w:rsid w:val="00EC2C56"/>
    <w:rsid w:val="00EC2D10"/>
    <w:rsid w:val="00EC2E21"/>
    <w:rsid w:val="00EC2FE2"/>
    <w:rsid w:val="00EC302E"/>
    <w:rsid w:val="00EC3479"/>
    <w:rsid w:val="00EC3721"/>
    <w:rsid w:val="00EC38B7"/>
    <w:rsid w:val="00EC3909"/>
    <w:rsid w:val="00EC39BC"/>
    <w:rsid w:val="00EC39E6"/>
    <w:rsid w:val="00EC3AD1"/>
    <w:rsid w:val="00EC3D2E"/>
    <w:rsid w:val="00EC3DC8"/>
    <w:rsid w:val="00EC3E1C"/>
    <w:rsid w:val="00EC40FD"/>
    <w:rsid w:val="00EC4318"/>
    <w:rsid w:val="00EC441B"/>
    <w:rsid w:val="00EC4431"/>
    <w:rsid w:val="00EC4589"/>
    <w:rsid w:val="00EC4712"/>
    <w:rsid w:val="00EC4C83"/>
    <w:rsid w:val="00EC4C99"/>
    <w:rsid w:val="00EC4D3F"/>
    <w:rsid w:val="00EC4F17"/>
    <w:rsid w:val="00EC5273"/>
    <w:rsid w:val="00EC52B7"/>
    <w:rsid w:val="00EC52BB"/>
    <w:rsid w:val="00EC5434"/>
    <w:rsid w:val="00EC56DD"/>
    <w:rsid w:val="00EC57A8"/>
    <w:rsid w:val="00EC5897"/>
    <w:rsid w:val="00EC5908"/>
    <w:rsid w:val="00EC5B26"/>
    <w:rsid w:val="00EC5B9C"/>
    <w:rsid w:val="00EC5D89"/>
    <w:rsid w:val="00EC5E18"/>
    <w:rsid w:val="00EC5E46"/>
    <w:rsid w:val="00EC624F"/>
    <w:rsid w:val="00EC6358"/>
    <w:rsid w:val="00EC63A6"/>
    <w:rsid w:val="00EC6497"/>
    <w:rsid w:val="00EC6559"/>
    <w:rsid w:val="00EC6624"/>
    <w:rsid w:val="00EC667A"/>
    <w:rsid w:val="00EC686A"/>
    <w:rsid w:val="00EC6882"/>
    <w:rsid w:val="00EC68A5"/>
    <w:rsid w:val="00EC6B24"/>
    <w:rsid w:val="00EC6B3E"/>
    <w:rsid w:val="00EC6BA0"/>
    <w:rsid w:val="00EC6BF6"/>
    <w:rsid w:val="00EC6DEB"/>
    <w:rsid w:val="00EC6E2E"/>
    <w:rsid w:val="00EC708A"/>
    <w:rsid w:val="00EC7345"/>
    <w:rsid w:val="00EC745D"/>
    <w:rsid w:val="00EC7708"/>
    <w:rsid w:val="00EC77C3"/>
    <w:rsid w:val="00EC78C2"/>
    <w:rsid w:val="00EC7AAA"/>
    <w:rsid w:val="00EC7B89"/>
    <w:rsid w:val="00EC7E2A"/>
    <w:rsid w:val="00EC7F08"/>
    <w:rsid w:val="00ED0104"/>
    <w:rsid w:val="00ED02D6"/>
    <w:rsid w:val="00ED035A"/>
    <w:rsid w:val="00ED038A"/>
    <w:rsid w:val="00ED042C"/>
    <w:rsid w:val="00ED0455"/>
    <w:rsid w:val="00ED04D7"/>
    <w:rsid w:val="00ED0589"/>
    <w:rsid w:val="00ED08AE"/>
    <w:rsid w:val="00ED09C9"/>
    <w:rsid w:val="00ED0B14"/>
    <w:rsid w:val="00ED0F4A"/>
    <w:rsid w:val="00ED1086"/>
    <w:rsid w:val="00ED13B3"/>
    <w:rsid w:val="00ED14BD"/>
    <w:rsid w:val="00ED165A"/>
    <w:rsid w:val="00ED16A0"/>
    <w:rsid w:val="00ED174E"/>
    <w:rsid w:val="00ED188D"/>
    <w:rsid w:val="00ED1965"/>
    <w:rsid w:val="00ED1A45"/>
    <w:rsid w:val="00ED1C60"/>
    <w:rsid w:val="00ED1D74"/>
    <w:rsid w:val="00ED1E3E"/>
    <w:rsid w:val="00ED1EC7"/>
    <w:rsid w:val="00ED210A"/>
    <w:rsid w:val="00ED21A8"/>
    <w:rsid w:val="00ED223D"/>
    <w:rsid w:val="00ED2505"/>
    <w:rsid w:val="00ED263A"/>
    <w:rsid w:val="00ED2655"/>
    <w:rsid w:val="00ED26A9"/>
    <w:rsid w:val="00ED2775"/>
    <w:rsid w:val="00ED2965"/>
    <w:rsid w:val="00ED2A07"/>
    <w:rsid w:val="00ED2F03"/>
    <w:rsid w:val="00ED2FF8"/>
    <w:rsid w:val="00ED300D"/>
    <w:rsid w:val="00ED30D5"/>
    <w:rsid w:val="00ED32FC"/>
    <w:rsid w:val="00ED3397"/>
    <w:rsid w:val="00ED3461"/>
    <w:rsid w:val="00ED35AE"/>
    <w:rsid w:val="00ED370C"/>
    <w:rsid w:val="00ED3764"/>
    <w:rsid w:val="00ED3798"/>
    <w:rsid w:val="00ED3991"/>
    <w:rsid w:val="00ED39F4"/>
    <w:rsid w:val="00ED3AA0"/>
    <w:rsid w:val="00ED3B30"/>
    <w:rsid w:val="00ED3B31"/>
    <w:rsid w:val="00ED3E6B"/>
    <w:rsid w:val="00ED3F9E"/>
    <w:rsid w:val="00ED3F9F"/>
    <w:rsid w:val="00ED4009"/>
    <w:rsid w:val="00ED4166"/>
    <w:rsid w:val="00ED416F"/>
    <w:rsid w:val="00ED4180"/>
    <w:rsid w:val="00ED44EC"/>
    <w:rsid w:val="00ED4507"/>
    <w:rsid w:val="00ED45A5"/>
    <w:rsid w:val="00ED462B"/>
    <w:rsid w:val="00ED462F"/>
    <w:rsid w:val="00ED466E"/>
    <w:rsid w:val="00ED4A4A"/>
    <w:rsid w:val="00ED4B35"/>
    <w:rsid w:val="00ED4C07"/>
    <w:rsid w:val="00ED4CDF"/>
    <w:rsid w:val="00ED4CFB"/>
    <w:rsid w:val="00ED4E45"/>
    <w:rsid w:val="00ED4EBE"/>
    <w:rsid w:val="00ED51CF"/>
    <w:rsid w:val="00ED5362"/>
    <w:rsid w:val="00ED57C0"/>
    <w:rsid w:val="00ED5909"/>
    <w:rsid w:val="00ED5CA4"/>
    <w:rsid w:val="00ED5D39"/>
    <w:rsid w:val="00ED5F0D"/>
    <w:rsid w:val="00ED5F61"/>
    <w:rsid w:val="00ED5F99"/>
    <w:rsid w:val="00ED5F9D"/>
    <w:rsid w:val="00ED6038"/>
    <w:rsid w:val="00ED616E"/>
    <w:rsid w:val="00ED62BE"/>
    <w:rsid w:val="00ED62FC"/>
    <w:rsid w:val="00ED63C1"/>
    <w:rsid w:val="00ED640F"/>
    <w:rsid w:val="00ED6432"/>
    <w:rsid w:val="00ED6460"/>
    <w:rsid w:val="00ED6650"/>
    <w:rsid w:val="00ED676D"/>
    <w:rsid w:val="00ED6778"/>
    <w:rsid w:val="00ED6A2F"/>
    <w:rsid w:val="00ED6C32"/>
    <w:rsid w:val="00ED6D62"/>
    <w:rsid w:val="00ED6FDA"/>
    <w:rsid w:val="00ED70CC"/>
    <w:rsid w:val="00ED70D7"/>
    <w:rsid w:val="00ED717C"/>
    <w:rsid w:val="00ED722E"/>
    <w:rsid w:val="00ED72A9"/>
    <w:rsid w:val="00ED7427"/>
    <w:rsid w:val="00ED7485"/>
    <w:rsid w:val="00ED74FE"/>
    <w:rsid w:val="00ED7645"/>
    <w:rsid w:val="00ED76CF"/>
    <w:rsid w:val="00ED77A2"/>
    <w:rsid w:val="00ED789C"/>
    <w:rsid w:val="00ED7B5B"/>
    <w:rsid w:val="00ED7B66"/>
    <w:rsid w:val="00ED7BF7"/>
    <w:rsid w:val="00ED7DCA"/>
    <w:rsid w:val="00ED7E6B"/>
    <w:rsid w:val="00ED7E9A"/>
    <w:rsid w:val="00ED7EDD"/>
    <w:rsid w:val="00ED7FD9"/>
    <w:rsid w:val="00EE0057"/>
    <w:rsid w:val="00EE00DD"/>
    <w:rsid w:val="00EE0110"/>
    <w:rsid w:val="00EE02D4"/>
    <w:rsid w:val="00EE0498"/>
    <w:rsid w:val="00EE04B3"/>
    <w:rsid w:val="00EE076B"/>
    <w:rsid w:val="00EE0774"/>
    <w:rsid w:val="00EE077B"/>
    <w:rsid w:val="00EE0794"/>
    <w:rsid w:val="00EE0886"/>
    <w:rsid w:val="00EE0927"/>
    <w:rsid w:val="00EE09A8"/>
    <w:rsid w:val="00EE0AB2"/>
    <w:rsid w:val="00EE0AD1"/>
    <w:rsid w:val="00EE0E55"/>
    <w:rsid w:val="00EE1028"/>
    <w:rsid w:val="00EE1177"/>
    <w:rsid w:val="00EE11F4"/>
    <w:rsid w:val="00EE128D"/>
    <w:rsid w:val="00EE1582"/>
    <w:rsid w:val="00EE159B"/>
    <w:rsid w:val="00EE15F8"/>
    <w:rsid w:val="00EE17A5"/>
    <w:rsid w:val="00EE1828"/>
    <w:rsid w:val="00EE1884"/>
    <w:rsid w:val="00EE1907"/>
    <w:rsid w:val="00EE197C"/>
    <w:rsid w:val="00EE1AA2"/>
    <w:rsid w:val="00EE1BD6"/>
    <w:rsid w:val="00EE207F"/>
    <w:rsid w:val="00EE210B"/>
    <w:rsid w:val="00EE2177"/>
    <w:rsid w:val="00EE226D"/>
    <w:rsid w:val="00EE22AB"/>
    <w:rsid w:val="00EE2392"/>
    <w:rsid w:val="00EE24DA"/>
    <w:rsid w:val="00EE2571"/>
    <w:rsid w:val="00EE258F"/>
    <w:rsid w:val="00EE267D"/>
    <w:rsid w:val="00EE2756"/>
    <w:rsid w:val="00EE29A7"/>
    <w:rsid w:val="00EE2A0D"/>
    <w:rsid w:val="00EE2A93"/>
    <w:rsid w:val="00EE2A98"/>
    <w:rsid w:val="00EE2BD9"/>
    <w:rsid w:val="00EE2C2D"/>
    <w:rsid w:val="00EE2CF4"/>
    <w:rsid w:val="00EE2D27"/>
    <w:rsid w:val="00EE3099"/>
    <w:rsid w:val="00EE339D"/>
    <w:rsid w:val="00EE345F"/>
    <w:rsid w:val="00EE34FB"/>
    <w:rsid w:val="00EE35ED"/>
    <w:rsid w:val="00EE3664"/>
    <w:rsid w:val="00EE36A6"/>
    <w:rsid w:val="00EE3959"/>
    <w:rsid w:val="00EE3A2E"/>
    <w:rsid w:val="00EE3BA0"/>
    <w:rsid w:val="00EE3D61"/>
    <w:rsid w:val="00EE3EBB"/>
    <w:rsid w:val="00EE3FCB"/>
    <w:rsid w:val="00EE3FD0"/>
    <w:rsid w:val="00EE40C6"/>
    <w:rsid w:val="00EE4105"/>
    <w:rsid w:val="00EE42E1"/>
    <w:rsid w:val="00EE4326"/>
    <w:rsid w:val="00EE448D"/>
    <w:rsid w:val="00EE4551"/>
    <w:rsid w:val="00EE456A"/>
    <w:rsid w:val="00EE4573"/>
    <w:rsid w:val="00EE4658"/>
    <w:rsid w:val="00EE467D"/>
    <w:rsid w:val="00EE4711"/>
    <w:rsid w:val="00EE471D"/>
    <w:rsid w:val="00EE478C"/>
    <w:rsid w:val="00EE4BFD"/>
    <w:rsid w:val="00EE4C9B"/>
    <w:rsid w:val="00EE4DAA"/>
    <w:rsid w:val="00EE4DF6"/>
    <w:rsid w:val="00EE4F98"/>
    <w:rsid w:val="00EE4FAF"/>
    <w:rsid w:val="00EE50BD"/>
    <w:rsid w:val="00EE5111"/>
    <w:rsid w:val="00EE51B7"/>
    <w:rsid w:val="00EE52F1"/>
    <w:rsid w:val="00EE532E"/>
    <w:rsid w:val="00EE545A"/>
    <w:rsid w:val="00EE546E"/>
    <w:rsid w:val="00EE54A3"/>
    <w:rsid w:val="00EE5523"/>
    <w:rsid w:val="00EE5578"/>
    <w:rsid w:val="00EE570F"/>
    <w:rsid w:val="00EE573F"/>
    <w:rsid w:val="00EE57BC"/>
    <w:rsid w:val="00EE57F1"/>
    <w:rsid w:val="00EE5DFF"/>
    <w:rsid w:val="00EE5EB4"/>
    <w:rsid w:val="00EE6251"/>
    <w:rsid w:val="00EE6273"/>
    <w:rsid w:val="00EE62A3"/>
    <w:rsid w:val="00EE6337"/>
    <w:rsid w:val="00EE64CB"/>
    <w:rsid w:val="00EE651A"/>
    <w:rsid w:val="00EE67A9"/>
    <w:rsid w:val="00EE6939"/>
    <w:rsid w:val="00EE6B8D"/>
    <w:rsid w:val="00EE6EA9"/>
    <w:rsid w:val="00EE71DB"/>
    <w:rsid w:val="00EE72F6"/>
    <w:rsid w:val="00EE735E"/>
    <w:rsid w:val="00EE7470"/>
    <w:rsid w:val="00EE74BE"/>
    <w:rsid w:val="00EE74E1"/>
    <w:rsid w:val="00EE75C3"/>
    <w:rsid w:val="00EE765B"/>
    <w:rsid w:val="00EE7701"/>
    <w:rsid w:val="00EE7758"/>
    <w:rsid w:val="00EE77CF"/>
    <w:rsid w:val="00EE7922"/>
    <w:rsid w:val="00EE7A76"/>
    <w:rsid w:val="00EE7AEA"/>
    <w:rsid w:val="00EE7B69"/>
    <w:rsid w:val="00EE7BB6"/>
    <w:rsid w:val="00EE7EC5"/>
    <w:rsid w:val="00EF01B8"/>
    <w:rsid w:val="00EF0404"/>
    <w:rsid w:val="00EF05B7"/>
    <w:rsid w:val="00EF0801"/>
    <w:rsid w:val="00EF092B"/>
    <w:rsid w:val="00EF099B"/>
    <w:rsid w:val="00EF09D7"/>
    <w:rsid w:val="00EF0BB9"/>
    <w:rsid w:val="00EF0CC6"/>
    <w:rsid w:val="00EF0CE1"/>
    <w:rsid w:val="00EF0F02"/>
    <w:rsid w:val="00EF0FA3"/>
    <w:rsid w:val="00EF13EF"/>
    <w:rsid w:val="00EF1562"/>
    <w:rsid w:val="00EF1667"/>
    <w:rsid w:val="00EF166D"/>
    <w:rsid w:val="00EF1748"/>
    <w:rsid w:val="00EF17D8"/>
    <w:rsid w:val="00EF188A"/>
    <w:rsid w:val="00EF1AF5"/>
    <w:rsid w:val="00EF1B07"/>
    <w:rsid w:val="00EF1B6A"/>
    <w:rsid w:val="00EF1E5C"/>
    <w:rsid w:val="00EF1E63"/>
    <w:rsid w:val="00EF1F14"/>
    <w:rsid w:val="00EF1FCF"/>
    <w:rsid w:val="00EF202C"/>
    <w:rsid w:val="00EF2071"/>
    <w:rsid w:val="00EF2261"/>
    <w:rsid w:val="00EF226C"/>
    <w:rsid w:val="00EF248D"/>
    <w:rsid w:val="00EF249F"/>
    <w:rsid w:val="00EF24B6"/>
    <w:rsid w:val="00EF25E4"/>
    <w:rsid w:val="00EF25EA"/>
    <w:rsid w:val="00EF2638"/>
    <w:rsid w:val="00EF28A5"/>
    <w:rsid w:val="00EF29E1"/>
    <w:rsid w:val="00EF2C4A"/>
    <w:rsid w:val="00EF2CB7"/>
    <w:rsid w:val="00EF2CC7"/>
    <w:rsid w:val="00EF2E47"/>
    <w:rsid w:val="00EF2F14"/>
    <w:rsid w:val="00EF2FF1"/>
    <w:rsid w:val="00EF3253"/>
    <w:rsid w:val="00EF32E9"/>
    <w:rsid w:val="00EF3339"/>
    <w:rsid w:val="00EF3546"/>
    <w:rsid w:val="00EF3658"/>
    <w:rsid w:val="00EF3799"/>
    <w:rsid w:val="00EF3803"/>
    <w:rsid w:val="00EF38D3"/>
    <w:rsid w:val="00EF39A0"/>
    <w:rsid w:val="00EF3CE5"/>
    <w:rsid w:val="00EF3F11"/>
    <w:rsid w:val="00EF41CD"/>
    <w:rsid w:val="00EF424B"/>
    <w:rsid w:val="00EF4306"/>
    <w:rsid w:val="00EF4317"/>
    <w:rsid w:val="00EF435F"/>
    <w:rsid w:val="00EF4434"/>
    <w:rsid w:val="00EF46F4"/>
    <w:rsid w:val="00EF4894"/>
    <w:rsid w:val="00EF494B"/>
    <w:rsid w:val="00EF494E"/>
    <w:rsid w:val="00EF4957"/>
    <w:rsid w:val="00EF4967"/>
    <w:rsid w:val="00EF4A2D"/>
    <w:rsid w:val="00EF4A6D"/>
    <w:rsid w:val="00EF4B05"/>
    <w:rsid w:val="00EF4B6A"/>
    <w:rsid w:val="00EF4C4A"/>
    <w:rsid w:val="00EF4CC4"/>
    <w:rsid w:val="00EF4DAF"/>
    <w:rsid w:val="00EF4F69"/>
    <w:rsid w:val="00EF50D3"/>
    <w:rsid w:val="00EF51E5"/>
    <w:rsid w:val="00EF527C"/>
    <w:rsid w:val="00EF5385"/>
    <w:rsid w:val="00EF5439"/>
    <w:rsid w:val="00EF5455"/>
    <w:rsid w:val="00EF5507"/>
    <w:rsid w:val="00EF5592"/>
    <w:rsid w:val="00EF582F"/>
    <w:rsid w:val="00EF58C3"/>
    <w:rsid w:val="00EF5961"/>
    <w:rsid w:val="00EF5970"/>
    <w:rsid w:val="00EF5A88"/>
    <w:rsid w:val="00EF5B0F"/>
    <w:rsid w:val="00EF5B62"/>
    <w:rsid w:val="00EF5CC0"/>
    <w:rsid w:val="00EF5CF8"/>
    <w:rsid w:val="00EF5F88"/>
    <w:rsid w:val="00EF605D"/>
    <w:rsid w:val="00EF60DB"/>
    <w:rsid w:val="00EF61FC"/>
    <w:rsid w:val="00EF62A7"/>
    <w:rsid w:val="00EF62F9"/>
    <w:rsid w:val="00EF636B"/>
    <w:rsid w:val="00EF6497"/>
    <w:rsid w:val="00EF64FD"/>
    <w:rsid w:val="00EF6517"/>
    <w:rsid w:val="00EF66D4"/>
    <w:rsid w:val="00EF681B"/>
    <w:rsid w:val="00EF6850"/>
    <w:rsid w:val="00EF6A2D"/>
    <w:rsid w:val="00EF6AA7"/>
    <w:rsid w:val="00EF6B1D"/>
    <w:rsid w:val="00EF6B2A"/>
    <w:rsid w:val="00EF6C91"/>
    <w:rsid w:val="00EF6E56"/>
    <w:rsid w:val="00EF6EE9"/>
    <w:rsid w:val="00EF6F0C"/>
    <w:rsid w:val="00EF7018"/>
    <w:rsid w:val="00EF7148"/>
    <w:rsid w:val="00EF7195"/>
    <w:rsid w:val="00EF71EB"/>
    <w:rsid w:val="00EF7479"/>
    <w:rsid w:val="00EF7652"/>
    <w:rsid w:val="00EF76B4"/>
    <w:rsid w:val="00EF76C9"/>
    <w:rsid w:val="00EF7790"/>
    <w:rsid w:val="00EF7E49"/>
    <w:rsid w:val="00EF7E7E"/>
    <w:rsid w:val="00EF7F52"/>
    <w:rsid w:val="00EF7F5E"/>
    <w:rsid w:val="00EF7F64"/>
    <w:rsid w:val="00F00217"/>
    <w:rsid w:val="00F00259"/>
    <w:rsid w:val="00F00260"/>
    <w:rsid w:val="00F004D4"/>
    <w:rsid w:val="00F005E6"/>
    <w:rsid w:val="00F00641"/>
    <w:rsid w:val="00F006BE"/>
    <w:rsid w:val="00F00711"/>
    <w:rsid w:val="00F00871"/>
    <w:rsid w:val="00F00B1D"/>
    <w:rsid w:val="00F00BBF"/>
    <w:rsid w:val="00F00C9C"/>
    <w:rsid w:val="00F00DBC"/>
    <w:rsid w:val="00F00E8F"/>
    <w:rsid w:val="00F00F7F"/>
    <w:rsid w:val="00F00FAE"/>
    <w:rsid w:val="00F00FD3"/>
    <w:rsid w:val="00F01088"/>
    <w:rsid w:val="00F0117C"/>
    <w:rsid w:val="00F013A2"/>
    <w:rsid w:val="00F014D6"/>
    <w:rsid w:val="00F0159F"/>
    <w:rsid w:val="00F0169D"/>
    <w:rsid w:val="00F01757"/>
    <w:rsid w:val="00F01764"/>
    <w:rsid w:val="00F01BCD"/>
    <w:rsid w:val="00F02049"/>
    <w:rsid w:val="00F0207E"/>
    <w:rsid w:val="00F02495"/>
    <w:rsid w:val="00F0273E"/>
    <w:rsid w:val="00F027F6"/>
    <w:rsid w:val="00F028FF"/>
    <w:rsid w:val="00F02B48"/>
    <w:rsid w:val="00F02B7D"/>
    <w:rsid w:val="00F02CC4"/>
    <w:rsid w:val="00F02D6E"/>
    <w:rsid w:val="00F02D86"/>
    <w:rsid w:val="00F02F8E"/>
    <w:rsid w:val="00F03041"/>
    <w:rsid w:val="00F03510"/>
    <w:rsid w:val="00F035AC"/>
    <w:rsid w:val="00F03648"/>
    <w:rsid w:val="00F03692"/>
    <w:rsid w:val="00F036B0"/>
    <w:rsid w:val="00F036B5"/>
    <w:rsid w:val="00F0371B"/>
    <w:rsid w:val="00F0392C"/>
    <w:rsid w:val="00F03AA2"/>
    <w:rsid w:val="00F03C4F"/>
    <w:rsid w:val="00F03CB4"/>
    <w:rsid w:val="00F03E81"/>
    <w:rsid w:val="00F03FAD"/>
    <w:rsid w:val="00F03FB9"/>
    <w:rsid w:val="00F04068"/>
    <w:rsid w:val="00F04080"/>
    <w:rsid w:val="00F040C5"/>
    <w:rsid w:val="00F04298"/>
    <w:rsid w:val="00F04301"/>
    <w:rsid w:val="00F04571"/>
    <w:rsid w:val="00F047EE"/>
    <w:rsid w:val="00F048C2"/>
    <w:rsid w:val="00F0491C"/>
    <w:rsid w:val="00F04924"/>
    <w:rsid w:val="00F04956"/>
    <w:rsid w:val="00F0497E"/>
    <w:rsid w:val="00F04A0D"/>
    <w:rsid w:val="00F04A21"/>
    <w:rsid w:val="00F04A83"/>
    <w:rsid w:val="00F04AE3"/>
    <w:rsid w:val="00F04BEA"/>
    <w:rsid w:val="00F04C97"/>
    <w:rsid w:val="00F04D51"/>
    <w:rsid w:val="00F04D5E"/>
    <w:rsid w:val="00F04D67"/>
    <w:rsid w:val="00F04EED"/>
    <w:rsid w:val="00F04F0D"/>
    <w:rsid w:val="00F04F37"/>
    <w:rsid w:val="00F04F6F"/>
    <w:rsid w:val="00F05442"/>
    <w:rsid w:val="00F0551A"/>
    <w:rsid w:val="00F0559E"/>
    <w:rsid w:val="00F05754"/>
    <w:rsid w:val="00F05882"/>
    <w:rsid w:val="00F058CD"/>
    <w:rsid w:val="00F059DB"/>
    <w:rsid w:val="00F05AB4"/>
    <w:rsid w:val="00F05B3A"/>
    <w:rsid w:val="00F05B7F"/>
    <w:rsid w:val="00F05CDC"/>
    <w:rsid w:val="00F05DA3"/>
    <w:rsid w:val="00F05F5F"/>
    <w:rsid w:val="00F05FDA"/>
    <w:rsid w:val="00F061DD"/>
    <w:rsid w:val="00F062B8"/>
    <w:rsid w:val="00F06344"/>
    <w:rsid w:val="00F063A3"/>
    <w:rsid w:val="00F06449"/>
    <w:rsid w:val="00F064EE"/>
    <w:rsid w:val="00F06533"/>
    <w:rsid w:val="00F0655C"/>
    <w:rsid w:val="00F0684D"/>
    <w:rsid w:val="00F069CD"/>
    <w:rsid w:val="00F06A23"/>
    <w:rsid w:val="00F06A35"/>
    <w:rsid w:val="00F06B38"/>
    <w:rsid w:val="00F06CC4"/>
    <w:rsid w:val="00F06CE5"/>
    <w:rsid w:val="00F06F7F"/>
    <w:rsid w:val="00F06FE0"/>
    <w:rsid w:val="00F07097"/>
    <w:rsid w:val="00F072EE"/>
    <w:rsid w:val="00F072F1"/>
    <w:rsid w:val="00F07389"/>
    <w:rsid w:val="00F07393"/>
    <w:rsid w:val="00F073CF"/>
    <w:rsid w:val="00F073D6"/>
    <w:rsid w:val="00F074B7"/>
    <w:rsid w:val="00F075AA"/>
    <w:rsid w:val="00F07815"/>
    <w:rsid w:val="00F07845"/>
    <w:rsid w:val="00F0792E"/>
    <w:rsid w:val="00F079AA"/>
    <w:rsid w:val="00F079FB"/>
    <w:rsid w:val="00F07A24"/>
    <w:rsid w:val="00F07A62"/>
    <w:rsid w:val="00F07AB6"/>
    <w:rsid w:val="00F07AEF"/>
    <w:rsid w:val="00F07B4E"/>
    <w:rsid w:val="00F07C33"/>
    <w:rsid w:val="00F07E11"/>
    <w:rsid w:val="00F10077"/>
    <w:rsid w:val="00F102FD"/>
    <w:rsid w:val="00F10310"/>
    <w:rsid w:val="00F10351"/>
    <w:rsid w:val="00F10503"/>
    <w:rsid w:val="00F10510"/>
    <w:rsid w:val="00F1059C"/>
    <w:rsid w:val="00F105A5"/>
    <w:rsid w:val="00F10619"/>
    <w:rsid w:val="00F108A3"/>
    <w:rsid w:val="00F109EC"/>
    <w:rsid w:val="00F10D28"/>
    <w:rsid w:val="00F10DA4"/>
    <w:rsid w:val="00F10DDD"/>
    <w:rsid w:val="00F10E05"/>
    <w:rsid w:val="00F10F44"/>
    <w:rsid w:val="00F11011"/>
    <w:rsid w:val="00F110D1"/>
    <w:rsid w:val="00F110D4"/>
    <w:rsid w:val="00F11190"/>
    <w:rsid w:val="00F112E7"/>
    <w:rsid w:val="00F11331"/>
    <w:rsid w:val="00F11340"/>
    <w:rsid w:val="00F1134A"/>
    <w:rsid w:val="00F114B0"/>
    <w:rsid w:val="00F115CE"/>
    <w:rsid w:val="00F1161E"/>
    <w:rsid w:val="00F11787"/>
    <w:rsid w:val="00F11AEC"/>
    <w:rsid w:val="00F11B63"/>
    <w:rsid w:val="00F11CC3"/>
    <w:rsid w:val="00F11D1E"/>
    <w:rsid w:val="00F11D45"/>
    <w:rsid w:val="00F11FC4"/>
    <w:rsid w:val="00F12223"/>
    <w:rsid w:val="00F12261"/>
    <w:rsid w:val="00F122CB"/>
    <w:rsid w:val="00F122CF"/>
    <w:rsid w:val="00F12305"/>
    <w:rsid w:val="00F12336"/>
    <w:rsid w:val="00F123F1"/>
    <w:rsid w:val="00F12416"/>
    <w:rsid w:val="00F12464"/>
    <w:rsid w:val="00F125A3"/>
    <w:rsid w:val="00F12622"/>
    <w:rsid w:val="00F12A56"/>
    <w:rsid w:val="00F12B89"/>
    <w:rsid w:val="00F12BD9"/>
    <w:rsid w:val="00F12D73"/>
    <w:rsid w:val="00F130C7"/>
    <w:rsid w:val="00F131C5"/>
    <w:rsid w:val="00F1322C"/>
    <w:rsid w:val="00F133A3"/>
    <w:rsid w:val="00F1347B"/>
    <w:rsid w:val="00F135B8"/>
    <w:rsid w:val="00F13684"/>
    <w:rsid w:val="00F13A65"/>
    <w:rsid w:val="00F13ABC"/>
    <w:rsid w:val="00F13C0C"/>
    <w:rsid w:val="00F13CBC"/>
    <w:rsid w:val="00F13D5F"/>
    <w:rsid w:val="00F13D8D"/>
    <w:rsid w:val="00F13E57"/>
    <w:rsid w:val="00F140CE"/>
    <w:rsid w:val="00F14101"/>
    <w:rsid w:val="00F14199"/>
    <w:rsid w:val="00F141F1"/>
    <w:rsid w:val="00F141FC"/>
    <w:rsid w:val="00F1426C"/>
    <w:rsid w:val="00F14344"/>
    <w:rsid w:val="00F1438D"/>
    <w:rsid w:val="00F143CD"/>
    <w:rsid w:val="00F144AA"/>
    <w:rsid w:val="00F14566"/>
    <w:rsid w:val="00F14617"/>
    <w:rsid w:val="00F14623"/>
    <w:rsid w:val="00F14647"/>
    <w:rsid w:val="00F14679"/>
    <w:rsid w:val="00F14845"/>
    <w:rsid w:val="00F14995"/>
    <w:rsid w:val="00F149BB"/>
    <w:rsid w:val="00F14A70"/>
    <w:rsid w:val="00F14AEB"/>
    <w:rsid w:val="00F14BC9"/>
    <w:rsid w:val="00F14E0D"/>
    <w:rsid w:val="00F1503B"/>
    <w:rsid w:val="00F150ED"/>
    <w:rsid w:val="00F15139"/>
    <w:rsid w:val="00F15199"/>
    <w:rsid w:val="00F151DB"/>
    <w:rsid w:val="00F1525C"/>
    <w:rsid w:val="00F1529E"/>
    <w:rsid w:val="00F1563F"/>
    <w:rsid w:val="00F158C4"/>
    <w:rsid w:val="00F15A0F"/>
    <w:rsid w:val="00F15B9A"/>
    <w:rsid w:val="00F15C4C"/>
    <w:rsid w:val="00F15D43"/>
    <w:rsid w:val="00F15D5B"/>
    <w:rsid w:val="00F15DF3"/>
    <w:rsid w:val="00F15E0A"/>
    <w:rsid w:val="00F16097"/>
    <w:rsid w:val="00F160BD"/>
    <w:rsid w:val="00F16106"/>
    <w:rsid w:val="00F1642C"/>
    <w:rsid w:val="00F1647E"/>
    <w:rsid w:val="00F164A9"/>
    <w:rsid w:val="00F16570"/>
    <w:rsid w:val="00F16B5E"/>
    <w:rsid w:val="00F16BC4"/>
    <w:rsid w:val="00F16D3D"/>
    <w:rsid w:val="00F16ED3"/>
    <w:rsid w:val="00F17120"/>
    <w:rsid w:val="00F17164"/>
    <w:rsid w:val="00F1717B"/>
    <w:rsid w:val="00F174C6"/>
    <w:rsid w:val="00F17514"/>
    <w:rsid w:val="00F1789F"/>
    <w:rsid w:val="00F17A44"/>
    <w:rsid w:val="00F17ABC"/>
    <w:rsid w:val="00F17B84"/>
    <w:rsid w:val="00F17D15"/>
    <w:rsid w:val="00F17FF2"/>
    <w:rsid w:val="00F20134"/>
    <w:rsid w:val="00F20207"/>
    <w:rsid w:val="00F203AA"/>
    <w:rsid w:val="00F204C0"/>
    <w:rsid w:val="00F20596"/>
    <w:rsid w:val="00F2063C"/>
    <w:rsid w:val="00F206D4"/>
    <w:rsid w:val="00F2092C"/>
    <w:rsid w:val="00F20AE8"/>
    <w:rsid w:val="00F20BE9"/>
    <w:rsid w:val="00F20C75"/>
    <w:rsid w:val="00F20C95"/>
    <w:rsid w:val="00F20D9B"/>
    <w:rsid w:val="00F212B0"/>
    <w:rsid w:val="00F2136B"/>
    <w:rsid w:val="00F21438"/>
    <w:rsid w:val="00F21912"/>
    <w:rsid w:val="00F21985"/>
    <w:rsid w:val="00F21B2E"/>
    <w:rsid w:val="00F21C85"/>
    <w:rsid w:val="00F21DDB"/>
    <w:rsid w:val="00F21E32"/>
    <w:rsid w:val="00F21E5D"/>
    <w:rsid w:val="00F21FFE"/>
    <w:rsid w:val="00F22001"/>
    <w:rsid w:val="00F220E5"/>
    <w:rsid w:val="00F2240E"/>
    <w:rsid w:val="00F224AB"/>
    <w:rsid w:val="00F224DD"/>
    <w:rsid w:val="00F225F7"/>
    <w:rsid w:val="00F22654"/>
    <w:rsid w:val="00F226B8"/>
    <w:rsid w:val="00F226EA"/>
    <w:rsid w:val="00F2271F"/>
    <w:rsid w:val="00F227C3"/>
    <w:rsid w:val="00F227F6"/>
    <w:rsid w:val="00F228A4"/>
    <w:rsid w:val="00F228AF"/>
    <w:rsid w:val="00F228CA"/>
    <w:rsid w:val="00F22973"/>
    <w:rsid w:val="00F22AA7"/>
    <w:rsid w:val="00F22C5E"/>
    <w:rsid w:val="00F22CA4"/>
    <w:rsid w:val="00F22DDF"/>
    <w:rsid w:val="00F22E51"/>
    <w:rsid w:val="00F230A6"/>
    <w:rsid w:val="00F2329A"/>
    <w:rsid w:val="00F2330B"/>
    <w:rsid w:val="00F23428"/>
    <w:rsid w:val="00F23484"/>
    <w:rsid w:val="00F235DF"/>
    <w:rsid w:val="00F23773"/>
    <w:rsid w:val="00F2389C"/>
    <w:rsid w:val="00F23992"/>
    <w:rsid w:val="00F23A64"/>
    <w:rsid w:val="00F23D73"/>
    <w:rsid w:val="00F23E02"/>
    <w:rsid w:val="00F24120"/>
    <w:rsid w:val="00F241F1"/>
    <w:rsid w:val="00F242F6"/>
    <w:rsid w:val="00F243B4"/>
    <w:rsid w:val="00F24479"/>
    <w:rsid w:val="00F246B1"/>
    <w:rsid w:val="00F246C6"/>
    <w:rsid w:val="00F246FE"/>
    <w:rsid w:val="00F24732"/>
    <w:rsid w:val="00F24870"/>
    <w:rsid w:val="00F24984"/>
    <w:rsid w:val="00F24A2C"/>
    <w:rsid w:val="00F24B4A"/>
    <w:rsid w:val="00F24DCD"/>
    <w:rsid w:val="00F257DD"/>
    <w:rsid w:val="00F25936"/>
    <w:rsid w:val="00F25A3B"/>
    <w:rsid w:val="00F25A8E"/>
    <w:rsid w:val="00F25AE3"/>
    <w:rsid w:val="00F25B0C"/>
    <w:rsid w:val="00F25B13"/>
    <w:rsid w:val="00F26037"/>
    <w:rsid w:val="00F26141"/>
    <w:rsid w:val="00F26183"/>
    <w:rsid w:val="00F2628E"/>
    <w:rsid w:val="00F262A6"/>
    <w:rsid w:val="00F26461"/>
    <w:rsid w:val="00F264DB"/>
    <w:rsid w:val="00F265F1"/>
    <w:rsid w:val="00F26715"/>
    <w:rsid w:val="00F26890"/>
    <w:rsid w:val="00F26926"/>
    <w:rsid w:val="00F26975"/>
    <w:rsid w:val="00F26CF8"/>
    <w:rsid w:val="00F26F72"/>
    <w:rsid w:val="00F26FBE"/>
    <w:rsid w:val="00F2703D"/>
    <w:rsid w:val="00F2714E"/>
    <w:rsid w:val="00F27167"/>
    <w:rsid w:val="00F27246"/>
    <w:rsid w:val="00F273F1"/>
    <w:rsid w:val="00F27433"/>
    <w:rsid w:val="00F2767C"/>
    <w:rsid w:val="00F27683"/>
    <w:rsid w:val="00F2790A"/>
    <w:rsid w:val="00F27CA5"/>
    <w:rsid w:val="00F27E9A"/>
    <w:rsid w:val="00F27E9C"/>
    <w:rsid w:val="00F27ED1"/>
    <w:rsid w:val="00F27ED3"/>
    <w:rsid w:val="00F27F3B"/>
    <w:rsid w:val="00F3001C"/>
    <w:rsid w:val="00F300AB"/>
    <w:rsid w:val="00F301EE"/>
    <w:rsid w:val="00F3021A"/>
    <w:rsid w:val="00F30280"/>
    <w:rsid w:val="00F3039A"/>
    <w:rsid w:val="00F303AD"/>
    <w:rsid w:val="00F303F5"/>
    <w:rsid w:val="00F3050E"/>
    <w:rsid w:val="00F305B5"/>
    <w:rsid w:val="00F3065B"/>
    <w:rsid w:val="00F30680"/>
    <w:rsid w:val="00F306CB"/>
    <w:rsid w:val="00F30AD1"/>
    <w:rsid w:val="00F30C2F"/>
    <w:rsid w:val="00F30CD5"/>
    <w:rsid w:val="00F30D20"/>
    <w:rsid w:val="00F30D65"/>
    <w:rsid w:val="00F30F87"/>
    <w:rsid w:val="00F30FBD"/>
    <w:rsid w:val="00F30FD5"/>
    <w:rsid w:val="00F3109A"/>
    <w:rsid w:val="00F310F6"/>
    <w:rsid w:val="00F3120C"/>
    <w:rsid w:val="00F31326"/>
    <w:rsid w:val="00F31466"/>
    <w:rsid w:val="00F314C6"/>
    <w:rsid w:val="00F3164D"/>
    <w:rsid w:val="00F31697"/>
    <w:rsid w:val="00F318F5"/>
    <w:rsid w:val="00F31C27"/>
    <w:rsid w:val="00F31CD6"/>
    <w:rsid w:val="00F31D2F"/>
    <w:rsid w:val="00F31D66"/>
    <w:rsid w:val="00F31ECF"/>
    <w:rsid w:val="00F31F54"/>
    <w:rsid w:val="00F320D9"/>
    <w:rsid w:val="00F320FD"/>
    <w:rsid w:val="00F323AF"/>
    <w:rsid w:val="00F32519"/>
    <w:rsid w:val="00F325C4"/>
    <w:rsid w:val="00F3271D"/>
    <w:rsid w:val="00F328E7"/>
    <w:rsid w:val="00F32A4D"/>
    <w:rsid w:val="00F32A6F"/>
    <w:rsid w:val="00F32B9E"/>
    <w:rsid w:val="00F32BD2"/>
    <w:rsid w:val="00F32C4F"/>
    <w:rsid w:val="00F331B2"/>
    <w:rsid w:val="00F331C2"/>
    <w:rsid w:val="00F33589"/>
    <w:rsid w:val="00F337FC"/>
    <w:rsid w:val="00F338A8"/>
    <w:rsid w:val="00F338E5"/>
    <w:rsid w:val="00F33A6B"/>
    <w:rsid w:val="00F33AF1"/>
    <w:rsid w:val="00F33B87"/>
    <w:rsid w:val="00F33C66"/>
    <w:rsid w:val="00F33E0F"/>
    <w:rsid w:val="00F33EFD"/>
    <w:rsid w:val="00F33F17"/>
    <w:rsid w:val="00F33FBC"/>
    <w:rsid w:val="00F33FEA"/>
    <w:rsid w:val="00F3417E"/>
    <w:rsid w:val="00F34232"/>
    <w:rsid w:val="00F343E7"/>
    <w:rsid w:val="00F345C9"/>
    <w:rsid w:val="00F345D3"/>
    <w:rsid w:val="00F34790"/>
    <w:rsid w:val="00F34827"/>
    <w:rsid w:val="00F34837"/>
    <w:rsid w:val="00F34972"/>
    <w:rsid w:val="00F34ABC"/>
    <w:rsid w:val="00F34C77"/>
    <w:rsid w:val="00F3514B"/>
    <w:rsid w:val="00F3525E"/>
    <w:rsid w:val="00F355DB"/>
    <w:rsid w:val="00F356F0"/>
    <w:rsid w:val="00F35703"/>
    <w:rsid w:val="00F3570F"/>
    <w:rsid w:val="00F35719"/>
    <w:rsid w:val="00F35757"/>
    <w:rsid w:val="00F35832"/>
    <w:rsid w:val="00F3587B"/>
    <w:rsid w:val="00F35917"/>
    <w:rsid w:val="00F35C55"/>
    <w:rsid w:val="00F35CB0"/>
    <w:rsid w:val="00F35DEC"/>
    <w:rsid w:val="00F35E49"/>
    <w:rsid w:val="00F3601C"/>
    <w:rsid w:val="00F3609B"/>
    <w:rsid w:val="00F36123"/>
    <w:rsid w:val="00F36503"/>
    <w:rsid w:val="00F369A6"/>
    <w:rsid w:val="00F36C25"/>
    <w:rsid w:val="00F36F33"/>
    <w:rsid w:val="00F36FF8"/>
    <w:rsid w:val="00F370DE"/>
    <w:rsid w:val="00F3712D"/>
    <w:rsid w:val="00F3738B"/>
    <w:rsid w:val="00F375A4"/>
    <w:rsid w:val="00F37679"/>
    <w:rsid w:val="00F37947"/>
    <w:rsid w:val="00F37AB0"/>
    <w:rsid w:val="00F37B9B"/>
    <w:rsid w:val="00F37CDD"/>
    <w:rsid w:val="00F37DA5"/>
    <w:rsid w:val="00F37E77"/>
    <w:rsid w:val="00F37FA2"/>
    <w:rsid w:val="00F37FD9"/>
    <w:rsid w:val="00F40336"/>
    <w:rsid w:val="00F40386"/>
    <w:rsid w:val="00F4044C"/>
    <w:rsid w:val="00F40512"/>
    <w:rsid w:val="00F40615"/>
    <w:rsid w:val="00F40797"/>
    <w:rsid w:val="00F408E6"/>
    <w:rsid w:val="00F40926"/>
    <w:rsid w:val="00F409DD"/>
    <w:rsid w:val="00F40B3D"/>
    <w:rsid w:val="00F40E7F"/>
    <w:rsid w:val="00F40FDC"/>
    <w:rsid w:val="00F4128E"/>
    <w:rsid w:val="00F41399"/>
    <w:rsid w:val="00F415E6"/>
    <w:rsid w:val="00F416DC"/>
    <w:rsid w:val="00F4172A"/>
    <w:rsid w:val="00F418C2"/>
    <w:rsid w:val="00F4195C"/>
    <w:rsid w:val="00F419E1"/>
    <w:rsid w:val="00F41A46"/>
    <w:rsid w:val="00F41B95"/>
    <w:rsid w:val="00F41BA0"/>
    <w:rsid w:val="00F41E3C"/>
    <w:rsid w:val="00F420FE"/>
    <w:rsid w:val="00F42147"/>
    <w:rsid w:val="00F421C0"/>
    <w:rsid w:val="00F42228"/>
    <w:rsid w:val="00F42292"/>
    <w:rsid w:val="00F42313"/>
    <w:rsid w:val="00F423E8"/>
    <w:rsid w:val="00F42488"/>
    <w:rsid w:val="00F426FE"/>
    <w:rsid w:val="00F42891"/>
    <w:rsid w:val="00F428C0"/>
    <w:rsid w:val="00F42B9E"/>
    <w:rsid w:val="00F42BC5"/>
    <w:rsid w:val="00F42C45"/>
    <w:rsid w:val="00F42DF3"/>
    <w:rsid w:val="00F42EA1"/>
    <w:rsid w:val="00F42F05"/>
    <w:rsid w:val="00F4314E"/>
    <w:rsid w:val="00F43352"/>
    <w:rsid w:val="00F433BC"/>
    <w:rsid w:val="00F4349D"/>
    <w:rsid w:val="00F43538"/>
    <w:rsid w:val="00F436DE"/>
    <w:rsid w:val="00F436EF"/>
    <w:rsid w:val="00F43716"/>
    <w:rsid w:val="00F43746"/>
    <w:rsid w:val="00F43826"/>
    <w:rsid w:val="00F43873"/>
    <w:rsid w:val="00F4389D"/>
    <w:rsid w:val="00F43C01"/>
    <w:rsid w:val="00F43C79"/>
    <w:rsid w:val="00F43F3D"/>
    <w:rsid w:val="00F44085"/>
    <w:rsid w:val="00F443D9"/>
    <w:rsid w:val="00F4441D"/>
    <w:rsid w:val="00F44537"/>
    <w:rsid w:val="00F4469D"/>
    <w:rsid w:val="00F446C6"/>
    <w:rsid w:val="00F446CB"/>
    <w:rsid w:val="00F4476A"/>
    <w:rsid w:val="00F4495E"/>
    <w:rsid w:val="00F4496C"/>
    <w:rsid w:val="00F44A5A"/>
    <w:rsid w:val="00F44B83"/>
    <w:rsid w:val="00F44C60"/>
    <w:rsid w:val="00F44CD4"/>
    <w:rsid w:val="00F44CE8"/>
    <w:rsid w:val="00F44D9D"/>
    <w:rsid w:val="00F44EED"/>
    <w:rsid w:val="00F4506B"/>
    <w:rsid w:val="00F4506F"/>
    <w:rsid w:val="00F45406"/>
    <w:rsid w:val="00F456A0"/>
    <w:rsid w:val="00F45998"/>
    <w:rsid w:val="00F45AAB"/>
    <w:rsid w:val="00F45AB0"/>
    <w:rsid w:val="00F45ABB"/>
    <w:rsid w:val="00F45ACA"/>
    <w:rsid w:val="00F45C5D"/>
    <w:rsid w:val="00F45E93"/>
    <w:rsid w:val="00F45EEE"/>
    <w:rsid w:val="00F4613E"/>
    <w:rsid w:val="00F46301"/>
    <w:rsid w:val="00F46388"/>
    <w:rsid w:val="00F464E6"/>
    <w:rsid w:val="00F4678B"/>
    <w:rsid w:val="00F467CF"/>
    <w:rsid w:val="00F468AE"/>
    <w:rsid w:val="00F46912"/>
    <w:rsid w:val="00F46A05"/>
    <w:rsid w:val="00F46ABF"/>
    <w:rsid w:val="00F46BFD"/>
    <w:rsid w:val="00F46C1C"/>
    <w:rsid w:val="00F46D9B"/>
    <w:rsid w:val="00F46EDF"/>
    <w:rsid w:val="00F46F9F"/>
    <w:rsid w:val="00F4703A"/>
    <w:rsid w:val="00F470F2"/>
    <w:rsid w:val="00F472BC"/>
    <w:rsid w:val="00F4736C"/>
    <w:rsid w:val="00F47410"/>
    <w:rsid w:val="00F47813"/>
    <w:rsid w:val="00F479D2"/>
    <w:rsid w:val="00F47BE7"/>
    <w:rsid w:val="00F47C3B"/>
    <w:rsid w:val="00F47F37"/>
    <w:rsid w:val="00F47F94"/>
    <w:rsid w:val="00F5006B"/>
    <w:rsid w:val="00F500E3"/>
    <w:rsid w:val="00F50146"/>
    <w:rsid w:val="00F501C5"/>
    <w:rsid w:val="00F502D8"/>
    <w:rsid w:val="00F503FA"/>
    <w:rsid w:val="00F50529"/>
    <w:rsid w:val="00F506C1"/>
    <w:rsid w:val="00F5071F"/>
    <w:rsid w:val="00F507AF"/>
    <w:rsid w:val="00F507D8"/>
    <w:rsid w:val="00F50BE8"/>
    <w:rsid w:val="00F50C20"/>
    <w:rsid w:val="00F50D3B"/>
    <w:rsid w:val="00F50FD5"/>
    <w:rsid w:val="00F5104B"/>
    <w:rsid w:val="00F51211"/>
    <w:rsid w:val="00F51315"/>
    <w:rsid w:val="00F51362"/>
    <w:rsid w:val="00F514F7"/>
    <w:rsid w:val="00F51776"/>
    <w:rsid w:val="00F51AB3"/>
    <w:rsid w:val="00F51BE4"/>
    <w:rsid w:val="00F51D73"/>
    <w:rsid w:val="00F51D9C"/>
    <w:rsid w:val="00F51DDC"/>
    <w:rsid w:val="00F52001"/>
    <w:rsid w:val="00F52206"/>
    <w:rsid w:val="00F52481"/>
    <w:rsid w:val="00F52675"/>
    <w:rsid w:val="00F52750"/>
    <w:rsid w:val="00F52813"/>
    <w:rsid w:val="00F52935"/>
    <w:rsid w:val="00F52A42"/>
    <w:rsid w:val="00F52BF0"/>
    <w:rsid w:val="00F52C91"/>
    <w:rsid w:val="00F52F42"/>
    <w:rsid w:val="00F52FE7"/>
    <w:rsid w:val="00F5314B"/>
    <w:rsid w:val="00F531B9"/>
    <w:rsid w:val="00F5322F"/>
    <w:rsid w:val="00F53502"/>
    <w:rsid w:val="00F5354C"/>
    <w:rsid w:val="00F535BB"/>
    <w:rsid w:val="00F53696"/>
    <w:rsid w:val="00F53834"/>
    <w:rsid w:val="00F538D7"/>
    <w:rsid w:val="00F53C41"/>
    <w:rsid w:val="00F53C64"/>
    <w:rsid w:val="00F53E60"/>
    <w:rsid w:val="00F53E64"/>
    <w:rsid w:val="00F53ED4"/>
    <w:rsid w:val="00F53F91"/>
    <w:rsid w:val="00F53FFC"/>
    <w:rsid w:val="00F541A2"/>
    <w:rsid w:val="00F541FF"/>
    <w:rsid w:val="00F5429F"/>
    <w:rsid w:val="00F542DD"/>
    <w:rsid w:val="00F542EA"/>
    <w:rsid w:val="00F542F2"/>
    <w:rsid w:val="00F54322"/>
    <w:rsid w:val="00F543D4"/>
    <w:rsid w:val="00F5444C"/>
    <w:rsid w:val="00F54580"/>
    <w:rsid w:val="00F5463F"/>
    <w:rsid w:val="00F546AD"/>
    <w:rsid w:val="00F5480B"/>
    <w:rsid w:val="00F549B0"/>
    <w:rsid w:val="00F549D5"/>
    <w:rsid w:val="00F54BA1"/>
    <w:rsid w:val="00F54BC9"/>
    <w:rsid w:val="00F54C4A"/>
    <w:rsid w:val="00F54E0F"/>
    <w:rsid w:val="00F54E38"/>
    <w:rsid w:val="00F552AF"/>
    <w:rsid w:val="00F55408"/>
    <w:rsid w:val="00F554A9"/>
    <w:rsid w:val="00F5557A"/>
    <w:rsid w:val="00F55585"/>
    <w:rsid w:val="00F5571B"/>
    <w:rsid w:val="00F559B4"/>
    <w:rsid w:val="00F55A77"/>
    <w:rsid w:val="00F55B9B"/>
    <w:rsid w:val="00F55C64"/>
    <w:rsid w:val="00F55CA7"/>
    <w:rsid w:val="00F55CDD"/>
    <w:rsid w:val="00F55EB8"/>
    <w:rsid w:val="00F55F93"/>
    <w:rsid w:val="00F5606C"/>
    <w:rsid w:val="00F56267"/>
    <w:rsid w:val="00F563F3"/>
    <w:rsid w:val="00F564BF"/>
    <w:rsid w:val="00F56502"/>
    <w:rsid w:val="00F5657C"/>
    <w:rsid w:val="00F568B0"/>
    <w:rsid w:val="00F56935"/>
    <w:rsid w:val="00F56968"/>
    <w:rsid w:val="00F56987"/>
    <w:rsid w:val="00F56A41"/>
    <w:rsid w:val="00F56AE7"/>
    <w:rsid w:val="00F56BC5"/>
    <w:rsid w:val="00F56C55"/>
    <w:rsid w:val="00F56DBB"/>
    <w:rsid w:val="00F5703E"/>
    <w:rsid w:val="00F5711E"/>
    <w:rsid w:val="00F57503"/>
    <w:rsid w:val="00F57521"/>
    <w:rsid w:val="00F57552"/>
    <w:rsid w:val="00F575F1"/>
    <w:rsid w:val="00F5762A"/>
    <w:rsid w:val="00F57B12"/>
    <w:rsid w:val="00F57CDF"/>
    <w:rsid w:val="00F6064A"/>
    <w:rsid w:val="00F60676"/>
    <w:rsid w:val="00F6067E"/>
    <w:rsid w:val="00F607FE"/>
    <w:rsid w:val="00F6092E"/>
    <w:rsid w:val="00F609FB"/>
    <w:rsid w:val="00F60ACB"/>
    <w:rsid w:val="00F60ADA"/>
    <w:rsid w:val="00F60AEC"/>
    <w:rsid w:val="00F60BF6"/>
    <w:rsid w:val="00F60D88"/>
    <w:rsid w:val="00F60D8A"/>
    <w:rsid w:val="00F60E11"/>
    <w:rsid w:val="00F60E34"/>
    <w:rsid w:val="00F60EBC"/>
    <w:rsid w:val="00F60FEC"/>
    <w:rsid w:val="00F61081"/>
    <w:rsid w:val="00F61158"/>
    <w:rsid w:val="00F61166"/>
    <w:rsid w:val="00F611AC"/>
    <w:rsid w:val="00F612E7"/>
    <w:rsid w:val="00F6131E"/>
    <w:rsid w:val="00F61362"/>
    <w:rsid w:val="00F61507"/>
    <w:rsid w:val="00F61860"/>
    <w:rsid w:val="00F618C9"/>
    <w:rsid w:val="00F619CA"/>
    <w:rsid w:val="00F619CC"/>
    <w:rsid w:val="00F61B56"/>
    <w:rsid w:val="00F61B7B"/>
    <w:rsid w:val="00F61B93"/>
    <w:rsid w:val="00F61BA9"/>
    <w:rsid w:val="00F61BEB"/>
    <w:rsid w:val="00F61CE9"/>
    <w:rsid w:val="00F61E0E"/>
    <w:rsid w:val="00F61E3A"/>
    <w:rsid w:val="00F61F6D"/>
    <w:rsid w:val="00F62003"/>
    <w:rsid w:val="00F621DA"/>
    <w:rsid w:val="00F6221A"/>
    <w:rsid w:val="00F62318"/>
    <w:rsid w:val="00F624B9"/>
    <w:rsid w:val="00F6256E"/>
    <w:rsid w:val="00F6268D"/>
    <w:rsid w:val="00F626B3"/>
    <w:rsid w:val="00F628E6"/>
    <w:rsid w:val="00F62AA7"/>
    <w:rsid w:val="00F62B2E"/>
    <w:rsid w:val="00F62B74"/>
    <w:rsid w:val="00F62CE1"/>
    <w:rsid w:val="00F62DBF"/>
    <w:rsid w:val="00F62F3F"/>
    <w:rsid w:val="00F62FB5"/>
    <w:rsid w:val="00F62FD8"/>
    <w:rsid w:val="00F63052"/>
    <w:rsid w:val="00F63104"/>
    <w:rsid w:val="00F6345E"/>
    <w:rsid w:val="00F63597"/>
    <w:rsid w:val="00F635A7"/>
    <w:rsid w:val="00F635CA"/>
    <w:rsid w:val="00F636A6"/>
    <w:rsid w:val="00F63945"/>
    <w:rsid w:val="00F63AA9"/>
    <w:rsid w:val="00F63BDC"/>
    <w:rsid w:val="00F63CA4"/>
    <w:rsid w:val="00F63CE5"/>
    <w:rsid w:val="00F63E48"/>
    <w:rsid w:val="00F6426D"/>
    <w:rsid w:val="00F64290"/>
    <w:rsid w:val="00F64306"/>
    <w:rsid w:val="00F64413"/>
    <w:rsid w:val="00F644CE"/>
    <w:rsid w:val="00F644F4"/>
    <w:rsid w:val="00F64621"/>
    <w:rsid w:val="00F647AC"/>
    <w:rsid w:val="00F64962"/>
    <w:rsid w:val="00F6496C"/>
    <w:rsid w:val="00F649CC"/>
    <w:rsid w:val="00F64B48"/>
    <w:rsid w:val="00F64B7D"/>
    <w:rsid w:val="00F64CD8"/>
    <w:rsid w:val="00F64E51"/>
    <w:rsid w:val="00F64EC7"/>
    <w:rsid w:val="00F650DF"/>
    <w:rsid w:val="00F65235"/>
    <w:rsid w:val="00F65495"/>
    <w:rsid w:val="00F65688"/>
    <w:rsid w:val="00F6568B"/>
    <w:rsid w:val="00F656AE"/>
    <w:rsid w:val="00F657AB"/>
    <w:rsid w:val="00F65826"/>
    <w:rsid w:val="00F65A39"/>
    <w:rsid w:val="00F65A82"/>
    <w:rsid w:val="00F65A9E"/>
    <w:rsid w:val="00F65C82"/>
    <w:rsid w:val="00F65CD6"/>
    <w:rsid w:val="00F65E4D"/>
    <w:rsid w:val="00F65F07"/>
    <w:rsid w:val="00F6623C"/>
    <w:rsid w:val="00F662CE"/>
    <w:rsid w:val="00F66383"/>
    <w:rsid w:val="00F664C4"/>
    <w:rsid w:val="00F6656A"/>
    <w:rsid w:val="00F66653"/>
    <w:rsid w:val="00F6690B"/>
    <w:rsid w:val="00F66C2A"/>
    <w:rsid w:val="00F66E13"/>
    <w:rsid w:val="00F66E90"/>
    <w:rsid w:val="00F66EA5"/>
    <w:rsid w:val="00F6706C"/>
    <w:rsid w:val="00F670BB"/>
    <w:rsid w:val="00F6712A"/>
    <w:rsid w:val="00F6720C"/>
    <w:rsid w:val="00F67424"/>
    <w:rsid w:val="00F67504"/>
    <w:rsid w:val="00F675E6"/>
    <w:rsid w:val="00F676E0"/>
    <w:rsid w:val="00F67924"/>
    <w:rsid w:val="00F67CD1"/>
    <w:rsid w:val="00F67F2D"/>
    <w:rsid w:val="00F67FA9"/>
    <w:rsid w:val="00F70060"/>
    <w:rsid w:val="00F7007A"/>
    <w:rsid w:val="00F70183"/>
    <w:rsid w:val="00F70316"/>
    <w:rsid w:val="00F7032B"/>
    <w:rsid w:val="00F70335"/>
    <w:rsid w:val="00F7037F"/>
    <w:rsid w:val="00F7063E"/>
    <w:rsid w:val="00F706B7"/>
    <w:rsid w:val="00F706F6"/>
    <w:rsid w:val="00F707DE"/>
    <w:rsid w:val="00F70866"/>
    <w:rsid w:val="00F7088F"/>
    <w:rsid w:val="00F70920"/>
    <w:rsid w:val="00F709F3"/>
    <w:rsid w:val="00F70B84"/>
    <w:rsid w:val="00F70C23"/>
    <w:rsid w:val="00F70DC3"/>
    <w:rsid w:val="00F70DF5"/>
    <w:rsid w:val="00F70EFB"/>
    <w:rsid w:val="00F70F6F"/>
    <w:rsid w:val="00F71046"/>
    <w:rsid w:val="00F71056"/>
    <w:rsid w:val="00F71360"/>
    <w:rsid w:val="00F71721"/>
    <w:rsid w:val="00F717AE"/>
    <w:rsid w:val="00F71875"/>
    <w:rsid w:val="00F718FD"/>
    <w:rsid w:val="00F71A65"/>
    <w:rsid w:val="00F71A93"/>
    <w:rsid w:val="00F71B4D"/>
    <w:rsid w:val="00F71B4E"/>
    <w:rsid w:val="00F71D9E"/>
    <w:rsid w:val="00F71E22"/>
    <w:rsid w:val="00F71EF4"/>
    <w:rsid w:val="00F71F1D"/>
    <w:rsid w:val="00F7226F"/>
    <w:rsid w:val="00F722DC"/>
    <w:rsid w:val="00F7265B"/>
    <w:rsid w:val="00F726DD"/>
    <w:rsid w:val="00F72838"/>
    <w:rsid w:val="00F72948"/>
    <w:rsid w:val="00F729CF"/>
    <w:rsid w:val="00F729EA"/>
    <w:rsid w:val="00F729FA"/>
    <w:rsid w:val="00F72B5B"/>
    <w:rsid w:val="00F72CEC"/>
    <w:rsid w:val="00F72D3F"/>
    <w:rsid w:val="00F72D4B"/>
    <w:rsid w:val="00F72E61"/>
    <w:rsid w:val="00F72E84"/>
    <w:rsid w:val="00F72EBB"/>
    <w:rsid w:val="00F72F5D"/>
    <w:rsid w:val="00F72F7F"/>
    <w:rsid w:val="00F72FE8"/>
    <w:rsid w:val="00F72FF9"/>
    <w:rsid w:val="00F73166"/>
    <w:rsid w:val="00F734E0"/>
    <w:rsid w:val="00F7365F"/>
    <w:rsid w:val="00F73706"/>
    <w:rsid w:val="00F737F5"/>
    <w:rsid w:val="00F73E8B"/>
    <w:rsid w:val="00F73E8E"/>
    <w:rsid w:val="00F7401A"/>
    <w:rsid w:val="00F74088"/>
    <w:rsid w:val="00F740A6"/>
    <w:rsid w:val="00F744BA"/>
    <w:rsid w:val="00F74597"/>
    <w:rsid w:val="00F747B8"/>
    <w:rsid w:val="00F74873"/>
    <w:rsid w:val="00F7497A"/>
    <w:rsid w:val="00F74A42"/>
    <w:rsid w:val="00F74A7D"/>
    <w:rsid w:val="00F74BAB"/>
    <w:rsid w:val="00F74BD4"/>
    <w:rsid w:val="00F74D40"/>
    <w:rsid w:val="00F74D4D"/>
    <w:rsid w:val="00F757DF"/>
    <w:rsid w:val="00F75838"/>
    <w:rsid w:val="00F7591A"/>
    <w:rsid w:val="00F7599B"/>
    <w:rsid w:val="00F75AF0"/>
    <w:rsid w:val="00F75BBC"/>
    <w:rsid w:val="00F75BD7"/>
    <w:rsid w:val="00F75BEB"/>
    <w:rsid w:val="00F75C77"/>
    <w:rsid w:val="00F75CD3"/>
    <w:rsid w:val="00F75DF6"/>
    <w:rsid w:val="00F75E4A"/>
    <w:rsid w:val="00F75E93"/>
    <w:rsid w:val="00F76021"/>
    <w:rsid w:val="00F76080"/>
    <w:rsid w:val="00F76094"/>
    <w:rsid w:val="00F7617C"/>
    <w:rsid w:val="00F762DE"/>
    <w:rsid w:val="00F76350"/>
    <w:rsid w:val="00F7641A"/>
    <w:rsid w:val="00F7641C"/>
    <w:rsid w:val="00F765FC"/>
    <w:rsid w:val="00F76717"/>
    <w:rsid w:val="00F767C2"/>
    <w:rsid w:val="00F767EB"/>
    <w:rsid w:val="00F76E5E"/>
    <w:rsid w:val="00F771B7"/>
    <w:rsid w:val="00F77390"/>
    <w:rsid w:val="00F77489"/>
    <w:rsid w:val="00F77553"/>
    <w:rsid w:val="00F77710"/>
    <w:rsid w:val="00F77A6E"/>
    <w:rsid w:val="00F77A99"/>
    <w:rsid w:val="00F77B41"/>
    <w:rsid w:val="00F77C4D"/>
    <w:rsid w:val="00F77CB8"/>
    <w:rsid w:val="00F77F26"/>
    <w:rsid w:val="00F801F6"/>
    <w:rsid w:val="00F8023A"/>
    <w:rsid w:val="00F803B4"/>
    <w:rsid w:val="00F8069B"/>
    <w:rsid w:val="00F8071E"/>
    <w:rsid w:val="00F808A3"/>
    <w:rsid w:val="00F80963"/>
    <w:rsid w:val="00F809B8"/>
    <w:rsid w:val="00F80C66"/>
    <w:rsid w:val="00F80D43"/>
    <w:rsid w:val="00F80F70"/>
    <w:rsid w:val="00F80FD7"/>
    <w:rsid w:val="00F810DD"/>
    <w:rsid w:val="00F81391"/>
    <w:rsid w:val="00F81404"/>
    <w:rsid w:val="00F81600"/>
    <w:rsid w:val="00F817AE"/>
    <w:rsid w:val="00F81975"/>
    <w:rsid w:val="00F819AA"/>
    <w:rsid w:val="00F81A3F"/>
    <w:rsid w:val="00F81A79"/>
    <w:rsid w:val="00F81DD5"/>
    <w:rsid w:val="00F81F48"/>
    <w:rsid w:val="00F81FDB"/>
    <w:rsid w:val="00F81FFE"/>
    <w:rsid w:val="00F821C7"/>
    <w:rsid w:val="00F821F5"/>
    <w:rsid w:val="00F82242"/>
    <w:rsid w:val="00F82312"/>
    <w:rsid w:val="00F824EF"/>
    <w:rsid w:val="00F825BC"/>
    <w:rsid w:val="00F826DC"/>
    <w:rsid w:val="00F827E5"/>
    <w:rsid w:val="00F82A7F"/>
    <w:rsid w:val="00F82E40"/>
    <w:rsid w:val="00F83028"/>
    <w:rsid w:val="00F831C6"/>
    <w:rsid w:val="00F833F6"/>
    <w:rsid w:val="00F83885"/>
    <w:rsid w:val="00F83891"/>
    <w:rsid w:val="00F839AF"/>
    <w:rsid w:val="00F839BB"/>
    <w:rsid w:val="00F83A4B"/>
    <w:rsid w:val="00F83ABB"/>
    <w:rsid w:val="00F83AFF"/>
    <w:rsid w:val="00F83B41"/>
    <w:rsid w:val="00F83CBE"/>
    <w:rsid w:val="00F83D02"/>
    <w:rsid w:val="00F83D03"/>
    <w:rsid w:val="00F83D2F"/>
    <w:rsid w:val="00F83D66"/>
    <w:rsid w:val="00F83E97"/>
    <w:rsid w:val="00F83F5C"/>
    <w:rsid w:val="00F841D7"/>
    <w:rsid w:val="00F84237"/>
    <w:rsid w:val="00F84347"/>
    <w:rsid w:val="00F843A3"/>
    <w:rsid w:val="00F84516"/>
    <w:rsid w:val="00F845A1"/>
    <w:rsid w:val="00F847C0"/>
    <w:rsid w:val="00F847F8"/>
    <w:rsid w:val="00F84BD3"/>
    <w:rsid w:val="00F84CB6"/>
    <w:rsid w:val="00F84D14"/>
    <w:rsid w:val="00F84D4F"/>
    <w:rsid w:val="00F84DE8"/>
    <w:rsid w:val="00F84EDF"/>
    <w:rsid w:val="00F84FAA"/>
    <w:rsid w:val="00F852A9"/>
    <w:rsid w:val="00F852E6"/>
    <w:rsid w:val="00F8536D"/>
    <w:rsid w:val="00F853B2"/>
    <w:rsid w:val="00F8549D"/>
    <w:rsid w:val="00F8559F"/>
    <w:rsid w:val="00F85675"/>
    <w:rsid w:val="00F856D4"/>
    <w:rsid w:val="00F85768"/>
    <w:rsid w:val="00F85850"/>
    <w:rsid w:val="00F858C1"/>
    <w:rsid w:val="00F8591C"/>
    <w:rsid w:val="00F85ABF"/>
    <w:rsid w:val="00F85D34"/>
    <w:rsid w:val="00F85FB9"/>
    <w:rsid w:val="00F8634B"/>
    <w:rsid w:val="00F86372"/>
    <w:rsid w:val="00F863C7"/>
    <w:rsid w:val="00F8651D"/>
    <w:rsid w:val="00F865D3"/>
    <w:rsid w:val="00F86641"/>
    <w:rsid w:val="00F866C0"/>
    <w:rsid w:val="00F86724"/>
    <w:rsid w:val="00F86DC2"/>
    <w:rsid w:val="00F86E2E"/>
    <w:rsid w:val="00F86EB0"/>
    <w:rsid w:val="00F86F72"/>
    <w:rsid w:val="00F86FD2"/>
    <w:rsid w:val="00F8703F"/>
    <w:rsid w:val="00F87097"/>
    <w:rsid w:val="00F8709D"/>
    <w:rsid w:val="00F8731F"/>
    <w:rsid w:val="00F87680"/>
    <w:rsid w:val="00F8769F"/>
    <w:rsid w:val="00F876D4"/>
    <w:rsid w:val="00F8783E"/>
    <w:rsid w:val="00F878DB"/>
    <w:rsid w:val="00F87A1B"/>
    <w:rsid w:val="00F87DCD"/>
    <w:rsid w:val="00F90171"/>
    <w:rsid w:val="00F90240"/>
    <w:rsid w:val="00F90729"/>
    <w:rsid w:val="00F9073C"/>
    <w:rsid w:val="00F90A46"/>
    <w:rsid w:val="00F90AB4"/>
    <w:rsid w:val="00F90C6D"/>
    <w:rsid w:val="00F90D4B"/>
    <w:rsid w:val="00F90D73"/>
    <w:rsid w:val="00F90D9D"/>
    <w:rsid w:val="00F90EFC"/>
    <w:rsid w:val="00F91120"/>
    <w:rsid w:val="00F912CF"/>
    <w:rsid w:val="00F9140D"/>
    <w:rsid w:val="00F918BF"/>
    <w:rsid w:val="00F9194B"/>
    <w:rsid w:val="00F91CBF"/>
    <w:rsid w:val="00F91E05"/>
    <w:rsid w:val="00F92120"/>
    <w:rsid w:val="00F92196"/>
    <w:rsid w:val="00F921A8"/>
    <w:rsid w:val="00F923C9"/>
    <w:rsid w:val="00F92613"/>
    <w:rsid w:val="00F92A4C"/>
    <w:rsid w:val="00F92A8A"/>
    <w:rsid w:val="00F92B96"/>
    <w:rsid w:val="00F92E62"/>
    <w:rsid w:val="00F930C5"/>
    <w:rsid w:val="00F9334F"/>
    <w:rsid w:val="00F935E2"/>
    <w:rsid w:val="00F93654"/>
    <w:rsid w:val="00F93724"/>
    <w:rsid w:val="00F938A5"/>
    <w:rsid w:val="00F93912"/>
    <w:rsid w:val="00F939A5"/>
    <w:rsid w:val="00F939AE"/>
    <w:rsid w:val="00F93BA2"/>
    <w:rsid w:val="00F93C81"/>
    <w:rsid w:val="00F93D1D"/>
    <w:rsid w:val="00F9401C"/>
    <w:rsid w:val="00F94065"/>
    <w:rsid w:val="00F9418A"/>
    <w:rsid w:val="00F9444C"/>
    <w:rsid w:val="00F947CB"/>
    <w:rsid w:val="00F94835"/>
    <w:rsid w:val="00F948B3"/>
    <w:rsid w:val="00F94D34"/>
    <w:rsid w:val="00F94D93"/>
    <w:rsid w:val="00F94DCC"/>
    <w:rsid w:val="00F94F04"/>
    <w:rsid w:val="00F94F29"/>
    <w:rsid w:val="00F9502D"/>
    <w:rsid w:val="00F951DB"/>
    <w:rsid w:val="00F95254"/>
    <w:rsid w:val="00F95277"/>
    <w:rsid w:val="00F952CD"/>
    <w:rsid w:val="00F952FE"/>
    <w:rsid w:val="00F95510"/>
    <w:rsid w:val="00F95548"/>
    <w:rsid w:val="00F9555B"/>
    <w:rsid w:val="00F9559B"/>
    <w:rsid w:val="00F955C0"/>
    <w:rsid w:val="00F9564E"/>
    <w:rsid w:val="00F956A3"/>
    <w:rsid w:val="00F957A1"/>
    <w:rsid w:val="00F958F2"/>
    <w:rsid w:val="00F9594B"/>
    <w:rsid w:val="00F9595F"/>
    <w:rsid w:val="00F95971"/>
    <w:rsid w:val="00F95A0F"/>
    <w:rsid w:val="00F95AFD"/>
    <w:rsid w:val="00F95D09"/>
    <w:rsid w:val="00F95D2D"/>
    <w:rsid w:val="00F95D65"/>
    <w:rsid w:val="00F95E78"/>
    <w:rsid w:val="00F95F37"/>
    <w:rsid w:val="00F9616E"/>
    <w:rsid w:val="00F962B3"/>
    <w:rsid w:val="00F962BD"/>
    <w:rsid w:val="00F964D1"/>
    <w:rsid w:val="00F964D7"/>
    <w:rsid w:val="00F96659"/>
    <w:rsid w:val="00F966B1"/>
    <w:rsid w:val="00F96814"/>
    <w:rsid w:val="00F969D4"/>
    <w:rsid w:val="00F96A7C"/>
    <w:rsid w:val="00F96B0E"/>
    <w:rsid w:val="00F96BDD"/>
    <w:rsid w:val="00F96C34"/>
    <w:rsid w:val="00F96D61"/>
    <w:rsid w:val="00F96D94"/>
    <w:rsid w:val="00F96E75"/>
    <w:rsid w:val="00F96E8B"/>
    <w:rsid w:val="00F970AF"/>
    <w:rsid w:val="00F97102"/>
    <w:rsid w:val="00F97212"/>
    <w:rsid w:val="00F9727E"/>
    <w:rsid w:val="00F97295"/>
    <w:rsid w:val="00F97426"/>
    <w:rsid w:val="00F974AB"/>
    <w:rsid w:val="00F974E7"/>
    <w:rsid w:val="00F97BFF"/>
    <w:rsid w:val="00F97C01"/>
    <w:rsid w:val="00F97E17"/>
    <w:rsid w:val="00F97E5A"/>
    <w:rsid w:val="00F97F4B"/>
    <w:rsid w:val="00FA001D"/>
    <w:rsid w:val="00FA0036"/>
    <w:rsid w:val="00FA027F"/>
    <w:rsid w:val="00FA034B"/>
    <w:rsid w:val="00FA04D8"/>
    <w:rsid w:val="00FA0571"/>
    <w:rsid w:val="00FA0618"/>
    <w:rsid w:val="00FA0797"/>
    <w:rsid w:val="00FA08DB"/>
    <w:rsid w:val="00FA09D1"/>
    <w:rsid w:val="00FA0BDB"/>
    <w:rsid w:val="00FA0C25"/>
    <w:rsid w:val="00FA0C3F"/>
    <w:rsid w:val="00FA0C79"/>
    <w:rsid w:val="00FA0CD4"/>
    <w:rsid w:val="00FA0ECB"/>
    <w:rsid w:val="00FA11A2"/>
    <w:rsid w:val="00FA11DC"/>
    <w:rsid w:val="00FA1209"/>
    <w:rsid w:val="00FA132F"/>
    <w:rsid w:val="00FA13BD"/>
    <w:rsid w:val="00FA1513"/>
    <w:rsid w:val="00FA16FF"/>
    <w:rsid w:val="00FA1703"/>
    <w:rsid w:val="00FA17C3"/>
    <w:rsid w:val="00FA1929"/>
    <w:rsid w:val="00FA1A90"/>
    <w:rsid w:val="00FA1C3C"/>
    <w:rsid w:val="00FA1EE7"/>
    <w:rsid w:val="00FA1F4D"/>
    <w:rsid w:val="00FA1F65"/>
    <w:rsid w:val="00FA216A"/>
    <w:rsid w:val="00FA22F6"/>
    <w:rsid w:val="00FA23ED"/>
    <w:rsid w:val="00FA2444"/>
    <w:rsid w:val="00FA250C"/>
    <w:rsid w:val="00FA25A1"/>
    <w:rsid w:val="00FA27EA"/>
    <w:rsid w:val="00FA2859"/>
    <w:rsid w:val="00FA2A6C"/>
    <w:rsid w:val="00FA2AAA"/>
    <w:rsid w:val="00FA2AF6"/>
    <w:rsid w:val="00FA2B10"/>
    <w:rsid w:val="00FA2C2A"/>
    <w:rsid w:val="00FA2C4A"/>
    <w:rsid w:val="00FA2D66"/>
    <w:rsid w:val="00FA2DE5"/>
    <w:rsid w:val="00FA2E21"/>
    <w:rsid w:val="00FA3144"/>
    <w:rsid w:val="00FA317E"/>
    <w:rsid w:val="00FA31BE"/>
    <w:rsid w:val="00FA35E9"/>
    <w:rsid w:val="00FA364C"/>
    <w:rsid w:val="00FA3817"/>
    <w:rsid w:val="00FA38F0"/>
    <w:rsid w:val="00FA396D"/>
    <w:rsid w:val="00FA39D3"/>
    <w:rsid w:val="00FA3AAE"/>
    <w:rsid w:val="00FA3AFF"/>
    <w:rsid w:val="00FA3BAA"/>
    <w:rsid w:val="00FA3BC4"/>
    <w:rsid w:val="00FA3EAE"/>
    <w:rsid w:val="00FA401D"/>
    <w:rsid w:val="00FA4077"/>
    <w:rsid w:val="00FA411A"/>
    <w:rsid w:val="00FA41C8"/>
    <w:rsid w:val="00FA46A6"/>
    <w:rsid w:val="00FA4748"/>
    <w:rsid w:val="00FA499B"/>
    <w:rsid w:val="00FA4A44"/>
    <w:rsid w:val="00FA4ACD"/>
    <w:rsid w:val="00FA4B6B"/>
    <w:rsid w:val="00FA4D57"/>
    <w:rsid w:val="00FA4E1D"/>
    <w:rsid w:val="00FA4E4F"/>
    <w:rsid w:val="00FA4E9A"/>
    <w:rsid w:val="00FA50E3"/>
    <w:rsid w:val="00FA50FC"/>
    <w:rsid w:val="00FA5567"/>
    <w:rsid w:val="00FA5582"/>
    <w:rsid w:val="00FA559C"/>
    <w:rsid w:val="00FA585F"/>
    <w:rsid w:val="00FA5C00"/>
    <w:rsid w:val="00FA5E55"/>
    <w:rsid w:val="00FA5E8A"/>
    <w:rsid w:val="00FA5FA8"/>
    <w:rsid w:val="00FA622F"/>
    <w:rsid w:val="00FA6251"/>
    <w:rsid w:val="00FA6306"/>
    <w:rsid w:val="00FA63F2"/>
    <w:rsid w:val="00FA6469"/>
    <w:rsid w:val="00FA66DB"/>
    <w:rsid w:val="00FA67B8"/>
    <w:rsid w:val="00FA68C9"/>
    <w:rsid w:val="00FA6C00"/>
    <w:rsid w:val="00FA6FA5"/>
    <w:rsid w:val="00FA7136"/>
    <w:rsid w:val="00FA7199"/>
    <w:rsid w:val="00FA7441"/>
    <w:rsid w:val="00FA74D3"/>
    <w:rsid w:val="00FA75F8"/>
    <w:rsid w:val="00FA76CF"/>
    <w:rsid w:val="00FA7730"/>
    <w:rsid w:val="00FA7928"/>
    <w:rsid w:val="00FA7984"/>
    <w:rsid w:val="00FA7B03"/>
    <w:rsid w:val="00FA7C05"/>
    <w:rsid w:val="00FA7D11"/>
    <w:rsid w:val="00FA7EB0"/>
    <w:rsid w:val="00FB000C"/>
    <w:rsid w:val="00FB076D"/>
    <w:rsid w:val="00FB0AEF"/>
    <w:rsid w:val="00FB0D10"/>
    <w:rsid w:val="00FB0D1B"/>
    <w:rsid w:val="00FB0D1F"/>
    <w:rsid w:val="00FB0DAA"/>
    <w:rsid w:val="00FB0E8D"/>
    <w:rsid w:val="00FB0ED8"/>
    <w:rsid w:val="00FB107F"/>
    <w:rsid w:val="00FB13B9"/>
    <w:rsid w:val="00FB13FE"/>
    <w:rsid w:val="00FB159F"/>
    <w:rsid w:val="00FB1736"/>
    <w:rsid w:val="00FB17BD"/>
    <w:rsid w:val="00FB18EA"/>
    <w:rsid w:val="00FB18EF"/>
    <w:rsid w:val="00FB1941"/>
    <w:rsid w:val="00FB1ACF"/>
    <w:rsid w:val="00FB1B3F"/>
    <w:rsid w:val="00FB1D23"/>
    <w:rsid w:val="00FB1D46"/>
    <w:rsid w:val="00FB1FAF"/>
    <w:rsid w:val="00FB2268"/>
    <w:rsid w:val="00FB22B4"/>
    <w:rsid w:val="00FB239D"/>
    <w:rsid w:val="00FB2642"/>
    <w:rsid w:val="00FB2650"/>
    <w:rsid w:val="00FB26B3"/>
    <w:rsid w:val="00FB2747"/>
    <w:rsid w:val="00FB2820"/>
    <w:rsid w:val="00FB288A"/>
    <w:rsid w:val="00FB28C5"/>
    <w:rsid w:val="00FB299B"/>
    <w:rsid w:val="00FB29A9"/>
    <w:rsid w:val="00FB2A22"/>
    <w:rsid w:val="00FB2AA2"/>
    <w:rsid w:val="00FB2AC0"/>
    <w:rsid w:val="00FB2C16"/>
    <w:rsid w:val="00FB2D54"/>
    <w:rsid w:val="00FB2F44"/>
    <w:rsid w:val="00FB2F53"/>
    <w:rsid w:val="00FB2F91"/>
    <w:rsid w:val="00FB3185"/>
    <w:rsid w:val="00FB31A0"/>
    <w:rsid w:val="00FB31F6"/>
    <w:rsid w:val="00FB32C0"/>
    <w:rsid w:val="00FB3385"/>
    <w:rsid w:val="00FB33C8"/>
    <w:rsid w:val="00FB33D0"/>
    <w:rsid w:val="00FB35C7"/>
    <w:rsid w:val="00FB3697"/>
    <w:rsid w:val="00FB3854"/>
    <w:rsid w:val="00FB3861"/>
    <w:rsid w:val="00FB3BFD"/>
    <w:rsid w:val="00FB3DDB"/>
    <w:rsid w:val="00FB3E8A"/>
    <w:rsid w:val="00FB41BA"/>
    <w:rsid w:val="00FB41C2"/>
    <w:rsid w:val="00FB4343"/>
    <w:rsid w:val="00FB4353"/>
    <w:rsid w:val="00FB45DC"/>
    <w:rsid w:val="00FB45E9"/>
    <w:rsid w:val="00FB46D5"/>
    <w:rsid w:val="00FB4A13"/>
    <w:rsid w:val="00FB4DAC"/>
    <w:rsid w:val="00FB4FAB"/>
    <w:rsid w:val="00FB5171"/>
    <w:rsid w:val="00FB5174"/>
    <w:rsid w:val="00FB5211"/>
    <w:rsid w:val="00FB52F4"/>
    <w:rsid w:val="00FB5362"/>
    <w:rsid w:val="00FB5383"/>
    <w:rsid w:val="00FB53B3"/>
    <w:rsid w:val="00FB53BD"/>
    <w:rsid w:val="00FB5575"/>
    <w:rsid w:val="00FB55F5"/>
    <w:rsid w:val="00FB5686"/>
    <w:rsid w:val="00FB575D"/>
    <w:rsid w:val="00FB58DE"/>
    <w:rsid w:val="00FB5905"/>
    <w:rsid w:val="00FB598B"/>
    <w:rsid w:val="00FB5BE4"/>
    <w:rsid w:val="00FB5CAB"/>
    <w:rsid w:val="00FB5CB1"/>
    <w:rsid w:val="00FB5E24"/>
    <w:rsid w:val="00FB5F54"/>
    <w:rsid w:val="00FB5FB2"/>
    <w:rsid w:val="00FB6157"/>
    <w:rsid w:val="00FB62E0"/>
    <w:rsid w:val="00FB6525"/>
    <w:rsid w:val="00FB659F"/>
    <w:rsid w:val="00FB65DA"/>
    <w:rsid w:val="00FB68D5"/>
    <w:rsid w:val="00FB6900"/>
    <w:rsid w:val="00FB6BEB"/>
    <w:rsid w:val="00FB6CD9"/>
    <w:rsid w:val="00FB6DE3"/>
    <w:rsid w:val="00FB6FCA"/>
    <w:rsid w:val="00FB714D"/>
    <w:rsid w:val="00FB7170"/>
    <w:rsid w:val="00FB71CD"/>
    <w:rsid w:val="00FB73B4"/>
    <w:rsid w:val="00FB7573"/>
    <w:rsid w:val="00FB757C"/>
    <w:rsid w:val="00FB7765"/>
    <w:rsid w:val="00FB7768"/>
    <w:rsid w:val="00FB781A"/>
    <w:rsid w:val="00FB78F1"/>
    <w:rsid w:val="00FB7909"/>
    <w:rsid w:val="00FB7BF9"/>
    <w:rsid w:val="00FB7D14"/>
    <w:rsid w:val="00FB7D15"/>
    <w:rsid w:val="00FB7E25"/>
    <w:rsid w:val="00FB7EA6"/>
    <w:rsid w:val="00FB7EC5"/>
    <w:rsid w:val="00FB7F27"/>
    <w:rsid w:val="00FB7FD9"/>
    <w:rsid w:val="00FC05A2"/>
    <w:rsid w:val="00FC066E"/>
    <w:rsid w:val="00FC0717"/>
    <w:rsid w:val="00FC0739"/>
    <w:rsid w:val="00FC0816"/>
    <w:rsid w:val="00FC08B3"/>
    <w:rsid w:val="00FC09F2"/>
    <w:rsid w:val="00FC0A38"/>
    <w:rsid w:val="00FC0BA8"/>
    <w:rsid w:val="00FC10A8"/>
    <w:rsid w:val="00FC1121"/>
    <w:rsid w:val="00FC1149"/>
    <w:rsid w:val="00FC130E"/>
    <w:rsid w:val="00FC13C3"/>
    <w:rsid w:val="00FC1444"/>
    <w:rsid w:val="00FC14CF"/>
    <w:rsid w:val="00FC16AA"/>
    <w:rsid w:val="00FC1722"/>
    <w:rsid w:val="00FC189A"/>
    <w:rsid w:val="00FC19D8"/>
    <w:rsid w:val="00FC1AD5"/>
    <w:rsid w:val="00FC1BC7"/>
    <w:rsid w:val="00FC1CA9"/>
    <w:rsid w:val="00FC1E31"/>
    <w:rsid w:val="00FC20A7"/>
    <w:rsid w:val="00FC20D0"/>
    <w:rsid w:val="00FC2265"/>
    <w:rsid w:val="00FC22BA"/>
    <w:rsid w:val="00FC23CE"/>
    <w:rsid w:val="00FC23EA"/>
    <w:rsid w:val="00FC24BB"/>
    <w:rsid w:val="00FC24C4"/>
    <w:rsid w:val="00FC26FF"/>
    <w:rsid w:val="00FC2747"/>
    <w:rsid w:val="00FC29A5"/>
    <w:rsid w:val="00FC2BA7"/>
    <w:rsid w:val="00FC2D8D"/>
    <w:rsid w:val="00FC2FA7"/>
    <w:rsid w:val="00FC300C"/>
    <w:rsid w:val="00FC30E7"/>
    <w:rsid w:val="00FC327C"/>
    <w:rsid w:val="00FC327F"/>
    <w:rsid w:val="00FC35A6"/>
    <w:rsid w:val="00FC38A6"/>
    <w:rsid w:val="00FC397E"/>
    <w:rsid w:val="00FC39A3"/>
    <w:rsid w:val="00FC3A66"/>
    <w:rsid w:val="00FC3AFF"/>
    <w:rsid w:val="00FC3B25"/>
    <w:rsid w:val="00FC3D53"/>
    <w:rsid w:val="00FC3EE8"/>
    <w:rsid w:val="00FC402A"/>
    <w:rsid w:val="00FC444F"/>
    <w:rsid w:val="00FC44F3"/>
    <w:rsid w:val="00FC46B7"/>
    <w:rsid w:val="00FC46DD"/>
    <w:rsid w:val="00FC486B"/>
    <w:rsid w:val="00FC49F9"/>
    <w:rsid w:val="00FC4D0E"/>
    <w:rsid w:val="00FC4E24"/>
    <w:rsid w:val="00FC4E2B"/>
    <w:rsid w:val="00FC4F14"/>
    <w:rsid w:val="00FC51C0"/>
    <w:rsid w:val="00FC53CA"/>
    <w:rsid w:val="00FC5643"/>
    <w:rsid w:val="00FC56F1"/>
    <w:rsid w:val="00FC58B9"/>
    <w:rsid w:val="00FC5A08"/>
    <w:rsid w:val="00FC5A73"/>
    <w:rsid w:val="00FC5AE6"/>
    <w:rsid w:val="00FC5CC2"/>
    <w:rsid w:val="00FC5E66"/>
    <w:rsid w:val="00FC5F14"/>
    <w:rsid w:val="00FC5F3C"/>
    <w:rsid w:val="00FC6013"/>
    <w:rsid w:val="00FC60B8"/>
    <w:rsid w:val="00FC613E"/>
    <w:rsid w:val="00FC614E"/>
    <w:rsid w:val="00FC6164"/>
    <w:rsid w:val="00FC61C0"/>
    <w:rsid w:val="00FC6219"/>
    <w:rsid w:val="00FC6558"/>
    <w:rsid w:val="00FC6600"/>
    <w:rsid w:val="00FC682A"/>
    <w:rsid w:val="00FC689E"/>
    <w:rsid w:val="00FC6ABA"/>
    <w:rsid w:val="00FC6CAA"/>
    <w:rsid w:val="00FC6DF7"/>
    <w:rsid w:val="00FC6E92"/>
    <w:rsid w:val="00FC6E9D"/>
    <w:rsid w:val="00FC6F38"/>
    <w:rsid w:val="00FC6F52"/>
    <w:rsid w:val="00FC708A"/>
    <w:rsid w:val="00FC731C"/>
    <w:rsid w:val="00FC73E2"/>
    <w:rsid w:val="00FC74CC"/>
    <w:rsid w:val="00FC74F0"/>
    <w:rsid w:val="00FC7619"/>
    <w:rsid w:val="00FC76A9"/>
    <w:rsid w:val="00FC7724"/>
    <w:rsid w:val="00FC77E3"/>
    <w:rsid w:val="00FC7A3D"/>
    <w:rsid w:val="00FC7A55"/>
    <w:rsid w:val="00FC7AF8"/>
    <w:rsid w:val="00FC7BA2"/>
    <w:rsid w:val="00FC7BAC"/>
    <w:rsid w:val="00FC7BFE"/>
    <w:rsid w:val="00FC7D08"/>
    <w:rsid w:val="00FC7DDE"/>
    <w:rsid w:val="00FD0253"/>
    <w:rsid w:val="00FD0306"/>
    <w:rsid w:val="00FD036F"/>
    <w:rsid w:val="00FD047A"/>
    <w:rsid w:val="00FD07FE"/>
    <w:rsid w:val="00FD08D4"/>
    <w:rsid w:val="00FD09A3"/>
    <w:rsid w:val="00FD0A12"/>
    <w:rsid w:val="00FD0A81"/>
    <w:rsid w:val="00FD0C54"/>
    <w:rsid w:val="00FD0C7E"/>
    <w:rsid w:val="00FD0CAC"/>
    <w:rsid w:val="00FD0D00"/>
    <w:rsid w:val="00FD0D3E"/>
    <w:rsid w:val="00FD0F38"/>
    <w:rsid w:val="00FD0FA9"/>
    <w:rsid w:val="00FD1094"/>
    <w:rsid w:val="00FD15E3"/>
    <w:rsid w:val="00FD1795"/>
    <w:rsid w:val="00FD17C1"/>
    <w:rsid w:val="00FD1A48"/>
    <w:rsid w:val="00FD1A69"/>
    <w:rsid w:val="00FD1BE1"/>
    <w:rsid w:val="00FD1E5D"/>
    <w:rsid w:val="00FD1EAF"/>
    <w:rsid w:val="00FD217B"/>
    <w:rsid w:val="00FD2314"/>
    <w:rsid w:val="00FD235F"/>
    <w:rsid w:val="00FD23AD"/>
    <w:rsid w:val="00FD2405"/>
    <w:rsid w:val="00FD2597"/>
    <w:rsid w:val="00FD293F"/>
    <w:rsid w:val="00FD2952"/>
    <w:rsid w:val="00FD29AC"/>
    <w:rsid w:val="00FD29B0"/>
    <w:rsid w:val="00FD29FF"/>
    <w:rsid w:val="00FD2BA4"/>
    <w:rsid w:val="00FD2D72"/>
    <w:rsid w:val="00FD30E1"/>
    <w:rsid w:val="00FD38C8"/>
    <w:rsid w:val="00FD38D8"/>
    <w:rsid w:val="00FD3919"/>
    <w:rsid w:val="00FD39A3"/>
    <w:rsid w:val="00FD39F8"/>
    <w:rsid w:val="00FD3C8E"/>
    <w:rsid w:val="00FD3D11"/>
    <w:rsid w:val="00FD3FC4"/>
    <w:rsid w:val="00FD40ED"/>
    <w:rsid w:val="00FD4420"/>
    <w:rsid w:val="00FD44C4"/>
    <w:rsid w:val="00FD451E"/>
    <w:rsid w:val="00FD46A2"/>
    <w:rsid w:val="00FD46A9"/>
    <w:rsid w:val="00FD473E"/>
    <w:rsid w:val="00FD483E"/>
    <w:rsid w:val="00FD4DBE"/>
    <w:rsid w:val="00FD4E7A"/>
    <w:rsid w:val="00FD4EF8"/>
    <w:rsid w:val="00FD50D7"/>
    <w:rsid w:val="00FD5206"/>
    <w:rsid w:val="00FD5227"/>
    <w:rsid w:val="00FD5393"/>
    <w:rsid w:val="00FD5518"/>
    <w:rsid w:val="00FD5568"/>
    <w:rsid w:val="00FD58AB"/>
    <w:rsid w:val="00FD5A85"/>
    <w:rsid w:val="00FD5E65"/>
    <w:rsid w:val="00FD5E95"/>
    <w:rsid w:val="00FD5F4E"/>
    <w:rsid w:val="00FD5F7C"/>
    <w:rsid w:val="00FD63F3"/>
    <w:rsid w:val="00FD646B"/>
    <w:rsid w:val="00FD652A"/>
    <w:rsid w:val="00FD6587"/>
    <w:rsid w:val="00FD67E1"/>
    <w:rsid w:val="00FD6966"/>
    <w:rsid w:val="00FD6A33"/>
    <w:rsid w:val="00FD6A77"/>
    <w:rsid w:val="00FD6A93"/>
    <w:rsid w:val="00FD7078"/>
    <w:rsid w:val="00FD7218"/>
    <w:rsid w:val="00FD74C0"/>
    <w:rsid w:val="00FD74E5"/>
    <w:rsid w:val="00FD750C"/>
    <w:rsid w:val="00FD760F"/>
    <w:rsid w:val="00FD7669"/>
    <w:rsid w:val="00FD7676"/>
    <w:rsid w:val="00FD7936"/>
    <w:rsid w:val="00FD7A32"/>
    <w:rsid w:val="00FD7C33"/>
    <w:rsid w:val="00FD7C78"/>
    <w:rsid w:val="00FD7CA9"/>
    <w:rsid w:val="00FD7D8F"/>
    <w:rsid w:val="00FE00BD"/>
    <w:rsid w:val="00FE01AD"/>
    <w:rsid w:val="00FE02BE"/>
    <w:rsid w:val="00FE0431"/>
    <w:rsid w:val="00FE0489"/>
    <w:rsid w:val="00FE04D7"/>
    <w:rsid w:val="00FE0558"/>
    <w:rsid w:val="00FE0588"/>
    <w:rsid w:val="00FE0AFA"/>
    <w:rsid w:val="00FE0B80"/>
    <w:rsid w:val="00FE0C1E"/>
    <w:rsid w:val="00FE0EDA"/>
    <w:rsid w:val="00FE0F7C"/>
    <w:rsid w:val="00FE10BD"/>
    <w:rsid w:val="00FE12E3"/>
    <w:rsid w:val="00FE139F"/>
    <w:rsid w:val="00FE1479"/>
    <w:rsid w:val="00FE148A"/>
    <w:rsid w:val="00FE14DD"/>
    <w:rsid w:val="00FE1623"/>
    <w:rsid w:val="00FE1865"/>
    <w:rsid w:val="00FE1930"/>
    <w:rsid w:val="00FE1AB5"/>
    <w:rsid w:val="00FE1BDE"/>
    <w:rsid w:val="00FE1C36"/>
    <w:rsid w:val="00FE1CCD"/>
    <w:rsid w:val="00FE1EAD"/>
    <w:rsid w:val="00FE1F05"/>
    <w:rsid w:val="00FE1F41"/>
    <w:rsid w:val="00FE1F45"/>
    <w:rsid w:val="00FE2113"/>
    <w:rsid w:val="00FE22CB"/>
    <w:rsid w:val="00FE24B8"/>
    <w:rsid w:val="00FE2537"/>
    <w:rsid w:val="00FE27C8"/>
    <w:rsid w:val="00FE2825"/>
    <w:rsid w:val="00FE2839"/>
    <w:rsid w:val="00FE2962"/>
    <w:rsid w:val="00FE29EA"/>
    <w:rsid w:val="00FE2BCE"/>
    <w:rsid w:val="00FE2DB1"/>
    <w:rsid w:val="00FE2FA7"/>
    <w:rsid w:val="00FE30A0"/>
    <w:rsid w:val="00FE31A5"/>
    <w:rsid w:val="00FE31E1"/>
    <w:rsid w:val="00FE3282"/>
    <w:rsid w:val="00FE3545"/>
    <w:rsid w:val="00FE3563"/>
    <w:rsid w:val="00FE367D"/>
    <w:rsid w:val="00FE38DA"/>
    <w:rsid w:val="00FE3B60"/>
    <w:rsid w:val="00FE3F99"/>
    <w:rsid w:val="00FE417D"/>
    <w:rsid w:val="00FE41A5"/>
    <w:rsid w:val="00FE4285"/>
    <w:rsid w:val="00FE428B"/>
    <w:rsid w:val="00FE436B"/>
    <w:rsid w:val="00FE4490"/>
    <w:rsid w:val="00FE4502"/>
    <w:rsid w:val="00FE4519"/>
    <w:rsid w:val="00FE4634"/>
    <w:rsid w:val="00FE4644"/>
    <w:rsid w:val="00FE4874"/>
    <w:rsid w:val="00FE48AB"/>
    <w:rsid w:val="00FE4B95"/>
    <w:rsid w:val="00FE4D12"/>
    <w:rsid w:val="00FE4DE3"/>
    <w:rsid w:val="00FE4FA3"/>
    <w:rsid w:val="00FE5169"/>
    <w:rsid w:val="00FE55F6"/>
    <w:rsid w:val="00FE58F7"/>
    <w:rsid w:val="00FE5C63"/>
    <w:rsid w:val="00FE5C74"/>
    <w:rsid w:val="00FE5D4B"/>
    <w:rsid w:val="00FE5F2C"/>
    <w:rsid w:val="00FE5F8B"/>
    <w:rsid w:val="00FE60CA"/>
    <w:rsid w:val="00FE6336"/>
    <w:rsid w:val="00FE6528"/>
    <w:rsid w:val="00FE652B"/>
    <w:rsid w:val="00FE65C5"/>
    <w:rsid w:val="00FE6652"/>
    <w:rsid w:val="00FE66D4"/>
    <w:rsid w:val="00FE69D0"/>
    <w:rsid w:val="00FE6BB0"/>
    <w:rsid w:val="00FE6BBE"/>
    <w:rsid w:val="00FE6DC0"/>
    <w:rsid w:val="00FE6DE9"/>
    <w:rsid w:val="00FE6E0A"/>
    <w:rsid w:val="00FE6EA2"/>
    <w:rsid w:val="00FE6FC3"/>
    <w:rsid w:val="00FE70AC"/>
    <w:rsid w:val="00FE7126"/>
    <w:rsid w:val="00FE72AB"/>
    <w:rsid w:val="00FE734E"/>
    <w:rsid w:val="00FE73A9"/>
    <w:rsid w:val="00FE74C6"/>
    <w:rsid w:val="00FE7503"/>
    <w:rsid w:val="00FE7603"/>
    <w:rsid w:val="00FE76C1"/>
    <w:rsid w:val="00FE7821"/>
    <w:rsid w:val="00FE7872"/>
    <w:rsid w:val="00FE7A65"/>
    <w:rsid w:val="00FE7A76"/>
    <w:rsid w:val="00FE7D50"/>
    <w:rsid w:val="00FE7E90"/>
    <w:rsid w:val="00FF018C"/>
    <w:rsid w:val="00FF02FB"/>
    <w:rsid w:val="00FF0384"/>
    <w:rsid w:val="00FF03CE"/>
    <w:rsid w:val="00FF040C"/>
    <w:rsid w:val="00FF04EF"/>
    <w:rsid w:val="00FF053C"/>
    <w:rsid w:val="00FF05A9"/>
    <w:rsid w:val="00FF05E7"/>
    <w:rsid w:val="00FF06A4"/>
    <w:rsid w:val="00FF083B"/>
    <w:rsid w:val="00FF0894"/>
    <w:rsid w:val="00FF09A1"/>
    <w:rsid w:val="00FF0A9D"/>
    <w:rsid w:val="00FF0A9F"/>
    <w:rsid w:val="00FF0B55"/>
    <w:rsid w:val="00FF0FE5"/>
    <w:rsid w:val="00FF1255"/>
    <w:rsid w:val="00FF1410"/>
    <w:rsid w:val="00FF159D"/>
    <w:rsid w:val="00FF17D5"/>
    <w:rsid w:val="00FF17E8"/>
    <w:rsid w:val="00FF17F9"/>
    <w:rsid w:val="00FF1838"/>
    <w:rsid w:val="00FF183C"/>
    <w:rsid w:val="00FF1890"/>
    <w:rsid w:val="00FF18B5"/>
    <w:rsid w:val="00FF1957"/>
    <w:rsid w:val="00FF19AA"/>
    <w:rsid w:val="00FF1A22"/>
    <w:rsid w:val="00FF1DC3"/>
    <w:rsid w:val="00FF1E44"/>
    <w:rsid w:val="00FF1F2E"/>
    <w:rsid w:val="00FF21FD"/>
    <w:rsid w:val="00FF22BB"/>
    <w:rsid w:val="00FF2346"/>
    <w:rsid w:val="00FF23A4"/>
    <w:rsid w:val="00FF2668"/>
    <w:rsid w:val="00FF2717"/>
    <w:rsid w:val="00FF2718"/>
    <w:rsid w:val="00FF271C"/>
    <w:rsid w:val="00FF272A"/>
    <w:rsid w:val="00FF2948"/>
    <w:rsid w:val="00FF2C50"/>
    <w:rsid w:val="00FF2D57"/>
    <w:rsid w:val="00FF2DDD"/>
    <w:rsid w:val="00FF2ED7"/>
    <w:rsid w:val="00FF2F8B"/>
    <w:rsid w:val="00FF3040"/>
    <w:rsid w:val="00FF3196"/>
    <w:rsid w:val="00FF3201"/>
    <w:rsid w:val="00FF35FE"/>
    <w:rsid w:val="00FF3812"/>
    <w:rsid w:val="00FF3992"/>
    <w:rsid w:val="00FF3A32"/>
    <w:rsid w:val="00FF3A5A"/>
    <w:rsid w:val="00FF3B22"/>
    <w:rsid w:val="00FF3B91"/>
    <w:rsid w:val="00FF3EDC"/>
    <w:rsid w:val="00FF42FD"/>
    <w:rsid w:val="00FF445B"/>
    <w:rsid w:val="00FF44D4"/>
    <w:rsid w:val="00FF4523"/>
    <w:rsid w:val="00FF4592"/>
    <w:rsid w:val="00FF4755"/>
    <w:rsid w:val="00FF48B8"/>
    <w:rsid w:val="00FF4953"/>
    <w:rsid w:val="00FF49E4"/>
    <w:rsid w:val="00FF4A1C"/>
    <w:rsid w:val="00FF4A48"/>
    <w:rsid w:val="00FF511F"/>
    <w:rsid w:val="00FF55DC"/>
    <w:rsid w:val="00FF55FA"/>
    <w:rsid w:val="00FF576E"/>
    <w:rsid w:val="00FF5853"/>
    <w:rsid w:val="00FF5909"/>
    <w:rsid w:val="00FF5A3C"/>
    <w:rsid w:val="00FF5AE7"/>
    <w:rsid w:val="00FF5DA6"/>
    <w:rsid w:val="00FF6013"/>
    <w:rsid w:val="00FF6349"/>
    <w:rsid w:val="00FF6815"/>
    <w:rsid w:val="00FF6826"/>
    <w:rsid w:val="00FF68ED"/>
    <w:rsid w:val="00FF695E"/>
    <w:rsid w:val="00FF6B0E"/>
    <w:rsid w:val="00FF6B43"/>
    <w:rsid w:val="00FF6CAD"/>
    <w:rsid w:val="00FF6D3B"/>
    <w:rsid w:val="00FF6DE5"/>
    <w:rsid w:val="00FF705B"/>
    <w:rsid w:val="00FF7147"/>
    <w:rsid w:val="00FF717D"/>
    <w:rsid w:val="00FF71CD"/>
    <w:rsid w:val="00FF72F0"/>
    <w:rsid w:val="00FF742E"/>
    <w:rsid w:val="00FF744E"/>
    <w:rsid w:val="00FF7594"/>
    <w:rsid w:val="00FF76D6"/>
    <w:rsid w:val="00FF77B3"/>
    <w:rsid w:val="00FF7896"/>
    <w:rsid w:val="00FF7959"/>
    <w:rsid w:val="00FF7B6E"/>
    <w:rsid w:val="00FF7C58"/>
    <w:rsid w:val="00FF7CA0"/>
    <w:rsid w:val="00FF7D18"/>
    <w:rsid w:val="00FF7E41"/>
    <w:rsid w:val="013074D8"/>
    <w:rsid w:val="01809860"/>
    <w:rsid w:val="0194BCFC"/>
    <w:rsid w:val="0195448B"/>
    <w:rsid w:val="019C8DF0"/>
    <w:rsid w:val="01AC188A"/>
    <w:rsid w:val="01C8755B"/>
    <w:rsid w:val="01EF683B"/>
    <w:rsid w:val="02306083"/>
    <w:rsid w:val="0230B1A1"/>
    <w:rsid w:val="023EA2F4"/>
    <w:rsid w:val="026E9595"/>
    <w:rsid w:val="02B3FB69"/>
    <w:rsid w:val="03562879"/>
    <w:rsid w:val="037C9AAE"/>
    <w:rsid w:val="03E12E94"/>
    <w:rsid w:val="044C5312"/>
    <w:rsid w:val="047443C4"/>
    <w:rsid w:val="04825DA2"/>
    <w:rsid w:val="048A2A34"/>
    <w:rsid w:val="048DEA4D"/>
    <w:rsid w:val="04921FD7"/>
    <w:rsid w:val="04C8B695"/>
    <w:rsid w:val="04F32F23"/>
    <w:rsid w:val="051E40F0"/>
    <w:rsid w:val="055E3355"/>
    <w:rsid w:val="0563E99F"/>
    <w:rsid w:val="0567F97B"/>
    <w:rsid w:val="0572CECA"/>
    <w:rsid w:val="057CA622"/>
    <w:rsid w:val="0580DABE"/>
    <w:rsid w:val="059DB9D7"/>
    <w:rsid w:val="06171522"/>
    <w:rsid w:val="0647E394"/>
    <w:rsid w:val="068D4477"/>
    <w:rsid w:val="06A1A5E9"/>
    <w:rsid w:val="06B1DAD4"/>
    <w:rsid w:val="06BDEE4C"/>
    <w:rsid w:val="06D54FF5"/>
    <w:rsid w:val="06F79560"/>
    <w:rsid w:val="06F7EDFA"/>
    <w:rsid w:val="07106E2E"/>
    <w:rsid w:val="072092CC"/>
    <w:rsid w:val="0734B65E"/>
    <w:rsid w:val="074505C1"/>
    <w:rsid w:val="074D0C62"/>
    <w:rsid w:val="076D2F67"/>
    <w:rsid w:val="079BC8A9"/>
    <w:rsid w:val="07B50CF4"/>
    <w:rsid w:val="07B927BD"/>
    <w:rsid w:val="07D0CA06"/>
    <w:rsid w:val="07D8A49C"/>
    <w:rsid w:val="07DCB51F"/>
    <w:rsid w:val="07E2F758"/>
    <w:rsid w:val="081BEC2B"/>
    <w:rsid w:val="08256095"/>
    <w:rsid w:val="084D50B9"/>
    <w:rsid w:val="0857FE13"/>
    <w:rsid w:val="08844921"/>
    <w:rsid w:val="0885CD59"/>
    <w:rsid w:val="0927C97D"/>
    <w:rsid w:val="09415E45"/>
    <w:rsid w:val="094E0C29"/>
    <w:rsid w:val="09646DCF"/>
    <w:rsid w:val="097E09B5"/>
    <w:rsid w:val="0991AA7C"/>
    <w:rsid w:val="099EDA4C"/>
    <w:rsid w:val="09ACDDF1"/>
    <w:rsid w:val="09BDA296"/>
    <w:rsid w:val="09D4136B"/>
    <w:rsid w:val="09EE3791"/>
    <w:rsid w:val="0A0AE2AA"/>
    <w:rsid w:val="0A1AEB64"/>
    <w:rsid w:val="0A657A92"/>
    <w:rsid w:val="0A6B9D0D"/>
    <w:rsid w:val="0A7EE191"/>
    <w:rsid w:val="0A7F3B03"/>
    <w:rsid w:val="0A9F7502"/>
    <w:rsid w:val="0AF0715B"/>
    <w:rsid w:val="0AF9D437"/>
    <w:rsid w:val="0AFCE396"/>
    <w:rsid w:val="0B085964"/>
    <w:rsid w:val="0B50230C"/>
    <w:rsid w:val="0B56C3BF"/>
    <w:rsid w:val="0B634487"/>
    <w:rsid w:val="0B63562E"/>
    <w:rsid w:val="0B87A7B1"/>
    <w:rsid w:val="0B95D4B5"/>
    <w:rsid w:val="0BBBB40F"/>
    <w:rsid w:val="0BBD8FE1"/>
    <w:rsid w:val="0BBDCA44"/>
    <w:rsid w:val="0BCEC9F8"/>
    <w:rsid w:val="0BF34D00"/>
    <w:rsid w:val="0BFF95FC"/>
    <w:rsid w:val="0C2304AE"/>
    <w:rsid w:val="0C28BF7F"/>
    <w:rsid w:val="0C7253BA"/>
    <w:rsid w:val="0C8FD7FF"/>
    <w:rsid w:val="0C97FDC6"/>
    <w:rsid w:val="0C9A5C05"/>
    <w:rsid w:val="0CDEB4B2"/>
    <w:rsid w:val="0D3FFDC0"/>
    <w:rsid w:val="0D7E69E6"/>
    <w:rsid w:val="0DB403A6"/>
    <w:rsid w:val="0DB54F1C"/>
    <w:rsid w:val="0DBCF852"/>
    <w:rsid w:val="0DC11495"/>
    <w:rsid w:val="0E0B891C"/>
    <w:rsid w:val="0E7706E3"/>
    <w:rsid w:val="0E7D57DC"/>
    <w:rsid w:val="0EE8E6BF"/>
    <w:rsid w:val="0F1BE63B"/>
    <w:rsid w:val="0F3F777A"/>
    <w:rsid w:val="0F4C2B27"/>
    <w:rsid w:val="0F4C5601"/>
    <w:rsid w:val="0F561242"/>
    <w:rsid w:val="0F6543CD"/>
    <w:rsid w:val="0F6B2B70"/>
    <w:rsid w:val="0F7EA785"/>
    <w:rsid w:val="0F7F396D"/>
    <w:rsid w:val="0F894B3B"/>
    <w:rsid w:val="0F8FA3A9"/>
    <w:rsid w:val="0FB0019C"/>
    <w:rsid w:val="0FB24255"/>
    <w:rsid w:val="0FB70E41"/>
    <w:rsid w:val="0FCEDEAB"/>
    <w:rsid w:val="10115622"/>
    <w:rsid w:val="10221799"/>
    <w:rsid w:val="10393CE1"/>
    <w:rsid w:val="10419405"/>
    <w:rsid w:val="104FA943"/>
    <w:rsid w:val="1052C648"/>
    <w:rsid w:val="105942C1"/>
    <w:rsid w:val="105D9EB0"/>
    <w:rsid w:val="106DB510"/>
    <w:rsid w:val="1070EB76"/>
    <w:rsid w:val="107E38C6"/>
    <w:rsid w:val="10DFBC11"/>
    <w:rsid w:val="10F41293"/>
    <w:rsid w:val="10F71DA3"/>
    <w:rsid w:val="10FA1147"/>
    <w:rsid w:val="1102C283"/>
    <w:rsid w:val="1103E8ED"/>
    <w:rsid w:val="113E6A9F"/>
    <w:rsid w:val="114517E0"/>
    <w:rsid w:val="115E44C7"/>
    <w:rsid w:val="11690B99"/>
    <w:rsid w:val="1173FFCA"/>
    <w:rsid w:val="117B93A9"/>
    <w:rsid w:val="119F1892"/>
    <w:rsid w:val="11BC9361"/>
    <w:rsid w:val="11CF4946"/>
    <w:rsid w:val="11D7E43D"/>
    <w:rsid w:val="11E415D3"/>
    <w:rsid w:val="121C8D4A"/>
    <w:rsid w:val="122D5CFF"/>
    <w:rsid w:val="1240A699"/>
    <w:rsid w:val="125869D6"/>
    <w:rsid w:val="12650803"/>
    <w:rsid w:val="126A1498"/>
    <w:rsid w:val="12759A90"/>
    <w:rsid w:val="128394DE"/>
    <w:rsid w:val="12874B47"/>
    <w:rsid w:val="1289B5E3"/>
    <w:rsid w:val="129576E7"/>
    <w:rsid w:val="12971CAF"/>
    <w:rsid w:val="12AA5D1C"/>
    <w:rsid w:val="12BD6803"/>
    <w:rsid w:val="12D10FE5"/>
    <w:rsid w:val="12DB7C85"/>
    <w:rsid w:val="12FADD69"/>
    <w:rsid w:val="1301D827"/>
    <w:rsid w:val="134FA8CD"/>
    <w:rsid w:val="13845865"/>
    <w:rsid w:val="1385D5C2"/>
    <w:rsid w:val="13A8D771"/>
    <w:rsid w:val="13B6C204"/>
    <w:rsid w:val="13BCA121"/>
    <w:rsid w:val="13E25D2B"/>
    <w:rsid w:val="141E7AB0"/>
    <w:rsid w:val="141FDAB1"/>
    <w:rsid w:val="143A8BAC"/>
    <w:rsid w:val="1442B58B"/>
    <w:rsid w:val="144C59C3"/>
    <w:rsid w:val="146140A7"/>
    <w:rsid w:val="14672443"/>
    <w:rsid w:val="149B8132"/>
    <w:rsid w:val="14B79864"/>
    <w:rsid w:val="14BCB2EA"/>
    <w:rsid w:val="15169034"/>
    <w:rsid w:val="15285284"/>
    <w:rsid w:val="15324C9A"/>
    <w:rsid w:val="1564E1F2"/>
    <w:rsid w:val="1571CD4A"/>
    <w:rsid w:val="15739740"/>
    <w:rsid w:val="157D0D83"/>
    <w:rsid w:val="157DE88D"/>
    <w:rsid w:val="157F992E"/>
    <w:rsid w:val="157FE0F3"/>
    <w:rsid w:val="15A1EFC5"/>
    <w:rsid w:val="15D6C0EB"/>
    <w:rsid w:val="16009C69"/>
    <w:rsid w:val="16362250"/>
    <w:rsid w:val="16470663"/>
    <w:rsid w:val="167DDEA1"/>
    <w:rsid w:val="168617A3"/>
    <w:rsid w:val="168A53BE"/>
    <w:rsid w:val="16AFD733"/>
    <w:rsid w:val="16CDF8F9"/>
    <w:rsid w:val="16D932BF"/>
    <w:rsid w:val="16FD51CB"/>
    <w:rsid w:val="171C7DA8"/>
    <w:rsid w:val="174F5B5E"/>
    <w:rsid w:val="175BD167"/>
    <w:rsid w:val="177FB863"/>
    <w:rsid w:val="1799016B"/>
    <w:rsid w:val="17C48FF1"/>
    <w:rsid w:val="17F2D44F"/>
    <w:rsid w:val="180D6C59"/>
    <w:rsid w:val="181103B4"/>
    <w:rsid w:val="181152CE"/>
    <w:rsid w:val="18364AAB"/>
    <w:rsid w:val="185D5040"/>
    <w:rsid w:val="188174CF"/>
    <w:rsid w:val="1890401A"/>
    <w:rsid w:val="18D6DD7A"/>
    <w:rsid w:val="18FF8EE9"/>
    <w:rsid w:val="1913B78C"/>
    <w:rsid w:val="193DA358"/>
    <w:rsid w:val="19506FAB"/>
    <w:rsid w:val="196BC3A0"/>
    <w:rsid w:val="197EE936"/>
    <w:rsid w:val="198065D5"/>
    <w:rsid w:val="19900255"/>
    <w:rsid w:val="1998FB14"/>
    <w:rsid w:val="19BF1C87"/>
    <w:rsid w:val="19F2A314"/>
    <w:rsid w:val="1A0B0CBB"/>
    <w:rsid w:val="1A0D380D"/>
    <w:rsid w:val="1A1BBBD7"/>
    <w:rsid w:val="1A2C8B30"/>
    <w:rsid w:val="1A666885"/>
    <w:rsid w:val="1A6E6E38"/>
    <w:rsid w:val="1A9D4C0E"/>
    <w:rsid w:val="1AAF4AB3"/>
    <w:rsid w:val="1AB06CB4"/>
    <w:rsid w:val="1AC3C95E"/>
    <w:rsid w:val="1ACDE27A"/>
    <w:rsid w:val="1AE8DF82"/>
    <w:rsid w:val="1B0F04A6"/>
    <w:rsid w:val="1B586FE7"/>
    <w:rsid w:val="1B5E64F0"/>
    <w:rsid w:val="1B62D3EB"/>
    <w:rsid w:val="1B730041"/>
    <w:rsid w:val="1BCCE923"/>
    <w:rsid w:val="1BDF628F"/>
    <w:rsid w:val="1BF24CCC"/>
    <w:rsid w:val="1C353672"/>
    <w:rsid w:val="1C38482E"/>
    <w:rsid w:val="1C38826D"/>
    <w:rsid w:val="1C39AA47"/>
    <w:rsid w:val="1C5B26B8"/>
    <w:rsid w:val="1C8272C2"/>
    <w:rsid w:val="1CA3578F"/>
    <w:rsid w:val="1CE7A872"/>
    <w:rsid w:val="1CFF7EC2"/>
    <w:rsid w:val="1D04D933"/>
    <w:rsid w:val="1D0E153C"/>
    <w:rsid w:val="1D310902"/>
    <w:rsid w:val="1D3537B9"/>
    <w:rsid w:val="1D355DB3"/>
    <w:rsid w:val="1D3DACCC"/>
    <w:rsid w:val="1D627038"/>
    <w:rsid w:val="1D7FE995"/>
    <w:rsid w:val="1DA98BB4"/>
    <w:rsid w:val="1DE82274"/>
    <w:rsid w:val="1DEE451B"/>
    <w:rsid w:val="1DFE0EC3"/>
    <w:rsid w:val="1E43190F"/>
    <w:rsid w:val="1E632CF5"/>
    <w:rsid w:val="1E710A3B"/>
    <w:rsid w:val="1E7342EB"/>
    <w:rsid w:val="1EC7A7CE"/>
    <w:rsid w:val="1F47AAAB"/>
    <w:rsid w:val="1F47CA56"/>
    <w:rsid w:val="1F53A415"/>
    <w:rsid w:val="1F55B84D"/>
    <w:rsid w:val="1F6B229E"/>
    <w:rsid w:val="1F74BF78"/>
    <w:rsid w:val="1F83CF40"/>
    <w:rsid w:val="1F901BA4"/>
    <w:rsid w:val="1FA12B26"/>
    <w:rsid w:val="1FAA98F1"/>
    <w:rsid w:val="1FCE7E1F"/>
    <w:rsid w:val="1FF35E8F"/>
    <w:rsid w:val="2002DAB6"/>
    <w:rsid w:val="20862B1A"/>
    <w:rsid w:val="20C125A8"/>
    <w:rsid w:val="20C4B858"/>
    <w:rsid w:val="21301B95"/>
    <w:rsid w:val="2172E127"/>
    <w:rsid w:val="21750009"/>
    <w:rsid w:val="21BD5006"/>
    <w:rsid w:val="21BFBE38"/>
    <w:rsid w:val="21DB812D"/>
    <w:rsid w:val="220141C9"/>
    <w:rsid w:val="221BA833"/>
    <w:rsid w:val="224DEB12"/>
    <w:rsid w:val="22682D19"/>
    <w:rsid w:val="22A4C53F"/>
    <w:rsid w:val="22A5642D"/>
    <w:rsid w:val="22CF4BA7"/>
    <w:rsid w:val="22DA0D89"/>
    <w:rsid w:val="235B954F"/>
    <w:rsid w:val="23682C31"/>
    <w:rsid w:val="237807AE"/>
    <w:rsid w:val="237BA598"/>
    <w:rsid w:val="237C03C7"/>
    <w:rsid w:val="237F40F1"/>
    <w:rsid w:val="2389745E"/>
    <w:rsid w:val="238A28D5"/>
    <w:rsid w:val="23FCB329"/>
    <w:rsid w:val="243295D4"/>
    <w:rsid w:val="24510832"/>
    <w:rsid w:val="2467BC57"/>
    <w:rsid w:val="246AE8CA"/>
    <w:rsid w:val="247E5A08"/>
    <w:rsid w:val="248D484D"/>
    <w:rsid w:val="24CAEBE8"/>
    <w:rsid w:val="24E9A57B"/>
    <w:rsid w:val="251FA403"/>
    <w:rsid w:val="25238F42"/>
    <w:rsid w:val="254990AE"/>
    <w:rsid w:val="255A946B"/>
    <w:rsid w:val="258D71B5"/>
    <w:rsid w:val="25B2423A"/>
    <w:rsid w:val="25BCC808"/>
    <w:rsid w:val="25CB5CA7"/>
    <w:rsid w:val="25D36DBA"/>
    <w:rsid w:val="25DFE2F1"/>
    <w:rsid w:val="25F11C13"/>
    <w:rsid w:val="260243DA"/>
    <w:rsid w:val="2664E0FC"/>
    <w:rsid w:val="26ACFA9A"/>
    <w:rsid w:val="26DCB092"/>
    <w:rsid w:val="26E78513"/>
    <w:rsid w:val="26EE0B84"/>
    <w:rsid w:val="26F24ADB"/>
    <w:rsid w:val="2718420C"/>
    <w:rsid w:val="2787D830"/>
    <w:rsid w:val="278EC9DA"/>
    <w:rsid w:val="279680A1"/>
    <w:rsid w:val="279A0653"/>
    <w:rsid w:val="27B8F9F7"/>
    <w:rsid w:val="27CA1EE9"/>
    <w:rsid w:val="27CA4B98"/>
    <w:rsid w:val="284ADFC4"/>
    <w:rsid w:val="284C017B"/>
    <w:rsid w:val="2852A3A6"/>
    <w:rsid w:val="28533383"/>
    <w:rsid w:val="2879D6DB"/>
    <w:rsid w:val="288DC944"/>
    <w:rsid w:val="28967228"/>
    <w:rsid w:val="28F1A117"/>
    <w:rsid w:val="291A9B07"/>
    <w:rsid w:val="292371CE"/>
    <w:rsid w:val="2954C283"/>
    <w:rsid w:val="29571EDA"/>
    <w:rsid w:val="295ECABB"/>
    <w:rsid w:val="296A785F"/>
    <w:rsid w:val="298F27AB"/>
    <w:rsid w:val="29A22F65"/>
    <w:rsid w:val="29AF3081"/>
    <w:rsid w:val="29C3CADC"/>
    <w:rsid w:val="29D9895D"/>
    <w:rsid w:val="29DDBB1F"/>
    <w:rsid w:val="29E7C821"/>
    <w:rsid w:val="2A154733"/>
    <w:rsid w:val="2A826EDC"/>
    <w:rsid w:val="2AA7AED0"/>
    <w:rsid w:val="2AA898B1"/>
    <w:rsid w:val="2AAE5029"/>
    <w:rsid w:val="2AD8066A"/>
    <w:rsid w:val="2B047C30"/>
    <w:rsid w:val="2B0C3B95"/>
    <w:rsid w:val="2B2F7D25"/>
    <w:rsid w:val="2B401467"/>
    <w:rsid w:val="2B4E8DB2"/>
    <w:rsid w:val="2BF881D2"/>
    <w:rsid w:val="2C0C1872"/>
    <w:rsid w:val="2C357AE4"/>
    <w:rsid w:val="2C7889C8"/>
    <w:rsid w:val="2CB32101"/>
    <w:rsid w:val="2CBBDBAF"/>
    <w:rsid w:val="2CD57AD2"/>
    <w:rsid w:val="2CD840F0"/>
    <w:rsid w:val="2CF023EF"/>
    <w:rsid w:val="2CF0E750"/>
    <w:rsid w:val="2D0D254C"/>
    <w:rsid w:val="2D2171CD"/>
    <w:rsid w:val="2D67D6BA"/>
    <w:rsid w:val="2DAD8089"/>
    <w:rsid w:val="2DCECE23"/>
    <w:rsid w:val="2DD9170D"/>
    <w:rsid w:val="2E2F5A42"/>
    <w:rsid w:val="2E336497"/>
    <w:rsid w:val="2E472FEF"/>
    <w:rsid w:val="2E4ED8D9"/>
    <w:rsid w:val="2E5D2C49"/>
    <w:rsid w:val="2E8F2DE7"/>
    <w:rsid w:val="2EE66285"/>
    <w:rsid w:val="2EF7483F"/>
    <w:rsid w:val="2EFFC5F9"/>
    <w:rsid w:val="2F046007"/>
    <w:rsid w:val="2F14CAE3"/>
    <w:rsid w:val="2F22605F"/>
    <w:rsid w:val="2F2E7798"/>
    <w:rsid w:val="2F31F47A"/>
    <w:rsid w:val="2F5F6111"/>
    <w:rsid w:val="2F7CAD25"/>
    <w:rsid w:val="2F84B5C0"/>
    <w:rsid w:val="2FC42E1E"/>
    <w:rsid w:val="2FE05B48"/>
    <w:rsid w:val="2FE4B33A"/>
    <w:rsid w:val="2FE596CF"/>
    <w:rsid w:val="2FF594D8"/>
    <w:rsid w:val="300AA1DD"/>
    <w:rsid w:val="3022B710"/>
    <w:rsid w:val="302BE8B8"/>
    <w:rsid w:val="302FEBA9"/>
    <w:rsid w:val="3088E50D"/>
    <w:rsid w:val="309023B7"/>
    <w:rsid w:val="30A944FA"/>
    <w:rsid w:val="30B80723"/>
    <w:rsid w:val="30C0388D"/>
    <w:rsid w:val="30F1E8C4"/>
    <w:rsid w:val="312CB8F3"/>
    <w:rsid w:val="3157B151"/>
    <w:rsid w:val="318382D7"/>
    <w:rsid w:val="31BC954D"/>
    <w:rsid w:val="31E95C1D"/>
    <w:rsid w:val="3215AA2E"/>
    <w:rsid w:val="3238BC44"/>
    <w:rsid w:val="324A1477"/>
    <w:rsid w:val="327D0EEF"/>
    <w:rsid w:val="32AA4DE8"/>
    <w:rsid w:val="32CCE9D9"/>
    <w:rsid w:val="32E24C83"/>
    <w:rsid w:val="32F8090C"/>
    <w:rsid w:val="333C963C"/>
    <w:rsid w:val="3340A836"/>
    <w:rsid w:val="3348884A"/>
    <w:rsid w:val="3378A842"/>
    <w:rsid w:val="33844E4A"/>
    <w:rsid w:val="3389BDF6"/>
    <w:rsid w:val="339EC884"/>
    <w:rsid w:val="33A947A3"/>
    <w:rsid w:val="33BBDC0D"/>
    <w:rsid w:val="33F1F3B7"/>
    <w:rsid w:val="340BBE39"/>
    <w:rsid w:val="34362D27"/>
    <w:rsid w:val="344F0131"/>
    <w:rsid w:val="3471AFB3"/>
    <w:rsid w:val="349CD870"/>
    <w:rsid w:val="34BDBBEE"/>
    <w:rsid w:val="34BF0669"/>
    <w:rsid w:val="3503925A"/>
    <w:rsid w:val="350AF309"/>
    <w:rsid w:val="351EE93B"/>
    <w:rsid w:val="3528538E"/>
    <w:rsid w:val="354A3CFA"/>
    <w:rsid w:val="35595F75"/>
    <w:rsid w:val="355E9BCA"/>
    <w:rsid w:val="357BBFF3"/>
    <w:rsid w:val="35805DF3"/>
    <w:rsid w:val="359F1E4F"/>
    <w:rsid w:val="35E78A8A"/>
    <w:rsid w:val="35EF1D5E"/>
    <w:rsid w:val="363C8877"/>
    <w:rsid w:val="36B42A00"/>
    <w:rsid w:val="36B90844"/>
    <w:rsid w:val="36C4B4D5"/>
    <w:rsid w:val="36D9B5CC"/>
    <w:rsid w:val="36E3B7D9"/>
    <w:rsid w:val="36FE5C56"/>
    <w:rsid w:val="3706CB7A"/>
    <w:rsid w:val="370D7D87"/>
    <w:rsid w:val="374AE2F6"/>
    <w:rsid w:val="374C41A9"/>
    <w:rsid w:val="37643248"/>
    <w:rsid w:val="376528BD"/>
    <w:rsid w:val="3795CDE9"/>
    <w:rsid w:val="379819FE"/>
    <w:rsid w:val="37E63085"/>
    <w:rsid w:val="383AFD4F"/>
    <w:rsid w:val="384579A9"/>
    <w:rsid w:val="384F4546"/>
    <w:rsid w:val="38507DB5"/>
    <w:rsid w:val="38539937"/>
    <w:rsid w:val="3868478E"/>
    <w:rsid w:val="38BAF9AC"/>
    <w:rsid w:val="38EBF97C"/>
    <w:rsid w:val="38F4D6AA"/>
    <w:rsid w:val="391ACBBD"/>
    <w:rsid w:val="396E4891"/>
    <w:rsid w:val="39752CFD"/>
    <w:rsid w:val="397F7C0B"/>
    <w:rsid w:val="39A5BF31"/>
    <w:rsid w:val="39A975F0"/>
    <w:rsid w:val="39BDDC5A"/>
    <w:rsid w:val="39CEF20E"/>
    <w:rsid w:val="39EAAD43"/>
    <w:rsid w:val="3A1CD1A7"/>
    <w:rsid w:val="3A1D4D3F"/>
    <w:rsid w:val="3A4512FE"/>
    <w:rsid w:val="3A5530C4"/>
    <w:rsid w:val="3A609AFE"/>
    <w:rsid w:val="3A8227B3"/>
    <w:rsid w:val="3A871B0B"/>
    <w:rsid w:val="3AA34C68"/>
    <w:rsid w:val="3AAD2756"/>
    <w:rsid w:val="3AE0B7EB"/>
    <w:rsid w:val="3AE572B0"/>
    <w:rsid w:val="3AE9A095"/>
    <w:rsid w:val="3B0AB5B4"/>
    <w:rsid w:val="3B150BE7"/>
    <w:rsid w:val="3B23EEED"/>
    <w:rsid w:val="3B41D123"/>
    <w:rsid w:val="3B440B8F"/>
    <w:rsid w:val="3B47A3FB"/>
    <w:rsid w:val="3B59695D"/>
    <w:rsid w:val="3B924F79"/>
    <w:rsid w:val="3BD2988F"/>
    <w:rsid w:val="3BD2FA18"/>
    <w:rsid w:val="3BDEB37E"/>
    <w:rsid w:val="3C39C704"/>
    <w:rsid w:val="3C3B6116"/>
    <w:rsid w:val="3C61706E"/>
    <w:rsid w:val="3C8034E4"/>
    <w:rsid w:val="3C87F0BE"/>
    <w:rsid w:val="3CA4FD41"/>
    <w:rsid w:val="3CAE82FE"/>
    <w:rsid w:val="3CDEB504"/>
    <w:rsid w:val="3CE73D1D"/>
    <w:rsid w:val="3CF82E1A"/>
    <w:rsid w:val="3D0C2018"/>
    <w:rsid w:val="3D177D39"/>
    <w:rsid w:val="3D28A566"/>
    <w:rsid w:val="3D530A4B"/>
    <w:rsid w:val="3D890D79"/>
    <w:rsid w:val="3D9C00F1"/>
    <w:rsid w:val="3DA57821"/>
    <w:rsid w:val="3DACD5B3"/>
    <w:rsid w:val="3DF93C03"/>
    <w:rsid w:val="3DFCEA9C"/>
    <w:rsid w:val="3E0EE1D5"/>
    <w:rsid w:val="3E12F5CA"/>
    <w:rsid w:val="3E46CF1F"/>
    <w:rsid w:val="3E4AF938"/>
    <w:rsid w:val="3E4F0314"/>
    <w:rsid w:val="3E6EB736"/>
    <w:rsid w:val="3E8E7652"/>
    <w:rsid w:val="3EB5C8DC"/>
    <w:rsid w:val="3EB5FF7C"/>
    <w:rsid w:val="3ED4BC58"/>
    <w:rsid w:val="3F42C892"/>
    <w:rsid w:val="3F551AF6"/>
    <w:rsid w:val="3F6E4713"/>
    <w:rsid w:val="3F6FBF79"/>
    <w:rsid w:val="3F8D40DF"/>
    <w:rsid w:val="3F9607B8"/>
    <w:rsid w:val="3FBFDFD2"/>
    <w:rsid w:val="3FCEF660"/>
    <w:rsid w:val="3FD091D2"/>
    <w:rsid w:val="400F5519"/>
    <w:rsid w:val="40108E49"/>
    <w:rsid w:val="409323DC"/>
    <w:rsid w:val="40B3B91C"/>
    <w:rsid w:val="40B7D99F"/>
    <w:rsid w:val="40DAF3FB"/>
    <w:rsid w:val="40E363EB"/>
    <w:rsid w:val="40EE55D5"/>
    <w:rsid w:val="40F4649C"/>
    <w:rsid w:val="411E50D5"/>
    <w:rsid w:val="41394BB9"/>
    <w:rsid w:val="413C28AA"/>
    <w:rsid w:val="416475B7"/>
    <w:rsid w:val="4168DF41"/>
    <w:rsid w:val="41792E05"/>
    <w:rsid w:val="417C924A"/>
    <w:rsid w:val="41B62CB7"/>
    <w:rsid w:val="41B77075"/>
    <w:rsid w:val="41BC4D64"/>
    <w:rsid w:val="41CEF4C4"/>
    <w:rsid w:val="41D2CE28"/>
    <w:rsid w:val="42324E84"/>
    <w:rsid w:val="42722505"/>
    <w:rsid w:val="4274BF67"/>
    <w:rsid w:val="4282EA89"/>
    <w:rsid w:val="428F4B71"/>
    <w:rsid w:val="42A22337"/>
    <w:rsid w:val="42D689D8"/>
    <w:rsid w:val="42D7CC19"/>
    <w:rsid w:val="42E4BA41"/>
    <w:rsid w:val="4309E837"/>
    <w:rsid w:val="432F500E"/>
    <w:rsid w:val="4337BDC8"/>
    <w:rsid w:val="433B505D"/>
    <w:rsid w:val="43598552"/>
    <w:rsid w:val="43623829"/>
    <w:rsid w:val="43635F48"/>
    <w:rsid w:val="438C43C6"/>
    <w:rsid w:val="438CD200"/>
    <w:rsid w:val="439468A8"/>
    <w:rsid w:val="43D95F97"/>
    <w:rsid w:val="43F57AF6"/>
    <w:rsid w:val="443CD745"/>
    <w:rsid w:val="44E80D99"/>
    <w:rsid w:val="44EAE79E"/>
    <w:rsid w:val="4532F8C9"/>
    <w:rsid w:val="4534E225"/>
    <w:rsid w:val="45408C39"/>
    <w:rsid w:val="454C0DA9"/>
    <w:rsid w:val="455C2967"/>
    <w:rsid w:val="459A8089"/>
    <w:rsid w:val="459F7FF8"/>
    <w:rsid w:val="45AB27C1"/>
    <w:rsid w:val="45ABFAF5"/>
    <w:rsid w:val="45DED4F8"/>
    <w:rsid w:val="462C325D"/>
    <w:rsid w:val="462EC100"/>
    <w:rsid w:val="463B16E5"/>
    <w:rsid w:val="464C821B"/>
    <w:rsid w:val="4668D836"/>
    <w:rsid w:val="468621EF"/>
    <w:rsid w:val="4699FD22"/>
    <w:rsid w:val="46AD09E7"/>
    <w:rsid w:val="46B0C79F"/>
    <w:rsid w:val="46EA2053"/>
    <w:rsid w:val="470CB46B"/>
    <w:rsid w:val="4740ADAF"/>
    <w:rsid w:val="475F16AB"/>
    <w:rsid w:val="47950D65"/>
    <w:rsid w:val="479CE5FA"/>
    <w:rsid w:val="47A9671E"/>
    <w:rsid w:val="47B402DA"/>
    <w:rsid w:val="47B71B97"/>
    <w:rsid w:val="47C517D1"/>
    <w:rsid w:val="47CBA229"/>
    <w:rsid w:val="4812B4A5"/>
    <w:rsid w:val="481DB4C6"/>
    <w:rsid w:val="483A09B5"/>
    <w:rsid w:val="48522F8F"/>
    <w:rsid w:val="485B008C"/>
    <w:rsid w:val="487085D4"/>
    <w:rsid w:val="487CAE68"/>
    <w:rsid w:val="4881CB94"/>
    <w:rsid w:val="4898EF95"/>
    <w:rsid w:val="48AB1105"/>
    <w:rsid w:val="48BFA28D"/>
    <w:rsid w:val="48D3D85A"/>
    <w:rsid w:val="48D59E36"/>
    <w:rsid w:val="48DDE16C"/>
    <w:rsid w:val="490D2FD8"/>
    <w:rsid w:val="492C7F21"/>
    <w:rsid w:val="4936E968"/>
    <w:rsid w:val="49521902"/>
    <w:rsid w:val="49772004"/>
    <w:rsid w:val="499C4F41"/>
    <w:rsid w:val="49B993A7"/>
    <w:rsid w:val="4A04DFF0"/>
    <w:rsid w:val="4A59E87B"/>
    <w:rsid w:val="4A701922"/>
    <w:rsid w:val="4A8C0BAE"/>
    <w:rsid w:val="4A9DF2FB"/>
    <w:rsid w:val="4AB56366"/>
    <w:rsid w:val="4AB73F71"/>
    <w:rsid w:val="4ACEAD40"/>
    <w:rsid w:val="4B27834A"/>
    <w:rsid w:val="4B33CAC2"/>
    <w:rsid w:val="4B3569AA"/>
    <w:rsid w:val="4B617505"/>
    <w:rsid w:val="4B782BEE"/>
    <w:rsid w:val="4B8CB735"/>
    <w:rsid w:val="4BB8A182"/>
    <w:rsid w:val="4BBBAB3C"/>
    <w:rsid w:val="4BD6A364"/>
    <w:rsid w:val="4C067EE8"/>
    <w:rsid w:val="4C0965A3"/>
    <w:rsid w:val="4C2F234C"/>
    <w:rsid w:val="4C44C32D"/>
    <w:rsid w:val="4C4DD067"/>
    <w:rsid w:val="4C5EEDCA"/>
    <w:rsid w:val="4C626028"/>
    <w:rsid w:val="4C654068"/>
    <w:rsid w:val="4C663CCA"/>
    <w:rsid w:val="4C75BB5D"/>
    <w:rsid w:val="4C8550EB"/>
    <w:rsid w:val="4D06B50F"/>
    <w:rsid w:val="4D27BD5D"/>
    <w:rsid w:val="4D8C512F"/>
    <w:rsid w:val="4DB5816F"/>
    <w:rsid w:val="4DBD7865"/>
    <w:rsid w:val="4DEC20D1"/>
    <w:rsid w:val="4E1382D5"/>
    <w:rsid w:val="4E1ED78D"/>
    <w:rsid w:val="4E26DD30"/>
    <w:rsid w:val="4E4A3970"/>
    <w:rsid w:val="4E4FFDD0"/>
    <w:rsid w:val="4E55F746"/>
    <w:rsid w:val="4E652FAF"/>
    <w:rsid w:val="4E74F614"/>
    <w:rsid w:val="4EA133BB"/>
    <w:rsid w:val="4EA4F545"/>
    <w:rsid w:val="4EE35D8B"/>
    <w:rsid w:val="4EE3F7B6"/>
    <w:rsid w:val="4EF80F3D"/>
    <w:rsid w:val="4F303CD2"/>
    <w:rsid w:val="4F4794B4"/>
    <w:rsid w:val="4F483E4D"/>
    <w:rsid w:val="4F486D43"/>
    <w:rsid w:val="4F58A068"/>
    <w:rsid w:val="4F8CF858"/>
    <w:rsid w:val="4F900A0B"/>
    <w:rsid w:val="4FF34D7C"/>
    <w:rsid w:val="4FFB2E34"/>
    <w:rsid w:val="500B12CC"/>
    <w:rsid w:val="50126F12"/>
    <w:rsid w:val="5012CE7A"/>
    <w:rsid w:val="50407446"/>
    <w:rsid w:val="50569D86"/>
    <w:rsid w:val="506155B7"/>
    <w:rsid w:val="50683188"/>
    <w:rsid w:val="50E11AC5"/>
    <w:rsid w:val="5100F0DB"/>
    <w:rsid w:val="511AB4CD"/>
    <w:rsid w:val="5129C4D6"/>
    <w:rsid w:val="51301E84"/>
    <w:rsid w:val="51A34EDB"/>
    <w:rsid w:val="51B6B4C1"/>
    <w:rsid w:val="51BB0D67"/>
    <w:rsid w:val="51E61140"/>
    <w:rsid w:val="5204BE7B"/>
    <w:rsid w:val="520F0A20"/>
    <w:rsid w:val="5210A64E"/>
    <w:rsid w:val="521ADED9"/>
    <w:rsid w:val="5252E8D9"/>
    <w:rsid w:val="525CC159"/>
    <w:rsid w:val="527BFBD1"/>
    <w:rsid w:val="528F0A74"/>
    <w:rsid w:val="52995250"/>
    <w:rsid w:val="52A61E4A"/>
    <w:rsid w:val="52B5134E"/>
    <w:rsid w:val="52CD72CC"/>
    <w:rsid w:val="52D3E296"/>
    <w:rsid w:val="530E8758"/>
    <w:rsid w:val="533BB48E"/>
    <w:rsid w:val="53436F75"/>
    <w:rsid w:val="5389A6B8"/>
    <w:rsid w:val="5395254B"/>
    <w:rsid w:val="53B33EBC"/>
    <w:rsid w:val="53BA6706"/>
    <w:rsid w:val="53D33369"/>
    <w:rsid w:val="53DDEED7"/>
    <w:rsid w:val="53DFA63D"/>
    <w:rsid w:val="540056B2"/>
    <w:rsid w:val="544852D6"/>
    <w:rsid w:val="5479C9E6"/>
    <w:rsid w:val="54B78FC1"/>
    <w:rsid w:val="54D779E5"/>
    <w:rsid w:val="55068070"/>
    <w:rsid w:val="552896A9"/>
    <w:rsid w:val="5574A550"/>
    <w:rsid w:val="5575F3BA"/>
    <w:rsid w:val="557C6EDC"/>
    <w:rsid w:val="5599E204"/>
    <w:rsid w:val="55B053A4"/>
    <w:rsid w:val="55D63225"/>
    <w:rsid w:val="55D6C6A4"/>
    <w:rsid w:val="55DF8841"/>
    <w:rsid w:val="565BDCCC"/>
    <w:rsid w:val="56DC2CE7"/>
    <w:rsid w:val="572AB0F3"/>
    <w:rsid w:val="574236D8"/>
    <w:rsid w:val="5767C95C"/>
    <w:rsid w:val="579D5D17"/>
    <w:rsid w:val="57BCB6D0"/>
    <w:rsid w:val="57C6C18C"/>
    <w:rsid w:val="57FFC760"/>
    <w:rsid w:val="581936FC"/>
    <w:rsid w:val="58203BB2"/>
    <w:rsid w:val="582321B0"/>
    <w:rsid w:val="5837388C"/>
    <w:rsid w:val="583EEDFD"/>
    <w:rsid w:val="588786F7"/>
    <w:rsid w:val="589A68A1"/>
    <w:rsid w:val="58E28277"/>
    <w:rsid w:val="591F5B20"/>
    <w:rsid w:val="592B38F0"/>
    <w:rsid w:val="5940ADE5"/>
    <w:rsid w:val="59484836"/>
    <w:rsid w:val="597CDA71"/>
    <w:rsid w:val="598A6CEE"/>
    <w:rsid w:val="598D4F44"/>
    <w:rsid w:val="599E0D3E"/>
    <w:rsid w:val="59B5241A"/>
    <w:rsid w:val="59E31D81"/>
    <w:rsid w:val="5A21B1DA"/>
    <w:rsid w:val="5A2D0D7E"/>
    <w:rsid w:val="5A3362E8"/>
    <w:rsid w:val="5A47AD67"/>
    <w:rsid w:val="5A4B9107"/>
    <w:rsid w:val="5A6C2943"/>
    <w:rsid w:val="5A7578CA"/>
    <w:rsid w:val="5A81FEC3"/>
    <w:rsid w:val="5A903876"/>
    <w:rsid w:val="5AA12F83"/>
    <w:rsid w:val="5AA959C0"/>
    <w:rsid w:val="5AAF3538"/>
    <w:rsid w:val="5ABE6F1A"/>
    <w:rsid w:val="5ABF1840"/>
    <w:rsid w:val="5AC3044A"/>
    <w:rsid w:val="5AD79A6E"/>
    <w:rsid w:val="5AE24F22"/>
    <w:rsid w:val="5AF5B2A6"/>
    <w:rsid w:val="5B0638A6"/>
    <w:rsid w:val="5B0EA627"/>
    <w:rsid w:val="5B64F62A"/>
    <w:rsid w:val="5B843DC1"/>
    <w:rsid w:val="5B8A48F6"/>
    <w:rsid w:val="5BADFD92"/>
    <w:rsid w:val="5BB82EC5"/>
    <w:rsid w:val="5C009610"/>
    <w:rsid w:val="5C328BCC"/>
    <w:rsid w:val="5C44A30B"/>
    <w:rsid w:val="5C6607AE"/>
    <w:rsid w:val="5C6C2BBA"/>
    <w:rsid w:val="5C6ED9D5"/>
    <w:rsid w:val="5CA54A86"/>
    <w:rsid w:val="5CB046DB"/>
    <w:rsid w:val="5D2C73C4"/>
    <w:rsid w:val="5D58C430"/>
    <w:rsid w:val="5D77D8BF"/>
    <w:rsid w:val="5D7BD17F"/>
    <w:rsid w:val="5DCC3FCF"/>
    <w:rsid w:val="5E0FA8F9"/>
    <w:rsid w:val="5E70D327"/>
    <w:rsid w:val="5E72D999"/>
    <w:rsid w:val="5E920E80"/>
    <w:rsid w:val="5EAB5CB2"/>
    <w:rsid w:val="5EAC522E"/>
    <w:rsid w:val="5ECE8037"/>
    <w:rsid w:val="5F1957C5"/>
    <w:rsid w:val="5F25347A"/>
    <w:rsid w:val="5F3114FE"/>
    <w:rsid w:val="5F49BB1B"/>
    <w:rsid w:val="5F57320E"/>
    <w:rsid w:val="5F5FF23A"/>
    <w:rsid w:val="5F8D61ED"/>
    <w:rsid w:val="5F8F5BCA"/>
    <w:rsid w:val="5FAC9F97"/>
    <w:rsid w:val="5FB5C395"/>
    <w:rsid w:val="5FE18D84"/>
    <w:rsid w:val="5FE2D35E"/>
    <w:rsid w:val="5FE4C905"/>
    <w:rsid w:val="5FEE4091"/>
    <w:rsid w:val="5FF4BA1E"/>
    <w:rsid w:val="5FFC8635"/>
    <w:rsid w:val="5FFECD9B"/>
    <w:rsid w:val="602033B9"/>
    <w:rsid w:val="6029FEA2"/>
    <w:rsid w:val="6060A19E"/>
    <w:rsid w:val="606940A9"/>
    <w:rsid w:val="608F9D5B"/>
    <w:rsid w:val="60A1B105"/>
    <w:rsid w:val="60A45E64"/>
    <w:rsid w:val="60E0EA95"/>
    <w:rsid w:val="613D33FD"/>
    <w:rsid w:val="6154CC45"/>
    <w:rsid w:val="617EB148"/>
    <w:rsid w:val="618AA1D9"/>
    <w:rsid w:val="6191E176"/>
    <w:rsid w:val="61D288F4"/>
    <w:rsid w:val="620340F9"/>
    <w:rsid w:val="6258966E"/>
    <w:rsid w:val="62679168"/>
    <w:rsid w:val="62838A9F"/>
    <w:rsid w:val="629E1022"/>
    <w:rsid w:val="62B8CE0A"/>
    <w:rsid w:val="62E02BC7"/>
    <w:rsid w:val="62EB0813"/>
    <w:rsid w:val="62F555E1"/>
    <w:rsid w:val="62FD46C6"/>
    <w:rsid w:val="63141FED"/>
    <w:rsid w:val="63191200"/>
    <w:rsid w:val="633D2CF3"/>
    <w:rsid w:val="63653434"/>
    <w:rsid w:val="6378BC22"/>
    <w:rsid w:val="63CA5126"/>
    <w:rsid w:val="64203A03"/>
    <w:rsid w:val="644BCB76"/>
    <w:rsid w:val="64756070"/>
    <w:rsid w:val="647FF41A"/>
    <w:rsid w:val="64857BFD"/>
    <w:rsid w:val="64880BBD"/>
    <w:rsid w:val="6494BF59"/>
    <w:rsid w:val="64B611FD"/>
    <w:rsid w:val="64C630D4"/>
    <w:rsid w:val="64D63E80"/>
    <w:rsid w:val="65561111"/>
    <w:rsid w:val="65712619"/>
    <w:rsid w:val="6575DCC1"/>
    <w:rsid w:val="657B5B57"/>
    <w:rsid w:val="657DC0B6"/>
    <w:rsid w:val="65878FF3"/>
    <w:rsid w:val="65A8711A"/>
    <w:rsid w:val="65DE6C12"/>
    <w:rsid w:val="65F38142"/>
    <w:rsid w:val="65FC3C96"/>
    <w:rsid w:val="65FE1998"/>
    <w:rsid w:val="6605AF2F"/>
    <w:rsid w:val="660903FC"/>
    <w:rsid w:val="663DFBE4"/>
    <w:rsid w:val="66A7E1F1"/>
    <w:rsid w:val="66AB7E2A"/>
    <w:rsid w:val="66ACFBB8"/>
    <w:rsid w:val="66B01190"/>
    <w:rsid w:val="66BF5CFD"/>
    <w:rsid w:val="66D6BB50"/>
    <w:rsid w:val="66DCB529"/>
    <w:rsid w:val="66EAB01C"/>
    <w:rsid w:val="66F0D9DE"/>
    <w:rsid w:val="66F456A6"/>
    <w:rsid w:val="66F76B53"/>
    <w:rsid w:val="670C9216"/>
    <w:rsid w:val="672BCF6A"/>
    <w:rsid w:val="675BA744"/>
    <w:rsid w:val="67727E71"/>
    <w:rsid w:val="677DACFA"/>
    <w:rsid w:val="67A89A01"/>
    <w:rsid w:val="67BF472F"/>
    <w:rsid w:val="67CC2616"/>
    <w:rsid w:val="67EE7618"/>
    <w:rsid w:val="682E0AAD"/>
    <w:rsid w:val="682FE02E"/>
    <w:rsid w:val="68409024"/>
    <w:rsid w:val="684A2A85"/>
    <w:rsid w:val="6879D227"/>
    <w:rsid w:val="6889785B"/>
    <w:rsid w:val="6893B372"/>
    <w:rsid w:val="689F40AB"/>
    <w:rsid w:val="68A76BE2"/>
    <w:rsid w:val="68AB0D61"/>
    <w:rsid w:val="68DFE78A"/>
    <w:rsid w:val="68E52624"/>
    <w:rsid w:val="68EB910D"/>
    <w:rsid w:val="692A9E60"/>
    <w:rsid w:val="692C7E0D"/>
    <w:rsid w:val="69314DE5"/>
    <w:rsid w:val="6952D869"/>
    <w:rsid w:val="6977CFA7"/>
    <w:rsid w:val="698E4EFD"/>
    <w:rsid w:val="69B97A29"/>
    <w:rsid w:val="69D37174"/>
    <w:rsid w:val="69F35B34"/>
    <w:rsid w:val="69F66AA8"/>
    <w:rsid w:val="6A118315"/>
    <w:rsid w:val="6A295E71"/>
    <w:rsid w:val="6A486D1E"/>
    <w:rsid w:val="6A614385"/>
    <w:rsid w:val="6A78F0A1"/>
    <w:rsid w:val="6AB62452"/>
    <w:rsid w:val="6AD93A05"/>
    <w:rsid w:val="6AF29ED8"/>
    <w:rsid w:val="6B285A2F"/>
    <w:rsid w:val="6B8A1974"/>
    <w:rsid w:val="6B957335"/>
    <w:rsid w:val="6BA19D85"/>
    <w:rsid w:val="6BE42725"/>
    <w:rsid w:val="6BF935EB"/>
    <w:rsid w:val="6C21FD35"/>
    <w:rsid w:val="6C38DF83"/>
    <w:rsid w:val="6C437C02"/>
    <w:rsid w:val="6C603DDA"/>
    <w:rsid w:val="6CD5FD06"/>
    <w:rsid w:val="6CD7A392"/>
    <w:rsid w:val="6CE8A140"/>
    <w:rsid w:val="6CF084B3"/>
    <w:rsid w:val="6D31F146"/>
    <w:rsid w:val="6D3C88D5"/>
    <w:rsid w:val="6D8EE7BB"/>
    <w:rsid w:val="6D90E5AD"/>
    <w:rsid w:val="6DA5CA6E"/>
    <w:rsid w:val="6DB020D9"/>
    <w:rsid w:val="6DB108B3"/>
    <w:rsid w:val="6DB66DCD"/>
    <w:rsid w:val="6E27272F"/>
    <w:rsid w:val="6E50AADD"/>
    <w:rsid w:val="6E667509"/>
    <w:rsid w:val="6E77E77D"/>
    <w:rsid w:val="6EA323E3"/>
    <w:rsid w:val="6EC7F15E"/>
    <w:rsid w:val="6F042251"/>
    <w:rsid w:val="6F0AE3CC"/>
    <w:rsid w:val="6F8AAD65"/>
    <w:rsid w:val="6F8DD561"/>
    <w:rsid w:val="6FD03C6A"/>
    <w:rsid w:val="6FE1FF96"/>
    <w:rsid w:val="6FFD8961"/>
    <w:rsid w:val="70221C55"/>
    <w:rsid w:val="70508AD8"/>
    <w:rsid w:val="70618DEA"/>
    <w:rsid w:val="70741373"/>
    <w:rsid w:val="71221B2A"/>
    <w:rsid w:val="713F6B48"/>
    <w:rsid w:val="715AB90A"/>
    <w:rsid w:val="717B6FE3"/>
    <w:rsid w:val="7194E3B4"/>
    <w:rsid w:val="71974E3C"/>
    <w:rsid w:val="71A0966B"/>
    <w:rsid w:val="71A7B5A5"/>
    <w:rsid w:val="71B6277D"/>
    <w:rsid w:val="71DD82DA"/>
    <w:rsid w:val="71EC73F7"/>
    <w:rsid w:val="71EE1ADA"/>
    <w:rsid w:val="71F2825E"/>
    <w:rsid w:val="72020C5D"/>
    <w:rsid w:val="720DF497"/>
    <w:rsid w:val="725082E8"/>
    <w:rsid w:val="7271FA41"/>
    <w:rsid w:val="727A6F79"/>
    <w:rsid w:val="727F1304"/>
    <w:rsid w:val="72968ECE"/>
    <w:rsid w:val="72E8DFA7"/>
    <w:rsid w:val="73178B74"/>
    <w:rsid w:val="732033E6"/>
    <w:rsid w:val="73568987"/>
    <w:rsid w:val="73826F7B"/>
    <w:rsid w:val="7385BFBA"/>
    <w:rsid w:val="738F0642"/>
    <w:rsid w:val="739EE641"/>
    <w:rsid w:val="73C3956B"/>
    <w:rsid w:val="73CEFB8B"/>
    <w:rsid w:val="73FF21FA"/>
    <w:rsid w:val="7405FAC2"/>
    <w:rsid w:val="740AE763"/>
    <w:rsid w:val="741B53D3"/>
    <w:rsid w:val="741F65C9"/>
    <w:rsid w:val="74389D5A"/>
    <w:rsid w:val="74AA405A"/>
    <w:rsid w:val="74B521B4"/>
    <w:rsid w:val="750011BB"/>
    <w:rsid w:val="75198452"/>
    <w:rsid w:val="752BE1D2"/>
    <w:rsid w:val="755C21C1"/>
    <w:rsid w:val="7582C884"/>
    <w:rsid w:val="7583E039"/>
    <w:rsid w:val="75A4DD8E"/>
    <w:rsid w:val="75B0D5D8"/>
    <w:rsid w:val="75E0C6E3"/>
    <w:rsid w:val="75FFB906"/>
    <w:rsid w:val="763551D4"/>
    <w:rsid w:val="7675B2A2"/>
    <w:rsid w:val="767A6C74"/>
    <w:rsid w:val="767F955F"/>
    <w:rsid w:val="76AEBF38"/>
    <w:rsid w:val="76B6AF6B"/>
    <w:rsid w:val="76B87566"/>
    <w:rsid w:val="76BEB720"/>
    <w:rsid w:val="76D834A1"/>
    <w:rsid w:val="76E1A235"/>
    <w:rsid w:val="76FB09DB"/>
    <w:rsid w:val="77208405"/>
    <w:rsid w:val="77236085"/>
    <w:rsid w:val="7729AA69"/>
    <w:rsid w:val="775EB1FE"/>
    <w:rsid w:val="7776C4AB"/>
    <w:rsid w:val="778F0830"/>
    <w:rsid w:val="77CD4E82"/>
    <w:rsid w:val="77DE9AF1"/>
    <w:rsid w:val="77DEEBB2"/>
    <w:rsid w:val="77F27A26"/>
    <w:rsid w:val="78702978"/>
    <w:rsid w:val="7876785A"/>
    <w:rsid w:val="789B78F0"/>
    <w:rsid w:val="78A0E626"/>
    <w:rsid w:val="78A9FCBB"/>
    <w:rsid w:val="78B9CB45"/>
    <w:rsid w:val="78C29109"/>
    <w:rsid w:val="78C62A88"/>
    <w:rsid w:val="796E2163"/>
    <w:rsid w:val="798B8185"/>
    <w:rsid w:val="79ED927A"/>
    <w:rsid w:val="7A1E938D"/>
    <w:rsid w:val="7A3DEF46"/>
    <w:rsid w:val="7A42CEEB"/>
    <w:rsid w:val="7A6C5EB6"/>
    <w:rsid w:val="7A73C15A"/>
    <w:rsid w:val="7AC5B890"/>
    <w:rsid w:val="7B1AF1CC"/>
    <w:rsid w:val="7B33515D"/>
    <w:rsid w:val="7B470B31"/>
    <w:rsid w:val="7B543B58"/>
    <w:rsid w:val="7B5EB748"/>
    <w:rsid w:val="7B717D26"/>
    <w:rsid w:val="7BB8C905"/>
    <w:rsid w:val="7C1930C4"/>
    <w:rsid w:val="7C26AAC1"/>
    <w:rsid w:val="7C61AC12"/>
    <w:rsid w:val="7C6692C1"/>
    <w:rsid w:val="7C6F7F1A"/>
    <w:rsid w:val="7C9EF3F0"/>
    <w:rsid w:val="7CE72B49"/>
    <w:rsid w:val="7CF60E8D"/>
    <w:rsid w:val="7D04C0EA"/>
    <w:rsid w:val="7D16FDE5"/>
    <w:rsid w:val="7D2FDACA"/>
    <w:rsid w:val="7D555CF7"/>
    <w:rsid w:val="7D75C28B"/>
    <w:rsid w:val="7D80EE20"/>
    <w:rsid w:val="7DD4CE48"/>
    <w:rsid w:val="7DE75823"/>
    <w:rsid w:val="7E006605"/>
    <w:rsid w:val="7E154AB3"/>
    <w:rsid w:val="7E188B00"/>
    <w:rsid w:val="7E2D70A4"/>
    <w:rsid w:val="7E2DB499"/>
    <w:rsid w:val="7E3EE5B5"/>
    <w:rsid w:val="7E3F7F86"/>
    <w:rsid w:val="7E49E2BD"/>
    <w:rsid w:val="7EA46009"/>
    <w:rsid w:val="7EA976BF"/>
    <w:rsid w:val="7ED0C63D"/>
    <w:rsid w:val="7EE4C27B"/>
    <w:rsid w:val="7EE7E92A"/>
    <w:rsid w:val="7F06A098"/>
    <w:rsid w:val="7F0BFF9B"/>
    <w:rsid w:val="7F174B81"/>
    <w:rsid w:val="7F1E4224"/>
    <w:rsid w:val="7F3669EE"/>
    <w:rsid w:val="7F4A4E68"/>
    <w:rsid w:val="7F82AEBE"/>
    <w:rsid w:val="7F9B04FE"/>
    <w:rsid w:val="7FAF3640"/>
    <w:rsid w:val="7FC01DB3"/>
    <w:rsid w:val="7FEE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5F4327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0970"/>
    <w:pPr>
      <w:widowControl w:val="0"/>
      <w:spacing w:line="480" w:lineRule="auto"/>
    </w:pPr>
    <w:rPr>
      <w:rFonts w:eastAsiaTheme="minorHAnsi" w:cstheme="minorBidi"/>
      <w:sz w:val="24"/>
      <w:szCs w:val="22"/>
    </w:rPr>
  </w:style>
  <w:style w:type="paragraph" w:styleId="Heading1">
    <w:name w:val="heading 1"/>
    <w:basedOn w:val="Normal"/>
    <w:next w:val="Normal"/>
    <w:qFormat/>
    <w:rsid w:val="00CE0494"/>
    <w:pPr>
      <w:outlineLvl w:val="0"/>
    </w:pPr>
    <w:rPr>
      <w:rFonts w:eastAsia="MuseoSlab500,Helvetica,Arial Un"/>
      <w:b/>
      <w:bCs/>
      <w:kern w:val="32"/>
    </w:rPr>
  </w:style>
  <w:style w:type="paragraph" w:styleId="Heading2">
    <w:name w:val="heading 2"/>
    <w:basedOn w:val="Normal"/>
    <w:next w:val="Normal"/>
    <w:link w:val="Heading2Char"/>
    <w:qFormat/>
    <w:rsid w:val="00CE0494"/>
    <w:pPr>
      <w:outlineLvl w:val="1"/>
    </w:pPr>
    <w:rPr>
      <w:rFonts w:eastAsia="Arial Unicode MS"/>
      <w:bCs/>
      <w:i/>
      <w:iCs/>
    </w:rPr>
  </w:style>
  <w:style w:type="paragraph" w:styleId="Heading3">
    <w:name w:val="heading 3"/>
    <w:basedOn w:val="Normal"/>
    <w:next w:val="Normal"/>
    <w:qFormat/>
    <w:rsid w:val="00CE0494"/>
    <w:pPr>
      <w:outlineLvl w:val="2"/>
    </w:pPr>
    <w:rPr>
      <w:rFonts w:cs="Arial"/>
      <w:bCs/>
      <w:i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760728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AutoList1">
    <w:name w:val="1AutoList1"/>
    <w:semiHidden/>
    <w:rsid w:val="00763FC4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</w:rPr>
  </w:style>
  <w:style w:type="paragraph" w:customStyle="1" w:styleId="2AutoList1">
    <w:name w:val="2AutoList1"/>
    <w:semiHidden/>
    <w:rsid w:val="00763FC4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  <w:rPr>
      <w:sz w:val="24"/>
      <w:szCs w:val="24"/>
    </w:rPr>
  </w:style>
  <w:style w:type="paragraph" w:customStyle="1" w:styleId="3AutoList1">
    <w:name w:val="3AutoList1"/>
    <w:semiHidden/>
    <w:rsid w:val="00763FC4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720"/>
      <w:jc w:val="both"/>
    </w:pPr>
    <w:rPr>
      <w:sz w:val="24"/>
      <w:szCs w:val="24"/>
    </w:rPr>
  </w:style>
  <w:style w:type="paragraph" w:customStyle="1" w:styleId="4AutoList1">
    <w:name w:val="4AutoList1"/>
    <w:semiHidden/>
    <w:rsid w:val="00763FC4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720"/>
      <w:jc w:val="both"/>
    </w:pPr>
    <w:rPr>
      <w:sz w:val="24"/>
      <w:szCs w:val="24"/>
    </w:rPr>
  </w:style>
  <w:style w:type="paragraph" w:customStyle="1" w:styleId="5AutoList1">
    <w:name w:val="5AutoList1"/>
    <w:semiHidden/>
    <w:rsid w:val="00763FC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720"/>
      <w:jc w:val="both"/>
    </w:pPr>
    <w:rPr>
      <w:sz w:val="24"/>
      <w:szCs w:val="24"/>
    </w:rPr>
  </w:style>
  <w:style w:type="paragraph" w:customStyle="1" w:styleId="6AutoList1">
    <w:name w:val="6AutoList1"/>
    <w:semiHidden/>
    <w:rsid w:val="00763FC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20"/>
      <w:jc w:val="both"/>
    </w:pPr>
    <w:rPr>
      <w:sz w:val="24"/>
      <w:szCs w:val="24"/>
    </w:rPr>
  </w:style>
  <w:style w:type="paragraph" w:customStyle="1" w:styleId="7AutoList1">
    <w:name w:val="7AutoList1"/>
    <w:semiHidden/>
    <w:rsid w:val="00763FC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720"/>
      <w:jc w:val="both"/>
    </w:pPr>
    <w:rPr>
      <w:sz w:val="24"/>
      <w:szCs w:val="24"/>
    </w:rPr>
  </w:style>
  <w:style w:type="paragraph" w:customStyle="1" w:styleId="8AutoList1">
    <w:name w:val="8AutoList1"/>
    <w:semiHidden/>
    <w:rsid w:val="00763FC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720"/>
      <w:jc w:val="both"/>
    </w:pPr>
    <w:rPr>
      <w:sz w:val="24"/>
      <w:szCs w:val="24"/>
    </w:rPr>
  </w:style>
  <w:style w:type="paragraph" w:customStyle="1" w:styleId="1AutoList4">
    <w:name w:val="1AutoList4"/>
    <w:semiHidden/>
    <w:rsid w:val="00763FC4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</w:rPr>
  </w:style>
  <w:style w:type="paragraph" w:customStyle="1" w:styleId="2AutoList4">
    <w:name w:val="2AutoList4"/>
    <w:semiHidden/>
    <w:rsid w:val="00763FC4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  <w:rPr>
      <w:sz w:val="24"/>
      <w:szCs w:val="24"/>
    </w:rPr>
  </w:style>
  <w:style w:type="paragraph" w:customStyle="1" w:styleId="3AutoList4">
    <w:name w:val="3AutoList4"/>
    <w:semiHidden/>
    <w:rsid w:val="00763FC4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720"/>
      <w:jc w:val="both"/>
    </w:pPr>
    <w:rPr>
      <w:sz w:val="24"/>
      <w:szCs w:val="24"/>
    </w:rPr>
  </w:style>
  <w:style w:type="paragraph" w:customStyle="1" w:styleId="4AutoList4">
    <w:name w:val="4AutoList4"/>
    <w:semiHidden/>
    <w:rsid w:val="00763FC4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720"/>
      <w:jc w:val="both"/>
    </w:pPr>
    <w:rPr>
      <w:sz w:val="24"/>
      <w:szCs w:val="24"/>
    </w:rPr>
  </w:style>
  <w:style w:type="paragraph" w:customStyle="1" w:styleId="5AutoList4">
    <w:name w:val="5AutoList4"/>
    <w:semiHidden/>
    <w:rsid w:val="00763FC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720"/>
      <w:jc w:val="both"/>
    </w:pPr>
    <w:rPr>
      <w:sz w:val="24"/>
      <w:szCs w:val="24"/>
    </w:rPr>
  </w:style>
  <w:style w:type="paragraph" w:customStyle="1" w:styleId="6AutoList4">
    <w:name w:val="6AutoList4"/>
    <w:semiHidden/>
    <w:rsid w:val="00763FC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20"/>
      <w:jc w:val="both"/>
    </w:pPr>
    <w:rPr>
      <w:sz w:val="24"/>
      <w:szCs w:val="24"/>
    </w:rPr>
  </w:style>
  <w:style w:type="paragraph" w:customStyle="1" w:styleId="7AutoList4">
    <w:name w:val="7AutoList4"/>
    <w:semiHidden/>
    <w:rsid w:val="00763FC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720"/>
      <w:jc w:val="both"/>
    </w:pPr>
    <w:rPr>
      <w:sz w:val="24"/>
      <w:szCs w:val="24"/>
    </w:rPr>
  </w:style>
  <w:style w:type="paragraph" w:customStyle="1" w:styleId="8AutoList4">
    <w:name w:val="8AutoList4"/>
    <w:semiHidden/>
    <w:rsid w:val="00763FC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720"/>
      <w:jc w:val="both"/>
    </w:pPr>
    <w:rPr>
      <w:sz w:val="24"/>
      <w:szCs w:val="24"/>
    </w:rPr>
  </w:style>
  <w:style w:type="character" w:customStyle="1" w:styleId="SYSHYPERTEXT">
    <w:name w:val="SYS_HYPERTEXT"/>
    <w:semiHidden/>
    <w:rsid w:val="00763FC4"/>
    <w:rPr>
      <w:color w:val="0000FF"/>
    </w:rPr>
  </w:style>
  <w:style w:type="paragraph" w:styleId="Header">
    <w:name w:val="header"/>
    <w:basedOn w:val="Normal"/>
    <w:link w:val="HeaderChar"/>
    <w:uiPriority w:val="99"/>
    <w:rsid w:val="00763F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763FC4"/>
  </w:style>
  <w:style w:type="character" w:customStyle="1" w:styleId="GPOBold">
    <w:name w:val="GPO Bold"/>
    <w:rsid w:val="00763FC4"/>
    <w:rPr>
      <w:b/>
      <w:bCs/>
    </w:rPr>
  </w:style>
  <w:style w:type="character" w:customStyle="1" w:styleId="GPOItalic">
    <w:name w:val="GPO Italic"/>
    <w:basedOn w:val="DefaultParagraphFont"/>
    <w:rsid w:val="00763FC4"/>
    <w:rPr>
      <w:bCs/>
      <w:i/>
    </w:rPr>
  </w:style>
  <w:style w:type="paragraph" w:customStyle="1" w:styleId="GPOHD1">
    <w:name w:val="GPO HD1"/>
    <w:basedOn w:val="Normal"/>
    <w:rsid w:val="00763FC4"/>
    <w:rPr>
      <w:b/>
      <w:bCs/>
    </w:rPr>
  </w:style>
  <w:style w:type="paragraph" w:customStyle="1" w:styleId="GPOHD2">
    <w:name w:val="GPO HD2"/>
    <w:basedOn w:val="Normal"/>
    <w:rsid w:val="00763FC4"/>
    <w:rPr>
      <w:i/>
      <w:iCs/>
    </w:rPr>
  </w:style>
  <w:style w:type="paragraph" w:customStyle="1" w:styleId="GPOP">
    <w:name w:val="GPO P"/>
    <w:basedOn w:val="Normal"/>
    <w:rsid w:val="00763FC4"/>
  </w:style>
  <w:style w:type="paragraph" w:customStyle="1" w:styleId="GPOAGENCY">
    <w:name w:val="GPO AGENCY"/>
    <w:basedOn w:val="Normal"/>
    <w:link w:val="GPOAGENCYChar"/>
    <w:rsid w:val="00763FC4"/>
    <w:rPr>
      <w:b/>
      <w:bCs/>
    </w:rPr>
  </w:style>
  <w:style w:type="paragraph" w:customStyle="1" w:styleId="GPOCFR">
    <w:name w:val="GPO CFR"/>
    <w:basedOn w:val="Normal"/>
    <w:rsid w:val="00763FC4"/>
    <w:rPr>
      <w:b/>
      <w:bCs/>
    </w:rPr>
  </w:style>
  <w:style w:type="paragraph" w:customStyle="1" w:styleId="GPODEPDOC">
    <w:name w:val="GPO DEPDOC"/>
    <w:basedOn w:val="Normal"/>
    <w:rsid w:val="00763FC4"/>
    <w:rPr>
      <w:b/>
      <w:bCs/>
    </w:rPr>
  </w:style>
  <w:style w:type="paragraph" w:customStyle="1" w:styleId="GPORIN">
    <w:name w:val="GPO RIN"/>
    <w:basedOn w:val="Normal"/>
    <w:rsid w:val="00763FC4"/>
    <w:rPr>
      <w:b/>
      <w:bCs/>
    </w:rPr>
  </w:style>
  <w:style w:type="paragraph" w:customStyle="1" w:styleId="GPOSUBJECT">
    <w:name w:val="GPO SUBJECT"/>
    <w:basedOn w:val="Normal"/>
    <w:rsid w:val="00763FC4"/>
  </w:style>
  <w:style w:type="paragraph" w:styleId="BalloonText">
    <w:name w:val="Balloon Text"/>
    <w:basedOn w:val="Normal"/>
    <w:semiHidden/>
    <w:rsid w:val="00763FC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semiHidden/>
    <w:rsid w:val="00763FC4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POTableDouble">
    <w:name w:val="GPO Table Double"/>
    <w:basedOn w:val="TableGrid"/>
    <w:rsid w:val="00763FC4"/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none" w:sz="0" w:space="0" w:color="auto"/>
        <w:insideV w:val="none" w:sz="0" w:space="0" w:color="auto"/>
      </w:tblBorders>
    </w:tblPr>
  </w:style>
  <w:style w:type="table" w:customStyle="1" w:styleId="GPOTableSingle">
    <w:name w:val="GPO Table Single"/>
    <w:basedOn w:val="TableNormal"/>
    <w:rsid w:val="00763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763FC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GPONomal">
    <w:name w:val="GPO Nomal"/>
    <w:basedOn w:val="Normal"/>
    <w:rsid w:val="00763FC4"/>
  </w:style>
  <w:style w:type="character" w:customStyle="1" w:styleId="GPOInlineP">
    <w:name w:val="GPO InlineP"/>
    <w:rsid w:val="00C07696"/>
    <w:rPr>
      <w:rFonts w:ascii="Times New Roman" w:hAnsi="Times New Roman"/>
      <w:sz w:val="20"/>
    </w:rPr>
  </w:style>
  <w:style w:type="character" w:customStyle="1" w:styleId="GPOSuperscript">
    <w:name w:val="GPO Superscript"/>
    <w:basedOn w:val="DefaultParagraphFont"/>
    <w:rsid w:val="00C3354B"/>
    <w:rPr>
      <w:bCs/>
      <w:dstrike w:val="0"/>
      <w:vertAlign w:val="superscript"/>
    </w:rPr>
  </w:style>
  <w:style w:type="character" w:customStyle="1" w:styleId="GPOSubscript">
    <w:name w:val="GPO Subscript"/>
    <w:basedOn w:val="DefaultParagraphFont"/>
    <w:rsid w:val="00C3354B"/>
    <w:rPr>
      <w:dstrike w:val="0"/>
      <w:vertAlign w:val="subscript"/>
    </w:rPr>
  </w:style>
  <w:style w:type="paragraph" w:customStyle="1" w:styleId="GPONormal">
    <w:name w:val="GPO Normal"/>
    <w:basedOn w:val="Normal"/>
    <w:rsid w:val="00C3354B"/>
  </w:style>
  <w:style w:type="character" w:customStyle="1" w:styleId="GPOAGENCYChar">
    <w:name w:val="GPO AGENCY Char"/>
    <w:basedOn w:val="DefaultParagraphFont"/>
    <w:link w:val="GPOAGENCY"/>
    <w:rsid w:val="00C90DF0"/>
    <w:rPr>
      <w:b/>
      <w:bCs/>
      <w:sz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07C7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936CB"/>
    <w:rPr>
      <w:b/>
      <w:bCs/>
    </w:rPr>
  </w:style>
  <w:style w:type="paragraph" w:styleId="Footer">
    <w:name w:val="footer"/>
    <w:basedOn w:val="Normal"/>
    <w:link w:val="FooterChar"/>
    <w:uiPriority w:val="99"/>
    <w:rsid w:val="00B96D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6DB5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B96DB5"/>
    <w:rPr>
      <w:sz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878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8784A"/>
    <w:rPr>
      <w:rFonts w:ascii="Courier New" w:eastAsiaTheme="minorEastAsia" w:hAnsi="Courier New" w:cs="Courier New"/>
      <w:szCs w:val="22"/>
    </w:rPr>
  </w:style>
  <w:style w:type="paragraph" w:styleId="ListParagraph">
    <w:name w:val="List Paragraph"/>
    <w:aliases w:val="List 6 space between lines,Bullets"/>
    <w:basedOn w:val="Normal"/>
    <w:link w:val="ListParagraphChar"/>
    <w:uiPriority w:val="34"/>
    <w:qFormat/>
    <w:rsid w:val="0058051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qFormat/>
    <w:rsid w:val="00065C01"/>
    <w:rPr>
      <w:sz w:val="16"/>
      <w:szCs w:val="16"/>
    </w:rPr>
  </w:style>
  <w:style w:type="paragraph" w:styleId="CommentText">
    <w:name w:val="annotation text"/>
    <w:aliases w:val="Bubble Text"/>
    <w:basedOn w:val="Normal"/>
    <w:link w:val="CommentTextChar"/>
    <w:uiPriority w:val="99"/>
    <w:unhideWhenUsed/>
    <w:qFormat/>
    <w:rsid w:val="00065C01"/>
    <w:rPr>
      <w:sz w:val="20"/>
    </w:rPr>
  </w:style>
  <w:style w:type="character" w:customStyle="1" w:styleId="CommentTextChar">
    <w:name w:val="Comment Text Char"/>
    <w:aliases w:val="Bubble Text Char"/>
    <w:basedOn w:val="DefaultParagraphFont"/>
    <w:link w:val="CommentText"/>
    <w:uiPriority w:val="99"/>
    <w:rsid w:val="00065C0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65C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65C01"/>
    <w:rPr>
      <w:b/>
      <w:bCs/>
    </w:rPr>
  </w:style>
  <w:style w:type="paragraph" w:styleId="FootnoteText">
    <w:name w:val="footnote text"/>
    <w:basedOn w:val="Normal"/>
    <w:link w:val="FootnoteTextChar"/>
    <w:unhideWhenUsed/>
    <w:rsid w:val="00362565"/>
  </w:style>
  <w:style w:type="character" w:customStyle="1" w:styleId="FootnoteTextChar">
    <w:name w:val="Footnote Text Char"/>
    <w:basedOn w:val="DefaultParagraphFont"/>
    <w:link w:val="FootnoteText"/>
    <w:rsid w:val="00362565"/>
    <w:rPr>
      <w:rFonts w:eastAsiaTheme="minorHAnsi" w:cstheme="minorBidi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362565"/>
    <w:rPr>
      <w:vertAlign w:val="superscript"/>
    </w:rPr>
  </w:style>
  <w:style w:type="character" w:styleId="LineNumber">
    <w:name w:val="line number"/>
    <w:basedOn w:val="DefaultParagraphFont"/>
    <w:semiHidden/>
    <w:unhideWhenUsed/>
    <w:rsid w:val="00C155F5"/>
  </w:style>
  <w:style w:type="character" w:customStyle="1" w:styleId="apple-converted-space">
    <w:name w:val="apple-converted-space"/>
    <w:basedOn w:val="DefaultParagraphFont"/>
    <w:rsid w:val="00AA5277"/>
  </w:style>
  <w:style w:type="character" w:customStyle="1" w:styleId="fdmstext">
    <w:name w:val="fdmstext"/>
    <w:basedOn w:val="DefaultParagraphFont"/>
    <w:rsid w:val="005C1807"/>
    <w:rPr>
      <w:b/>
      <w:bCs/>
      <w:color w:val="0000CC"/>
    </w:rPr>
  </w:style>
  <w:style w:type="paragraph" w:customStyle="1" w:styleId="Level1">
    <w:name w:val="Level 1"/>
    <w:link w:val="Level1Char"/>
    <w:rsid w:val="00B55EA7"/>
    <w:pPr>
      <w:autoSpaceDE w:val="0"/>
      <w:autoSpaceDN w:val="0"/>
      <w:adjustRightInd w:val="0"/>
      <w:ind w:left="720"/>
    </w:pPr>
    <w:rPr>
      <w:sz w:val="24"/>
      <w:szCs w:val="24"/>
    </w:rPr>
  </w:style>
  <w:style w:type="character" w:customStyle="1" w:styleId="Level1Char">
    <w:name w:val="Level 1 Char"/>
    <w:basedOn w:val="DefaultParagraphFont"/>
    <w:link w:val="Level1"/>
    <w:rsid w:val="00B55EA7"/>
    <w:rPr>
      <w:sz w:val="24"/>
      <w:szCs w:val="24"/>
    </w:rPr>
  </w:style>
  <w:style w:type="paragraph" w:styleId="Revision">
    <w:name w:val="Revision"/>
    <w:hidden/>
    <w:uiPriority w:val="99"/>
    <w:semiHidden/>
    <w:rsid w:val="005C2480"/>
    <w:rPr>
      <w:sz w:val="24"/>
    </w:rPr>
  </w:style>
  <w:style w:type="character" w:styleId="FollowedHyperlink">
    <w:name w:val="FollowedHyperlink"/>
    <w:basedOn w:val="DefaultParagraphFont"/>
    <w:semiHidden/>
    <w:unhideWhenUsed/>
    <w:rsid w:val="0027224E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D9084E"/>
    <w:pPr>
      <w:keepLines/>
      <w:spacing w:before="24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D9084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084E"/>
    <w:pPr>
      <w:spacing w:after="100"/>
      <w:ind w:left="240"/>
    </w:pPr>
  </w:style>
  <w:style w:type="character" w:styleId="UnresolvedMention">
    <w:name w:val="Unresolved Mention"/>
    <w:basedOn w:val="DefaultParagraphFont"/>
    <w:uiPriority w:val="99"/>
    <w:unhideWhenUsed/>
    <w:rsid w:val="008B717A"/>
    <w:rPr>
      <w:color w:val="808080"/>
      <w:shd w:val="clear" w:color="auto" w:fill="E6E6E6"/>
    </w:rPr>
  </w:style>
  <w:style w:type="paragraph" w:styleId="EndnoteText">
    <w:name w:val="endnote text"/>
    <w:basedOn w:val="Normal"/>
    <w:link w:val="EndnoteTextChar"/>
    <w:semiHidden/>
    <w:unhideWhenUsed/>
    <w:rsid w:val="00594053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594053"/>
  </w:style>
  <w:style w:type="character" w:styleId="EndnoteReference">
    <w:name w:val="endnote reference"/>
    <w:basedOn w:val="DefaultParagraphFont"/>
    <w:semiHidden/>
    <w:unhideWhenUsed/>
    <w:rsid w:val="00594053"/>
    <w:rPr>
      <w:vertAlign w:val="superscript"/>
    </w:rPr>
  </w:style>
  <w:style w:type="paragraph" w:styleId="ListNumber">
    <w:name w:val="List Number"/>
    <w:basedOn w:val="Normal"/>
    <w:rsid w:val="004D41EC"/>
    <w:pPr>
      <w:numPr>
        <w:numId w:val="1"/>
      </w:numPr>
      <w:contextualSpacing/>
    </w:pPr>
  </w:style>
  <w:style w:type="character" w:customStyle="1" w:styleId="Heading4Char">
    <w:name w:val="Heading 4 Char"/>
    <w:basedOn w:val="DefaultParagraphFont"/>
    <w:link w:val="Heading4"/>
    <w:rsid w:val="00760728"/>
    <w:rPr>
      <w:rFonts w:eastAsiaTheme="majorEastAsia" w:cstheme="majorBidi"/>
      <w:i/>
      <w:iCs/>
      <w:sz w:val="24"/>
    </w:rPr>
  </w:style>
  <w:style w:type="character" w:customStyle="1" w:styleId="ListParagraphChar">
    <w:name w:val="List Paragraph Char"/>
    <w:aliases w:val="List 6 space between lines Char,Bullets Char"/>
    <w:link w:val="ListParagraph"/>
    <w:uiPriority w:val="34"/>
    <w:locked/>
    <w:rsid w:val="001A6467"/>
    <w:rPr>
      <w:sz w:val="24"/>
    </w:rPr>
  </w:style>
  <w:style w:type="character" w:styleId="Mention">
    <w:name w:val="Mention"/>
    <w:basedOn w:val="DefaultParagraphFont"/>
    <w:uiPriority w:val="99"/>
    <w:unhideWhenUsed/>
    <w:rsid w:val="008B6F4B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26642"/>
    <w:pPr>
      <w:spacing w:before="100" w:beforeAutospacing="1" w:after="100" w:afterAutospacing="1"/>
    </w:pPr>
  </w:style>
  <w:style w:type="paragraph" w:customStyle="1" w:styleId="Default">
    <w:name w:val="Default"/>
    <w:rsid w:val="00E5392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bTLTableTextLeftRAD">
    <w:name w:val="TbTL Table Text Left RAD"/>
    <w:basedOn w:val="Normal"/>
    <w:uiPriority w:val="99"/>
    <w:qFormat/>
    <w:rsid w:val="003B1297"/>
  </w:style>
  <w:style w:type="character" w:styleId="Emphasis">
    <w:name w:val="Emphasis"/>
    <w:basedOn w:val="DefaultParagraphFont"/>
    <w:uiPriority w:val="20"/>
    <w:qFormat/>
    <w:rsid w:val="00BE047A"/>
    <w:rPr>
      <w:i/>
      <w:iCs/>
    </w:rPr>
  </w:style>
  <w:style w:type="paragraph" w:customStyle="1" w:styleId="paragraph">
    <w:name w:val="paragraph"/>
    <w:basedOn w:val="Normal"/>
    <w:rsid w:val="009133BD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9133BD"/>
  </w:style>
  <w:style w:type="character" w:customStyle="1" w:styleId="eop">
    <w:name w:val="eop"/>
    <w:basedOn w:val="DefaultParagraphFont"/>
    <w:rsid w:val="009133BD"/>
  </w:style>
  <w:style w:type="character" w:customStyle="1" w:styleId="Heading2Char">
    <w:name w:val="Heading 2 Char"/>
    <w:basedOn w:val="DefaultParagraphFont"/>
    <w:link w:val="Heading2"/>
    <w:rsid w:val="00CE0494"/>
    <w:rPr>
      <w:rFonts w:eastAsia="Arial Unicode MS" w:cstheme="minorBidi"/>
      <w:bCs/>
      <w:i/>
      <w:iCs/>
      <w:sz w:val="24"/>
      <w:szCs w:val="22"/>
    </w:rPr>
  </w:style>
  <w:style w:type="paragraph" w:styleId="NoSpacing">
    <w:name w:val="No Spacing"/>
    <w:uiPriority w:val="1"/>
    <w:qFormat/>
    <w:rsid w:val="008726B6"/>
    <w:rPr>
      <w:rFonts w:eastAsiaTheme="minorHAnsi"/>
      <w:bCs/>
      <w:sz w:val="24"/>
      <w:szCs w:val="22"/>
    </w:rPr>
  </w:style>
  <w:style w:type="paragraph" w:customStyle="1" w:styleId="xmsolistparagraph">
    <w:name w:val="x_msolistparagraph"/>
    <w:basedOn w:val="Normal"/>
    <w:rsid w:val="008F2341"/>
    <w:pPr>
      <w:ind w:left="720"/>
    </w:pPr>
    <w:rPr>
      <w:rFonts w:ascii="Calibr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3819A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1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07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9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09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7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5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556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668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163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468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361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2099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3271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9005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6707254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5071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78489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3372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15503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23597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306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36228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0989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6969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49675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0428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7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44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9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313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87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08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642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284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424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7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50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34096">
          <w:marLeft w:val="36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9554">
          <w:marLeft w:val="36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2667">
          <w:marLeft w:val="36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9505">
          <w:marLeft w:val="36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58">
          <w:marLeft w:val="36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9555">
          <w:marLeft w:val="36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4661">
          <w:marLeft w:val="36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3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2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2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36563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7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7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6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455159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103139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700284514">
                      <w:marLeft w:val="150"/>
                      <w:marRight w:val="15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37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965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3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0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500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4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07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4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8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5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4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0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6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8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5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7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6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7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EAFBA95B0044E7796C50FD68D701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3A5AC-9EA3-43C2-9729-F3E0BD18C216}"/>
      </w:docPartPr>
      <w:docPartBody>
        <w:p w:rsidR="00564FB1" w:rsidRDefault="004B4821" w:rsidP="004B4821">
          <w:pPr>
            <w:pStyle w:val="BEAFBA95B0044E7796C50FD68D70148C"/>
          </w:pPr>
          <w:r w:rsidRPr="00657BB5">
            <w:rPr>
              <w:rStyle w:val="PlaceholderText"/>
            </w:rPr>
            <w:t xml:space="preserve">Click or tap to enter </w:t>
          </w:r>
          <w:r>
            <w:rPr>
              <w:rStyle w:val="PlaceholderText"/>
            </w:rPr>
            <w:t>eSignature</w:t>
          </w:r>
          <w:r w:rsidRPr="00657BB5">
            <w:rPr>
              <w:rStyle w:val="PlaceholderText"/>
            </w:rPr>
            <w:t xml:space="preserve">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Slab500,Helvetica,Arial Un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821"/>
    <w:rsid w:val="004B4821"/>
    <w:rsid w:val="0056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B4821"/>
    <w:rPr>
      <w:color w:val="808080"/>
    </w:rPr>
  </w:style>
  <w:style w:type="paragraph" w:customStyle="1" w:styleId="BEAFBA95B0044E7796C50FD68D70148C">
    <w:name w:val="BEAFBA95B0044E7796C50FD68D70148C"/>
    <w:rsid w:val="004B48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29f62856-1543-49d4-a736-4569d363f533" ContentTypeId="0x0101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5d1ca4e-0a3f-4119-b619-e20b93ebd1aa">
      <UserInfo>
        <DisplayName>Fisher, Bethany</DisplayName>
        <AccountId>2891</AccountId>
        <AccountType/>
      </UserInfo>
      <UserInfo>
        <DisplayName>Mottley, Tanya</DisplayName>
        <AccountId>637</AccountId>
        <AccountType/>
      </UserInfo>
      <UserInfo>
        <DisplayName>Symmes, Brian</DisplayName>
        <AccountId>1456</AccountId>
        <AccountType/>
      </UserInfo>
      <UserInfo>
        <DisplayName>Canavan, Sheila</DisplayName>
        <AccountId>2109</AccountId>
        <AccountType/>
      </UserInfo>
      <UserInfo>
        <DisplayName>Gimlin, Peter</DisplayName>
        <AccountId>1724</AccountId>
        <AccountType/>
      </UserInfo>
      <UserInfo>
        <DisplayName>Corado, Ana</DisplayName>
        <AccountId>3284</AccountId>
        <AccountType/>
      </UserInfo>
      <UserInfo>
        <DisplayName>Courtnage, Robert</DisplayName>
        <AccountId>281</AccountId>
        <AccountType/>
      </UserInfo>
      <UserInfo>
        <DisplayName>Anderson, Steve</DisplayName>
        <AccountId>1722</AccountId>
        <AccountType/>
      </UserInfo>
      <UserInfo>
        <DisplayName>Heyboer, Camille</DisplayName>
        <AccountId>11310</AccountId>
        <AccountType/>
      </UserInfo>
      <UserInfo>
        <DisplayName>Johnson, Ann</DisplayName>
        <AccountId>1721</AccountId>
        <AccountType/>
      </UserInfo>
      <UserInfo>
        <DisplayName>Klemick, Heather</DisplayName>
        <AccountId>6326</AccountId>
        <AccountType/>
      </UserInfo>
      <UserInfo>
        <DisplayName>Silagi, William</DisplayName>
        <AccountId>256</AccountId>
        <AccountType/>
      </UserInfo>
      <UserInfo>
        <DisplayName>Hofmann, Angela</DisplayName>
        <AccountId>275</AccountId>
        <AccountType/>
      </UserInfo>
      <UserInfo>
        <DisplayName>Smith, Peterj</DisplayName>
        <AccountId>355</AccountId>
        <AccountType/>
      </UserInfo>
      <UserInfo>
        <DisplayName>Garretson, Eleanor</DisplayName>
        <AccountId>11735</AccountId>
        <AccountType/>
      </UserInfo>
      <UserInfo>
        <DisplayName>Beachum, Collin</DisplayName>
        <AccountId>10398</AccountId>
        <AccountType/>
      </UserInfo>
      <UserInfo>
        <DisplayName>Blair, Susanna</DisplayName>
        <AccountId>2705</AccountId>
        <AccountType/>
      </UserInfo>
      <UserInfo>
        <DisplayName>Nichols, Jennifer</DisplayName>
        <AccountId>4782</AccountId>
        <AccountType/>
      </UserInfo>
      <UserInfo>
        <DisplayName>Rice, Cody</DisplayName>
        <AccountId>170</AccountId>
        <AccountType/>
      </UserInfo>
      <UserInfo>
        <DisplayName>Selby-Mohamadu, Yvette</DisplayName>
        <AccountId>525</AccountId>
        <AccountType/>
      </UserInfo>
      <UserInfo>
        <DisplayName>Wolf, Joel</DisplayName>
        <AccountId>1014</AccountId>
        <AccountType/>
      </UserInfo>
      <UserInfo>
        <DisplayName>Hartman, Mark</DisplayName>
        <AccountId>1218</AccountId>
        <AccountType/>
      </UserInfo>
    </SharedWithUsers>
    <CategoryDescription xmlns="http://schemas.microsoft.com/sharepoint.v3" xsi:nil="true"/>
    <TaxCatchAll xmlns="4ffa91fb-a0ff-4ac5-b2db-65c790d184a4" xsi:nil="true"/>
    <_ip_UnifiedCompliancePolicyUIAction xmlns="http://schemas.microsoft.com/sharepoint/v3" xsi:nil="true"/>
    <_ip_UnifiedCompliancePolicyProperties xmlns="http://schemas.microsoft.com/sharepoint/v3" xsi:nil="true"/>
    <FRN_x0020_List_x0020_Item_x0020_ID xmlns="118f882f-1e32-4cf2-ad69-9de43d57f4c6">3751</FRN_x0020_List_x0020_Item_x0020_ID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F945D3E4F86649B7BD7D579B37A57A" ma:contentTypeVersion="13" ma:contentTypeDescription="Create a new document." ma:contentTypeScope="" ma:versionID="5a73bf4dba65c9c3ee53b6b939e0c1bd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.v3" xmlns:ns3="4ffa91fb-a0ff-4ac5-b2db-65c790d184a4" xmlns:ns4="118f882f-1e32-4cf2-ad69-9de43d57f4c6" xmlns:ns5="a5d1ca4e-0a3f-4119-b619-e20b93ebd1aa" targetNamespace="http://schemas.microsoft.com/office/2006/metadata/properties" ma:root="true" ma:fieldsID="22416af3408451da99adca02857ff5c6" ns1:_="" ns2:_="" ns3:_="" ns4:_="" ns5:_="">
    <xsd:import namespace="http://schemas.microsoft.com/sharepoint/v3"/>
    <xsd:import namespace="http://schemas.microsoft.com/sharepoint.v3"/>
    <xsd:import namespace="4ffa91fb-a0ff-4ac5-b2db-65c790d184a4"/>
    <xsd:import namespace="118f882f-1e32-4cf2-ad69-9de43d57f4c6"/>
    <xsd:import namespace="a5d1ca4e-0a3f-4119-b619-e20b93ebd1a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TaxCatchAllLabel" minOccurs="0"/>
                <xsd:element ref="ns3:TaxCatchAll" minOccurs="0"/>
                <xsd:element ref="ns4:FRN_x0020_List_x0020_Item_x0020_ID"/>
                <xsd:element ref="ns5:SharedWithUsers" minOccurs="0"/>
                <xsd:element ref="ns5:SharedWithDetail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2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12331871-f22f-4f1e-b241-7c04b4cb386a}" ma:internalName="TaxCatchAllLabel" ma:readOnly="true" ma:showField="CatchAllDataLabel" ma:web="a5d1ca4e-0a3f-4119-b619-e20b93ebd1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7" nillable="true" ma:displayName="Taxonomy Catch All Column" ma:hidden="true" ma:list="{12331871-f22f-4f1e-b241-7c04b4cb386a}" ma:internalName="TaxCatchAll" ma:showField="CatchAllData" ma:web="a5d1ca4e-0a3f-4119-b619-e20b93ebd1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f882f-1e32-4cf2-ad69-9de43d57f4c6" elementFormDefault="qualified">
    <xsd:import namespace="http://schemas.microsoft.com/office/2006/documentManagement/types"/>
    <xsd:import namespace="http://schemas.microsoft.com/office/infopath/2007/PartnerControls"/>
    <xsd:element name="FRN_x0020_List_x0020_Item_x0020_ID" ma:index="11" ma:displayName="FRN List Item ID" ma:indexed="true" ma:internalName="FRN_x0020_List_x0020_Item_x0020_ID">
      <xsd:simpleType>
        <xsd:restriction base="dms:Text">
          <xsd:maxLength value="255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1ca4e-0a3f-4119-b619-e20b93ebd1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DA42A6-EE29-4477-BF84-B9B1B4A627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AFA045-80F0-451B-90C7-4E8A54DA6A0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452CE33A-11B8-4531-8772-A7386BD89A9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F1D830-BE46-45E8-9099-4EF460F862C8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4ffa91fb-a0ff-4ac5-b2db-65c790d184a4"/>
    <ds:schemaRef ds:uri="http://schemas.microsoft.com/office/2006/documentManagement/types"/>
    <ds:schemaRef ds:uri="118f882f-1e32-4cf2-ad69-9de43d57f4c6"/>
    <ds:schemaRef ds:uri="http://www.w3.org/XML/1998/namespace"/>
    <ds:schemaRef ds:uri="http://purl.org/dc/dcmitype/"/>
    <ds:schemaRef ds:uri="a5d1ca4e-0a3f-4119-b619-e20b93ebd1aa"/>
    <ds:schemaRef ds:uri="http://schemas.microsoft.com/sharepoint.v3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18A17DB5-D6D4-4990-9347-C5A45B267C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.v3"/>
    <ds:schemaRef ds:uri="4ffa91fb-a0ff-4ac5-b2db-65c790d184a4"/>
    <ds:schemaRef ds:uri="118f882f-1e32-4cf2-ad69-9de43d57f4c6"/>
    <ds:schemaRef ds:uri="a5d1ca4e-0a3f-4119-b619-e20b93ebd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35581</Words>
  <Characters>202812</Characters>
  <Application>Microsoft Office Word</Application>
  <DocSecurity>0</DocSecurity>
  <Lines>1690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237918</CharactersWithSpaces>
  <SharedDoc>false</SharedDoc>
  <HLinks>
    <vt:vector size="102" baseType="variant">
      <vt:variant>
        <vt:i4>3407980</vt:i4>
      </vt:variant>
      <vt:variant>
        <vt:i4>0</vt:i4>
      </vt:variant>
      <vt:variant>
        <vt:i4>0</vt:i4>
      </vt:variant>
      <vt:variant>
        <vt:i4>5</vt:i4>
      </vt:variant>
      <vt:variant>
        <vt:lpwstr>https://www.regulations.gov/document/EPA-HQ-OPPT-2021-0057-0004</vt:lpwstr>
      </vt:variant>
      <vt:variant>
        <vt:lpwstr/>
      </vt:variant>
      <vt:variant>
        <vt:i4>4718671</vt:i4>
      </vt:variant>
      <vt:variant>
        <vt:i4>45</vt:i4>
      </vt:variant>
      <vt:variant>
        <vt:i4>0</vt:i4>
      </vt:variant>
      <vt:variant>
        <vt:i4>5</vt:i4>
      </vt:variant>
      <vt:variant>
        <vt:lpwstr>https://www.ecfr.gov/current/title-29/subtitle-B/chapter-XVII/part-1910/subpart-Z/section-1910.1200</vt:lpwstr>
      </vt:variant>
      <vt:variant>
        <vt:lpwstr>p-1910.1200(c)</vt:lpwstr>
      </vt:variant>
      <vt:variant>
        <vt:i4>7340148</vt:i4>
      </vt:variant>
      <vt:variant>
        <vt:i4>42</vt:i4>
      </vt:variant>
      <vt:variant>
        <vt:i4>0</vt:i4>
      </vt:variant>
      <vt:variant>
        <vt:i4>5</vt:i4>
      </vt:variant>
      <vt:variant>
        <vt:lpwstr>https://www.federalregister.gov/documents/2017/01/19/2017-01222/methylene-chloride-and-n-methylpyrrolidone-regulation-of-certain-uses-under-tsca-section-6a</vt:lpwstr>
      </vt:variant>
      <vt:variant>
        <vt:lpwstr/>
      </vt:variant>
      <vt:variant>
        <vt:i4>1114187</vt:i4>
      </vt:variant>
      <vt:variant>
        <vt:i4>39</vt:i4>
      </vt:variant>
      <vt:variant>
        <vt:i4>0</vt:i4>
      </vt:variant>
      <vt:variant>
        <vt:i4>5</vt:i4>
      </vt:variant>
      <vt:variant>
        <vt:lpwstr>https://www.osha.gov/stateplans/</vt:lpwstr>
      </vt:variant>
      <vt:variant>
        <vt:lpwstr/>
      </vt:variant>
      <vt:variant>
        <vt:i4>1114187</vt:i4>
      </vt:variant>
      <vt:variant>
        <vt:i4>36</vt:i4>
      </vt:variant>
      <vt:variant>
        <vt:i4>0</vt:i4>
      </vt:variant>
      <vt:variant>
        <vt:i4>5</vt:i4>
      </vt:variant>
      <vt:variant>
        <vt:lpwstr>https://www.osha.gov/stateplans/</vt:lpwstr>
      </vt:variant>
      <vt:variant>
        <vt:lpwstr/>
      </vt:variant>
      <vt:variant>
        <vt:i4>5177431</vt:i4>
      </vt:variant>
      <vt:variant>
        <vt:i4>33</vt:i4>
      </vt:variant>
      <vt:variant>
        <vt:i4>0</vt:i4>
      </vt:variant>
      <vt:variant>
        <vt:i4>5</vt:i4>
      </vt:variant>
      <vt:variant>
        <vt:lpwstr>https://www.govinfo.gov/content/pkg/FR-2019-11-13/pdf/2019-22705.pdf</vt:lpwstr>
      </vt:variant>
      <vt:variant>
        <vt:lpwstr/>
      </vt:variant>
      <vt:variant>
        <vt:i4>655380</vt:i4>
      </vt:variant>
      <vt:variant>
        <vt:i4>30</vt:i4>
      </vt:variant>
      <vt:variant>
        <vt:i4>0</vt:i4>
      </vt:variant>
      <vt:variant>
        <vt:i4>5</vt:i4>
      </vt:variant>
      <vt:variant>
        <vt:lpwstr>https://www.osha.gov/laws-regs/interlinking/standards/1910.1001(j)(4)(ii)(A)</vt:lpwstr>
      </vt:variant>
      <vt:variant>
        <vt:lpwstr/>
      </vt:variant>
      <vt:variant>
        <vt:i4>4849692</vt:i4>
      </vt:variant>
      <vt:variant>
        <vt:i4>27</vt:i4>
      </vt:variant>
      <vt:variant>
        <vt:i4>0</vt:i4>
      </vt:variant>
      <vt:variant>
        <vt:i4>5</vt:i4>
      </vt:variant>
      <vt:variant>
        <vt:lpwstr>https://www.osha.gov/laws-regs/interlinking/standards/1910.1001(j)(4)</vt:lpwstr>
      </vt:variant>
      <vt:variant>
        <vt:lpwstr/>
      </vt:variant>
      <vt:variant>
        <vt:i4>262235</vt:i4>
      </vt:variant>
      <vt:variant>
        <vt:i4>24</vt:i4>
      </vt:variant>
      <vt:variant>
        <vt:i4>0</vt:i4>
      </vt:variant>
      <vt:variant>
        <vt:i4>5</vt:i4>
      </vt:variant>
      <vt:variant>
        <vt:lpwstr>https://www.cdc.gov/niosh/docs/2003-154/pdfs/7400.pdf</vt:lpwstr>
      </vt:variant>
      <vt:variant>
        <vt:lpwstr/>
      </vt:variant>
      <vt:variant>
        <vt:i4>4718621</vt:i4>
      </vt:variant>
      <vt:variant>
        <vt:i4>21</vt:i4>
      </vt:variant>
      <vt:variant>
        <vt:i4>0</vt:i4>
      </vt:variant>
      <vt:variant>
        <vt:i4>5</vt:i4>
      </vt:variant>
      <vt:variant>
        <vt:lpwstr>https://www.osha.gov/laws-regs/interlinking/standards/1910.1001(k)(6)</vt:lpwstr>
      </vt:variant>
      <vt:variant>
        <vt:lpwstr/>
      </vt:variant>
      <vt:variant>
        <vt:i4>7471212</vt:i4>
      </vt:variant>
      <vt:variant>
        <vt:i4>18</vt:i4>
      </vt:variant>
      <vt:variant>
        <vt:i4>0</vt:i4>
      </vt:variant>
      <vt:variant>
        <vt:i4>5</vt:i4>
      </vt:variant>
      <vt:variant>
        <vt:lpwstr>https://www.cdc.gov/niosh/topics/hierarchy/default.html</vt:lpwstr>
      </vt:variant>
      <vt:variant>
        <vt:lpwstr/>
      </vt:variant>
      <vt:variant>
        <vt:i4>458823</vt:i4>
      </vt:variant>
      <vt:variant>
        <vt:i4>15</vt:i4>
      </vt:variant>
      <vt:variant>
        <vt:i4>0</vt:i4>
      </vt:variant>
      <vt:variant>
        <vt:i4>5</vt:i4>
      </vt:variant>
      <vt:variant>
        <vt:lpwstr>https://www.osha.gov/asbestos/evaluating-controlling-exposure</vt:lpwstr>
      </vt:variant>
      <vt:variant>
        <vt:lpwstr/>
      </vt:variant>
      <vt:variant>
        <vt:i4>5505099</vt:i4>
      </vt:variant>
      <vt:variant>
        <vt:i4>12</vt:i4>
      </vt:variant>
      <vt:variant>
        <vt:i4>0</vt:i4>
      </vt:variant>
      <vt:variant>
        <vt:i4>5</vt:i4>
      </vt:variant>
      <vt:variant>
        <vt:lpwstr>https://www.osha.gov/asbestos</vt:lpwstr>
      </vt:variant>
      <vt:variant>
        <vt:lpwstr/>
      </vt:variant>
      <vt:variant>
        <vt:i4>1638413</vt:i4>
      </vt:variant>
      <vt:variant>
        <vt:i4>9</vt:i4>
      </vt:variant>
      <vt:variant>
        <vt:i4>0</vt:i4>
      </vt:variant>
      <vt:variant>
        <vt:i4>5</vt:i4>
      </vt:variant>
      <vt:variant>
        <vt:lpwstr>https://www.osha.gov/annotated-pels/note</vt:lpwstr>
      </vt:variant>
      <vt:variant>
        <vt:lpwstr/>
      </vt:variant>
      <vt:variant>
        <vt:i4>5177431</vt:i4>
      </vt:variant>
      <vt:variant>
        <vt:i4>6</vt:i4>
      </vt:variant>
      <vt:variant>
        <vt:i4>0</vt:i4>
      </vt:variant>
      <vt:variant>
        <vt:i4>5</vt:i4>
      </vt:variant>
      <vt:variant>
        <vt:lpwstr>https://www.govinfo.gov/content/pkg/FR-2019-11-13/pdf/2019-22705.pdf</vt:lpwstr>
      </vt:variant>
      <vt:variant>
        <vt:lpwstr/>
      </vt:variant>
      <vt:variant>
        <vt:i4>3801147</vt:i4>
      </vt:variant>
      <vt:variant>
        <vt:i4>3</vt:i4>
      </vt:variant>
      <vt:variant>
        <vt:i4>0</vt:i4>
      </vt:variant>
      <vt:variant>
        <vt:i4>5</vt:i4>
      </vt:variant>
      <vt:variant>
        <vt:lpwstr>https://www.federalregister.gov/documents/2017/07/20/2017-14337/procedures-for-chemical-risk-evaluation-under-the-amended-toxic-substances-control-act</vt:lpwstr>
      </vt:variant>
      <vt:variant>
        <vt:lpwstr/>
      </vt:variant>
      <vt:variant>
        <vt:i4>3342395</vt:i4>
      </vt:variant>
      <vt:variant>
        <vt:i4>0</vt:i4>
      </vt:variant>
      <vt:variant>
        <vt:i4>0</vt:i4>
      </vt:variant>
      <vt:variant>
        <vt:i4>5</vt:i4>
      </vt:variant>
      <vt:variant>
        <vt:lpwstr>https://www.govinfo.gov/content/pkg/USCODE-2020-title15/pdf/USCODE-2020-title15-chap53-subchapI-sec2605.pdf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2022-04-12T17:41:00Z</dcterms:created>
  <dcterms:modified xsi:type="dcterms:W3CDTF">2022-04-12T17:41:00Z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0x010100E8F945D3E4F86649B7BD7D579B37A57A</vt:lpwstr>
  </property>
  <property fmtid="{D5CDD505-2E9C-101B-9397-08002B2CF9AE}" pid="4" name="EPA Subject">
    <vt:lpwstr/>
  </property>
  <property fmtid="{D5CDD505-2E9C-101B-9397-08002B2CF9AE}" pid="5" name="Document Type">
    <vt:lpwstr/>
  </property>
</Properties>
</file>