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31C" w:rsidR="00E31F81" w:rsidP="000F731C" w:rsidRDefault="00E31F81" w14:paraId="470E2C4A" w14:textId="09A8F218">
      <w:pPr>
        <w:pStyle w:val="Title"/>
      </w:pPr>
      <w:r w:rsidRPr="000F731C">
        <w:t>Supporting Statement for an Information Collection Request (ICR)</w:t>
      </w:r>
      <w:r w:rsidRPr="000F731C">
        <w:br/>
        <w:t>Under the Paperwork Reduction Act (PRA)</w:t>
      </w:r>
    </w:p>
    <w:p w:rsidRPr="00B41A83" w:rsidR="00EC4305" w:rsidP="00E31F81" w:rsidRDefault="00E31F81" w14:paraId="00E362B2" w14:textId="0253A952">
      <w:pPr>
        <w:pStyle w:val="Heading1"/>
      </w:pPr>
      <w:r w:rsidRPr="00B41A83">
        <w:t>EXECUTIVE SUMMARY</w:t>
      </w:r>
    </w:p>
    <w:p w:rsidR="00EC4305" w:rsidP="00041E4F" w:rsidRDefault="00EC4305" w14:paraId="27A4326D" w14:textId="0AE7FD0C">
      <w:pPr>
        <w:pStyle w:val="Heading2"/>
        <w:rPr>
          <w:i w:val="0"/>
          <w:iCs w:val="0"/>
        </w:rPr>
      </w:pPr>
      <w:r w:rsidRPr="00106918">
        <w:rPr>
          <w:i w:val="0"/>
          <w:iCs w:val="0"/>
        </w:rPr>
        <w:t>Identification of the Information Collection – Title and Numbers</w:t>
      </w:r>
    </w:p>
    <w:p w:rsidR="00106918" w:rsidP="00106918" w:rsidRDefault="00106918" w14:paraId="6012CBAC" w14:textId="67AD4253">
      <w:pPr>
        <w:tabs>
          <w:tab w:val="left" w:pos="1440"/>
        </w:tabs>
        <w:spacing w:after="0" w:line="360" w:lineRule="auto"/>
        <w:ind w:left="720"/>
        <w:rPr>
          <w:rFonts w:cs="Arial"/>
        </w:rPr>
      </w:pPr>
      <w:r>
        <w:rPr>
          <w:rFonts w:cs="Arial"/>
          <w:b/>
          <w:szCs w:val="24"/>
        </w:rPr>
        <w:t xml:space="preserve">Title: </w:t>
      </w:r>
      <w:r>
        <w:t>Submission of Protocols and Study Reports for Environmental Research Involving Human Subjects</w:t>
      </w:r>
    </w:p>
    <w:p w:rsidR="00106918" w:rsidP="00106918" w:rsidRDefault="00106918" w14:paraId="4C1C7281" w14:textId="167BE397">
      <w:pPr>
        <w:tabs>
          <w:tab w:val="left" w:pos="720"/>
        </w:tabs>
        <w:spacing w:after="0" w:line="360" w:lineRule="auto"/>
        <w:rPr>
          <w:rFonts w:cs="Arial"/>
          <w:szCs w:val="24"/>
        </w:rPr>
      </w:pPr>
      <w:r>
        <w:rPr>
          <w:rFonts w:cs="Arial"/>
          <w:szCs w:val="24"/>
        </w:rPr>
        <w:tab/>
      </w:r>
      <w:r>
        <w:rPr>
          <w:rFonts w:cs="Arial"/>
          <w:b/>
          <w:szCs w:val="24"/>
        </w:rPr>
        <w:t xml:space="preserve">ICR Numbers: </w:t>
      </w:r>
      <w:r>
        <w:rPr>
          <w:rFonts w:cs="Arial"/>
          <w:szCs w:val="24"/>
        </w:rPr>
        <w:t>EPA ICR No.: 2195.06, OMB Control No.: 2070-0169</w:t>
      </w:r>
    </w:p>
    <w:p w:rsidRPr="00C12EA2" w:rsidR="00106918" w:rsidP="00106918" w:rsidRDefault="00106918" w14:paraId="7A61A3B7" w14:textId="7AD0DD04">
      <w:pPr>
        <w:pStyle w:val="NoSpacing"/>
        <w:spacing w:line="360" w:lineRule="auto"/>
        <w:rPr>
          <w:rFonts w:cs="Arial"/>
          <w:szCs w:val="24"/>
        </w:rPr>
      </w:pPr>
      <w:r>
        <w:rPr>
          <w:rFonts w:cs="Arial"/>
          <w:szCs w:val="24"/>
        </w:rPr>
        <w:tab/>
      </w:r>
      <w:r>
        <w:rPr>
          <w:rFonts w:cs="Arial"/>
          <w:szCs w:val="24"/>
        </w:rPr>
        <w:tab/>
      </w:r>
      <w:r>
        <w:rPr>
          <w:rFonts w:cs="Arial"/>
          <w:b/>
          <w:szCs w:val="24"/>
        </w:rPr>
        <w:t xml:space="preserve">Docket ID No.: </w:t>
      </w:r>
      <w:r>
        <w:rPr>
          <w:rFonts w:cs="Arial"/>
          <w:szCs w:val="24"/>
        </w:rPr>
        <w:t>EPA-HQ-OPP-2021-0315</w:t>
      </w:r>
    </w:p>
    <w:p w:rsidRPr="00106918" w:rsidR="00EC4305" w:rsidP="00041E4F" w:rsidRDefault="00EC4305" w14:paraId="7FE3EFDC" w14:textId="5227B6B5">
      <w:pPr>
        <w:pStyle w:val="Heading2"/>
        <w:rPr>
          <w:i w:val="0"/>
          <w:iCs w:val="0"/>
        </w:rPr>
      </w:pPr>
      <w:r w:rsidRPr="00106918">
        <w:rPr>
          <w:i w:val="0"/>
          <w:iCs w:val="0"/>
        </w:rPr>
        <w:t>Abstract</w:t>
      </w:r>
    </w:p>
    <w:p w:rsidRPr="003E3414" w:rsidR="002D3148" w:rsidP="003E68B6" w:rsidRDefault="002D3148" w14:paraId="0E58B1E1" w14:textId="4A299F9A">
      <w:pPr>
        <w:pStyle w:val="NormalWeb"/>
        <w:spacing w:after="200" w:line="276" w:lineRule="auto"/>
        <w:rPr>
          <w:rFonts w:ascii="Arial" w:hAnsi="Arial" w:cs="Arial"/>
        </w:rPr>
      </w:pPr>
      <w:r w:rsidRPr="003E3414">
        <w:rPr>
          <w:rFonts w:ascii="Arial" w:hAnsi="Arial" w:cs="Arial"/>
        </w:rPr>
        <w:t xml:space="preserve">The U.S. Environmental Protection Agency (EPA) is responsible for the regulation of pesticides under the Federal Insecticide, Fungicide, and Rodenticide Act (FIFRA) and the Federal Food, Drug, and Cosmetic Act (FFDCA).  </w:t>
      </w:r>
      <w:r w:rsidR="006000BC">
        <w:rPr>
          <w:rFonts w:ascii="Arial" w:hAnsi="Arial" w:cs="Arial"/>
        </w:rPr>
        <w:t>T</w:t>
      </w:r>
      <w:r w:rsidRPr="003E3414">
        <w:rPr>
          <w:rFonts w:ascii="Arial" w:hAnsi="Arial" w:cs="Arial"/>
        </w:rPr>
        <w:t xml:space="preserve">he EPA regulations at 40 CFR </w:t>
      </w:r>
      <w:r w:rsidR="006000BC">
        <w:rPr>
          <w:rFonts w:ascii="Arial" w:hAnsi="Arial" w:cs="Arial"/>
        </w:rPr>
        <w:t>part</w:t>
      </w:r>
      <w:r w:rsidRPr="003E3414">
        <w:rPr>
          <w:rFonts w:ascii="Arial" w:hAnsi="Arial" w:cs="Arial"/>
        </w:rPr>
        <w:t xml:space="preserve"> 26 protect subjects of “third-party” human research (i.e., research that is not conducted or supported by the EPA).</w:t>
      </w:r>
      <w:r w:rsidRPr="003E3414">
        <w:rPr>
          <w:rStyle w:val="FootnoteReference"/>
          <w:rFonts w:ascii="Arial" w:hAnsi="Arial" w:cs="Arial"/>
        </w:rPr>
        <w:footnoteReference w:id="2"/>
      </w:r>
      <w:r w:rsidRPr="003E3414">
        <w:rPr>
          <w:rFonts w:ascii="Arial" w:hAnsi="Arial" w:cs="Arial"/>
        </w:rPr>
        <w:t xml:space="preserve">  In addition to other protections, the regulations require affected entities to submit information to EPA and an institutional review board (IRB) prior to initiating, and to the EPA upon the completion of, certain studies that involve human research participants.  The information collection activity consists of activity-driven reporting and recordkeeping requirements for those who intend to conduct research for submission to EPA under the pesticide laws.  If such research involves intentional exposure of human subjects, these individuals (respondents) are required to submit study protocols to the EPA and a cognizant local Human Subjects IRB before such research is initiated so that the scientific design and ethical standards that will be employed during the proposed study may be reviewed and approved.  Also, respondents are required to submit information about the ethical conduct of completed research that involved human subjects when such research is submitted to the EPA.</w:t>
      </w:r>
    </w:p>
    <w:p w:rsidR="000067D1" w:rsidP="003E68B6" w:rsidRDefault="002D3148" w14:paraId="42A8D70B" w14:textId="2782A5A5">
      <w:pPr>
        <w:spacing w:after="200" w:line="276" w:lineRule="auto"/>
      </w:pPr>
      <w:r w:rsidRPr="003E3414">
        <w:rPr>
          <w:rFonts w:cs="Arial"/>
        </w:rPr>
        <w:t xml:space="preserve">This renewal ICR estimates the third-party response burden from complying with the requirements in 40 CFR </w:t>
      </w:r>
      <w:r w:rsidR="006000BC">
        <w:rPr>
          <w:rFonts w:cs="Arial"/>
        </w:rPr>
        <w:t>part</w:t>
      </w:r>
      <w:r w:rsidRPr="003E3414">
        <w:rPr>
          <w:rFonts w:cs="Arial"/>
        </w:rPr>
        <w:t xml:space="preserve"> 26.</w:t>
      </w:r>
    </w:p>
    <w:p w:rsidRPr="00BB66DE" w:rsidR="00F05F80" w:rsidP="006000BC" w:rsidRDefault="00F05F80" w14:paraId="5A8BF3F3" w14:textId="7AC8A5E8">
      <w:pPr>
        <w:keepNext/>
        <w:keepLines/>
        <w:spacing w:after="0"/>
        <w:rPr>
          <w:rFonts w:cs="Arial"/>
          <w:b/>
          <w:bCs/>
        </w:rPr>
      </w:pPr>
      <w:r w:rsidRPr="00BB66DE">
        <w:rPr>
          <w:rFonts w:cs="Arial"/>
          <w:b/>
          <w:bCs/>
        </w:rPr>
        <w:lastRenderedPageBreak/>
        <w:t>Summary Total Annual Bottom Line Burden</w:t>
      </w:r>
    </w:p>
    <w:tbl>
      <w:tblPr>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gridCol w:w="2340"/>
        <w:gridCol w:w="1614"/>
      </w:tblGrid>
      <w:tr w:rsidRPr="00A778B7" w:rsidR="00F05F80" w:rsidTr="006000BC" w14:paraId="7A76E264" w14:textId="77777777">
        <w:trPr>
          <w:trHeight w:val="341"/>
        </w:trPr>
        <w:tc>
          <w:tcPr>
            <w:tcW w:w="5220" w:type="dxa"/>
            <w:tcBorders>
              <w:top w:val="double" w:color="auto" w:sz="4" w:space="0"/>
              <w:left w:val="double" w:color="auto" w:sz="4" w:space="0"/>
              <w:bottom w:val="double" w:color="auto" w:sz="4" w:space="0"/>
            </w:tcBorders>
            <w:vAlign w:val="center"/>
          </w:tcPr>
          <w:p w:rsidRPr="00A778B7" w:rsidR="00F05F80" w:rsidP="006000BC" w:rsidRDefault="00F05F80" w14:paraId="461A90BC" w14:textId="77777777">
            <w:pPr>
              <w:keepNext/>
              <w:keepLines/>
              <w:spacing w:after="0"/>
              <w:jc w:val="center"/>
              <w:rPr>
                <w:rFonts w:cs="Arial"/>
                <w:b/>
                <w:sz w:val="20"/>
                <w:szCs w:val="20"/>
              </w:rPr>
            </w:pPr>
            <w:r w:rsidRPr="00A778B7">
              <w:rPr>
                <w:rFonts w:cs="Arial"/>
                <w:b/>
                <w:sz w:val="20"/>
                <w:szCs w:val="20"/>
              </w:rPr>
              <w:t>Collection Activity</w:t>
            </w:r>
          </w:p>
        </w:tc>
        <w:tc>
          <w:tcPr>
            <w:tcW w:w="2340" w:type="dxa"/>
            <w:tcBorders>
              <w:top w:val="double" w:color="auto" w:sz="4" w:space="0"/>
              <w:bottom w:val="double" w:color="auto" w:sz="4" w:space="0"/>
            </w:tcBorders>
            <w:vAlign w:val="center"/>
          </w:tcPr>
          <w:p w:rsidRPr="00A778B7" w:rsidR="00F05F80" w:rsidP="006000BC" w:rsidRDefault="00F05F80" w14:paraId="042F65E0" w14:textId="77777777">
            <w:pPr>
              <w:keepNext/>
              <w:keepLines/>
              <w:spacing w:after="0"/>
              <w:jc w:val="center"/>
              <w:rPr>
                <w:rFonts w:cs="Arial"/>
                <w:b/>
                <w:sz w:val="20"/>
                <w:szCs w:val="20"/>
              </w:rPr>
            </w:pPr>
            <w:r w:rsidRPr="00A778B7">
              <w:rPr>
                <w:rFonts w:cs="Arial"/>
                <w:b/>
                <w:sz w:val="20"/>
                <w:szCs w:val="20"/>
              </w:rPr>
              <w:t>Annual Burden Hours</w:t>
            </w:r>
          </w:p>
        </w:tc>
        <w:tc>
          <w:tcPr>
            <w:tcW w:w="1614" w:type="dxa"/>
            <w:tcBorders>
              <w:top w:val="double" w:color="auto" w:sz="4" w:space="0"/>
              <w:bottom w:val="double" w:color="auto" w:sz="4" w:space="0"/>
              <w:right w:val="double" w:color="auto" w:sz="4" w:space="0"/>
            </w:tcBorders>
            <w:vAlign w:val="center"/>
          </w:tcPr>
          <w:p w:rsidRPr="00A778B7" w:rsidR="00F05F80" w:rsidP="006000BC" w:rsidRDefault="00F05F80" w14:paraId="2963F33B" w14:textId="77777777">
            <w:pPr>
              <w:keepNext/>
              <w:keepLines/>
              <w:spacing w:after="0"/>
              <w:jc w:val="center"/>
              <w:rPr>
                <w:rFonts w:cs="Arial"/>
                <w:b/>
                <w:sz w:val="20"/>
                <w:szCs w:val="20"/>
              </w:rPr>
            </w:pPr>
            <w:r w:rsidRPr="00A778B7">
              <w:rPr>
                <w:rFonts w:cs="Arial"/>
                <w:b/>
                <w:sz w:val="20"/>
                <w:szCs w:val="20"/>
              </w:rPr>
              <w:t>Annual Costs</w:t>
            </w:r>
          </w:p>
        </w:tc>
      </w:tr>
      <w:tr w:rsidRPr="00A778B7" w:rsidR="00F05F80" w:rsidTr="006000BC" w14:paraId="247261EA" w14:textId="77777777">
        <w:trPr>
          <w:trHeight w:val="350"/>
        </w:trPr>
        <w:tc>
          <w:tcPr>
            <w:tcW w:w="9174" w:type="dxa"/>
            <w:gridSpan w:val="3"/>
            <w:tcBorders>
              <w:top w:val="double" w:color="auto" w:sz="4" w:space="0"/>
              <w:left w:val="double" w:color="auto" w:sz="4" w:space="0"/>
              <w:right w:val="double" w:color="auto" w:sz="4" w:space="0"/>
            </w:tcBorders>
            <w:vAlign w:val="center"/>
          </w:tcPr>
          <w:p w:rsidRPr="00B26C4E" w:rsidR="00F05F80" w:rsidP="006000BC" w:rsidRDefault="00F05F80" w14:paraId="3DD80CDD" w14:textId="77777777">
            <w:pPr>
              <w:keepNext/>
              <w:keepLines/>
              <w:spacing w:after="0"/>
              <w:jc w:val="center"/>
              <w:rPr>
                <w:rFonts w:cs="Arial"/>
                <w:b/>
                <w:bCs/>
                <w:iCs/>
                <w:sz w:val="20"/>
                <w:szCs w:val="20"/>
              </w:rPr>
            </w:pPr>
            <w:r w:rsidRPr="00B26C4E">
              <w:rPr>
                <w:rFonts w:cs="Arial"/>
                <w:b/>
                <w:bCs/>
                <w:iCs/>
                <w:sz w:val="20"/>
                <w:szCs w:val="20"/>
              </w:rPr>
              <w:t>Annual Respondent Burden and Costs</w:t>
            </w:r>
          </w:p>
        </w:tc>
      </w:tr>
      <w:tr w:rsidRPr="00A778B7" w:rsidR="00F05F80" w:rsidTr="006000BC" w14:paraId="391EA8B9" w14:textId="77777777">
        <w:trPr>
          <w:trHeight w:val="530"/>
        </w:trPr>
        <w:tc>
          <w:tcPr>
            <w:tcW w:w="5220" w:type="dxa"/>
            <w:tcBorders>
              <w:left w:val="double" w:color="auto" w:sz="4" w:space="0"/>
            </w:tcBorders>
            <w:vAlign w:val="center"/>
          </w:tcPr>
          <w:p w:rsidRPr="00A778B7" w:rsidR="00F05F80" w:rsidP="006000BC" w:rsidRDefault="00F05F80" w14:paraId="53230980" w14:textId="5971CFD9">
            <w:pPr>
              <w:keepNext/>
              <w:keepLines/>
              <w:tabs>
                <w:tab w:val="left" w:pos="365"/>
              </w:tabs>
              <w:spacing w:after="0"/>
              <w:rPr>
                <w:rFonts w:cs="Arial"/>
                <w:sz w:val="20"/>
                <w:szCs w:val="20"/>
              </w:rPr>
            </w:pPr>
            <w:r w:rsidRPr="00A778B7">
              <w:rPr>
                <w:rFonts w:cs="Arial"/>
                <w:sz w:val="20"/>
                <w:szCs w:val="20"/>
              </w:rPr>
              <w:t>Research Involving Intentional Exposure of Human Subjects</w:t>
            </w:r>
          </w:p>
        </w:tc>
        <w:tc>
          <w:tcPr>
            <w:tcW w:w="2340" w:type="dxa"/>
            <w:vAlign w:val="center"/>
          </w:tcPr>
          <w:p w:rsidRPr="00A778B7" w:rsidR="00F05F80" w:rsidP="006000BC" w:rsidRDefault="00F05F80" w14:paraId="023055E3" w14:textId="77777777">
            <w:pPr>
              <w:keepNext/>
              <w:keepLines/>
              <w:spacing w:after="0"/>
              <w:jc w:val="center"/>
              <w:rPr>
                <w:rFonts w:cs="Arial"/>
                <w:sz w:val="20"/>
                <w:szCs w:val="20"/>
              </w:rPr>
            </w:pPr>
            <w:r>
              <w:rPr>
                <w:rFonts w:cs="Arial"/>
                <w:sz w:val="20"/>
                <w:szCs w:val="20"/>
              </w:rPr>
              <w:t>8,156</w:t>
            </w:r>
          </w:p>
        </w:tc>
        <w:tc>
          <w:tcPr>
            <w:tcW w:w="1614" w:type="dxa"/>
            <w:tcBorders>
              <w:right w:val="double" w:color="auto" w:sz="4" w:space="0"/>
            </w:tcBorders>
            <w:vAlign w:val="center"/>
          </w:tcPr>
          <w:p w:rsidRPr="00A778B7" w:rsidR="00F05F80" w:rsidP="006000BC" w:rsidRDefault="00F05F80" w14:paraId="135B858A" w14:textId="77777777">
            <w:pPr>
              <w:keepNext/>
              <w:keepLines/>
              <w:spacing w:after="0"/>
              <w:jc w:val="center"/>
              <w:rPr>
                <w:rFonts w:cs="Arial"/>
                <w:sz w:val="20"/>
                <w:szCs w:val="20"/>
              </w:rPr>
            </w:pPr>
            <w:r w:rsidRPr="00A778B7">
              <w:rPr>
                <w:rFonts w:cs="Arial"/>
                <w:sz w:val="20"/>
                <w:szCs w:val="20"/>
              </w:rPr>
              <w:t>$</w:t>
            </w:r>
            <w:r>
              <w:rPr>
                <w:rFonts w:cs="Arial"/>
                <w:sz w:val="20"/>
                <w:szCs w:val="20"/>
              </w:rPr>
              <w:t>847,205</w:t>
            </w:r>
          </w:p>
        </w:tc>
      </w:tr>
      <w:tr w:rsidRPr="00A778B7" w:rsidR="00F05F80" w:rsidTr="006000BC" w14:paraId="67560599" w14:textId="77777777">
        <w:trPr>
          <w:trHeight w:val="287"/>
        </w:trPr>
        <w:tc>
          <w:tcPr>
            <w:tcW w:w="5220" w:type="dxa"/>
            <w:tcBorders>
              <w:left w:val="double" w:color="auto" w:sz="4" w:space="0"/>
            </w:tcBorders>
            <w:vAlign w:val="center"/>
          </w:tcPr>
          <w:p w:rsidRPr="00A778B7" w:rsidR="00F05F80" w:rsidP="006000BC" w:rsidRDefault="00F05F80" w14:paraId="683B846A" w14:textId="7E3FAB5E">
            <w:pPr>
              <w:keepNext/>
              <w:keepLines/>
              <w:tabs>
                <w:tab w:val="left" w:pos="0"/>
              </w:tabs>
              <w:spacing w:after="0"/>
              <w:rPr>
                <w:rFonts w:cs="Arial"/>
                <w:sz w:val="20"/>
                <w:szCs w:val="20"/>
              </w:rPr>
            </w:pPr>
            <w:r w:rsidRPr="00A778B7">
              <w:rPr>
                <w:rFonts w:cs="Arial"/>
                <w:sz w:val="20"/>
                <w:szCs w:val="20"/>
              </w:rPr>
              <w:t>All Other Submitted Research with Human Subjects</w:t>
            </w:r>
          </w:p>
        </w:tc>
        <w:tc>
          <w:tcPr>
            <w:tcW w:w="2340" w:type="dxa"/>
            <w:vAlign w:val="center"/>
          </w:tcPr>
          <w:p w:rsidRPr="00A778B7" w:rsidR="00F05F80" w:rsidP="006000BC" w:rsidRDefault="00F05F80" w14:paraId="4E53D416" w14:textId="77777777">
            <w:pPr>
              <w:keepNext/>
              <w:keepLines/>
              <w:spacing w:after="0"/>
              <w:jc w:val="center"/>
              <w:rPr>
                <w:rFonts w:cs="Arial"/>
                <w:sz w:val="20"/>
                <w:szCs w:val="20"/>
              </w:rPr>
            </w:pPr>
            <w:r w:rsidRPr="00A778B7">
              <w:rPr>
                <w:rFonts w:cs="Arial"/>
                <w:sz w:val="20"/>
                <w:szCs w:val="20"/>
              </w:rPr>
              <w:t>120</w:t>
            </w:r>
          </w:p>
        </w:tc>
        <w:tc>
          <w:tcPr>
            <w:tcW w:w="1614" w:type="dxa"/>
            <w:tcBorders>
              <w:right w:val="double" w:color="auto" w:sz="4" w:space="0"/>
            </w:tcBorders>
            <w:vAlign w:val="center"/>
          </w:tcPr>
          <w:p w:rsidRPr="00A778B7" w:rsidR="00F05F80" w:rsidP="006000BC" w:rsidRDefault="00F05F80" w14:paraId="00FC3A52" w14:textId="77777777">
            <w:pPr>
              <w:keepNext/>
              <w:keepLines/>
              <w:spacing w:after="0"/>
              <w:jc w:val="center"/>
              <w:rPr>
                <w:rFonts w:cs="Arial"/>
                <w:sz w:val="20"/>
                <w:szCs w:val="20"/>
              </w:rPr>
            </w:pPr>
            <w:r w:rsidRPr="00A778B7">
              <w:rPr>
                <w:rFonts w:cs="Arial"/>
                <w:sz w:val="20"/>
                <w:szCs w:val="20"/>
              </w:rPr>
              <w:t>$12,0</w:t>
            </w:r>
            <w:r>
              <w:rPr>
                <w:rFonts w:cs="Arial"/>
                <w:sz w:val="20"/>
                <w:szCs w:val="20"/>
              </w:rPr>
              <w:t>10</w:t>
            </w:r>
          </w:p>
        </w:tc>
      </w:tr>
      <w:tr w:rsidRPr="00A778B7" w:rsidR="00F05F80" w:rsidTr="006000BC" w14:paraId="1943E3E3" w14:textId="77777777">
        <w:trPr>
          <w:trHeight w:val="314"/>
        </w:trPr>
        <w:tc>
          <w:tcPr>
            <w:tcW w:w="5220" w:type="dxa"/>
            <w:tcBorders>
              <w:left w:val="double" w:color="auto" w:sz="4" w:space="0"/>
              <w:bottom w:val="double" w:color="auto" w:sz="4" w:space="0"/>
            </w:tcBorders>
            <w:vAlign w:val="center"/>
          </w:tcPr>
          <w:p w:rsidRPr="00A778B7" w:rsidR="00F05F80" w:rsidP="006000BC" w:rsidRDefault="00F05F80" w14:paraId="6A21A60F" w14:textId="77777777">
            <w:pPr>
              <w:keepNext/>
              <w:keepLines/>
              <w:tabs>
                <w:tab w:val="left" w:pos="365"/>
              </w:tabs>
              <w:spacing w:after="0"/>
              <w:rPr>
                <w:rFonts w:cs="Arial"/>
                <w:b/>
                <w:sz w:val="20"/>
                <w:szCs w:val="20"/>
              </w:rPr>
            </w:pPr>
            <w:r w:rsidRPr="00A778B7">
              <w:rPr>
                <w:rFonts w:cs="Arial"/>
                <w:b/>
                <w:sz w:val="20"/>
                <w:szCs w:val="20"/>
              </w:rPr>
              <w:t>Respondent Total</w:t>
            </w:r>
          </w:p>
        </w:tc>
        <w:tc>
          <w:tcPr>
            <w:tcW w:w="2340" w:type="dxa"/>
            <w:tcBorders>
              <w:bottom w:val="double" w:color="auto" w:sz="4" w:space="0"/>
            </w:tcBorders>
            <w:vAlign w:val="center"/>
          </w:tcPr>
          <w:p w:rsidRPr="00A778B7" w:rsidR="00F05F80" w:rsidP="006000BC" w:rsidRDefault="00F05F80" w14:paraId="27EC6CD6" w14:textId="77777777">
            <w:pPr>
              <w:keepNext/>
              <w:keepLines/>
              <w:spacing w:after="0"/>
              <w:jc w:val="center"/>
              <w:rPr>
                <w:rFonts w:cs="Arial"/>
                <w:b/>
                <w:sz w:val="20"/>
                <w:szCs w:val="20"/>
              </w:rPr>
            </w:pPr>
            <w:r>
              <w:rPr>
                <w:rFonts w:cs="Arial"/>
                <w:b/>
                <w:sz w:val="20"/>
                <w:szCs w:val="20"/>
              </w:rPr>
              <w:t>8,276</w:t>
            </w:r>
          </w:p>
        </w:tc>
        <w:tc>
          <w:tcPr>
            <w:tcW w:w="1614" w:type="dxa"/>
            <w:tcBorders>
              <w:bottom w:val="double" w:color="auto" w:sz="4" w:space="0"/>
              <w:right w:val="double" w:color="auto" w:sz="4" w:space="0"/>
            </w:tcBorders>
            <w:vAlign w:val="center"/>
          </w:tcPr>
          <w:p w:rsidRPr="00A778B7" w:rsidR="00F05F80" w:rsidP="006000BC" w:rsidRDefault="00F05F80" w14:paraId="341809FC" w14:textId="77777777">
            <w:pPr>
              <w:keepNext/>
              <w:keepLines/>
              <w:spacing w:after="0"/>
              <w:jc w:val="center"/>
              <w:rPr>
                <w:rFonts w:cs="Arial"/>
                <w:b/>
                <w:sz w:val="20"/>
                <w:szCs w:val="20"/>
              </w:rPr>
            </w:pPr>
            <w:r w:rsidRPr="00A778B7">
              <w:rPr>
                <w:rFonts w:cs="Arial"/>
                <w:b/>
                <w:sz w:val="20"/>
                <w:szCs w:val="20"/>
              </w:rPr>
              <w:t>$</w:t>
            </w:r>
            <w:r>
              <w:rPr>
                <w:rFonts w:cs="Arial"/>
                <w:b/>
                <w:sz w:val="20"/>
                <w:szCs w:val="20"/>
              </w:rPr>
              <w:t>859,215</w:t>
            </w:r>
          </w:p>
        </w:tc>
      </w:tr>
      <w:tr w:rsidRPr="00A778B7" w:rsidR="00F05F80" w:rsidTr="006000BC" w14:paraId="3EA1A96B" w14:textId="77777777">
        <w:trPr>
          <w:trHeight w:val="323"/>
        </w:trPr>
        <w:tc>
          <w:tcPr>
            <w:tcW w:w="9174" w:type="dxa"/>
            <w:gridSpan w:val="3"/>
            <w:tcBorders>
              <w:top w:val="double" w:color="auto" w:sz="4" w:space="0"/>
              <w:left w:val="double" w:color="auto" w:sz="4" w:space="0"/>
              <w:right w:val="double" w:color="auto" w:sz="4" w:space="0"/>
            </w:tcBorders>
            <w:vAlign w:val="center"/>
          </w:tcPr>
          <w:p w:rsidRPr="00B26C4E" w:rsidR="00F05F80" w:rsidP="006000BC" w:rsidRDefault="00F05F80" w14:paraId="5C8A3F0C" w14:textId="77777777">
            <w:pPr>
              <w:keepNext/>
              <w:keepLines/>
              <w:spacing w:after="0"/>
              <w:jc w:val="center"/>
              <w:rPr>
                <w:rFonts w:cs="Arial"/>
                <w:b/>
                <w:bCs/>
                <w:iCs/>
                <w:sz w:val="20"/>
                <w:szCs w:val="20"/>
              </w:rPr>
            </w:pPr>
            <w:r w:rsidRPr="00B26C4E">
              <w:rPr>
                <w:rFonts w:cs="Arial"/>
                <w:b/>
                <w:bCs/>
                <w:iCs/>
                <w:sz w:val="20"/>
                <w:szCs w:val="20"/>
              </w:rPr>
              <w:t>Annual Agency Burden</w:t>
            </w:r>
          </w:p>
        </w:tc>
      </w:tr>
      <w:tr w:rsidRPr="00A778B7" w:rsidR="00F05F80" w:rsidTr="006000BC" w14:paraId="6A729700" w14:textId="77777777">
        <w:trPr>
          <w:trHeight w:val="485"/>
        </w:trPr>
        <w:tc>
          <w:tcPr>
            <w:tcW w:w="5220" w:type="dxa"/>
            <w:tcBorders>
              <w:left w:val="double" w:color="auto" w:sz="4" w:space="0"/>
            </w:tcBorders>
            <w:vAlign w:val="center"/>
          </w:tcPr>
          <w:p w:rsidRPr="00A778B7" w:rsidR="00F05F80" w:rsidP="006000BC" w:rsidRDefault="00F05F80" w14:paraId="5AED4396" w14:textId="6B9E38CC">
            <w:pPr>
              <w:keepNext/>
              <w:keepLines/>
              <w:tabs>
                <w:tab w:val="left" w:pos="365"/>
              </w:tabs>
              <w:spacing w:after="0"/>
              <w:rPr>
                <w:rFonts w:cs="Arial"/>
                <w:sz w:val="20"/>
                <w:szCs w:val="20"/>
              </w:rPr>
            </w:pPr>
            <w:r w:rsidRPr="00A778B7">
              <w:rPr>
                <w:rFonts w:cs="Arial"/>
                <w:sz w:val="20"/>
                <w:szCs w:val="20"/>
              </w:rPr>
              <w:t>Research Involving Intentional Exposure of Human Subjects</w:t>
            </w:r>
          </w:p>
        </w:tc>
        <w:tc>
          <w:tcPr>
            <w:tcW w:w="2340" w:type="dxa"/>
            <w:vAlign w:val="center"/>
          </w:tcPr>
          <w:p w:rsidRPr="00A778B7" w:rsidR="00F05F80" w:rsidP="006000BC" w:rsidRDefault="00F05F80" w14:paraId="5B46C9E7" w14:textId="77777777">
            <w:pPr>
              <w:keepNext/>
              <w:keepLines/>
              <w:spacing w:after="0"/>
              <w:jc w:val="center"/>
              <w:rPr>
                <w:rFonts w:cs="Arial"/>
                <w:sz w:val="20"/>
                <w:szCs w:val="20"/>
              </w:rPr>
            </w:pPr>
            <w:r>
              <w:rPr>
                <w:rFonts w:cs="Arial"/>
                <w:sz w:val="20"/>
                <w:szCs w:val="20"/>
              </w:rPr>
              <w:t>3,430</w:t>
            </w:r>
          </w:p>
        </w:tc>
        <w:tc>
          <w:tcPr>
            <w:tcW w:w="1614" w:type="dxa"/>
            <w:tcBorders>
              <w:right w:val="double" w:color="auto" w:sz="4" w:space="0"/>
            </w:tcBorders>
            <w:vAlign w:val="center"/>
          </w:tcPr>
          <w:p w:rsidRPr="00A778B7" w:rsidR="00F05F80" w:rsidP="006000BC" w:rsidRDefault="00F05F80" w14:paraId="45BC78C9" w14:textId="7D0563B2">
            <w:pPr>
              <w:keepNext/>
              <w:keepLines/>
              <w:spacing w:after="0"/>
              <w:jc w:val="center"/>
              <w:rPr>
                <w:rFonts w:cs="Arial"/>
                <w:sz w:val="20"/>
                <w:szCs w:val="20"/>
              </w:rPr>
            </w:pPr>
            <w:r w:rsidRPr="00A778B7">
              <w:rPr>
                <w:rFonts w:cs="Arial"/>
                <w:sz w:val="20"/>
                <w:szCs w:val="20"/>
              </w:rPr>
              <w:t>$</w:t>
            </w:r>
            <w:r>
              <w:rPr>
                <w:rFonts w:cs="Arial"/>
                <w:sz w:val="20"/>
                <w:szCs w:val="20"/>
              </w:rPr>
              <w:t>206,324</w:t>
            </w:r>
          </w:p>
        </w:tc>
      </w:tr>
      <w:tr w:rsidRPr="00A778B7" w:rsidR="00F05F80" w:rsidTr="006000BC" w14:paraId="692A1290" w14:textId="77777777">
        <w:trPr>
          <w:trHeight w:val="341"/>
        </w:trPr>
        <w:tc>
          <w:tcPr>
            <w:tcW w:w="5220" w:type="dxa"/>
            <w:tcBorders>
              <w:left w:val="double" w:color="auto" w:sz="4" w:space="0"/>
            </w:tcBorders>
            <w:vAlign w:val="center"/>
          </w:tcPr>
          <w:p w:rsidRPr="00A778B7" w:rsidR="00F05F80" w:rsidP="006000BC" w:rsidRDefault="00F05F80" w14:paraId="4917CEFD" w14:textId="2FF5C97F">
            <w:pPr>
              <w:keepNext/>
              <w:keepLines/>
              <w:tabs>
                <w:tab w:val="left" w:pos="365"/>
              </w:tabs>
              <w:spacing w:after="0"/>
              <w:rPr>
                <w:rFonts w:cs="Arial"/>
                <w:sz w:val="20"/>
                <w:szCs w:val="20"/>
              </w:rPr>
            </w:pPr>
            <w:r w:rsidRPr="00A778B7">
              <w:rPr>
                <w:rFonts w:cs="Arial"/>
                <w:sz w:val="20"/>
                <w:szCs w:val="20"/>
              </w:rPr>
              <w:t>All Other Submitted Research with Human Subjects</w:t>
            </w:r>
          </w:p>
        </w:tc>
        <w:tc>
          <w:tcPr>
            <w:tcW w:w="2340" w:type="dxa"/>
            <w:vAlign w:val="center"/>
          </w:tcPr>
          <w:p w:rsidRPr="00A778B7" w:rsidR="00F05F80" w:rsidP="006000BC" w:rsidRDefault="00F05F80" w14:paraId="316CA0A5" w14:textId="77777777">
            <w:pPr>
              <w:keepNext/>
              <w:keepLines/>
              <w:spacing w:after="0"/>
              <w:jc w:val="center"/>
              <w:rPr>
                <w:rFonts w:cs="Arial"/>
                <w:sz w:val="20"/>
                <w:szCs w:val="20"/>
              </w:rPr>
            </w:pPr>
            <w:r w:rsidRPr="00A778B7">
              <w:rPr>
                <w:rFonts w:cs="Arial"/>
                <w:sz w:val="20"/>
                <w:szCs w:val="20"/>
              </w:rPr>
              <w:t>120</w:t>
            </w:r>
          </w:p>
        </w:tc>
        <w:tc>
          <w:tcPr>
            <w:tcW w:w="1614" w:type="dxa"/>
            <w:tcBorders>
              <w:right w:val="double" w:color="auto" w:sz="4" w:space="0"/>
            </w:tcBorders>
            <w:vAlign w:val="center"/>
          </w:tcPr>
          <w:p w:rsidRPr="00A778B7" w:rsidR="00F05F80" w:rsidP="006000BC" w:rsidRDefault="00F05F80" w14:paraId="2F5BA086" w14:textId="52CE8FDC">
            <w:pPr>
              <w:keepNext/>
              <w:keepLines/>
              <w:spacing w:after="0"/>
              <w:jc w:val="center"/>
              <w:rPr>
                <w:rFonts w:cs="Arial"/>
                <w:sz w:val="20"/>
                <w:szCs w:val="20"/>
              </w:rPr>
            </w:pPr>
            <w:r w:rsidRPr="00A778B7">
              <w:rPr>
                <w:rFonts w:cs="Arial"/>
                <w:sz w:val="20"/>
                <w:szCs w:val="20"/>
              </w:rPr>
              <w:t>$11,038</w:t>
            </w:r>
          </w:p>
        </w:tc>
      </w:tr>
      <w:tr w:rsidRPr="00A778B7" w:rsidR="00F05F80" w:rsidTr="006000BC" w14:paraId="588F1A34" w14:textId="77777777">
        <w:trPr>
          <w:trHeight w:val="359"/>
        </w:trPr>
        <w:tc>
          <w:tcPr>
            <w:tcW w:w="5220" w:type="dxa"/>
            <w:tcBorders>
              <w:left w:val="double" w:color="auto" w:sz="4" w:space="0"/>
              <w:bottom w:val="double" w:color="auto" w:sz="4" w:space="0"/>
            </w:tcBorders>
            <w:vAlign w:val="center"/>
          </w:tcPr>
          <w:p w:rsidRPr="00A778B7" w:rsidR="00F05F80" w:rsidP="006000BC" w:rsidRDefault="00F05F80" w14:paraId="0E170F02" w14:textId="77777777">
            <w:pPr>
              <w:keepNext/>
              <w:keepLines/>
              <w:tabs>
                <w:tab w:val="left" w:pos="365"/>
              </w:tabs>
              <w:spacing w:after="0"/>
              <w:rPr>
                <w:rFonts w:cs="Arial"/>
                <w:b/>
                <w:sz w:val="20"/>
                <w:szCs w:val="20"/>
              </w:rPr>
            </w:pPr>
            <w:r w:rsidRPr="00A778B7">
              <w:rPr>
                <w:rFonts w:cs="Arial"/>
                <w:b/>
                <w:sz w:val="20"/>
                <w:szCs w:val="20"/>
              </w:rPr>
              <w:t>Agency Total</w:t>
            </w:r>
          </w:p>
        </w:tc>
        <w:tc>
          <w:tcPr>
            <w:tcW w:w="2340" w:type="dxa"/>
            <w:tcBorders>
              <w:bottom w:val="double" w:color="auto" w:sz="4" w:space="0"/>
            </w:tcBorders>
            <w:vAlign w:val="center"/>
          </w:tcPr>
          <w:p w:rsidRPr="00A778B7" w:rsidR="00F05F80" w:rsidP="006000BC" w:rsidRDefault="00F05F80" w14:paraId="25A77A66" w14:textId="77777777">
            <w:pPr>
              <w:keepNext/>
              <w:keepLines/>
              <w:spacing w:after="0"/>
              <w:jc w:val="center"/>
              <w:rPr>
                <w:rFonts w:cs="Arial"/>
                <w:b/>
                <w:sz w:val="20"/>
                <w:szCs w:val="20"/>
              </w:rPr>
            </w:pPr>
            <w:r>
              <w:rPr>
                <w:rFonts w:cs="Arial"/>
                <w:b/>
                <w:sz w:val="20"/>
                <w:szCs w:val="20"/>
              </w:rPr>
              <w:t>3,550</w:t>
            </w:r>
          </w:p>
        </w:tc>
        <w:tc>
          <w:tcPr>
            <w:tcW w:w="1614" w:type="dxa"/>
            <w:tcBorders>
              <w:bottom w:val="double" w:color="auto" w:sz="4" w:space="0"/>
              <w:right w:val="double" w:color="auto" w:sz="4" w:space="0"/>
            </w:tcBorders>
            <w:vAlign w:val="center"/>
          </w:tcPr>
          <w:p w:rsidRPr="00A778B7" w:rsidR="00F05F80" w:rsidP="006000BC" w:rsidRDefault="00F05F80" w14:paraId="250F5726" w14:textId="77777777">
            <w:pPr>
              <w:keepNext/>
              <w:keepLines/>
              <w:spacing w:after="0"/>
              <w:jc w:val="center"/>
              <w:rPr>
                <w:rFonts w:cs="Arial"/>
                <w:b/>
                <w:sz w:val="20"/>
                <w:szCs w:val="20"/>
              </w:rPr>
            </w:pPr>
            <w:r w:rsidRPr="00A778B7">
              <w:rPr>
                <w:rFonts w:cs="Arial"/>
                <w:b/>
                <w:sz w:val="20"/>
                <w:szCs w:val="20"/>
              </w:rPr>
              <w:t>$</w:t>
            </w:r>
            <w:r>
              <w:rPr>
                <w:rFonts w:cs="Arial"/>
                <w:b/>
                <w:sz w:val="20"/>
                <w:szCs w:val="20"/>
              </w:rPr>
              <w:t>217,361</w:t>
            </w:r>
          </w:p>
        </w:tc>
      </w:tr>
    </w:tbl>
    <w:p w:rsidR="00EC4305" w:rsidP="000067D1" w:rsidRDefault="00EC4305" w14:paraId="3BE20C2F" w14:textId="21741BBA"/>
    <w:p w:rsidRPr="00E31F81" w:rsidR="00EC4305" w:rsidP="00E31F81" w:rsidRDefault="00E31F81" w14:paraId="3D1E0AC5" w14:textId="3F5322C1">
      <w:pPr>
        <w:pStyle w:val="Heading1"/>
      </w:pPr>
      <w:r w:rsidRPr="00E31F81">
        <w:t>SUPPORTING STATEMENT</w:t>
      </w:r>
    </w:p>
    <w:p w:rsidRPr="00B26C4E" w:rsidR="00B41A83" w:rsidP="0068004C" w:rsidRDefault="00041E4F" w14:paraId="6775B620" w14:textId="1C33214C">
      <w:pPr>
        <w:pStyle w:val="Heading2"/>
        <w:rPr>
          <w:i w:val="0"/>
          <w:iCs w:val="0"/>
        </w:rPr>
      </w:pPr>
      <w:r w:rsidRPr="00B26C4E">
        <w:rPr>
          <w:i w:val="0"/>
          <w:iCs w:val="0"/>
        </w:rPr>
        <w:t xml:space="preserve">1. </w:t>
      </w:r>
      <w:r w:rsidRPr="00B26C4E" w:rsidR="00EC4305">
        <w:rPr>
          <w:i w:val="0"/>
          <w:iCs w:val="0"/>
        </w:rPr>
        <w:t>Explain the circumstances that make the collection of information necessary.</w:t>
      </w:r>
    </w:p>
    <w:p w:rsidRPr="003E3414" w:rsidR="002D3148" w:rsidP="003E68B6" w:rsidRDefault="002D3148" w14:paraId="0270A9E3" w14:textId="41644BEB">
      <w:pPr>
        <w:tabs>
          <w:tab w:val="left" w:pos="-1080"/>
          <w:tab w:val="left" w:pos="-720"/>
          <w:tab w:val="left" w:pos="0"/>
          <w:tab w:val="left" w:pos="360"/>
          <w:tab w:val="left" w:pos="720"/>
          <w:tab w:val="left" w:pos="1080"/>
          <w:tab w:val="left" w:pos="1440"/>
          <w:tab w:val="left" w:pos="1800"/>
        </w:tabs>
        <w:spacing w:after="200" w:line="276" w:lineRule="auto"/>
        <w:rPr>
          <w:rFonts w:cs="Arial"/>
          <w:szCs w:val="24"/>
        </w:rPr>
      </w:pPr>
      <w:r w:rsidRPr="003E3414">
        <w:rPr>
          <w:rFonts w:cs="Arial"/>
          <w:szCs w:val="24"/>
        </w:rPr>
        <w:t xml:space="preserve">The 2006 Appropriations Act, Public Law No. 109-54, required the EPA to issue a final rule </w:t>
      </w:r>
      <w:r w:rsidR="00033D67">
        <w:rPr>
          <w:rFonts w:cs="Arial"/>
          <w:szCs w:val="24"/>
        </w:rPr>
        <w:t xml:space="preserve">(Attachment A) </w:t>
      </w:r>
      <w:r w:rsidRPr="003E3414">
        <w:rPr>
          <w:rFonts w:cs="Arial"/>
          <w:szCs w:val="24"/>
        </w:rPr>
        <w:t xml:space="preserve">addressing third-party intentional dosing human toxicity studies for pesticides, and the EPA conduct of intentional dosing human toxicity studies for pesticides (Attachment B). This ICR applies to </w:t>
      </w:r>
      <w:r w:rsidRPr="00001E5F">
        <w:rPr>
          <w:rFonts w:cs="Arial"/>
          <w:szCs w:val="24"/>
        </w:rPr>
        <w:t>all</w:t>
      </w:r>
      <w:r w:rsidRPr="003E3414">
        <w:rPr>
          <w:rFonts w:cs="Arial"/>
          <w:szCs w:val="24"/>
        </w:rPr>
        <w:t xml:space="preserve"> the information collection activities identified in the 2006 rule that the EPA promulgated in response to the Congressional </w:t>
      </w:r>
      <w:r w:rsidRPr="003E3414" w:rsidR="00DE19AF">
        <w:rPr>
          <w:rFonts w:cs="Arial"/>
          <w:szCs w:val="24"/>
        </w:rPr>
        <w:t>mandate,</w:t>
      </w:r>
      <w:r w:rsidRPr="003E3414">
        <w:rPr>
          <w:rFonts w:cs="Arial"/>
          <w:szCs w:val="24"/>
        </w:rPr>
        <w:t xml:space="preserve"> and which amended 40 CFR </w:t>
      </w:r>
      <w:r w:rsidR="006000BC">
        <w:rPr>
          <w:rFonts w:cs="Arial"/>
          <w:szCs w:val="24"/>
        </w:rPr>
        <w:t>part</w:t>
      </w:r>
      <w:r w:rsidRPr="003E3414">
        <w:rPr>
          <w:rFonts w:cs="Arial"/>
          <w:szCs w:val="24"/>
        </w:rPr>
        <w:t xml:space="preserve"> 26. The 2013 and 2019 revisions did not change information provided in this ICR because the revisions did not result in changes to the information collection activities and related burden estimates. The EPA’s statutory authority to require and collect the information identified already existed under FIFRA and FFDCA.</w:t>
      </w:r>
    </w:p>
    <w:p w:rsidR="003E68B6" w:rsidP="003E68B6" w:rsidRDefault="002D3148" w14:paraId="1692483A" w14:textId="378A4325">
      <w:pPr>
        <w:pStyle w:val="NormalWeb"/>
        <w:spacing w:after="200" w:line="276" w:lineRule="auto"/>
        <w:rPr>
          <w:rFonts w:ascii="Arial" w:hAnsi="Arial" w:cs="Arial"/>
        </w:rPr>
      </w:pPr>
      <w:r w:rsidRPr="003E3414">
        <w:rPr>
          <w:rFonts w:ascii="Arial" w:hAnsi="Arial" w:cs="Arial"/>
        </w:rPr>
        <w:t>Sections 3(c)(5), 3(g) and 4(g)(2)(D) of FIFRA generally require the EPA to determine that a pesticide would not present any “unreasonable adverse effects on the environment”</w:t>
      </w:r>
      <w:r w:rsidRPr="003E68B6">
        <w:rPr>
          <w:rFonts w:ascii="Arial" w:hAnsi="Arial" w:cs="Arial"/>
          <w:vertAlign w:val="superscript"/>
        </w:rPr>
        <w:footnoteReference w:id="3"/>
      </w:r>
      <w:r w:rsidRPr="003E3414">
        <w:rPr>
          <w:rFonts w:ascii="Arial" w:hAnsi="Arial" w:cs="Arial"/>
        </w:rPr>
        <w:t xml:space="preserve"> when deciding to grant a new or amended pesticide registration or to continue an existing registration. Section 4(g)(2)(E) of FIFRA and section 408(b)(2)(A)(ii) of FFDCA generally require the EPA to determine that there is a reasonable certainty that no harm will result from aggregate exposure to the residue of a pesticide chemical, including all anticipated dietary exposures and all other exposures for which there is reliable information when making pesticide tolerance decisions.  </w:t>
      </w:r>
      <w:r w:rsidRPr="003E3414">
        <w:rPr>
          <w:rFonts w:ascii="Arial" w:hAnsi="Arial" w:cs="Arial"/>
        </w:rPr>
        <w:lastRenderedPageBreak/>
        <w:t>FIFRA Section 12(a)(2)(P) forbids any person “to use any pesticide in tests on human beings unless such human beings (</w:t>
      </w:r>
      <w:proofErr w:type="spellStart"/>
      <w:r w:rsidRPr="003E3414">
        <w:rPr>
          <w:rFonts w:ascii="Arial" w:hAnsi="Arial" w:cs="Arial"/>
        </w:rPr>
        <w:t>i</w:t>
      </w:r>
      <w:proofErr w:type="spellEnd"/>
      <w:r w:rsidRPr="003E3414">
        <w:rPr>
          <w:rFonts w:ascii="Arial" w:hAnsi="Arial" w:cs="Arial"/>
        </w:rPr>
        <w:t xml:space="preserve">) are fully informed of the nature and purposes of the test and of any physical and mental health consequences which are reasonably foreseeable from, and (ii) freely volunteer to participate in the test.” The EPA established this collection of information as part of the 2006 final rule as authorized under section 25 of FIFRA and section 408(e)(1)(C) of FFDCA to: </w:t>
      </w:r>
    </w:p>
    <w:p w:rsidR="003E68B6" w:rsidP="003E68B6" w:rsidRDefault="002D3148" w14:paraId="30AC6A09" w14:textId="77777777">
      <w:pPr>
        <w:pStyle w:val="NormalWeb"/>
        <w:spacing w:after="200" w:line="276" w:lineRule="auto"/>
        <w:ind w:left="720"/>
        <w:rPr>
          <w:rFonts w:ascii="Arial" w:hAnsi="Arial" w:cs="Arial"/>
        </w:rPr>
      </w:pPr>
      <w:r w:rsidRPr="003E3414">
        <w:rPr>
          <w:rFonts w:ascii="Arial" w:hAnsi="Arial" w:cs="Arial"/>
        </w:rPr>
        <w:t>(1)</w:t>
      </w:r>
      <w:r w:rsidRPr="003E3414">
        <w:rPr>
          <w:rFonts w:ascii="Arial" w:hAnsi="Arial" w:cs="Arial"/>
        </w:rPr>
        <w:tab/>
        <w:t xml:space="preserve">ensure that sound and appropriate scientific data are available to the EPA when making regulatory decisions about pesticides as described in the previous paragraph; and, </w:t>
      </w:r>
    </w:p>
    <w:p w:rsidRPr="003E3414" w:rsidR="002D3148" w:rsidP="003E68B6" w:rsidRDefault="002D3148" w14:paraId="09F9EE5D" w14:textId="616CAFF0">
      <w:pPr>
        <w:pStyle w:val="NormalWeb"/>
        <w:spacing w:after="200" w:line="276" w:lineRule="auto"/>
        <w:ind w:left="720"/>
        <w:rPr>
          <w:rFonts w:ascii="Arial" w:hAnsi="Arial" w:cs="Arial"/>
        </w:rPr>
      </w:pPr>
      <w:r w:rsidRPr="003E3414">
        <w:rPr>
          <w:rFonts w:ascii="Arial" w:hAnsi="Arial" w:cs="Arial"/>
        </w:rPr>
        <w:t>(2)</w:t>
      </w:r>
      <w:r>
        <w:rPr>
          <w:rFonts w:ascii="Arial" w:hAnsi="Arial" w:cs="Arial"/>
        </w:rPr>
        <w:t xml:space="preserve"> </w:t>
      </w:r>
      <w:r w:rsidRPr="003E3414">
        <w:rPr>
          <w:rFonts w:ascii="Arial" w:hAnsi="Arial" w:cs="Arial"/>
        </w:rPr>
        <w:t xml:space="preserve">protect the interests, </w:t>
      </w:r>
      <w:r w:rsidRPr="00001E5F">
        <w:rPr>
          <w:rFonts w:ascii="Arial" w:hAnsi="Arial" w:cs="Arial"/>
        </w:rPr>
        <w:t>rights,</w:t>
      </w:r>
      <w:r w:rsidRPr="003E3414">
        <w:rPr>
          <w:rFonts w:ascii="Arial" w:hAnsi="Arial" w:cs="Arial"/>
        </w:rPr>
        <w:t xml:space="preserve"> and safety of human research subjects, as required under FIFRA section 12(a)(2)(P).</w:t>
      </w:r>
    </w:p>
    <w:p w:rsidRPr="00DE29B7" w:rsidR="00DE29B7" w:rsidP="003E68B6" w:rsidRDefault="002D3148" w14:paraId="566C6FDC" w14:textId="2351672E">
      <w:pPr>
        <w:spacing w:after="200" w:line="276" w:lineRule="auto"/>
      </w:pPr>
      <w:r w:rsidRPr="003E3414">
        <w:rPr>
          <w:rFonts w:cs="Arial"/>
        </w:rPr>
        <w:t>Sections 3(c)(5), 3(g), 4(g)(2), and 25 of FIFRA and sections 408(b)(2)(A)(ii) and 408(e)(1)(C) of FFDCA are included as Supporting Statement attachments C and D, respectively</w:t>
      </w:r>
      <w:r w:rsidR="000067D1">
        <w:t>.</w:t>
      </w:r>
    </w:p>
    <w:p w:rsidRPr="00B26C4E" w:rsidR="00B41A83" w:rsidP="0068004C" w:rsidRDefault="00041E4F" w14:paraId="7EE31A77" w14:textId="77777777">
      <w:pPr>
        <w:pStyle w:val="Heading2"/>
        <w:rPr>
          <w:i w:val="0"/>
          <w:iCs w:val="0"/>
        </w:rPr>
      </w:pPr>
      <w:r w:rsidRPr="00B26C4E">
        <w:rPr>
          <w:i w:val="0"/>
          <w:iCs w:val="0"/>
        </w:rPr>
        <w:t xml:space="preserve">2. </w:t>
      </w:r>
      <w:r w:rsidRPr="00B26C4E" w:rsidR="00EC4305">
        <w:rPr>
          <w:i w:val="0"/>
          <w:iCs w:val="0"/>
        </w:rPr>
        <w:t>Indicate how, by whom, and for what purpose the information is to be used. Except for a new collection, indicate the actual use the Agency has made of the information received from the current collection.</w:t>
      </w:r>
    </w:p>
    <w:p w:rsidRPr="003E3414" w:rsidR="002D3148" w:rsidP="003E68B6" w:rsidRDefault="002D3148" w14:paraId="633B1DE8" w14:textId="778AC9A3">
      <w:pPr>
        <w:pStyle w:val="BodyTextIndent"/>
        <w:spacing w:after="200" w:line="276" w:lineRule="auto"/>
        <w:ind w:left="0"/>
        <w:rPr>
          <w:rFonts w:ascii="Arial" w:hAnsi="Arial" w:cs="Arial"/>
          <w:sz w:val="24"/>
          <w:szCs w:val="24"/>
        </w:rPr>
      </w:pPr>
      <w:r w:rsidRPr="003E3414">
        <w:rPr>
          <w:rFonts w:ascii="Arial" w:hAnsi="Arial" w:cs="Arial"/>
          <w:sz w:val="24"/>
          <w:szCs w:val="24"/>
        </w:rPr>
        <w:t xml:space="preserve">In order to ensure the availability of sound and appropriate scientific data in its decisions, and to protect the interests, rights and safety of human research subjects, in 2006 the EPA extended the requirements of the Agency’s 1991 Common Rule, 40 CFR </w:t>
      </w:r>
      <w:r w:rsidR="006000BC">
        <w:rPr>
          <w:rFonts w:ascii="Arial" w:hAnsi="Arial" w:cs="Arial"/>
          <w:sz w:val="24"/>
          <w:szCs w:val="24"/>
        </w:rPr>
        <w:t>part</w:t>
      </w:r>
      <w:r w:rsidRPr="003E3414">
        <w:rPr>
          <w:rFonts w:ascii="Arial" w:hAnsi="Arial" w:cs="Arial"/>
          <w:sz w:val="24"/>
          <w:szCs w:val="24"/>
        </w:rPr>
        <w:t xml:space="preserve"> 26, prospectively to third-party research intended for submission to the EPA under the pesticide laws and involving intentional exposure of non-pregnant, non-nursing adult human subjects. </w:t>
      </w:r>
      <w:r w:rsidR="007368DA">
        <w:rPr>
          <w:rFonts w:ascii="Arial" w:hAnsi="Arial" w:cs="Arial"/>
          <w:sz w:val="24"/>
          <w:szCs w:val="24"/>
        </w:rPr>
        <w:t>In 2013, the rule was expanded to cover all research involving</w:t>
      </w:r>
      <w:r w:rsidRPr="2BBC7833" w:rsidR="007368DA">
        <w:rPr>
          <w:rFonts w:ascii="Arial" w:hAnsi="Arial" w:cs="Arial"/>
          <w:sz w:val="24"/>
          <w:szCs w:val="24"/>
        </w:rPr>
        <w:t xml:space="preserve"> </w:t>
      </w:r>
      <w:r w:rsidRPr="2BBC7833" w:rsidR="01F8FC60">
        <w:rPr>
          <w:rFonts w:ascii="Arial" w:hAnsi="Arial" w:cs="Arial"/>
          <w:sz w:val="24"/>
          <w:szCs w:val="24"/>
        </w:rPr>
        <w:t>intentional</w:t>
      </w:r>
      <w:r w:rsidR="007368DA">
        <w:rPr>
          <w:rFonts w:ascii="Arial" w:hAnsi="Arial" w:cs="Arial"/>
          <w:sz w:val="24"/>
          <w:szCs w:val="24"/>
        </w:rPr>
        <w:t xml:space="preserve"> exposure to pesticides regardless of the regulatory statute</w:t>
      </w:r>
      <w:r w:rsidR="00532A7D">
        <w:rPr>
          <w:rFonts w:ascii="Arial" w:hAnsi="Arial" w:cs="Arial"/>
          <w:sz w:val="24"/>
          <w:szCs w:val="24"/>
        </w:rPr>
        <w:t xml:space="preserve"> under which the submission is made.</w:t>
      </w:r>
      <w:r w:rsidRPr="003E3414">
        <w:rPr>
          <w:rFonts w:ascii="Arial" w:hAnsi="Arial" w:cs="Arial"/>
          <w:sz w:val="24"/>
          <w:szCs w:val="24"/>
        </w:rPr>
        <w:t xml:space="preserve"> The information provided allows the EPA and the Human Studies Review Board (HSRB) to review protocols and related information before covered research involving human subjects is initiated, but after it has been reviewed and approved by a local IRB. In addition, anyone who submits to the EPA a report of research with human subjects must submit concurrently documentation of the ethical conduct of the research. This information collection activity allows the EPA to ensure all human subjects in research conducted by the EPA (first party), conducted by entities with support from the EPA (second parties), or conducted by third parties with the intention to submit it to the EPA, are treated ethically.</w:t>
      </w:r>
    </w:p>
    <w:p w:rsidRPr="005D29EB" w:rsidR="009E5ED7" w:rsidP="003E68B6" w:rsidRDefault="002D3148" w14:paraId="27AB99F1" w14:textId="2A15BC48">
      <w:pPr>
        <w:spacing w:after="200" w:line="276" w:lineRule="auto"/>
      </w:pPr>
      <w:r w:rsidRPr="0023620E">
        <w:rPr>
          <w:rFonts w:cs="Arial"/>
          <w:szCs w:val="24"/>
        </w:rPr>
        <w:t xml:space="preserve">The information collected under this ICR has been used by the EPA to satisfy the regulatory requirements to consult with the HSRB on proposed research with human subjects before it is conducted and prior to reliance on the results of human research in regulatory decisions. After consultations with the HSRB, the information has been used </w:t>
      </w:r>
      <w:r w:rsidRPr="0023620E">
        <w:rPr>
          <w:rFonts w:cs="Arial"/>
          <w:szCs w:val="24"/>
        </w:rPr>
        <w:lastRenderedPageBreak/>
        <w:t>to register new skin-applied insect repellent products, to refine occupational and residential risk assessments, and to set regulatory endpoints. Additionally, information collected under this ICR provides documentation about the ethical conduct of research with human subjects, enabling the EPA to determine whether it can rely on the human research submitted</w:t>
      </w:r>
      <w:r w:rsidR="004A4334">
        <w:t>.</w:t>
      </w:r>
    </w:p>
    <w:p w:rsidRPr="00B26C4E" w:rsidR="00B41A83" w:rsidP="0068004C" w:rsidRDefault="00041E4F" w14:paraId="4830546E" w14:textId="7430FB15">
      <w:pPr>
        <w:pStyle w:val="Heading2"/>
        <w:rPr>
          <w:i w:val="0"/>
          <w:iCs w:val="0"/>
        </w:rPr>
      </w:pPr>
      <w:r w:rsidRPr="00B26C4E">
        <w:rPr>
          <w:i w:val="0"/>
          <w:iCs w:val="0"/>
        </w:rPr>
        <w:t xml:space="preserve">3. </w:t>
      </w:r>
      <w:r w:rsidRPr="00B26C4E" w:rsidR="00EC4305">
        <w:rPr>
          <w:i w:val="0"/>
          <w:iCs w:val="0"/>
        </w:rPr>
        <w:t>Describe whether, and to what extent, the collection of information involves the use of automated, electronic, mechanical, or other technological collection techniques or other forms of information technology, e.g., permitting electronic submission of responses.</w:t>
      </w:r>
    </w:p>
    <w:p w:rsidRPr="003E3414" w:rsidR="002D3148" w:rsidP="003E68B6" w:rsidRDefault="002D3148" w14:paraId="5CC01940" w14:textId="77777777">
      <w:pPr>
        <w:pStyle w:val="NormalWeb"/>
        <w:spacing w:after="200" w:line="276" w:lineRule="auto"/>
        <w:rPr>
          <w:rFonts w:ascii="Arial" w:hAnsi="Arial" w:cs="Arial"/>
        </w:rPr>
      </w:pPr>
      <w:r>
        <w:rPr>
          <w:rFonts w:ascii="Arial" w:hAnsi="Arial" w:cs="Arial"/>
        </w:rPr>
        <w:t xml:space="preserve">The </w:t>
      </w:r>
      <w:r w:rsidRPr="003E3414">
        <w:rPr>
          <w:rFonts w:ascii="Arial" w:hAnsi="Arial" w:cs="Arial"/>
        </w:rPr>
        <w:t xml:space="preserve">EPA’s Office of Pesticide Programs (OPP) completed a major review of its information tracking systems to improve their efficiency and accuracy. This review resulted in improvements to the information system, which will improve the quality of the Agency's databases and allows the EPA to respond </w:t>
      </w:r>
      <w:r w:rsidRPr="00DA458F">
        <w:rPr>
          <w:rFonts w:ascii="Arial" w:hAnsi="Arial" w:cs="Arial"/>
        </w:rPr>
        <w:t>timelier</w:t>
      </w:r>
      <w:r w:rsidRPr="003E3414">
        <w:rPr>
          <w:rFonts w:ascii="Arial" w:hAnsi="Arial" w:cs="Arial"/>
        </w:rPr>
        <w:t xml:space="preserve"> and accurately to queries from registrants and the public, including requests made under the FOIA.</w:t>
      </w:r>
    </w:p>
    <w:p w:rsidRPr="003E3414" w:rsidR="002D3148" w:rsidP="003E68B6" w:rsidRDefault="002D3148" w14:paraId="13C46C57" w14:textId="77777777">
      <w:pPr>
        <w:spacing w:after="200" w:line="276" w:lineRule="auto"/>
        <w:rPr>
          <w:rFonts w:cs="Arial"/>
          <w:szCs w:val="24"/>
        </w:rPr>
      </w:pPr>
      <w:r>
        <w:rPr>
          <w:rFonts w:cs="Arial"/>
          <w:szCs w:val="24"/>
        </w:rPr>
        <w:t xml:space="preserve">The </w:t>
      </w:r>
      <w:r w:rsidRPr="003E3414">
        <w:rPr>
          <w:rFonts w:cs="Arial"/>
          <w:szCs w:val="24"/>
        </w:rPr>
        <w:t xml:space="preserve">EPA also investigated the possibility of providing optional electronic data transfer services to the industry as a means of minimizing the burden of registration activities. The Agency's pesticide program, along with the pesticide industry, recognizes the advantages in terms of accuracy, speed, cost and personnel from electronic data transfer technologies. In addition, OPP consulted with industry associations and other federal agencies, and participated in an Agency-wide workgroup to develop electronic reporting standards intended to facilitate collection of information from industry. </w:t>
      </w:r>
    </w:p>
    <w:p w:rsidR="002D3148" w:rsidP="003E68B6" w:rsidRDefault="002D3148" w14:paraId="7CCF5EFC" w14:textId="77777777">
      <w:pPr>
        <w:tabs>
          <w:tab w:val="left" w:pos="-1080"/>
          <w:tab w:val="left" w:pos="-720"/>
          <w:tab w:val="left" w:pos="0"/>
          <w:tab w:val="left" w:pos="360"/>
          <w:tab w:val="left" w:pos="720"/>
          <w:tab w:val="left" w:pos="1080"/>
          <w:tab w:val="left" w:pos="1440"/>
          <w:tab w:val="left" w:pos="1800"/>
        </w:tabs>
        <w:spacing w:after="200" w:line="276" w:lineRule="auto"/>
        <w:rPr>
          <w:rFonts w:cs="Arial"/>
          <w:szCs w:val="24"/>
        </w:rPr>
      </w:pPr>
      <w:r w:rsidRPr="003E3414">
        <w:rPr>
          <w:rFonts w:cs="Arial"/>
          <w:szCs w:val="24"/>
        </w:rPr>
        <w:t xml:space="preserve">OPP launched the Pesticide Submission Portal (PSP) to leverage the Agency’s Central Data Exchange (CDX) platform and allow pesticide registrants to submit a wide variety of regulatory actions to </w:t>
      </w:r>
      <w:r>
        <w:rPr>
          <w:rFonts w:cs="Arial"/>
          <w:szCs w:val="24"/>
        </w:rPr>
        <w:t xml:space="preserve">the </w:t>
      </w:r>
      <w:r w:rsidRPr="003E3414">
        <w:rPr>
          <w:rFonts w:cs="Arial"/>
          <w:szCs w:val="24"/>
        </w:rPr>
        <w:t>EPA electronically, forgoing the need to submit either paper or CDs/DVDs. The type of eligible information and regulatory actions that can be submitted via the PSP is explained on</w:t>
      </w:r>
      <w:r>
        <w:rPr>
          <w:rFonts w:cs="Arial"/>
          <w:szCs w:val="24"/>
        </w:rPr>
        <w:t xml:space="preserve"> the</w:t>
      </w:r>
      <w:r w:rsidRPr="003E3414">
        <w:rPr>
          <w:rFonts w:cs="Arial"/>
          <w:szCs w:val="24"/>
        </w:rPr>
        <w:t xml:space="preserve"> EPA’s website. The PSP is a critical step in achieving the vision of a fully electronic work environment. If registrants want to submit paper copies of study data or CDs to </w:t>
      </w:r>
      <w:r>
        <w:rPr>
          <w:rFonts w:cs="Arial"/>
          <w:szCs w:val="24"/>
        </w:rPr>
        <w:t xml:space="preserve">the </w:t>
      </w:r>
      <w:r w:rsidRPr="003E3414">
        <w:rPr>
          <w:rFonts w:cs="Arial"/>
          <w:szCs w:val="24"/>
        </w:rPr>
        <w:t>EPA, they can still do so. </w:t>
      </w:r>
    </w:p>
    <w:p w:rsidRPr="00517562" w:rsidR="009E5ED7" w:rsidP="003E68B6" w:rsidRDefault="002D3148" w14:paraId="5D27D0F6" w14:textId="2F7687A2">
      <w:pPr>
        <w:tabs>
          <w:tab w:val="left" w:pos="-1080"/>
          <w:tab w:val="left" w:pos="-720"/>
          <w:tab w:val="left" w:pos="0"/>
          <w:tab w:val="left" w:pos="360"/>
          <w:tab w:val="left" w:pos="720"/>
          <w:tab w:val="left" w:pos="1080"/>
          <w:tab w:val="left" w:pos="1440"/>
          <w:tab w:val="left" w:pos="1800"/>
        </w:tabs>
        <w:spacing w:after="200" w:line="276" w:lineRule="auto"/>
      </w:pPr>
      <w:r w:rsidRPr="003E3414">
        <w:rPr>
          <w:rFonts w:cs="Arial"/>
          <w:szCs w:val="24"/>
        </w:rPr>
        <w:t>OPP does not publish any studies submitted.  However, it maintains records of each study in the Office of Pesticide Programs Information Network (OPPIN) and provides public access to OPPIN bibliographies through the National Pesticides Information Retrieval System (NPIRS). NPIRS supports searches for technical documents submitted to</w:t>
      </w:r>
      <w:r>
        <w:rPr>
          <w:rFonts w:cs="Arial"/>
          <w:szCs w:val="24"/>
        </w:rPr>
        <w:t xml:space="preserve"> the</w:t>
      </w:r>
      <w:r w:rsidRPr="003E3414">
        <w:rPr>
          <w:rFonts w:cs="Arial"/>
          <w:szCs w:val="24"/>
        </w:rPr>
        <w:t xml:space="preserve"> EPA by registrants. Information is categorized by chemical, subject, submission date, laboratory, guideline number, and document type.  The public may request copies of studies that are non-confidential by submitting a Freedom of Information Act (FOIA) request</w:t>
      </w:r>
      <w:r w:rsidR="004D63B9">
        <w:t>.</w:t>
      </w:r>
    </w:p>
    <w:p w:rsidRPr="00B26C4E" w:rsidR="00B41A83" w:rsidP="0068004C" w:rsidRDefault="00041E4F" w14:paraId="54F4BB56" w14:textId="3E7979D5">
      <w:pPr>
        <w:pStyle w:val="Heading2"/>
        <w:rPr>
          <w:i w:val="0"/>
          <w:iCs w:val="0"/>
        </w:rPr>
      </w:pPr>
      <w:r w:rsidRPr="00B26C4E">
        <w:rPr>
          <w:i w:val="0"/>
          <w:iCs w:val="0"/>
        </w:rPr>
        <w:lastRenderedPageBreak/>
        <w:t xml:space="preserve">4. </w:t>
      </w:r>
      <w:r w:rsidRPr="00B26C4E" w:rsidR="00EC4305">
        <w:rPr>
          <w:i w:val="0"/>
          <w:iCs w:val="0"/>
        </w:rPr>
        <w:t>Describe efforts to identify duplication</w:t>
      </w:r>
      <w:r w:rsidRPr="00B26C4E" w:rsidR="00B41A83">
        <w:rPr>
          <w:i w:val="0"/>
          <w:iCs w:val="0"/>
        </w:rPr>
        <w:t xml:space="preserve"> </w:t>
      </w:r>
    </w:p>
    <w:p w:rsidR="009E5ED7" w:rsidP="003E68B6" w:rsidRDefault="004D278A" w14:paraId="1A61FCEA" w14:textId="0F1C7882">
      <w:pPr>
        <w:spacing w:after="200" w:line="276" w:lineRule="auto"/>
      </w:pPr>
      <w:r w:rsidRPr="003E3414">
        <w:rPr>
          <w:rFonts w:cs="Arial"/>
        </w:rPr>
        <w:t>The information requirements identified in the regulations at 40 CFR part 26 do not duplicate other federal agency information collections.</w:t>
      </w:r>
      <w:r w:rsidR="003E68B6">
        <w:rPr>
          <w:rFonts w:cs="Arial"/>
        </w:rPr>
        <w:t xml:space="preserve"> </w:t>
      </w:r>
      <w:r w:rsidRPr="003E3414">
        <w:rPr>
          <w:rFonts w:cs="Arial"/>
        </w:rPr>
        <w:t>Other federal agencies have adopted the Common Rule and FDA has established requirements similar to those in the Common Rule for third-party researchers who perform human testing intended for submission to FDA. None of those requirements, however, apply to third-party research that is intended for submission to</w:t>
      </w:r>
      <w:r>
        <w:rPr>
          <w:rFonts w:cs="Arial"/>
        </w:rPr>
        <w:t xml:space="preserve"> the</w:t>
      </w:r>
      <w:r w:rsidRPr="003E3414">
        <w:rPr>
          <w:rFonts w:cs="Arial"/>
        </w:rPr>
        <w:t xml:space="preserve"> EPA</w:t>
      </w:r>
      <w:r w:rsidR="004D63B9">
        <w:t>.</w:t>
      </w:r>
    </w:p>
    <w:p w:rsidRPr="00B26C4E" w:rsidR="00EC4305" w:rsidP="0068004C" w:rsidRDefault="00041E4F" w14:paraId="6C50278E" w14:textId="7DF56A05">
      <w:pPr>
        <w:pStyle w:val="Heading2"/>
        <w:rPr>
          <w:i w:val="0"/>
          <w:iCs w:val="0"/>
        </w:rPr>
      </w:pPr>
      <w:r w:rsidRPr="00B26C4E">
        <w:rPr>
          <w:i w:val="0"/>
          <w:iCs w:val="0"/>
        </w:rPr>
        <w:t xml:space="preserve">5. </w:t>
      </w:r>
      <w:r w:rsidRPr="00B26C4E" w:rsidR="00EC4305">
        <w:rPr>
          <w:i w:val="0"/>
          <w:iCs w:val="0"/>
        </w:rPr>
        <w:t>If the collection of information impacts small businesses or other small entities, describe the methods used to minimize burden.</w:t>
      </w:r>
    </w:p>
    <w:p w:rsidR="009E5ED7" w:rsidP="003E68B6" w:rsidRDefault="00D407C9" w14:paraId="2621C47C" w14:textId="53B69A67">
      <w:pPr>
        <w:spacing w:after="200" w:line="276" w:lineRule="auto"/>
      </w:pPr>
      <w:r w:rsidRPr="003E3414">
        <w:rPr>
          <w:rFonts w:cs="Arial"/>
          <w:szCs w:val="24"/>
        </w:rPr>
        <w:t>Although the Agency cannot predict whether or how many small entities might engage in the subject matter research, the burden and related cost for researchers to comply with these information collection activities is estimated to be a comparatively small portion of the overall cost of performing such studies. After reviewing the history of</w:t>
      </w:r>
      <w:r>
        <w:rPr>
          <w:rFonts w:cs="Arial"/>
          <w:szCs w:val="24"/>
        </w:rPr>
        <w:t xml:space="preserve"> the</w:t>
      </w:r>
      <w:r w:rsidRPr="003E3414">
        <w:rPr>
          <w:rFonts w:cs="Arial"/>
          <w:szCs w:val="24"/>
        </w:rPr>
        <w:t xml:space="preserve"> EPA’s consideration </w:t>
      </w:r>
      <w:r>
        <w:rPr>
          <w:rFonts w:cs="Arial"/>
          <w:szCs w:val="24"/>
        </w:rPr>
        <w:t>of</w:t>
      </w:r>
      <w:r w:rsidRPr="003E3414">
        <w:rPr>
          <w:rFonts w:cs="Arial"/>
          <w:szCs w:val="24"/>
        </w:rPr>
        <w:t xml:space="preserve"> human research in its various program offices, </w:t>
      </w:r>
      <w:r>
        <w:rPr>
          <w:rFonts w:cs="Arial"/>
          <w:szCs w:val="24"/>
        </w:rPr>
        <w:t xml:space="preserve">the </w:t>
      </w:r>
      <w:r w:rsidRPr="003E3414">
        <w:rPr>
          <w:rFonts w:cs="Arial"/>
          <w:szCs w:val="24"/>
        </w:rPr>
        <w:t xml:space="preserve">EPA estimates that only a limited number of third-party human studies will be impacted by these activities each year. Because both the number of affected studies is relatively small and the estimated current costs of compliance with the Common Rule are low, the potential overall burden and costs from these activities to third parties are also estimated to be small, regardless of their size. As a result, </w:t>
      </w:r>
      <w:r>
        <w:rPr>
          <w:rFonts w:cs="Arial"/>
          <w:szCs w:val="24"/>
        </w:rPr>
        <w:t xml:space="preserve">the </w:t>
      </w:r>
      <w:r w:rsidRPr="003E3414">
        <w:rPr>
          <w:rFonts w:cs="Arial"/>
          <w:szCs w:val="24"/>
        </w:rPr>
        <w:t>EPA has not provided any special flexibility for small entities</w:t>
      </w:r>
      <w:r w:rsidR="004D63B9">
        <w:t>.</w:t>
      </w:r>
      <w:r w:rsidRPr="005D29EB" w:rsidR="00A2040B">
        <w:t xml:space="preserve"> </w:t>
      </w:r>
    </w:p>
    <w:p w:rsidRPr="00B26C4E" w:rsidR="00B41A83" w:rsidP="0068004C" w:rsidRDefault="00041E4F" w14:paraId="2F0363DE" w14:textId="5F3112AE">
      <w:pPr>
        <w:pStyle w:val="Heading2"/>
        <w:rPr>
          <w:i w:val="0"/>
          <w:iCs w:val="0"/>
        </w:rPr>
      </w:pPr>
      <w:r w:rsidRPr="00B26C4E">
        <w:rPr>
          <w:i w:val="0"/>
          <w:iCs w:val="0"/>
        </w:rPr>
        <w:t xml:space="preserve">6. </w:t>
      </w:r>
      <w:r w:rsidRPr="00B26C4E" w:rsidR="00EC4305">
        <w:rPr>
          <w:i w:val="0"/>
          <w:iCs w:val="0"/>
        </w:rPr>
        <w:t>Describe the consequence to Federal program or policy activities if the collection is not conducted or is conducted less frequently, as well as any technical or legal obstacles to reducing burden.</w:t>
      </w:r>
      <w:r w:rsidRPr="00B26C4E" w:rsidR="00B41A83">
        <w:rPr>
          <w:i w:val="0"/>
          <w:iCs w:val="0"/>
        </w:rPr>
        <w:t xml:space="preserve"> </w:t>
      </w:r>
    </w:p>
    <w:p w:rsidRPr="005D29EB" w:rsidR="009E5ED7" w:rsidP="003E68B6" w:rsidRDefault="00D407C9" w14:paraId="393BDA9D" w14:textId="1F37DDA9">
      <w:pPr>
        <w:spacing w:after="200" w:line="276" w:lineRule="auto"/>
      </w:pPr>
      <w:r w:rsidRPr="003E3414">
        <w:rPr>
          <w:rFonts w:cs="Arial"/>
        </w:rPr>
        <w:t xml:space="preserve">This is an event-driven information collection activity and is conducted only as information is submitted to </w:t>
      </w:r>
      <w:r>
        <w:rPr>
          <w:rFonts w:cs="Arial"/>
        </w:rPr>
        <w:t xml:space="preserve">the </w:t>
      </w:r>
      <w:r w:rsidRPr="003E3414">
        <w:rPr>
          <w:rFonts w:cs="Arial"/>
        </w:rPr>
        <w:t>EPA for consideration. T</w:t>
      </w:r>
      <w:r w:rsidRPr="003E3414">
        <w:rPr>
          <w:rFonts w:cs="Arial"/>
          <w:color w:val="000000"/>
        </w:rPr>
        <w:t xml:space="preserve">he </w:t>
      </w:r>
      <w:r w:rsidRPr="003E3414">
        <w:rPr>
          <w:rFonts w:cs="Arial"/>
        </w:rPr>
        <w:t>parties consulted stated that the data collected are not available from another source and the frequency of collection could not be reduced and still produce the same outcome. There is no set frequency for the collection of this information</w:t>
      </w:r>
      <w:r w:rsidR="004D63B9">
        <w:t>.</w:t>
      </w:r>
    </w:p>
    <w:p w:rsidRPr="00B26C4E" w:rsidR="00EC4305" w:rsidP="0068004C" w:rsidRDefault="00041E4F" w14:paraId="4290B85B" w14:textId="0B4BD482">
      <w:pPr>
        <w:pStyle w:val="Heading2"/>
        <w:rPr>
          <w:i w:val="0"/>
          <w:iCs w:val="0"/>
        </w:rPr>
      </w:pPr>
      <w:r w:rsidRPr="00B26C4E">
        <w:rPr>
          <w:i w:val="0"/>
          <w:iCs w:val="0"/>
        </w:rPr>
        <w:t xml:space="preserve">7. </w:t>
      </w:r>
      <w:r w:rsidRPr="00B26C4E" w:rsidR="00EC4305">
        <w:rPr>
          <w:i w:val="0"/>
          <w:iCs w:val="0"/>
        </w:rPr>
        <w:t>Explain any special circumstances that require the collection to be conducted in a manner inconsistent with OMB guidelines.</w:t>
      </w:r>
    </w:p>
    <w:p w:rsidRPr="003E3414" w:rsidR="00D407C9" w:rsidP="00F05F80" w:rsidRDefault="00D407C9" w14:paraId="09A900B0" w14:textId="1B5D789D">
      <w:pPr>
        <w:pStyle w:val="NormalWeb"/>
        <w:spacing w:after="200" w:line="276" w:lineRule="auto"/>
        <w:rPr>
          <w:rFonts w:ascii="Arial" w:hAnsi="Arial" w:cs="Arial"/>
        </w:rPr>
      </w:pPr>
      <w:r w:rsidRPr="003E3414">
        <w:rPr>
          <w:rFonts w:ascii="Arial" w:hAnsi="Arial" w:cs="Arial"/>
        </w:rPr>
        <w:t xml:space="preserve">The only guideline established under the Paperwork Reduction Act (PRA) that may be exceeded in this collection is the time period for retaining records. </w:t>
      </w:r>
      <w:r>
        <w:rPr>
          <w:rFonts w:ascii="Arial" w:hAnsi="Arial" w:cs="Arial"/>
        </w:rPr>
        <w:t xml:space="preserve">The </w:t>
      </w:r>
      <w:r w:rsidRPr="003E3414">
        <w:rPr>
          <w:rFonts w:ascii="Arial" w:hAnsi="Arial" w:cs="Arial"/>
        </w:rPr>
        <w:t xml:space="preserve">EPA’s requirement at 40 CFR 169.2(k) states that records containing research data relating to registered pesticides be retained for as long as the registration is </w:t>
      </w:r>
      <w:r w:rsidRPr="008D66FE">
        <w:rPr>
          <w:rFonts w:ascii="Arial" w:hAnsi="Arial" w:cs="Arial"/>
        </w:rPr>
        <w:t>valid,</w:t>
      </w:r>
      <w:r w:rsidRPr="003E3414">
        <w:rPr>
          <w:rFonts w:ascii="Arial" w:hAnsi="Arial" w:cs="Arial"/>
        </w:rPr>
        <w:t xml:space="preserve"> and the producer remains in business. Registrations are valid until they are either voluntarily canceled or withdrawn by the registrant or until </w:t>
      </w:r>
      <w:r>
        <w:rPr>
          <w:rFonts w:ascii="Arial" w:hAnsi="Arial" w:cs="Arial"/>
        </w:rPr>
        <w:t xml:space="preserve">the </w:t>
      </w:r>
      <w:r w:rsidRPr="003E3414">
        <w:rPr>
          <w:rFonts w:ascii="Arial" w:hAnsi="Arial" w:cs="Arial"/>
        </w:rPr>
        <w:t xml:space="preserve">EPA has cause to suspend or cancel </w:t>
      </w:r>
      <w:r w:rsidRPr="003E3414">
        <w:rPr>
          <w:rFonts w:ascii="Arial" w:hAnsi="Arial" w:cs="Arial"/>
        </w:rPr>
        <w:lastRenderedPageBreak/>
        <w:t xml:space="preserve">the registration. Since the average period of marketability of a pesticide ranges from 15 to 30 years, the PRA guidelines specifying that data other than health, medical or tax records </w:t>
      </w:r>
      <w:r w:rsidRPr="003E3414" w:rsidR="002C75CB">
        <w:rPr>
          <w:rFonts w:ascii="Arial" w:hAnsi="Arial" w:cs="Arial"/>
        </w:rPr>
        <w:t>are not</w:t>
      </w:r>
      <w:r w:rsidRPr="003E3414">
        <w:rPr>
          <w:rFonts w:ascii="Arial" w:hAnsi="Arial" w:cs="Arial"/>
        </w:rPr>
        <w:t xml:space="preserve"> required to be retained for more than three years will be exceeded in this collection activity. This is an existing requirement that was not changed by the 2006 final rule. In any case, the recordkeeping requirement merely codifies the usual and customary business practices of </w:t>
      </w:r>
      <w:r>
        <w:rPr>
          <w:rFonts w:ascii="Arial" w:hAnsi="Arial" w:cs="Arial"/>
        </w:rPr>
        <w:t>pesticide manufacturers who will retain the records</w:t>
      </w:r>
      <w:r w:rsidRPr="003E3414">
        <w:rPr>
          <w:rFonts w:ascii="Arial" w:hAnsi="Arial" w:cs="Arial"/>
        </w:rPr>
        <w:t>; therefore</w:t>
      </w:r>
      <w:r w:rsidRPr="48DDC51E" w:rsidR="532F7B7A">
        <w:rPr>
          <w:rFonts w:ascii="Arial" w:hAnsi="Arial" w:cs="Arial"/>
        </w:rPr>
        <w:t>,</w:t>
      </w:r>
      <w:r w:rsidRPr="003E3414">
        <w:rPr>
          <w:rFonts w:ascii="Arial" w:hAnsi="Arial" w:cs="Arial"/>
        </w:rPr>
        <w:t xml:space="preserve"> no burden is attributed to the activity.</w:t>
      </w:r>
    </w:p>
    <w:p w:rsidRPr="003E3414" w:rsidR="00D407C9" w:rsidP="00F05F80" w:rsidRDefault="00D407C9" w14:paraId="219AA69E" w14:textId="77777777">
      <w:pPr>
        <w:pStyle w:val="NormalWeb"/>
        <w:spacing w:after="200" w:line="276" w:lineRule="auto"/>
        <w:rPr>
          <w:rFonts w:ascii="Arial" w:hAnsi="Arial" w:cs="Arial"/>
        </w:rPr>
      </w:pPr>
      <w:r w:rsidRPr="003E3414">
        <w:rPr>
          <w:rFonts w:ascii="Arial" w:hAnsi="Arial" w:cs="Arial"/>
        </w:rPr>
        <w:t xml:space="preserve">OMB regulations require agencies to provide a statement indicating whether the collection of information involves the use of automated, electronic, mechanical, or other technological collection techniques or other forms of information technology, e.g., permitting electronic submission of responses, and an explanation of the decision (5 CFR 1320.5(a)(iii)(E)).  </w:t>
      </w:r>
    </w:p>
    <w:p w:rsidRPr="00517562" w:rsidR="009E5ED7" w:rsidP="00F05F80" w:rsidRDefault="00F607FF" w14:paraId="21CF417C" w14:textId="2EDF098F">
      <w:pPr>
        <w:spacing w:after="200" w:line="276" w:lineRule="auto"/>
      </w:pPr>
      <w:r>
        <w:rPr>
          <w:rFonts w:cs="Arial"/>
          <w:szCs w:val="24"/>
        </w:rPr>
        <w:t xml:space="preserve">The </w:t>
      </w:r>
      <w:r w:rsidR="006B37CA">
        <w:rPr>
          <w:rFonts w:cs="Arial"/>
          <w:szCs w:val="24"/>
        </w:rPr>
        <w:t>EPA encourages r</w:t>
      </w:r>
      <w:r w:rsidRPr="003E3414" w:rsidR="00D407C9">
        <w:rPr>
          <w:rFonts w:cs="Arial"/>
          <w:szCs w:val="24"/>
        </w:rPr>
        <w:t>espondents who submit study protocols and/or reports to</w:t>
      </w:r>
      <w:r w:rsidR="00D407C9">
        <w:rPr>
          <w:rFonts w:cs="Arial"/>
          <w:szCs w:val="24"/>
        </w:rPr>
        <w:t xml:space="preserve"> the</w:t>
      </w:r>
      <w:r w:rsidRPr="003E3414" w:rsidR="00D407C9">
        <w:rPr>
          <w:rFonts w:cs="Arial"/>
          <w:szCs w:val="24"/>
        </w:rPr>
        <w:t xml:space="preserve"> EPA to submit </w:t>
      </w:r>
      <w:r w:rsidR="006B37CA">
        <w:rPr>
          <w:rFonts w:cs="Arial"/>
          <w:szCs w:val="24"/>
        </w:rPr>
        <w:t>this</w:t>
      </w:r>
      <w:r w:rsidRPr="003E3414" w:rsidR="00D407C9">
        <w:rPr>
          <w:rFonts w:cs="Arial"/>
          <w:szCs w:val="24"/>
        </w:rPr>
        <w:t xml:space="preserve"> information electronically.  OPP launched the Pesticide Submission Portal (PSP) to leverage the Agency’s Central Data Exchange (CDX) platform and allow pesticide registrants to submit a wide variety of regulatory actions to </w:t>
      </w:r>
      <w:r w:rsidR="00D407C9">
        <w:rPr>
          <w:rFonts w:cs="Arial"/>
          <w:szCs w:val="24"/>
        </w:rPr>
        <w:t xml:space="preserve">the </w:t>
      </w:r>
      <w:r w:rsidRPr="003E3414" w:rsidR="00D407C9">
        <w:rPr>
          <w:rFonts w:cs="Arial"/>
          <w:szCs w:val="24"/>
        </w:rPr>
        <w:t xml:space="preserve">EPA electronically, forgoing the need to submit either paper or CDs/DVDs. The type of eligible information and regulatory actions that can be submitted via the PSP is explained on </w:t>
      </w:r>
      <w:r w:rsidR="00D407C9">
        <w:rPr>
          <w:rFonts w:cs="Arial"/>
          <w:szCs w:val="24"/>
        </w:rPr>
        <w:t xml:space="preserve">the </w:t>
      </w:r>
      <w:r w:rsidRPr="003E3414" w:rsidR="00D407C9">
        <w:rPr>
          <w:rFonts w:cs="Arial"/>
          <w:szCs w:val="24"/>
        </w:rPr>
        <w:t xml:space="preserve">EPA’s website. The PSP is a critical step in achieving the vision of a fully electronic work environment.  If registrants want to submit paper copies or CDs of study data to </w:t>
      </w:r>
      <w:r w:rsidR="00D407C9">
        <w:rPr>
          <w:rFonts w:cs="Arial"/>
          <w:szCs w:val="24"/>
        </w:rPr>
        <w:t xml:space="preserve">the </w:t>
      </w:r>
      <w:r w:rsidRPr="003E3414" w:rsidR="00D407C9">
        <w:rPr>
          <w:rFonts w:cs="Arial"/>
          <w:szCs w:val="24"/>
        </w:rPr>
        <w:t>EPA, they can still do so. </w:t>
      </w:r>
      <w:r w:rsidR="00D407C9">
        <w:rPr>
          <w:rFonts w:cs="Arial"/>
          <w:szCs w:val="24"/>
        </w:rPr>
        <w:t xml:space="preserve">The </w:t>
      </w:r>
      <w:r w:rsidRPr="003E3414" w:rsidR="00D407C9">
        <w:rPr>
          <w:rFonts w:cs="Arial"/>
          <w:szCs w:val="24"/>
        </w:rPr>
        <w:t xml:space="preserve">EPA believes that the promotion and facilitation of the electronic submission option will make its pesticide regulation operations more efficient.  This option can increase the efficiency of operations such as the delivery, review, data interchange capability, and archiving of data supporting national pesticide registration.  The Agency expects that registrants will spend less time and money preparing copies and sending their submissions using the electronic submission </w:t>
      </w:r>
      <w:r w:rsidRPr="009F0FFF" w:rsidR="00D407C9">
        <w:rPr>
          <w:rFonts w:cs="Arial"/>
          <w:szCs w:val="24"/>
        </w:rPr>
        <w:t>option and</w:t>
      </w:r>
      <w:r w:rsidRPr="003E3414" w:rsidR="00D407C9">
        <w:rPr>
          <w:rFonts w:cs="Arial"/>
          <w:szCs w:val="24"/>
        </w:rPr>
        <w:t xml:space="preserve"> stand to benefit from the efficiencies that</w:t>
      </w:r>
      <w:r w:rsidR="00D407C9">
        <w:rPr>
          <w:rFonts w:cs="Arial"/>
          <w:szCs w:val="24"/>
        </w:rPr>
        <w:t xml:space="preserve"> the</w:t>
      </w:r>
      <w:r w:rsidRPr="003E3414" w:rsidR="00D407C9">
        <w:rPr>
          <w:rFonts w:cs="Arial"/>
          <w:szCs w:val="24"/>
        </w:rPr>
        <w:t xml:space="preserve"> EPA expects to experience during data reviews</w:t>
      </w:r>
      <w:r w:rsidR="004D63B9">
        <w:t>.</w:t>
      </w:r>
      <w:r w:rsidRPr="005D29EB" w:rsidR="00DE29B7">
        <w:t xml:space="preserve"> </w:t>
      </w:r>
    </w:p>
    <w:p w:rsidRPr="00B26C4E" w:rsidR="00B41A83" w:rsidP="0068004C" w:rsidRDefault="00041E4F" w14:paraId="16D57376" w14:textId="3F3EC881">
      <w:pPr>
        <w:pStyle w:val="Heading2"/>
        <w:rPr>
          <w:i w:val="0"/>
          <w:iCs w:val="0"/>
        </w:rPr>
      </w:pPr>
      <w:r w:rsidRPr="00B26C4E">
        <w:rPr>
          <w:i w:val="0"/>
          <w:iCs w:val="0"/>
        </w:rPr>
        <w:lastRenderedPageBreak/>
        <w:t xml:space="preserve">8. </w:t>
      </w:r>
      <w:r w:rsidRPr="00B26C4E" w:rsidR="00EC4305">
        <w:rPr>
          <w:i w:val="0"/>
          <w:iCs w:val="0"/>
        </w:rPr>
        <w:t xml:space="preserve">If applicable, provide a copy and identify the date and page number of </w:t>
      </w:r>
      <w:r w:rsidRPr="00B26C4E" w:rsidR="002C75CB">
        <w:rPr>
          <w:i w:val="0"/>
          <w:iCs w:val="0"/>
        </w:rPr>
        <w:t>publication(s)</w:t>
      </w:r>
      <w:r w:rsidRPr="00B26C4E" w:rsidR="00EC4305">
        <w:rPr>
          <w:i w:val="0"/>
          <w:iCs w:val="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B26C4E" w:rsidR="00B41A83">
        <w:rPr>
          <w:i w:val="0"/>
          <w:iCs w:val="0"/>
        </w:rPr>
        <w:t xml:space="preserve"> </w:t>
      </w:r>
    </w:p>
    <w:p w:rsidR="004E1B8E" w:rsidP="00F05F80" w:rsidRDefault="004E1B8E" w14:paraId="07D9D21B" w14:textId="5518581D">
      <w:pPr>
        <w:spacing w:after="200" w:line="276" w:lineRule="auto"/>
      </w:pPr>
      <w:r>
        <w:t>Pursuant to 5 CFR 1320.8(d), EPA published a notice in the Federal Register on September 1, 2021 (</w:t>
      </w:r>
      <w:r w:rsidRPr="004E1B8E">
        <w:t xml:space="preserve">86 FR </w:t>
      </w:r>
      <w:proofErr w:type="gramStart"/>
      <w:r w:rsidRPr="004E1B8E">
        <w:t>49022</w:t>
      </w:r>
      <w:r>
        <w:t>;</w:t>
      </w:r>
      <w:proofErr w:type="gramEnd"/>
      <w:r>
        <w:t xml:space="preserve"> </w:t>
      </w:r>
      <w:r w:rsidRPr="004E1B8E">
        <w:t>FRL-8735-01-OCSPP</w:t>
      </w:r>
      <w:r>
        <w:t xml:space="preserve">), announcing the planned renewal of this information collection activity, </w:t>
      </w:r>
      <w:r w:rsidRPr="00905FF3">
        <w:t xml:space="preserve">soliciting public comment on specific aspects of the ICR and </w:t>
      </w:r>
      <w:r>
        <w:t>providing a 60-day public comment period.</w:t>
      </w:r>
    </w:p>
    <w:p w:rsidR="00AB183F" w:rsidP="00F05F80" w:rsidRDefault="004E1B8E" w14:paraId="543A975D" w14:textId="043A185D">
      <w:pPr>
        <w:spacing w:after="200" w:line="276" w:lineRule="auto"/>
      </w:pPr>
      <w:r>
        <w:t xml:space="preserve">The EPA also consulted </w:t>
      </w:r>
      <w:r w:rsidR="00DF6964">
        <w:t>three</w:t>
      </w:r>
      <w:r>
        <w:t xml:space="preserve"> stakeholders, specifically asking them for their assessment of the regulatory burden estimates expressed by the Agency in this ICR (</w:t>
      </w:r>
      <w:r w:rsidRPr="00F05F80">
        <w:t xml:space="preserve">Attachment </w:t>
      </w:r>
      <w:r w:rsidRPr="00F05F80" w:rsidR="009F0F92">
        <w:t>H</w:t>
      </w:r>
      <w:r>
        <w:t>).</w:t>
      </w:r>
      <w:r w:rsidR="00AB183F">
        <w:t xml:space="preserve"> </w:t>
      </w:r>
      <w:r w:rsidR="003271A3">
        <w:t xml:space="preserve">Two of the stakeholders provided responses. </w:t>
      </w:r>
      <w:r w:rsidR="00AB183F">
        <w:t>The stakeholders consulted were:</w:t>
      </w:r>
    </w:p>
    <w:p w:rsidRPr="00517562" w:rsidR="00AB183F" w:rsidP="00F05F80" w:rsidRDefault="00AB183F" w14:paraId="259B876F" w14:textId="669ED92C">
      <w:pPr>
        <w:pStyle w:val="ListParagraph"/>
        <w:numPr>
          <w:ilvl w:val="0"/>
          <w:numId w:val="40"/>
        </w:numPr>
        <w:spacing w:after="200" w:line="276" w:lineRule="auto"/>
        <w:rPr>
          <w:b/>
          <w:bCs/>
        </w:rPr>
      </w:pPr>
      <w:r w:rsidRPr="00517562">
        <w:t>Agricultural Handler Exposure Assessment Task Force</w:t>
      </w:r>
      <w:r w:rsidRPr="00517562" w:rsidR="00A10DBF">
        <w:t xml:space="preserve"> (AHETF)</w:t>
      </w:r>
      <w:r w:rsidRPr="00517562" w:rsidR="00B54DE2">
        <w:rPr>
          <w:b/>
          <w:bCs/>
        </w:rPr>
        <w:t xml:space="preserve"> - Responded</w:t>
      </w:r>
    </w:p>
    <w:p w:rsidRPr="00517562" w:rsidR="00AB183F" w:rsidP="00F05F80" w:rsidRDefault="00AB183F" w14:paraId="045AB69B" w14:textId="76FE64CB">
      <w:pPr>
        <w:pStyle w:val="ListParagraph"/>
        <w:numPr>
          <w:ilvl w:val="0"/>
          <w:numId w:val="40"/>
        </w:numPr>
        <w:spacing w:after="200" w:line="276" w:lineRule="auto"/>
        <w:rPr>
          <w:b/>
          <w:bCs/>
        </w:rPr>
      </w:pPr>
      <w:r w:rsidRPr="00517562">
        <w:t>American Chemistry Council/Antimicrobial Exposure Assessment Task Force</w:t>
      </w:r>
      <w:r w:rsidRPr="00517562" w:rsidR="00A10DBF">
        <w:t>-II (AEATF-II)</w:t>
      </w:r>
      <w:r w:rsidRPr="00517562" w:rsidR="00B54DE2">
        <w:rPr>
          <w:b/>
          <w:bCs/>
        </w:rPr>
        <w:t xml:space="preserve"> - Responded</w:t>
      </w:r>
    </w:p>
    <w:p w:rsidR="00AB183F" w:rsidP="00F05F80" w:rsidRDefault="00AB183F" w14:paraId="0817F9D8" w14:textId="186DAA99">
      <w:pPr>
        <w:pStyle w:val="ListParagraph"/>
        <w:numPr>
          <w:ilvl w:val="0"/>
          <w:numId w:val="40"/>
        </w:numPr>
        <w:spacing w:after="200" w:line="276" w:lineRule="auto"/>
      </w:pPr>
      <w:r>
        <w:t>Carroll-</w:t>
      </w:r>
      <w:proofErr w:type="spellStart"/>
      <w:r>
        <w:t>Loye</w:t>
      </w:r>
      <w:proofErr w:type="spellEnd"/>
      <w:r>
        <w:t xml:space="preserve"> Labs</w:t>
      </w:r>
    </w:p>
    <w:p w:rsidRPr="000312E8" w:rsidR="000312E8" w:rsidP="00F05F80" w:rsidRDefault="000312E8" w14:paraId="3FDFAFA1" w14:textId="35075A04">
      <w:pPr>
        <w:spacing w:after="200" w:line="276" w:lineRule="auto"/>
        <w:rPr>
          <w:color w:val="000000"/>
        </w:rPr>
      </w:pPr>
      <w:r w:rsidRPr="000312E8">
        <w:rPr>
          <w:color w:val="000000"/>
        </w:rPr>
        <w:t xml:space="preserve">The two respondents indicated that the hourly labor rates used by EPA are less than the industry labor rates incurred by the respondents. The burden hours estimated by individual respondents are higher than EPA’s average of burden hours </w:t>
      </w:r>
      <w:r w:rsidR="0077261D">
        <w:rPr>
          <w:color w:val="000000"/>
        </w:rPr>
        <w:t xml:space="preserve">in some instances and lower in others. </w:t>
      </w:r>
      <w:r w:rsidRPr="000312E8">
        <w:rPr>
          <w:color w:val="000000"/>
        </w:rPr>
        <w:t xml:space="preserve">(The respondents’ figures are included in Table 1 in </w:t>
      </w:r>
      <w:r w:rsidRPr="00F05F80">
        <w:rPr>
          <w:color w:val="000000"/>
        </w:rPr>
        <w:t>Attachment H</w:t>
      </w:r>
      <w:r w:rsidRPr="000312E8">
        <w:rPr>
          <w:color w:val="000000"/>
        </w:rPr>
        <w:t xml:space="preserve">.) This renewal ICR contains revised estimates that </w:t>
      </w:r>
      <w:proofErr w:type="gramStart"/>
      <w:r w:rsidRPr="000312E8">
        <w:rPr>
          <w:color w:val="000000"/>
        </w:rPr>
        <w:t>take into account</w:t>
      </w:r>
      <w:proofErr w:type="gramEnd"/>
      <w:r w:rsidRPr="000312E8">
        <w:rPr>
          <w:color w:val="000000"/>
        </w:rPr>
        <w:t xml:space="preserve"> the consultation responses.</w:t>
      </w:r>
      <w:r w:rsidR="0038118B">
        <w:rPr>
          <w:color w:val="000000"/>
        </w:rPr>
        <w:t xml:space="preserve"> The two respondents both indicated </w:t>
      </w:r>
      <w:r w:rsidR="000575E2">
        <w:rPr>
          <w:color w:val="000000"/>
        </w:rPr>
        <w:t>that they are not planning to submit protocols during the next renewal cycle</w:t>
      </w:r>
      <w:r w:rsidR="00335D7E">
        <w:rPr>
          <w:color w:val="000000"/>
        </w:rPr>
        <w:t xml:space="preserve">; one is planning to submit a single completed study report based on a </w:t>
      </w:r>
      <w:proofErr w:type="gramStart"/>
      <w:r w:rsidR="00335D7E">
        <w:rPr>
          <w:color w:val="000000"/>
        </w:rPr>
        <w:t>previously-reviewed</w:t>
      </w:r>
      <w:proofErr w:type="gramEnd"/>
      <w:r w:rsidR="00335D7E">
        <w:rPr>
          <w:color w:val="000000"/>
        </w:rPr>
        <w:t xml:space="preserve"> protocol</w:t>
      </w:r>
      <w:r w:rsidR="000575E2">
        <w:rPr>
          <w:color w:val="000000"/>
        </w:rPr>
        <w:t xml:space="preserve">. </w:t>
      </w:r>
      <w:r w:rsidR="00761070">
        <w:rPr>
          <w:color w:val="000000"/>
        </w:rPr>
        <w:t>The</w:t>
      </w:r>
      <w:r w:rsidR="000575E2">
        <w:rPr>
          <w:color w:val="000000"/>
        </w:rPr>
        <w:t xml:space="preserve"> renewal ICR revises the expected number of submissions during the next cyc</w:t>
      </w:r>
      <w:r w:rsidR="00761070">
        <w:rPr>
          <w:color w:val="000000"/>
        </w:rPr>
        <w:t>le based on this information.</w:t>
      </w:r>
    </w:p>
    <w:p w:rsidR="00A10DBF" w:rsidP="00F05F80" w:rsidRDefault="000312E8" w14:paraId="0DFA7BB0" w14:textId="5B5BE5CD">
      <w:pPr>
        <w:spacing w:after="200" w:line="276" w:lineRule="auto"/>
        <w:rPr>
          <w:color w:val="000000"/>
        </w:rPr>
      </w:pPr>
      <w:r w:rsidRPr="4CB2264D">
        <w:rPr>
          <w:color w:val="000000" w:themeColor="text1"/>
        </w:rPr>
        <w:t xml:space="preserve">For an explanation of the methodology, data, and assumptions used to calculate the revised estimated respondent burdens and costs, see Attachment I. Additionally, the parties consulted stated that the data collected are not available from another source and the frequency of collection could not be reduced and still produce the same outcome. The consultation participants explained that the instructions to respondents on what to submit and how to submit it would not be entirely clear to respondents who are </w:t>
      </w:r>
      <w:r w:rsidRPr="4CB2264D">
        <w:rPr>
          <w:color w:val="000000" w:themeColor="text1"/>
        </w:rPr>
        <w:lastRenderedPageBreak/>
        <w:t xml:space="preserve">new to the process and one respondent suggested that </w:t>
      </w:r>
      <w:r w:rsidRPr="4CB2264D" w:rsidR="7880AB32">
        <w:rPr>
          <w:color w:val="000000" w:themeColor="text1"/>
        </w:rPr>
        <w:t>information provided to respondents</w:t>
      </w:r>
      <w:r w:rsidRPr="4CB2264D">
        <w:rPr>
          <w:color w:val="000000" w:themeColor="text1"/>
        </w:rPr>
        <w:t xml:space="preserve"> could be improved by asking for sufficient details. </w:t>
      </w:r>
    </w:p>
    <w:p w:rsidRPr="00C54DF9" w:rsidR="00C54DF9" w:rsidP="00F05F80" w:rsidRDefault="00437E07" w14:paraId="444B59D9" w14:textId="4CEBBA47">
      <w:pPr>
        <w:spacing w:after="200" w:line="276" w:lineRule="auto"/>
        <w:rPr>
          <w:color w:val="000000"/>
        </w:rPr>
      </w:pPr>
      <w:r>
        <w:rPr>
          <w:color w:val="000000"/>
        </w:rPr>
        <w:t xml:space="preserve">Stakeholders </w:t>
      </w:r>
      <w:r w:rsidR="00724D8F">
        <w:rPr>
          <w:color w:val="000000"/>
        </w:rPr>
        <w:t>suggested revisions to EPA’s burde</w:t>
      </w:r>
      <w:r w:rsidR="00C54DF9">
        <w:rPr>
          <w:color w:val="000000"/>
        </w:rPr>
        <w:t>n</w:t>
      </w:r>
      <w:r w:rsidR="00724D8F">
        <w:rPr>
          <w:color w:val="000000"/>
        </w:rPr>
        <w:t xml:space="preserve"> estimates in Table 1, Respondent Burden Estimates.</w:t>
      </w:r>
      <w:r w:rsidR="000F009E">
        <w:rPr>
          <w:color w:val="000000"/>
        </w:rPr>
        <w:t xml:space="preserve"> </w:t>
      </w:r>
    </w:p>
    <w:p w:rsidR="00C812B9" w:rsidP="00F05F80" w:rsidRDefault="00A10DBF" w14:paraId="04E1C875" w14:textId="4F081380">
      <w:pPr>
        <w:spacing w:after="200" w:line="276" w:lineRule="auto"/>
        <w:rPr>
          <w:color w:val="000000"/>
        </w:rPr>
      </w:pPr>
      <w:r>
        <w:rPr>
          <w:color w:val="000000"/>
        </w:rPr>
        <w:t xml:space="preserve">Stakeholders indicated that EPA’s estimates for wage rates were </w:t>
      </w:r>
      <w:r w:rsidR="003271A3">
        <w:rPr>
          <w:color w:val="000000"/>
        </w:rPr>
        <w:t>significantly lower than the wage rates for consultants hired by each entity. However, neither stakeholder provided an alternative</w:t>
      </w:r>
      <w:r w:rsidRPr="00F05F80" w:rsidR="00F05F80">
        <w:rPr>
          <w:color w:val="000000"/>
        </w:rPr>
        <w:t xml:space="preserve"> </w:t>
      </w:r>
      <w:r w:rsidRPr="00136774" w:rsidR="00F05F80">
        <w:rPr>
          <w:color w:val="000000"/>
        </w:rPr>
        <w:t>North American Industry Classification System</w:t>
      </w:r>
      <w:r w:rsidR="003271A3">
        <w:rPr>
          <w:color w:val="000000"/>
        </w:rPr>
        <w:t xml:space="preserve"> </w:t>
      </w:r>
      <w:r w:rsidR="00F05F80">
        <w:rPr>
          <w:color w:val="000000"/>
        </w:rPr>
        <w:t>(</w:t>
      </w:r>
      <w:r w:rsidR="003271A3">
        <w:rPr>
          <w:color w:val="000000"/>
        </w:rPr>
        <w:t>NAICS</w:t>
      </w:r>
      <w:r w:rsidR="00F05F80">
        <w:rPr>
          <w:color w:val="000000"/>
        </w:rPr>
        <w:t>_</w:t>
      </w:r>
      <w:r w:rsidR="003271A3">
        <w:rPr>
          <w:color w:val="000000"/>
        </w:rPr>
        <w:t xml:space="preserve"> code for EPA to consider. </w:t>
      </w:r>
      <w:r w:rsidR="00A92F86">
        <w:rPr>
          <w:color w:val="000000"/>
        </w:rPr>
        <w:t>Although respondents would prefer that EPA use industry labor rates, u</w:t>
      </w:r>
      <w:r w:rsidRPr="00136774" w:rsidR="00A92F86">
        <w:rPr>
          <w:color w:val="000000"/>
        </w:rPr>
        <w:t xml:space="preserve">sing the </w:t>
      </w:r>
      <w:r w:rsidRPr="003E3414" w:rsidR="007038A8">
        <w:rPr>
          <w:rFonts w:cs="Arial"/>
          <w:color w:val="000000"/>
          <w:szCs w:val="24"/>
        </w:rPr>
        <w:t xml:space="preserve">Bureau of Labor Statistics’ </w:t>
      </w:r>
      <w:r w:rsidRPr="00136774" w:rsidR="00A92F86">
        <w:rPr>
          <w:color w:val="000000"/>
        </w:rPr>
        <w:t>BLS data allows EPA to be consistent between across sectors and occupations. If OPP were to separately research wages for each ICR, the methodology in determining the wages would not be consistent and the wage rates could not be compared between sectors and occupations. Some wages would be biased high, while others would be biased low. The BLS wages are categorized by NAICS codes, and therefore are industry</w:t>
      </w:r>
      <w:r w:rsidR="00ED79B0">
        <w:rPr>
          <w:color w:val="000000"/>
        </w:rPr>
        <w:t xml:space="preserve"> </w:t>
      </w:r>
      <w:r w:rsidRPr="00136774" w:rsidR="00A92F86">
        <w:rPr>
          <w:color w:val="000000"/>
        </w:rPr>
        <w:t>specific. They are, however, national averages. Therefore, some of the high wages earned by specialists in high</w:t>
      </w:r>
      <w:r w:rsidR="00ED79B0">
        <w:rPr>
          <w:color w:val="000000"/>
        </w:rPr>
        <w:t>-</w:t>
      </w:r>
      <w:r w:rsidRPr="00136774" w:rsidR="00A92F86">
        <w:rPr>
          <w:color w:val="000000"/>
        </w:rPr>
        <w:t xml:space="preserve">cost localities are offset by others who are less specialized in lower cost localities. </w:t>
      </w:r>
    </w:p>
    <w:p w:rsidRPr="002C75CB" w:rsidR="00C812B9" w:rsidP="00F05F80" w:rsidRDefault="00C812B9" w14:paraId="2EB8B30C" w14:textId="756F7FC8">
      <w:pPr>
        <w:spacing w:after="200" w:line="276" w:lineRule="auto"/>
        <w:rPr>
          <w:rFonts w:cs="Arial"/>
          <w:color w:val="000000"/>
          <w:szCs w:val="24"/>
        </w:rPr>
      </w:pPr>
      <w:r w:rsidRPr="227E5399">
        <w:rPr>
          <w:rFonts w:cs="Arial"/>
          <w:color w:val="000000" w:themeColor="text1"/>
        </w:rPr>
        <w:t>Although respondents would prefer that the EPA use industry labor rates, using the BLS data allows the EPA to be consistent between across sectors and occupations. If OPP were to separately research wages for each ICR, the methodology in determining the wages would not be consistent and the wage rates could not be compared between sectors and occupations. Some wages would be biased high, while others would be biased low. The BLS wages are categorized by North American Industry Classification System (NAICS) codes, and therefore are industry specific. They are, however, national averages. Therefore, some of the high wages earned by specialists in high-cost localities are offset by others who are less specialized in lower cost localities.</w:t>
      </w:r>
    </w:p>
    <w:p w:rsidRPr="00B26C4E" w:rsidR="00B41A83" w:rsidP="0068004C" w:rsidRDefault="00041E4F" w14:paraId="485EC471" w14:textId="47965D24">
      <w:pPr>
        <w:pStyle w:val="Heading2"/>
        <w:rPr>
          <w:i w:val="0"/>
          <w:iCs w:val="0"/>
        </w:rPr>
      </w:pPr>
      <w:r w:rsidRPr="00B26C4E">
        <w:rPr>
          <w:i w:val="0"/>
          <w:iCs w:val="0"/>
        </w:rPr>
        <w:t xml:space="preserve">9. </w:t>
      </w:r>
      <w:r w:rsidRPr="00B26C4E" w:rsidR="00EC4305">
        <w:rPr>
          <w:i w:val="0"/>
          <w:iCs w:val="0"/>
        </w:rPr>
        <w:t>Explain any decision to provide any payment or gift to respondents, other than remuneration of contractors or grantees.</w:t>
      </w:r>
      <w:r w:rsidRPr="00B26C4E" w:rsidR="00B41A83">
        <w:rPr>
          <w:i w:val="0"/>
          <w:iCs w:val="0"/>
        </w:rPr>
        <w:t xml:space="preserve"> </w:t>
      </w:r>
    </w:p>
    <w:p w:rsidR="002C75CB" w:rsidP="00517562" w:rsidRDefault="00EC4305" w14:paraId="2FC3D133" w14:textId="6B7710C4">
      <w:r>
        <w:t>This question is not applicable to this ICR</w:t>
      </w:r>
    </w:p>
    <w:p w:rsidRPr="00B26C4E" w:rsidR="00EC4305" w:rsidP="0068004C" w:rsidRDefault="00041E4F" w14:paraId="68A07492" w14:textId="2927EC1D">
      <w:pPr>
        <w:pStyle w:val="Heading2"/>
        <w:rPr>
          <w:i w:val="0"/>
          <w:iCs w:val="0"/>
        </w:rPr>
      </w:pPr>
      <w:r w:rsidRPr="00B26C4E">
        <w:rPr>
          <w:i w:val="0"/>
          <w:iCs w:val="0"/>
        </w:rPr>
        <w:t xml:space="preserve">10. </w:t>
      </w:r>
      <w:r w:rsidRPr="00B26C4E" w:rsidR="00EC4305">
        <w:rPr>
          <w:i w:val="0"/>
          <w:iCs w:val="0"/>
        </w:rPr>
        <w:t>Describe any assurance of confidentiality provided to respondents and the basis for the assurance in statute, regulation, or agency policy.</w:t>
      </w:r>
    </w:p>
    <w:p w:rsidR="0052682B" w:rsidP="00F05F80" w:rsidRDefault="00D407C9" w14:paraId="112F7CCF" w14:textId="4F31E557">
      <w:pPr>
        <w:spacing w:after="200" w:line="276" w:lineRule="auto"/>
      </w:pPr>
      <w:r>
        <w:rPr>
          <w:rFonts w:cs="Arial"/>
        </w:rPr>
        <w:t xml:space="preserve">The </w:t>
      </w:r>
      <w:r w:rsidRPr="003E3414">
        <w:rPr>
          <w:rFonts w:cs="Arial"/>
        </w:rPr>
        <w:t>EPA has implemented procedures to protect any confidential, trade secret or proprietary information from disclosure that provide strict instructions regarding access to and contact with documents confidential business information (CBI). These procedures comply with</w:t>
      </w:r>
      <w:r>
        <w:rPr>
          <w:rFonts w:cs="Arial"/>
        </w:rPr>
        <w:t xml:space="preserve"> the</w:t>
      </w:r>
      <w:r w:rsidRPr="003E3414">
        <w:rPr>
          <w:rFonts w:cs="Arial"/>
        </w:rPr>
        <w:t xml:space="preserve"> EPA’s CBI regulations at 40 CFR </w:t>
      </w:r>
      <w:r w:rsidR="006000BC">
        <w:rPr>
          <w:rFonts w:cs="Arial"/>
        </w:rPr>
        <w:t>p</w:t>
      </w:r>
      <w:r w:rsidRPr="003E3414">
        <w:rPr>
          <w:rFonts w:cs="Arial"/>
        </w:rPr>
        <w:t>art 2, Subpart B</w:t>
      </w:r>
      <w:r w:rsidR="00C075F6">
        <w:t>.</w:t>
      </w:r>
    </w:p>
    <w:p w:rsidRPr="00B26C4E" w:rsidR="00EC4305" w:rsidP="0068004C" w:rsidRDefault="00041E4F" w14:paraId="0702D55F" w14:textId="18C975CD">
      <w:pPr>
        <w:pStyle w:val="Heading2"/>
        <w:rPr>
          <w:i w:val="0"/>
          <w:iCs w:val="0"/>
        </w:rPr>
      </w:pPr>
      <w:r w:rsidRPr="00B26C4E">
        <w:rPr>
          <w:i w:val="0"/>
          <w:iCs w:val="0"/>
        </w:rPr>
        <w:lastRenderedPageBreak/>
        <w:t xml:space="preserve">11. </w:t>
      </w:r>
      <w:r w:rsidRPr="00B26C4E" w:rsidR="00EC4305">
        <w:rPr>
          <w:i w:val="0"/>
          <w:iCs w:val="0"/>
        </w:rPr>
        <w:t>Provide additional justification for any questions of a sensitive nature, such as sexual behavior and attitudes, religious beliefs, and other matters that are commonly considered private.</w:t>
      </w:r>
    </w:p>
    <w:p w:rsidR="0052682B" w:rsidP="00F05F80" w:rsidRDefault="00EC4305" w14:paraId="06D4020B" w14:textId="3252C97E">
      <w:pPr>
        <w:spacing w:after="200" w:line="276" w:lineRule="auto"/>
      </w:pPr>
      <w:r>
        <w:t>No information of a sensitive or private nature is requested in conjunction with these information collection activities, and these information collection activities comply with the provisions of the Privacy Act of 1974 and OMB Circular A-108</w:t>
      </w:r>
      <w:r w:rsidRPr="005D29EB" w:rsidR="00C81D17">
        <w:t>, as amended, “Responsibilities for the Maintenance of Records about Individuals by Federal Agencies.</w:t>
      </w:r>
    </w:p>
    <w:p w:rsidRPr="00B26C4E" w:rsidR="00CF4801" w:rsidP="00CF4801" w:rsidRDefault="00041E4F" w14:paraId="0E6B3808" w14:textId="44B7150A">
      <w:pPr>
        <w:pStyle w:val="Heading2"/>
        <w:rPr>
          <w:i w:val="0"/>
          <w:iCs w:val="0"/>
        </w:rPr>
      </w:pPr>
      <w:r w:rsidRPr="00B26C4E">
        <w:rPr>
          <w:i w:val="0"/>
          <w:iCs w:val="0"/>
        </w:rPr>
        <w:t xml:space="preserve">12. </w:t>
      </w:r>
      <w:r w:rsidRPr="00B26C4E" w:rsidR="00EC4305">
        <w:rPr>
          <w:i w:val="0"/>
          <w:iCs w:val="0"/>
        </w:rPr>
        <w:t>Provide estimates of the hour burden of the collection of information.</w:t>
      </w:r>
    </w:p>
    <w:p w:rsidRPr="00F05F80" w:rsidR="00CD2B6B" w:rsidP="00F05F80" w:rsidRDefault="00CD2B6B" w14:paraId="048E81A4" w14:textId="6762C1B9">
      <w:pPr>
        <w:spacing w:after="200" w:line="276" w:lineRule="auto"/>
      </w:pPr>
      <w:r w:rsidRPr="00F05F80">
        <w:t>The EPA is estimating only the incremental burden imposed upon respondents for compliance with the paperwork requirements established in the 2006 final rule.  The EPA is neither estimating, de novo, the estimated paperwork burden for compliance with the 1991 Common Rule in this ICR nor the paperwork burden associated with the generation of certain study data that are already covered by other ICRs, such as those requested by the EPA in a Data Call-In under FIFRA section 3(c)(2)(B). The EPA assumes that IRBs are already in compliance with the current Common Rule requirements and therefore believes that there is no additional burden imposed upon IRBs for compliance with the paperwork requirements established in the 2006 final rule and discussed in this document.</w:t>
      </w:r>
    </w:p>
    <w:p w:rsidRPr="00F05F80" w:rsidR="00CD2B6B" w:rsidP="00F05F80" w:rsidRDefault="00CD2B6B" w14:paraId="6A101A89" w14:textId="1EB1E365">
      <w:pPr>
        <w:spacing w:after="200" w:line="276" w:lineRule="auto"/>
      </w:pPr>
      <w:r w:rsidRPr="00F05F80">
        <w:t xml:space="preserve">Over the three-year period covered by this ICR renewal (September </w:t>
      </w:r>
      <w:r w:rsidRPr="00F05F80" w:rsidR="00AF29D0">
        <w:t>20</w:t>
      </w:r>
      <w:r w:rsidRPr="00F05F80" w:rsidR="00C812B9">
        <w:t>21</w:t>
      </w:r>
      <w:r w:rsidRPr="00F05F80" w:rsidR="00AF29D0">
        <w:t xml:space="preserve"> </w:t>
      </w:r>
      <w:r w:rsidRPr="00F05F80">
        <w:t xml:space="preserve">through August </w:t>
      </w:r>
      <w:r w:rsidRPr="00F05F80" w:rsidR="00AF29D0">
        <w:t>202</w:t>
      </w:r>
      <w:r w:rsidRPr="00F05F80" w:rsidR="00945687">
        <w:t>4</w:t>
      </w:r>
      <w:r w:rsidRPr="00F05F80">
        <w:t>), based on historical data analysis</w:t>
      </w:r>
      <w:r w:rsidRPr="00F05F80" w:rsidR="00081437">
        <w:t>, respondents’ planned submissions in the next ICR cycle,</w:t>
      </w:r>
      <w:r w:rsidRPr="00F05F80">
        <w:t xml:space="preserve"> and knowledge of </w:t>
      </w:r>
      <w:r w:rsidRPr="00F05F80" w:rsidR="00081437">
        <w:t xml:space="preserve">other </w:t>
      </w:r>
      <w:r w:rsidRPr="00F05F80">
        <w:t xml:space="preserve">upcoming submissions, the EPA estimates that respondents will submit to OPP an average of </w:t>
      </w:r>
      <w:r w:rsidRPr="00F05F80" w:rsidR="00A60449">
        <w:t>4</w:t>
      </w:r>
      <w:r w:rsidRPr="00F05F80">
        <w:t xml:space="preserve"> pesticide protocols and </w:t>
      </w:r>
      <w:r w:rsidRPr="00F05F80" w:rsidR="00A60449">
        <w:t>4</w:t>
      </w:r>
      <w:r w:rsidRPr="00F05F80" w:rsidR="008841B8">
        <w:t xml:space="preserve"> </w:t>
      </w:r>
      <w:r w:rsidRPr="00F05F80">
        <w:t>completed studies per year under FIFRA and/or FFDCA that will involve intentional exposure of human subjects. Some years may involve a higher number of submissions, while other years may involve lower numbers depending on the timing of when protocols or studies must be completed. Based on past experience, the EPA also expects to receive other types of pesticide research involving human subjects; an average of 10 of these types of studies may be submitted annually.  While the EPA assumes that researchers conducting these studies would already be required to comply with the 1991 Common Rule requirements, they will be subject to some additional paperwork requirements under the EPA’s amendments. Therefore, the EPA is estimating only the burden and costs associated with the paperwork activities that are described in the 2006 final rule.</w:t>
      </w:r>
    </w:p>
    <w:p w:rsidRPr="00F05F80" w:rsidR="00CD2B6B" w:rsidP="00F05F80" w:rsidRDefault="00CD2B6B" w14:paraId="7EA2A9C0" w14:textId="57AB0129">
      <w:pPr>
        <w:spacing w:after="200" w:line="276" w:lineRule="auto"/>
      </w:pPr>
      <w:r w:rsidRPr="00F05F80">
        <w:t xml:space="preserve">Respondent activities that are within the scope of this ICR include: preparing and submitting protocols, supporting documents, and completed study reports for review by the IRB, the EPA, and the HSRB; communicating with staff from the IRB and the EPA regarding required changes to a protocol; communicating with the EPA about the HSRB </w:t>
      </w:r>
      <w:r w:rsidRPr="00F05F80">
        <w:lastRenderedPageBreak/>
        <w:t>recommendations; and documenting protocol changes made at the recommendation of an IRB, the EPA, or the HSRB.  Activities that are unrelated to the paperwork and recordkeeping requirements of the 2006 final rule, such as the costs of conducting the research, are not incremental paperwork or recordkeeping costs and therefore are not within the scope of this ICR.</w:t>
      </w:r>
    </w:p>
    <w:p w:rsidRPr="00F05F80" w:rsidR="00F05F80" w:rsidP="00F05F80" w:rsidRDefault="00CD2B6B" w14:paraId="73D90D5B" w14:textId="77777777">
      <w:pPr>
        <w:spacing w:after="200" w:line="276" w:lineRule="auto"/>
      </w:pPr>
      <w:r w:rsidRPr="00F05F80">
        <w:t xml:space="preserve">EPA </w:t>
      </w:r>
      <w:proofErr w:type="gramStart"/>
      <w:r w:rsidRPr="00F05F80">
        <w:t>took into account</w:t>
      </w:r>
      <w:proofErr w:type="gramEnd"/>
      <w:r w:rsidRPr="00F05F80">
        <w:t xml:space="preserve"> that some study types are more complex than others and there are differences in the preparation of protocols versus completed studies; with that in mind, the EPA calculated an average of the time estimates for each activity using information provided during consultation with respondents.  </w:t>
      </w:r>
    </w:p>
    <w:p w:rsidRPr="00F05F80" w:rsidR="00CD2B6B" w:rsidP="00F05F80" w:rsidRDefault="00CD2B6B" w14:paraId="0D934CB9" w14:textId="00AC7A36">
      <w:pPr>
        <w:spacing w:after="200" w:line="276" w:lineRule="auto"/>
      </w:pPr>
      <w:r w:rsidRPr="00F05F80">
        <w:t xml:space="preserve">As shown in Tables 1 and 2, the total annual estimated burden associated with all submitted pesticide research that involves intentional exposure of human subjects is </w:t>
      </w:r>
      <w:r w:rsidRPr="00F05F80" w:rsidR="00517C67">
        <w:t>8,</w:t>
      </w:r>
      <w:r w:rsidRPr="00F05F80" w:rsidR="005B3E6F">
        <w:t>156</w:t>
      </w:r>
      <w:r w:rsidRPr="00F05F80" w:rsidR="00517C67">
        <w:t xml:space="preserve"> </w:t>
      </w:r>
      <w:r w:rsidRPr="00F05F80">
        <w:t xml:space="preserve">hours, and the annual estimated burden for all other pesticide research that involves human subjects is 120 hours. Therefore, the total annual respondent burden for this information collection activity is estimated to be </w:t>
      </w:r>
      <w:r w:rsidRPr="00F05F80" w:rsidR="00B61F00">
        <w:t>8,</w:t>
      </w:r>
      <w:r w:rsidRPr="00F05F80" w:rsidR="005B3E6F">
        <w:t>276</w:t>
      </w:r>
      <w:r w:rsidRPr="00F05F80">
        <w:t xml:space="preserve"> hours.</w:t>
      </w:r>
    </w:p>
    <w:p w:rsidRPr="00975B45" w:rsidR="00CD2B6B" w:rsidP="00CD2B6B" w:rsidRDefault="00CD2B6B" w14:paraId="66F303E3" w14:textId="77777777">
      <w:pPr>
        <w:pStyle w:val="Level1"/>
        <w:numPr>
          <w:ilvl w:val="0"/>
          <w:numId w:val="0"/>
        </w:numPr>
        <w:tabs>
          <w:tab w:val="left" w:pos="45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180"/>
        </w:tabs>
        <w:ind w:right="360"/>
        <w:outlineLvl w:val="9"/>
      </w:pPr>
      <w:r w:rsidRPr="0052682B">
        <w:rPr>
          <w:rFonts w:asciiTheme="minorHAnsi" w:hAnsiTheme="minorHAnsi" w:cstheme="minorHAnsi"/>
          <w:b/>
        </w:rPr>
        <w:t>Table 1.</w:t>
      </w:r>
      <w:r w:rsidRPr="00975B45">
        <w:t xml:space="preserve"> </w:t>
      </w:r>
      <w:r w:rsidRPr="009F0F92">
        <w:rPr>
          <w:rFonts w:ascii="Arial" w:hAnsi="Arial" w:cs="Arial" w:eastAsiaTheme="minorHAnsi"/>
          <w:lang w:eastAsia="en-US"/>
        </w:rPr>
        <w:t>Weighted average burden and cost estimates for respondents for research involving intentional exposure of human subjects</w:t>
      </w:r>
    </w:p>
    <w:tbl>
      <w:tblPr>
        <w:tblW w:w="918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63"/>
        <w:gridCol w:w="1530"/>
        <w:gridCol w:w="1170"/>
        <w:gridCol w:w="990"/>
        <w:gridCol w:w="990"/>
        <w:gridCol w:w="1137"/>
      </w:tblGrid>
      <w:tr w:rsidRPr="009F0F92" w:rsidR="00CD2B6B" w:rsidTr="00517562" w14:paraId="2266F6F5" w14:textId="77777777">
        <w:trPr>
          <w:trHeight w:val="573"/>
        </w:trPr>
        <w:tc>
          <w:tcPr>
            <w:tcW w:w="3363" w:type="dxa"/>
            <w:tcBorders>
              <w:top w:val="double" w:color="auto" w:sz="4" w:space="0"/>
              <w:left w:val="double" w:color="auto" w:sz="4" w:space="0"/>
              <w:right w:val="double" w:color="auto" w:sz="4" w:space="0"/>
            </w:tcBorders>
            <w:shd w:val="clear" w:color="auto" w:fill="D9D9D9"/>
            <w:vAlign w:val="center"/>
          </w:tcPr>
          <w:p w:rsidRPr="009F0F92" w:rsidR="00CD2B6B" w:rsidP="00081437" w:rsidRDefault="00CD2B6B" w14:paraId="13E8FB8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cstheme="minorHAnsi"/>
                <w:b/>
                <w:sz w:val="20"/>
                <w:szCs w:val="20"/>
              </w:rPr>
            </w:pPr>
            <w:r w:rsidRPr="009F0F92">
              <w:rPr>
                <w:rFonts w:asciiTheme="minorHAnsi" w:hAnsiTheme="minorHAnsi" w:cstheme="minorHAnsi"/>
                <w:b/>
                <w:sz w:val="20"/>
                <w:szCs w:val="20"/>
              </w:rPr>
              <w:t>Activities</w:t>
            </w:r>
          </w:p>
        </w:tc>
        <w:tc>
          <w:tcPr>
            <w:tcW w:w="3690" w:type="dxa"/>
            <w:gridSpan w:val="3"/>
            <w:tcBorders>
              <w:top w:val="double" w:color="auto" w:sz="4" w:space="0"/>
              <w:left w:val="double" w:color="auto" w:sz="4" w:space="0"/>
              <w:right w:val="double" w:color="auto" w:sz="4" w:space="0"/>
            </w:tcBorders>
            <w:shd w:val="clear" w:color="auto" w:fill="D9D9D9"/>
            <w:vAlign w:val="center"/>
          </w:tcPr>
          <w:p w:rsidRPr="009F0F92" w:rsidR="00CD2B6B" w:rsidP="00081437" w:rsidRDefault="00CD2B6B" w14:paraId="6C06184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Average Burden Hours Per Response</w:t>
            </w:r>
          </w:p>
        </w:tc>
        <w:tc>
          <w:tcPr>
            <w:tcW w:w="2127" w:type="dxa"/>
            <w:gridSpan w:val="2"/>
            <w:tcBorders>
              <w:top w:val="double" w:color="auto" w:sz="4" w:space="0"/>
              <w:left w:val="double" w:color="auto" w:sz="4" w:space="0"/>
              <w:right w:val="double" w:color="auto" w:sz="4" w:space="0"/>
            </w:tcBorders>
            <w:shd w:val="clear" w:color="auto" w:fill="D9D9D9"/>
            <w:vAlign w:val="center"/>
          </w:tcPr>
          <w:p w:rsidRPr="009F0F92" w:rsidR="00CD2B6B" w:rsidP="00081437" w:rsidRDefault="00CD2B6B" w14:paraId="40DE120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Total Per Response</w:t>
            </w:r>
          </w:p>
        </w:tc>
      </w:tr>
      <w:tr w:rsidRPr="009F0F92" w:rsidR="00CD2B6B" w:rsidTr="00517562" w14:paraId="01C0D811" w14:textId="77777777">
        <w:trPr>
          <w:trHeight w:val="629"/>
        </w:trPr>
        <w:tc>
          <w:tcPr>
            <w:tcW w:w="3363" w:type="dxa"/>
            <w:tcBorders>
              <w:left w:val="double" w:color="auto" w:sz="4" w:space="0"/>
              <w:bottom w:val="double" w:color="auto" w:sz="4" w:space="0"/>
              <w:right w:val="double" w:color="auto" w:sz="4" w:space="0"/>
            </w:tcBorders>
            <w:shd w:val="clear" w:color="auto" w:fill="D9D9D9"/>
            <w:vAlign w:val="center"/>
          </w:tcPr>
          <w:p w:rsidRPr="003E3414" w:rsidR="00CD2B6B" w:rsidP="00081437" w:rsidRDefault="00CD2B6B" w14:paraId="631CC90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Arial"/>
                <w:b/>
                <w:sz w:val="20"/>
                <w:szCs w:val="20"/>
              </w:rPr>
            </w:pPr>
          </w:p>
        </w:tc>
        <w:tc>
          <w:tcPr>
            <w:tcW w:w="1530" w:type="dxa"/>
            <w:tcBorders>
              <w:left w:val="double" w:color="auto" w:sz="4" w:space="0"/>
              <w:bottom w:val="double" w:color="auto" w:sz="4" w:space="0"/>
            </w:tcBorders>
            <w:shd w:val="clear" w:color="auto" w:fill="D9D9D9"/>
            <w:vAlign w:val="center"/>
          </w:tcPr>
          <w:p w:rsidRPr="009F0F92" w:rsidR="00CD2B6B" w:rsidP="00081437" w:rsidRDefault="00CD2B6B" w14:paraId="6258077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Management</w:t>
            </w:r>
          </w:p>
          <w:p w:rsidRPr="009F0F92" w:rsidR="00CD2B6B" w:rsidP="00081437" w:rsidRDefault="00CD2B6B" w14:paraId="6622A9A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$195/</w:t>
            </w:r>
            <w:proofErr w:type="spellStart"/>
            <w:r w:rsidRPr="009F0F92">
              <w:rPr>
                <w:rFonts w:asciiTheme="minorHAnsi" w:hAnsiTheme="minorHAnsi" w:cstheme="minorHAnsi"/>
                <w:b/>
                <w:sz w:val="20"/>
                <w:szCs w:val="20"/>
              </w:rPr>
              <w:t>hr</w:t>
            </w:r>
            <w:proofErr w:type="spellEnd"/>
          </w:p>
        </w:tc>
        <w:tc>
          <w:tcPr>
            <w:tcW w:w="1170" w:type="dxa"/>
            <w:tcBorders>
              <w:bottom w:val="double" w:color="auto" w:sz="4" w:space="0"/>
            </w:tcBorders>
            <w:shd w:val="clear" w:color="auto" w:fill="D9D9D9"/>
            <w:vAlign w:val="center"/>
          </w:tcPr>
          <w:p w:rsidRPr="009F0F92" w:rsidR="00CD2B6B" w:rsidP="00081437" w:rsidRDefault="00CD2B6B" w14:paraId="5AD46F6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Technical</w:t>
            </w:r>
          </w:p>
          <w:p w:rsidRPr="009F0F92" w:rsidR="00CD2B6B" w:rsidP="00081437" w:rsidRDefault="00CD2B6B" w14:paraId="22C35BB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$99/</w:t>
            </w:r>
            <w:proofErr w:type="spellStart"/>
            <w:r w:rsidRPr="009F0F92">
              <w:rPr>
                <w:rFonts w:asciiTheme="minorHAnsi" w:hAnsiTheme="minorHAnsi" w:cstheme="minorHAnsi"/>
                <w:b/>
                <w:sz w:val="20"/>
                <w:szCs w:val="20"/>
              </w:rPr>
              <w:t>hr</w:t>
            </w:r>
            <w:proofErr w:type="spellEnd"/>
          </w:p>
        </w:tc>
        <w:tc>
          <w:tcPr>
            <w:tcW w:w="990" w:type="dxa"/>
            <w:tcBorders>
              <w:bottom w:val="double" w:color="auto" w:sz="4" w:space="0"/>
              <w:right w:val="double" w:color="auto" w:sz="4" w:space="0"/>
            </w:tcBorders>
            <w:shd w:val="clear" w:color="auto" w:fill="D9D9D9"/>
            <w:vAlign w:val="center"/>
          </w:tcPr>
          <w:p w:rsidRPr="009F0F92" w:rsidR="00CD2B6B" w:rsidP="00081437" w:rsidRDefault="00CD2B6B" w14:paraId="3BA1B73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Clerical</w:t>
            </w:r>
          </w:p>
          <w:p w:rsidRPr="009F0F92" w:rsidR="00CD2B6B" w:rsidP="00081437" w:rsidRDefault="00CD2B6B" w14:paraId="45FECD5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$59/</w:t>
            </w:r>
            <w:proofErr w:type="spellStart"/>
            <w:r w:rsidRPr="009F0F92">
              <w:rPr>
                <w:rFonts w:asciiTheme="minorHAnsi" w:hAnsiTheme="minorHAnsi" w:cstheme="minorHAnsi"/>
                <w:b/>
                <w:sz w:val="20"/>
                <w:szCs w:val="20"/>
              </w:rPr>
              <w:t>hr</w:t>
            </w:r>
            <w:proofErr w:type="spellEnd"/>
          </w:p>
        </w:tc>
        <w:tc>
          <w:tcPr>
            <w:tcW w:w="990" w:type="dxa"/>
            <w:tcBorders>
              <w:left w:val="double" w:color="auto" w:sz="4" w:space="0"/>
              <w:bottom w:val="double" w:color="auto" w:sz="4" w:space="0"/>
            </w:tcBorders>
            <w:shd w:val="clear" w:color="auto" w:fill="D9D9D9"/>
            <w:vAlign w:val="center"/>
          </w:tcPr>
          <w:p w:rsidRPr="009F0F92" w:rsidR="00CD2B6B" w:rsidP="00081437" w:rsidRDefault="00CD2B6B" w14:paraId="5B184EF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Hours</w:t>
            </w:r>
          </w:p>
        </w:tc>
        <w:tc>
          <w:tcPr>
            <w:tcW w:w="1137" w:type="dxa"/>
            <w:tcBorders>
              <w:bottom w:val="double" w:color="auto" w:sz="4" w:space="0"/>
              <w:right w:val="double" w:color="auto" w:sz="4" w:space="0"/>
            </w:tcBorders>
            <w:shd w:val="clear" w:color="auto" w:fill="D9D9D9"/>
            <w:vAlign w:val="center"/>
          </w:tcPr>
          <w:p w:rsidRPr="009F0F92" w:rsidR="00CD2B6B" w:rsidP="00081437" w:rsidRDefault="00CD2B6B" w14:paraId="4E99EA5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sz w:val="20"/>
                <w:szCs w:val="20"/>
              </w:rPr>
            </w:pPr>
            <w:r w:rsidRPr="009F0F92">
              <w:rPr>
                <w:rFonts w:asciiTheme="minorHAnsi" w:hAnsiTheme="minorHAnsi" w:cstheme="minorHAnsi"/>
                <w:b/>
                <w:sz w:val="20"/>
                <w:szCs w:val="20"/>
              </w:rPr>
              <w:t>Cost ($)</w:t>
            </w:r>
          </w:p>
        </w:tc>
      </w:tr>
      <w:tr w:rsidRPr="003E3414" w:rsidR="007655E1" w:rsidTr="00517562" w14:paraId="0CA3A90D" w14:textId="77777777">
        <w:trPr>
          <w:trHeight w:val="654"/>
        </w:trPr>
        <w:tc>
          <w:tcPr>
            <w:tcW w:w="3363" w:type="dxa"/>
            <w:tcBorders>
              <w:top w:val="double" w:color="auto" w:sz="4" w:space="0"/>
              <w:left w:val="double" w:color="auto" w:sz="4" w:space="0"/>
              <w:right w:val="double" w:color="auto" w:sz="4" w:space="0"/>
            </w:tcBorders>
            <w:vAlign w:val="center"/>
          </w:tcPr>
          <w:p w:rsidRPr="009F0F92" w:rsidR="007655E1" w:rsidP="007655E1" w:rsidRDefault="007655E1" w14:paraId="5E2DB55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9F0F92">
              <w:rPr>
                <w:rFonts w:asciiTheme="minorHAnsi" w:hAnsiTheme="minorHAnsi" w:cstheme="minorHAnsi"/>
                <w:sz w:val="20"/>
                <w:szCs w:val="20"/>
              </w:rPr>
              <w:t>Rule familiarization and training</w:t>
            </w:r>
          </w:p>
        </w:tc>
        <w:tc>
          <w:tcPr>
            <w:tcW w:w="1530" w:type="dxa"/>
            <w:tcBorders>
              <w:top w:val="double" w:color="auto" w:sz="4" w:space="0"/>
              <w:left w:val="double" w:color="auto" w:sz="4" w:space="0"/>
            </w:tcBorders>
            <w:vAlign w:val="center"/>
          </w:tcPr>
          <w:p w:rsidRPr="00517562" w:rsidR="007655E1" w:rsidP="007655E1" w:rsidRDefault="007655E1" w14:paraId="1A92375B" w14:textId="74D4992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6</w:t>
            </w:r>
          </w:p>
        </w:tc>
        <w:tc>
          <w:tcPr>
            <w:tcW w:w="1170" w:type="dxa"/>
            <w:tcBorders>
              <w:top w:val="double" w:color="auto" w:sz="4" w:space="0"/>
            </w:tcBorders>
            <w:vAlign w:val="center"/>
          </w:tcPr>
          <w:p w:rsidRPr="00517562" w:rsidR="007655E1" w:rsidP="007655E1" w:rsidRDefault="007655E1" w14:paraId="76624E62" w14:textId="1B0388F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7</w:t>
            </w:r>
          </w:p>
        </w:tc>
        <w:tc>
          <w:tcPr>
            <w:tcW w:w="990" w:type="dxa"/>
            <w:tcBorders>
              <w:top w:val="double" w:color="auto" w:sz="4" w:space="0"/>
              <w:right w:val="double" w:color="auto" w:sz="4" w:space="0"/>
            </w:tcBorders>
            <w:vAlign w:val="center"/>
          </w:tcPr>
          <w:p w:rsidRPr="00517562" w:rsidR="007655E1" w:rsidP="007655E1" w:rsidRDefault="007655E1" w14:paraId="34660BE0" w14:textId="71AB317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5</w:t>
            </w:r>
          </w:p>
        </w:tc>
        <w:tc>
          <w:tcPr>
            <w:tcW w:w="990" w:type="dxa"/>
            <w:tcBorders>
              <w:top w:val="double" w:color="auto" w:sz="4" w:space="0"/>
              <w:left w:val="double" w:color="auto" w:sz="4" w:space="0"/>
            </w:tcBorders>
          </w:tcPr>
          <w:p w:rsidRPr="00517562" w:rsidR="007655E1" w:rsidP="007655E1" w:rsidRDefault="007655E1" w14:paraId="49E25708" w14:textId="15AE167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18</w:t>
            </w:r>
          </w:p>
        </w:tc>
        <w:tc>
          <w:tcPr>
            <w:tcW w:w="1137" w:type="dxa"/>
            <w:tcBorders>
              <w:top w:val="double" w:color="auto" w:sz="4" w:space="0"/>
              <w:right w:val="double" w:color="auto" w:sz="4" w:space="0"/>
            </w:tcBorders>
          </w:tcPr>
          <w:p w:rsidRPr="00517562" w:rsidR="007655E1" w:rsidP="007655E1" w:rsidRDefault="007655E1" w14:paraId="0B31B2C3" w14:textId="77FA0A4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heme="minorHAnsi" w:hAnsiTheme="minorHAnsi" w:cstheme="minorHAnsi"/>
                <w:sz w:val="20"/>
                <w:szCs w:val="20"/>
              </w:rPr>
            </w:pPr>
            <w:r w:rsidRPr="00517562">
              <w:rPr>
                <w:rFonts w:asciiTheme="minorHAnsi" w:hAnsiTheme="minorHAnsi" w:cstheme="minorHAnsi"/>
                <w:sz w:val="20"/>
                <w:szCs w:val="20"/>
              </w:rPr>
              <w:t>$2,15</w:t>
            </w:r>
            <w:r w:rsidRPr="00517562" w:rsidR="00BD4D2A">
              <w:rPr>
                <w:rFonts w:asciiTheme="minorHAnsi" w:hAnsiTheme="minorHAnsi" w:cstheme="minorHAnsi"/>
                <w:sz w:val="20"/>
                <w:szCs w:val="20"/>
              </w:rPr>
              <w:t>5</w:t>
            </w:r>
          </w:p>
        </w:tc>
      </w:tr>
      <w:tr w:rsidRPr="003E3414" w:rsidR="007655E1" w:rsidTr="00517562" w14:paraId="577A8766" w14:textId="77777777">
        <w:trPr>
          <w:trHeight w:val="620"/>
        </w:trPr>
        <w:tc>
          <w:tcPr>
            <w:tcW w:w="3363" w:type="dxa"/>
            <w:tcBorders>
              <w:left w:val="double" w:color="auto" w:sz="4" w:space="0"/>
              <w:right w:val="double" w:color="auto" w:sz="4" w:space="0"/>
            </w:tcBorders>
            <w:vAlign w:val="center"/>
          </w:tcPr>
          <w:p w:rsidRPr="009F0F92" w:rsidR="007655E1" w:rsidP="007655E1" w:rsidRDefault="007655E1" w14:paraId="7D9912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9F0F92">
              <w:rPr>
                <w:rFonts w:asciiTheme="minorHAnsi" w:hAnsiTheme="minorHAnsi" w:cstheme="minorHAnsi"/>
                <w:sz w:val="20"/>
                <w:szCs w:val="20"/>
              </w:rPr>
              <w:t>Prepare and submit protocol for IRB review</w:t>
            </w:r>
          </w:p>
        </w:tc>
        <w:tc>
          <w:tcPr>
            <w:tcW w:w="1530" w:type="dxa"/>
            <w:tcBorders>
              <w:left w:val="double" w:color="auto" w:sz="4" w:space="0"/>
            </w:tcBorders>
            <w:vAlign w:val="center"/>
          </w:tcPr>
          <w:p w:rsidRPr="00517562" w:rsidR="007655E1" w:rsidP="007655E1" w:rsidRDefault="007655E1" w14:paraId="7471C822" w14:textId="4E68F30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18</w:t>
            </w:r>
          </w:p>
        </w:tc>
        <w:tc>
          <w:tcPr>
            <w:tcW w:w="1170" w:type="dxa"/>
            <w:vAlign w:val="center"/>
          </w:tcPr>
          <w:p w:rsidRPr="00517562" w:rsidR="007655E1" w:rsidP="007655E1" w:rsidRDefault="007655E1" w14:paraId="4C17C5F3" w14:textId="2B41087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83</w:t>
            </w:r>
          </w:p>
        </w:tc>
        <w:tc>
          <w:tcPr>
            <w:tcW w:w="990" w:type="dxa"/>
            <w:tcBorders>
              <w:right w:val="double" w:color="auto" w:sz="4" w:space="0"/>
            </w:tcBorders>
            <w:vAlign w:val="center"/>
          </w:tcPr>
          <w:p w:rsidRPr="00517562" w:rsidR="007655E1" w:rsidP="007655E1" w:rsidRDefault="007655E1" w14:paraId="4711D005" w14:textId="78EEE01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13</w:t>
            </w:r>
          </w:p>
        </w:tc>
        <w:tc>
          <w:tcPr>
            <w:tcW w:w="990" w:type="dxa"/>
            <w:tcBorders>
              <w:left w:val="double" w:color="auto" w:sz="4" w:space="0"/>
            </w:tcBorders>
          </w:tcPr>
          <w:p w:rsidRPr="00517562" w:rsidR="007655E1" w:rsidP="007655E1" w:rsidRDefault="007655E1" w14:paraId="11663A5E" w14:textId="7D4CBF7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114</w:t>
            </w:r>
          </w:p>
        </w:tc>
        <w:tc>
          <w:tcPr>
            <w:tcW w:w="1137" w:type="dxa"/>
            <w:tcBorders>
              <w:right w:val="double" w:color="auto" w:sz="4" w:space="0"/>
            </w:tcBorders>
          </w:tcPr>
          <w:p w:rsidRPr="00517562" w:rsidR="007655E1" w:rsidP="007655E1" w:rsidRDefault="007655E1" w14:paraId="19D9E6DE" w14:textId="22036D0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heme="minorHAnsi" w:hAnsiTheme="minorHAnsi" w:cstheme="minorHAnsi"/>
                <w:sz w:val="20"/>
                <w:szCs w:val="20"/>
              </w:rPr>
            </w:pPr>
            <w:r w:rsidRPr="00517562">
              <w:rPr>
                <w:rFonts w:asciiTheme="minorHAnsi" w:hAnsiTheme="minorHAnsi" w:cstheme="minorHAnsi"/>
                <w:sz w:val="20"/>
                <w:szCs w:val="20"/>
              </w:rPr>
              <w:t>$12,4</w:t>
            </w:r>
            <w:r w:rsidRPr="00517562" w:rsidR="00BD4D2A">
              <w:rPr>
                <w:rFonts w:asciiTheme="minorHAnsi" w:hAnsiTheme="minorHAnsi" w:cstheme="minorHAnsi"/>
                <w:sz w:val="20"/>
                <w:szCs w:val="20"/>
              </w:rPr>
              <w:t>69</w:t>
            </w:r>
          </w:p>
        </w:tc>
      </w:tr>
      <w:tr w:rsidRPr="003E3414" w:rsidR="007655E1" w:rsidTr="00517562" w14:paraId="05B7DA01" w14:textId="77777777">
        <w:trPr>
          <w:trHeight w:val="620"/>
        </w:trPr>
        <w:tc>
          <w:tcPr>
            <w:tcW w:w="3363" w:type="dxa"/>
            <w:tcBorders>
              <w:left w:val="double" w:color="auto" w:sz="4" w:space="0"/>
              <w:right w:val="double" w:color="auto" w:sz="4" w:space="0"/>
            </w:tcBorders>
            <w:vAlign w:val="center"/>
          </w:tcPr>
          <w:p w:rsidRPr="009F0F92" w:rsidR="007655E1" w:rsidP="007655E1" w:rsidRDefault="007655E1" w14:paraId="12A9291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9F0F92">
              <w:rPr>
                <w:rFonts w:asciiTheme="minorHAnsi" w:hAnsiTheme="minorHAnsi" w:cstheme="minorHAnsi"/>
                <w:sz w:val="20"/>
                <w:szCs w:val="20"/>
              </w:rPr>
              <w:t xml:space="preserve">Prepare and submit protocol for review by the EPA and the HSRB </w:t>
            </w:r>
          </w:p>
        </w:tc>
        <w:tc>
          <w:tcPr>
            <w:tcW w:w="1530" w:type="dxa"/>
            <w:tcBorders>
              <w:left w:val="double" w:color="auto" w:sz="4" w:space="0"/>
            </w:tcBorders>
            <w:vAlign w:val="center"/>
          </w:tcPr>
          <w:p w:rsidRPr="00517562" w:rsidR="007655E1" w:rsidP="007655E1" w:rsidRDefault="007655E1" w14:paraId="7E9A8423" w14:textId="7879746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68</w:t>
            </w:r>
          </w:p>
        </w:tc>
        <w:tc>
          <w:tcPr>
            <w:tcW w:w="1170" w:type="dxa"/>
            <w:vAlign w:val="center"/>
          </w:tcPr>
          <w:p w:rsidRPr="00517562" w:rsidR="007655E1" w:rsidP="007655E1" w:rsidRDefault="007655E1" w14:paraId="08CC2DAD" w14:textId="6673D10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334</w:t>
            </w:r>
          </w:p>
        </w:tc>
        <w:tc>
          <w:tcPr>
            <w:tcW w:w="990" w:type="dxa"/>
            <w:tcBorders>
              <w:right w:val="double" w:color="auto" w:sz="4" w:space="0"/>
            </w:tcBorders>
            <w:vAlign w:val="center"/>
          </w:tcPr>
          <w:p w:rsidRPr="00517562" w:rsidR="007655E1" w:rsidP="007655E1" w:rsidRDefault="007655E1" w14:paraId="1C00FC2C" w14:textId="042822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28</w:t>
            </w:r>
          </w:p>
        </w:tc>
        <w:tc>
          <w:tcPr>
            <w:tcW w:w="990" w:type="dxa"/>
            <w:tcBorders>
              <w:left w:val="double" w:color="auto" w:sz="4" w:space="0"/>
            </w:tcBorders>
          </w:tcPr>
          <w:p w:rsidRPr="00517562" w:rsidR="007655E1" w:rsidP="007655E1" w:rsidRDefault="007655E1" w14:paraId="6CD6F1E8" w14:textId="4087A5D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430</w:t>
            </w:r>
          </w:p>
        </w:tc>
        <w:tc>
          <w:tcPr>
            <w:tcW w:w="1137" w:type="dxa"/>
            <w:tcBorders>
              <w:right w:val="double" w:color="auto" w:sz="4" w:space="0"/>
            </w:tcBorders>
          </w:tcPr>
          <w:p w:rsidRPr="00517562" w:rsidR="007655E1" w:rsidP="007655E1" w:rsidRDefault="007655E1" w14:paraId="0D0B4DE4" w14:textId="3A0589D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heme="minorHAnsi" w:hAnsiTheme="minorHAnsi" w:cstheme="minorHAnsi"/>
                <w:sz w:val="20"/>
                <w:szCs w:val="20"/>
              </w:rPr>
            </w:pPr>
            <w:r w:rsidRPr="00517562">
              <w:rPr>
                <w:rFonts w:asciiTheme="minorHAnsi" w:hAnsiTheme="minorHAnsi" w:cstheme="minorHAnsi"/>
                <w:sz w:val="20"/>
                <w:szCs w:val="20"/>
              </w:rPr>
              <w:t>$47,</w:t>
            </w:r>
            <w:r w:rsidRPr="00517562" w:rsidR="00BD4D2A">
              <w:rPr>
                <w:rFonts w:asciiTheme="minorHAnsi" w:hAnsiTheme="minorHAnsi" w:cstheme="minorHAnsi"/>
                <w:sz w:val="20"/>
                <w:szCs w:val="20"/>
              </w:rPr>
              <w:t>886</w:t>
            </w:r>
          </w:p>
        </w:tc>
      </w:tr>
      <w:tr w:rsidRPr="003E3414" w:rsidR="007655E1" w:rsidTr="00517562" w14:paraId="474B118E" w14:textId="77777777">
        <w:trPr>
          <w:trHeight w:val="1709"/>
        </w:trPr>
        <w:tc>
          <w:tcPr>
            <w:tcW w:w="3363" w:type="dxa"/>
            <w:tcBorders>
              <w:left w:val="double" w:color="auto" w:sz="4" w:space="0"/>
              <w:right w:val="double" w:color="auto" w:sz="4" w:space="0"/>
            </w:tcBorders>
            <w:vAlign w:val="center"/>
          </w:tcPr>
          <w:p w:rsidRPr="009F0F92" w:rsidR="007655E1" w:rsidP="007655E1" w:rsidRDefault="007655E1" w14:paraId="7933185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Document ethical conduct of a completed study for which the EPA and the HSRB have reviewed the protocol; prepare and submit completed study for review by the IRB, the EPA, and the HSRB</w:t>
            </w:r>
          </w:p>
        </w:tc>
        <w:tc>
          <w:tcPr>
            <w:tcW w:w="1530" w:type="dxa"/>
            <w:tcBorders>
              <w:left w:val="double" w:color="auto" w:sz="4" w:space="0"/>
            </w:tcBorders>
            <w:vAlign w:val="center"/>
          </w:tcPr>
          <w:p w:rsidRPr="00517562" w:rsidR="007655E1" w:rsidP="007655E1" w:rsidRDefault="007655E1" w14:paraId="383A132E" w14:textId="0186645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56</w:t>
            </w:r>
          </w:p>
        </w:tc>
        <w:tc>
          <w:tcPr>
            <w:tcW w:w="1170" w:type="dxa"/>
            <w:vAlign w:val="center"/>
          </w:tcPr>
          <w:p w:rsidRPr="00517562" w:rsidR="007655E1" w:rsidP="007655E1" w:rsidRDefault="007655E1" w14:paraId="26FEA780" w14:textId="1BC3FF8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1,329</w:t>
            </w:r>
          </w:p>
        </w:tc>
        <w:tc>
          <w:tcPr>
            <w:tcW w:w="990" w:type="dxa"/>
            <w:tcBorders>
              <w:right w:val="double" w:color="auto" w:sz="4" w:space="0"/>
            </w:tcBorders>
            <w:vAlign w:val="center"/>
          </w:tcPr>
          <w:p w:rsidRPr="00517562" w:rsidR="007655E1" w:rsidP="007655E1" w:rsidRDefault="007655E1" w14:paraId="126CA089" w14:textId="492F8290">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57</w:t>
            </w:r>
          </w:p>
        </w:tc>
        <w:tc>
          <w:tcPr>
            <w:tcW w:w="990" w:type="dxa"/>
            <w:tcBorders>
              <w:left w:val="double" w:color="auto" w:sz="4" w:space="0"/>
            </w:tcBorders>
          </w:tcPr>
          <w:p w:rsidRPr="00517562" w:rsidR="007655E1" w:rsidP="007655E1" w:rsidRDefault="007655E1" w14:paraId="6C5762BC" w14:textId="1CA0E5C0">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1,442</w:t>
            </w:r>
          </w:p>
        </w:tc>
        <w:tc>
          <w:tcPr>
            <w:tcW w:w="1137" w:type="dxa"/>
            <w:tcBorders>
              <w:right w:val="double" w:color="auto" w:sz="4" w:space="0"/>
            </w:tcBorders>
          </w:tcPr>
          <w:p w:rsidRPr="00517562" w:rsidR="007655E1" w:rsidP="007655E1" w:rsidRDefault="007655E1" w14:paraId="6F73C4A0" w14:textId="439D556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heme="minorHAnsi" w:hAnsiTheme="minorHAnsi" w:cstheme="minorHAnsi"/>
                <w:sz w:val="20"/>
                <w:szCs w:val="20"/>
              </w:rPr>
            </w:pPr>
            <w:r w:rsidRPr="00517562">
              <w:rPr>
                <w:rFonts w:asciiTheme="minorHAnsi" w:hAnsiTheme="minorHAnsi" w:cstheme="minorHAnsi"/>
                <w:sz w:val="20"/>
                <w:szCs w:val="20"/>
              </w:rPr>
              <w:t>$145,</w:t>
            </w:r>
            <w:r w:rsidRPr="00517562" w:rsidR="00BD4D2A">
              <w:rPr>
                <w:rFonts w:asciiTheme="minorHAnsi" w:hAnsiTheme="minorHAnsi" w:cstheme="minorHAnsi"/>
                <w:sz w:val="20"/>
                <w:szCs w:val="20"/>
              </w:rPr>
              <w:t>481</w:t>
            </w:r>
          </w:p>
        </w:tc>
      </w:tr>
      <w:tr w:rsidRPr="003E3414" w:rsidR="007655E1" w:rsidTr="00517562" w14:paraId="67FB23D9" w14:textId="77777777">
        <w:trPr>
          <w:trHeight w:val="413"/>
        </w:trPr>
        <w:tc>
          <w:tcPr>
            <w:tcW w:w="3363" w:type="dxa"/>
            <w:tcBorders>
              <w:left w:val="double" w:color="auto" w:sz="4" w:space="0"/>
              <w:right w:val="double" w:color="auto" w:sz="4" w:space="0"/>
            </w:tcBorders>
            <w:vAlign w:val="center"/>
          </w:tcPr>
          <w:p w:rsidRPr="009F0F92" w:rsidR="007655E1" w:rsidP="007655E1" w:rsidRDefault="007655E1" w14:paraId="25ED4FE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9F0F92">
              <w:rPr>
                <w:rFonts w:asciiTheme="minorHAnsi" w:hAnsiTheme="minorHAnsi" w:cstheme="minorHAnsi"/>
                <w:sz w:val="20"/>
                <w:szCs w:val="20"/>
              </w:rPr>
              <w:t>Store, file, and maintain records</w:t>
            </w:r>
          </w:p>
        </w:tc>
        <w:tc>
          <w:tcPr>
            <w:tcW w:w="1530" w:type="dxa"/>
            <w:tcBorders>
              <w:left w:val="double" w:color="auto" w:sz="4" w:space="0"/>
            </w:tcBorders>
            <w:vAlign w:val="center"/>
          </w:tcPr>
          <w:p w:rsidRPr="00517562" w:rsidR="007655E1" w:rsidP="007655E1" w:rsidRDefault="007655E1" w14:paraId="1C1FFAAF" w14:textId="05E26A6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7</w:t>
            </w:r>
          </w:p>
        </w:tc>
        <w:tc>
          <w:tcPr>
            <w:tcW w:w="1170" w:type="dxa"/>
            <w:vAlign w:val="center"/>
          </w:tcPr>
          <w:p w:rsidRPr="00517562" w:rsidR="007655E1" w:rsidP="007655E1" w:rsidRDefault="007655E1" w14:paraId="11E0DF46" w14:textId="5A1888F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20</w:t>
            </w:r>
          </w:p>
        </w:tc>
        <w:tc>
          <w:tcPr>
            <w:tcW w:w="990" w:type="dxa"/>
            <w:tcBorders>
              <w:right w:val="double" w:color="auto" w:sz="4" w:space="0"/>
            </w:tcBorders>
            <w:vAlign w:val="center"/>
          </w:tcPr>
          <w:p w:rsidRPr="00517562" w:rsidR="007655E1" w:rsidP="007655E1" w:rsidRDefault="007655E1" w14:paraId="7AE22FC8" w14:textId="7A4A871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8</w:t>
            </w:r>
          </w:p>
        </w:tc>
        <w:tc>
          <w:tcPr>
            <w:tcW w:w="990" w:type="dxa"/>
            <w:tcBorders>
              <w:left w:val="double" w:color="auto" w:sz="4" w:space="0"/>
            </w:tcBorders>
          </w:tcPr>
          <w:p w:rsidRPr="00517562" w:rsidR="007655E1" w:rsidP="007655E1" w:rsidRDefault="007655E1" w14:paraId="52500411" w14:textId="3009807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35</w:t>
            </w:r>
          </w:p>
        </w:tc>
        <w:tc>
          <w:tcPr>
            <w:tcW w:w="1137" w:type="dxa"/>
            <w:tcBorders>
              <w:right w:val="double" w:color="auto" w:sz="4" w:space="0"/>
            </w:tcBorders>
          </w:tcPr>
          <w:p w:rsidRPr="00517562" w:rsidR="007655E1" w:rsidP="007655E1" w:rsidRDefault="007655E1" w14:paraId="62B8D61E" w14:textId="1AEB4CE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heme="minorHAnsi" w:hAnsiTheme="minorHAnsi" w:cstheme="minorHAnsi"/>
                <w:sz w:val="20"/>
                <w:szCs w:val="20"/>
              </w:rPr>
            </w:pPr>
            <w:r w:rsidRPr="00517562">
              <w:rPr>
                <w:rFonts w:asciiTheme="minorHAnsi" w:hAnsiTheme="minorHAnsi" w:cstheme="minorHAnsi"/>
                <w:sz w:val="20"/>
                <w:szCs w:val="20"/>
              </w:rPr>
              <w:t>$3,81</w:t>
            </w:r>
            <w:r w:rsidRPr="00517562" w:rsidR="00BD4D2A">
              <w:rPr>
                <w:rFonts w:asciiTheme="minorHAnsi" w:hAnsiTheme="minorHAnsi" w:cstheme="minorHAnsi"/>
                <w:sz w:val="20"/>
                <w:szCs w:val="20"/>
              </w:rPr>
              <w:t>0</w:t>
            </w:r>
          </w:p>
        </w:tc>
      </w:tr>
      <w:tr w:rsidRPr="003E3414" w:rsidR="007655E1" w:rsidTr="00517562" w14:paraId="50C49EFE" w14:textId="77777777">
        <w:trPr>
          <w:trHeight w:val="494"/>
        </w:trPr>
        <w:tc>
          <w:tcPr>
            <w:tcW w:w="3363" w:type="dxa"/>
            <w:tcBorders>
              <w:left w:val="double" w:color="auto" w:sz="4" w:space="0"/>
              <w:bottom w:val="double" w:color="auto" w:sz="4" w:space="0"/>
              <w:right w:val="double" w:color="auto" w:sz="4" w:space="0"/>
            </w:tcBorders>
            <w:vAlign w:val="center"/>
          </w:tcPr>
          <w:p w:rsidRPr="003E3414" w:rsidR="007655E1" w:rsidP="007655E1" w:rsidRDefault="007655E1" w14:paraId="289B2BB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Arial"/>
                <w:b/>
                <w:sz w:val="20"/>
                <w:szCs w:val="20"/>
              </w:rPr>
            </w:pPr>
            <w:r w:rsidRPr="003E3414">
              <w:rPr>
                <w:rFonts w:cs="Arial"/>
                <w:b/>
                <w:sz w:val="20"/>
                <w:szCs w:val="20"/>
              </w:rPr>
              <w:t>Total per response</w:t>
            </w:r>
          </w:p>
        </w:tc>
        <w:tc>
          <w:tcPr>
            <w:tcW w:w="1530" w:type="dxa"/>
            <w:tcBorders>
              <w:left w:val="double" w:color="auto" w:sz="4" w:space="0"/>
              <w:bottom w:val="double" w:color="auto" w:sz="4" w:space="0"/>
            </w:tcBorders>
            <w:vAlign w:val="center"/>
          </w:tcPr>
          <w:p w:rsidRPr="00517562" w:rsidR="007655E1" w:rsidP="007655E1" w:rsidRDefault="007655E1" w14:paraId="63E85322" w14:textId="4FF2391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154</w:t>
            </w:r>
          </w:p>
        </w:tc>
        <w:tc>
          <w:tcPr>
            <w:tcW w:w="1170" w:type="dxa"/>
            <w:tcBorders>
              <w:bottom w:val="double" w:color="auto" w:sz="4" w:space="0"/>
            </w:tcBorders>
            <w:vAlign w:val="center"/>
          </w:tcPr>
          <w:p w:rsidRPr="00517562" w:rsidR="007655E1" w:rsidP="007655E1" w:rsidRDefault="007655E1" w14:paraId="62CA28C6" w14:textId="1A844AB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1773</w:t>
            </w:r>
          </w:p>
        </w:tc>
        <w:tc>
          <w:tcPr>
            <w:tcW w:w="990" w:type="dxa"/>
            <w:tcBorders>
              <w:bottom w:val="double" w:color="auto" w:sz="4" w:space="0"/>
              <w:right w:val="double" w:color="auto" w:sz="4" w:space="0"/>
            </w:tcBorders>
            <w:vAlign w:val="center"/>
          </w:tcPr>
          <w:p w:rsidRPr="00517562" w:rsidR="007655E1" w:rsidP="007655E1" w:rsidRDefault="007655E1" w14:paraId="008B2394" w14:textId="603447B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sz w:val="20"/>
                <w:szCs w:val="20"/>
              </w:rPr>
            </w:pPr>
            <w:r w:rsidRPr="00517562">
              <w:rPr>
                <w:rFonts w:asciiTheme="minorHAnsi" w:hAnsiTheme="minorHAnsi" w:cstheme="minorHAnsi"/>
                <w:sz w:val="20"/>
                <w:szCs w:val="20"/>
              </w:rPr>
              <w:t>111</w:t>
            </w:r>
          </w:p>
        </w:tc>
        <w:tc>
          <w:tcPr>
            <w:tcW w:w="990" w:type="dxa"/>
            <w:tcBorders>
              <w:left w:val="double" w:color="auto" w:sz="4" w:space="0"/>
              <w:bottom w:val="double" w:color="auto" w:sz="4" w:space="0"/>
            </w:tcBorders>
          </w:tcPr>
          <w:p w:rsidRPr="00517562" w:rsidR="007655E1" w:rsidP="007655E1" w:rsidRDefault="007655E1" w14:paraId="74E08A9A" w14:textId="390C73D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bCs/>
                <w:sz w:val="20"/>
                <w:szCs w:val="20"/>
              </w:rPr>
            </w:pPr>
            <w:r w:rsidRPr="00517562">
              <w:rPr>
                <w:rFonts w:asciiTheme="minorHAnsi" w:hAnsiTheme="minorHAnsi" w:cstheme="minorHAnsi"/>
                <w:b/>
                <w:bCs/>
                <w:sz w:val="20"/>
                <w:szCs w:val="20"/>
              </w:rPr>
              <w:t>2,039</w:t>
            </w:r>
          </w:p>
        </w:tc>
        <w:tc>
          <w:tcPr>
            <w:tcW w:w="1137" w:type="dxa"/>
            <w:tcBorders>
              <w:bottom w:val="double" w:color="auto" w:sz="4" w:space="0"/>
              <w:right w:val="double" w:color="auto" w:sz="4" w:space="0"/>
            </w:tcBorders>
          </w:tcPr>
          <w:p w:rsidRPr="00517562" w:rsidR="007655E1" w:rsidP="007655E1" w:rsidRDefault="007655E1" w14:paraId="65322BBB" w14:textId="74AC631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heme="minorHAnsi" w:hAnsiTheme="minorHAnsi" w:cstheme="minorHAnsi"/>
                <w:b/>
                <w:bCs/>
                <w:sz w:val="20"/>
                <w:szCs w:val="20"/>
              </w:rPr>
            </w:pPr>
            <w:r w:rsidRPr="00517562">
              <w:rPr>
                <w:rFonts w:asciiTheme="minorHAnsi" w:hAnsiTheme="minorHAnsi" w:cstheme="minorHAnsi"/>
                <w:b/>
                <w:bCs/>
                <w:sz w:val="20"/>
                <w:szCs w:val="20"/>
              </w:rPr>
              <w:t>$21</w:t>
            </w:r>
            <w:r w:rsidRPr="00517562" w:rsidR="00BD4D2A">
              <w:rPr>
                <w:rFonts w:asciiTheme="minorHAnsi" w:hAnsiTheme="minorHAnsi" w:cstheme="minorHAnsi"/>
                <w:b/>
                <w:bCs/>
                <w:sz w:val="20"/>
                <w:szCs w:val="20"/>
              </w:rPr>
              <w:t>1,801</w:t>
            </w:r>
          </w:p>
        </w:tc>
      </w:tr>
    </w:tbl>
    <w:p w:rsidRPr="000866B7" w:rsidR="00CD2B6B" w:rsidP="00CD2B6B" w:rsidRDefault="00CD2B6B" w14:paraId="22144BFE" w14:textId="117CAEE7">
      <w:pPr>
        <w:spacing w:after="0"/>
        <w:ind w:firstLine="360"/>
        <w:rPr>
          <w:rFonts w:cs="Arial"/>
          <w:sz w:val="18"/>
          <w:szCs w:val="18"/>
        </w:rPr>
      </w:pPr>
      <w:r w:rsidRPr="000866B7">
        <w:rPr>
          <w:rFonts w:cs="Arial"/>
          <w:sz w:val="18"/>
          <w:szCs w:val="18"/>
        </w:rPr>
        <w:t>Annual Burden:</w:t>
      </w:r>
      <w:r w:rsidRPr="000866B7">
        <w:rPr>
          <w:rFonts w:cs="Arial"/>
          <w:sz w:val="18"/>
          <w:szCs w:val="18"/>
        </w:rPr>
        <w:tab/>
      </w:r>
      <w:r w:rsidR="00517C67">
        <w:rPr>
          <w:rFonts w:cs="Arial"/>
          <w:sz w:val="18"/>
          <w:szCs w:val="18"/>
        </w:rPr>
        <w:t>2,039</w:t>
      </w:r>
      <w:r w:rsidRPr="000866B7">
        <w:rPr>
          <w:rFonts w:cs="Arial"/>
          <w:sz w:val="18"/>
          <w:szCs w:val="18"/>
        </w:rPr>
        <w:t xml:space="preserve"> hours per response * </w:t>
      </w:r>
      <w:r w:rsidR="00081437">
        <w:rPr>
          <w:rFonts w:cs="Arial"/>
          <w:sz w:val="18"/>
          <w:szCs w:val="18"/>
        </w:rPr>
        <w:t>4</w:t>
      </w:r>
      <w:r w:rsidRPr="000866B7" w:rsidR="00FF21E8">
        <w:rPr>
          <w:rFonts w:cs="Arial"/>
          <w:sz w:val="18"/>
          <w:szCs w:val="18"/>
        </w:rPr>
        <w:t xml:space="preserve"> </w:t>
      </w:r>
      <w:r w:rsidRPr="000866B7">
        <w:rPr>
          <w:rFonts w:cs="Arial"/>
          <w:sz w:val="18"/>
          <w:szCs w:val="18"/>
        </w:rPr>
        <w:t xml:space="preserve">responses per year = </w:t>
      </w:r>
      <w:r w:rsidR="00517C67">
        <w:rPr>
          <w:rFonts w:cs="Arial"/>
          <w:b/>
          <w:sz w:val="18"/>
          <w:szCs w:val="18"/>
        </w:rPr>
        <w:t>8,156</w:t>
      </w:r>
      <w:r w:rsidRPr="000866B7">
        <w:rPr>
          <w:rFonts w:cs="Arial"/>
          <w:b/>
          <w:sz w:val="18"/>
          <w:szCs w:val="18"/>
        </w:rPr>
        <w:t xml:space="preserve"> hours</w:t>
      </w:r>
    </w:p>
    <w:p w:rsidRPr="000866B7" w:rsidR="00CD2B6B" w:rsidP="00CD2B6B" w:rsidRDefault="00CD2B6B" w14:paraId="7FB42151" w14:textId="3405B0BB">
      <w:pPr>
        <w:spacing w:after="0"/>
        <w:ind w:firstLine="360"/>
        <w:rPr>
          <w:rFonts w:cs="Arial"/>
          <w:b/>
          <w:bCs/>
          <w:sz w:val="18"/>
          <w:szCs w:val="18"/>
        </w:rPr>
      </w:pPr>
      <w:r w:rsidRPr="000866B7">
        <w:rPr>
          <w:rFonts w:cs="Arial"/>
          <w:sz w:val="18"/>
          <w:szCs w:val="18"/>
        </w:rPr>
        <w:t>Annual Costs:</w:t>
      </w:r>
      <w:r w:rsidRPr="000866B7">
        <w:rPr>
          <w:rFonts w:cs="Arial"/>
          <w:sz w:val="18"/>
          <w:szCs w:val="18"/>
        </w:rPr>
        <w:tab/>
        <w:t>$</w:t>
      </w:r>
      <w:r w:rsidR="00517C67">
        <w:rPr>
          <w:rFonts w:cs="Arial"/>
          <w:sz w:val="18"/>
          <w:szCs w:val="18"/>
        </w:rPr>
        <w:t>21</w:t>
      </w:r>
      <w:r w:rsidR="003E6143">
        <w:rPr>
          <w:rFonts w:cs="Arial"/>
          <w:sz w:val="18"/>
          <w:szCs w:val="18"/>
        </w:rPr>
        <w:t>1, 801</w:t>
      </w:r>
      <w:r w:rsidRPr="000866B7">
        <w:rPr>
          <w:rFonts w:cs="Arial"/>
          <w:sz w:val="18"/>
          <w:szCs w:val="18"/>
        </w:rPr>
        <w:t xml:space="preserve"> per response * </w:t>
      </w:r>
      <w:r w:rsidR="00081437">
        <w:rPr>
          <w:rFonts w:cs="Arial"/>
          <w:sz w:val="18"/>
          <w:szCs w:val="18"/>
        </w:rPr>
        <w:t>4</w:t>
      </w:r>
      <w:r w:rsidRPr="000866B7" w:rsidR="00FF21E8">
        <w:rPr>
          <w:rFonts w:cs="Arial"/>
          <w:sz w:val="18"/>
          <w:szCs w:val="18"/>
        </w:rPr>
        <w:t xml:space="preserve"> </w:t>
      </w:r>
      <w:r w:rsidRPr="000866B7">
        <w:rPr>
          <w:rFonts w:cs="Arial"/>
          <w:sz w:val="18"/>
          <w:szCs w:val="18"/>
        </w:rPr>
        <w:t xml:space="preserve">responses per year = </w:t>
      </w:r>
      <w:r w:rsidRPr="000866B7">
        <w:rPr>
          <w:rFonts w:cs="Arial"/>
          <w:b/>
          <w:bCs/>
          <w:sz w:val="18"/>
          <w:szCs w:val="18"/>
        </w:rPr>
        <w:t>$</w:t>
      </w:r>
      <w:r w:rsidR="00517C67">
        <w:rPr>
          <w:rFonts w:cs="Arial"/>
          <w:b/>
          <w:bCs/>
          <w:sz w:val="18"/>
          <w:szCs w:val="18"/>
        </w:rPr>
        <w:t>84</w:t>
      </w:r>
      <w:r w:rsidR="00BD4D2A">
        <w:rPr>
          <w:rFonts w:cs="Arial"/>
          <w:b/>
          <w:bCs/>
          <w:sz w:val="18"/>
          <w:szCs w:val="18"/>
        </w:rPr>
        <w:t>7,205</w:t>
      </w:r>
    </w:p>
    <w:p w:rsidRPr="000866B7" w:rsidR="00CD2B6B" w:rsidP="00CD2B6B" w:rsidRDefault="00CD2B6B" w14:paraId="3C6F1CA8" w14:textId="77777777">
      <w:pPr>
        <w:spacing w:after="0"/>
        <w:ind w:firstLine="360"/>
        <w:rPr>
          <w:rFonts w:cs="Arial"/>
          <w:sz w:val="20"/>
          <w:szCs w:val="20"/>
        </w:rPr>
      </w:pPr>
    </w:p>
    <w:p w:rsidR="00CD2B6B" w:rsidP="00CD2B6B" w:rsidRDefault="00CD2B6B" w14:paraId="511AC310" w14:textId="60C044EF">
      <w:pPr>
        <w:rPr>
          <w:rFonts w:cs="Arial"/>
          <w:sz w:val="18"/>
          <w:szCs w:val="18"/>
        </w:rPr>
      </w:pPr>
      <w:r w:rsidRPr="000866B7">
        <w:rPr>
          <w:rFonts w:cs="Arial"/>
          <w:sz w:val="18"/>
          <w:szCs w:val="18"/>
        </w:rPr>
        <w:t xml:space="preserve">Please note that the </w:t>
      </w:r>
      <w:r w:rsidR="00081437">
        <w:rPr>
          <w:rFonts w:cs="Arial"/>
          <w:sz w:val="18"/>
          <w:szCs w:val="18"/>
        </w:rPr>
        <w:t>4</w:t>
      </w:r>
      <w:r w:rsidRPr="000866B7" w:rsidR="00FC6F03">
        <w:rPr>
          <w:rFonts w:cs="Arial"/>
          <w:sz w:val="18"/>
          <w:szCs w:val="18"/>
        </w:rPr>
        <w:t xml:space="preserve"> </w:t>
      </w:r>
      <w:r w:rsidRPr="000866B7">
        <w:rPr>
          <w:rFonts w:cs="Arial"/>
          <w:sz w:val="18"/>
          <w:szCs w:val="18"/>
        </w:rPr>
        <w:t xml:space="preserve">“responses” per year include </w:t>
      </w:r>
      <w:r w:rsidR="00081437">
        <w:rPr>
          <w:rFonts w:cs="Arial"/>
          <w:sz w:val="18"/>
          <w:szCs w:val="18"/>
        </w:rPr>
        <w:t>4</w:t>
      </w:r>
      <w:r w:rsidRPr="000866B7" w:rsidR="00FC6F03">
        <w:rPr>
          <w:rFonts w:cs="Arial"/>
          <w:sz w:val="18"/>
          <w:szCs w:val="18"/>
        </w:rPr>
        <w:t xml:space="preserve"> </w:t>
      </w:r>
      <w:r w:rsidRPr="000866B7">
        <w:rPr>
          <w:rFonts w:cs="Arial"/>
          <w:sz w:val="18"/>
          <w:szCs w:val="18"/>
        </w:rPr>
        <w:t xml:space="preserve">protocols plus </w:t>
      </w:r>
      <w:r w:rsidR="00081437">
        <w:rPr>
          <w:rFonts w:cs="Arial"/>
          <w:sz w:val="18"/>
          <w:szCs w:val="18"/>
        </w:rPr>
        <w:t>4</w:t>
      </w:r>
      <w:r w:rsidRPr="000866B7" w:rsidR="00FC6F03">
        <w:rPr>
          <w:rFonts w:cs="Arial"/>
          <w:sz w:val="18"/>
          <w:szCs w:val="18"/>
        </w:rPr>
        <w:t xml:space="preserve"> </w:t>
      </w:r>
      <w:r w:rsidRPr="000866B7">
        <w:rPr>
          <w:rFonts w:cs="Arial"/>
          <w:sz w:val="18"/>
          <w:szCs w:val="18"/>
        </w:rPr>
        <w:t>studies. This approach to defining responses is consistent with that used and approved for this ICR in previous years.</w:t>
      </w:r>
    </w:p>
    <w:p w:rsidRPr="000866B7" w:rsidR="00CD2B6B" w:rsidP="00517562" w:rsidRDefault="00CD2B6B" w14:paraId="0ABA1AB4" w14:textId="77777777">
      <w:pPr>
        <w:spacing w:after="0"/>
        <w:rPr>
          <w:rFonts w:cs="Arial"/>
          <w:b/>
          <w:szCs w:val="24"/>
        </w:rPr>
      </w:pPr>
      <w:r w:rsidRPr="000866B7">
        <w:rPr>
          <w:rFonts w:cs="Arial"/>
          <w:b/>
          <w:szCs w:val="24"/>
        </w:rPr>
        <w:lastRenderedPageBreak/>
        <w:t>Table 2.</w:t>
      </w:r>
      <w:r w:rsidRPr="000866B7">
        <w:rPr>
          <w:rFonts w:cs="Arial"/>
          <w:szCs w:val="24"/>
        </w:rPr>
        <w:t xml:space="preserve"> Respondent burden and cost estimates for all other submitted research with human subjects</w:t>
      </w:r>
    </w:p>
    <w:tbl>
      <w:tblPr>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5"/>
        <w:gridCol w:w="1620"/>
        <w:gridCol w:w="1260"/>
        <w:gridCol w:w="1170"/>
        <w:gridCol w:w="990"/>
        <w:gridCol w:w="1741"/>
      </w:tblGrid>
      <w:tr w:rsidRPr="003E3414" w:rsidR="00CD2B6B" w:rsidTr="00517562" w14:paraId="77AB6BF6" w14:textId="77777777">
        <w:trPr>
          <w:trHeight w:val="672"/>
          <w:tblHeader/>
          <w:jc w:val="center"/>
        </w:trPr>
        <w:tc>
          <w:tcPr>
            <w:tcW w:w="2415" w:type="dxa"/>
            <w:tcBorders>
              <w:top w:val="double" w:color="auto" w:sz="4" w:space="0"/>
              <w:left w:val="double" w:color="auto" w:sz="4" w:space="0"/>
              <w:right w:val="double" w:color="auto" w:sz="4" w:space="0"/>
            </w:tcBorders>
            <w:shd w:val="clear" w:color="auto" w:fill="D9D9D9"/>
            <w:vAlign w:val="center"/>
          </w:tcPr>
          <w:p w:rsidRPr="009F0F92" w:rsidR="00CD2B6B" w:rsidP="00517562" w:rsidRDefault="00CD2B6B" w14:paraId="209F0F5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Activities</w:t>
            </w:r>
          </w:p>
        </w:tc>
        <w:tc>
          <w:tcPr>
            <w:tcW w:w="4050" w:type="dxa"/>
            <w:gridSpan w:val="3"/>
            <w:tcBorders>
              <w:top w:val="double" w:color="auto" w:sz="4" w:space="0"/>
              <w:left w:val="double" w:color="auto" w:sz="4" w:space="0"/>
              <w:right w:val="double" w:color="auto" w:sz="4" w:space="0"/>
            </w:tcBorders>
            <w:shd w:val="clear" w:color="auto" w:fill="D9D9D9"/>
            <w:vAlign w:val="center"/>
          </w:tcPr>
          <w:p w:rsidRPr="009F0F92" w:rsidR="00CD2B6B" w:rsidP="00517562" w:rsidRDefault="00CD2B6B" w14:paraId="111CF71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Average Burden Hours Per Response</w:t>
            </w:r>
          </w:p>
        </w:tc>
        <w:tc>
          <w:tcPr>
            <w:tcW w:w="2731" w:type="dxa"/>
            <w:gridSpan w:val="2"/>
            <w:tcBorders>
              <w:top w:val="double" w:color="auto" w:sz="4" w:space="0"/>
              <w:left w:val="double" w:color="auto" w:sz="4" w:space="0"/>
              <w:right w:val="double" w:color="auto" w:sz="4" w:space="0"/>
            </w:tcBorders>
            <w:shd w:val="clear" w:color="auto" w:fill="D9D9D9"/>
            <w:vAlign w:val="center"/>
          </w:tcPr>
          <w:p w:rsidRPr="009F0F92" w:rsidR="00CD2B6B" w:rsidP="00517562" w:rsidRDefault="00CD2B6B" w14:paraId="1F400FD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Total Per Response</w:t>
            </w:r>
          </w:p>
        </w:tc>
      </w:tr>
      <w:tr w:rsidRPr="003E3414" w:rsidR="00CD2B6B" w:rsidTr="00517562" w14:paraId="44AA8ED8" w14:textId="77777777">
        <w:trPr>
          <w:trHeight w:val="629"/>
          <w:tblHeader/>
          <w:jc w:val="center"/>
        </w:trPr>
        <w:tc>
          <w:tcPr>
            <w:tcW w:w="2415" w:type="dxa"/>
            <w:tcBorders>
              <w:left w:val="double" w:color="auto" w:sz="4" w:space="0"/>
              <w:bottom w:val="double" w:color="auto" w:sz="4" w:space="0"/>
              <w:right w:val="double" w:color="auto" w:sz="4" w:space="0"/>
            </w:tcBorders>
            <w:shd w:val="clear" w:color="auto" w:fill="D9D9D9"/>
            <w:vAlign w:val="center"/>
          </w:tcPr>
          <w:p w:rsidRPr="009F0F92" w:rsidR="00CD2B6B" w:rsidP="00081437" w:rsidRDefault="00CD2B6B" w14:paraId="0659AE9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p>
        </w:tc>
        <w:tc>
          <w:tcPr>
            <w:tcW w:w="1620" w:type="dxa"/>
            <w:tcBorders>
              <w:left w:val="double" w:color="auto" w:sz="4" w:space="0"/>
              <w:bottom w:val="double" w:color="auto" w:sz="4" w:space="0"/>
            </w:tcBorders>
            <w:shd w:val="clear" w:color="auto" w:fill="D9D9D9"/>
            <w:vAlign w:val="center"/>
          </w:tcPr>
          <w:p w:rsidRPr="009F0F92" w:rsidR="00CD2B6B" w:rsidP="00081437" w:rsidRDefault="00CD2B6B" w14:paraId="398A76E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Management</w:t>
            </w:r>
          </w:p>
          <w:p w:rsidRPr="009F0F92" w:rsidR="00CD2B6B" w:rsidP="00081437" w:rsidRDefault="00CD2B6B" w14:paraId="10000BF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$195/</w:t>
            </w:r>
            <w:proofErr w:type="spellStart"/>
            <w:r w:rsidRPr="009F0F92">
              <w:rPr>
                <w:rFonts w:asciiTheme="minorHAnsi" w:hAnsiTheme="minorHAnsi" w:cstheme="minorHAnsi"/>
                <w:b/>
                <w:color w:val="000000"/>
                <w:sz w:val="20"/>
                <w:szCs w:val="20"/>
              </w:rPr>
              <w:t>hr</w:t>
            </w:r>
            <w:proofErr w:type="spellEnd"/>
          </w:p>
        </w:tc>
        <w:tc>
          <w:tcPr>
            <w:tcW w:w="1260" w:type="dxa"/>
            <w:tcBorders>
              <w:bottom w:val="double" w:color="auto" w:sz="4" w:space="0"/>
            </w:tcBorders>
            <w:shd w:val="clear" w:color="auto" w:fill="D9D9D9"/>
            <w:vAlign w:val="center"/>
          </w:tcPr>
          <w:p w:rsidRPr="009F0F92" w:rsidR="00CD2B6B" w:rsidP="00081437" w:rsidRDefault="00CD2B6B" w14:paraId="6CD7648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Technical</w:t>
            </w:r>
          </w:p>
          <w:p w:rsidRPr="009F0F92" w:rsidR="00CD2B6B" w:rsidP="00081437" w:rsidRDefault="00CD2B6B" w14:paraId="1E38ADE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$99/</w:t>
            </w:r>
            <w:proofErr w:type="spellStart"/>
            <w:r w:rsidRPr="009F0F92">
              <w:rPr>
                <w:rFonts w:asciiTheme="minorHAnsi" w:hAnsiTheme="minorHAnsi" w:cstheme="minorHAnsi"/>
                <w:b/>
                <w:color w:val="000000"/>
                <w:sz w:val="20"/>
                <w:szCs w:val="20"/>
              </w:rPr>
              <w:t>hr</w:t>
            </w:r>
            <w:proofErr w:type="spellEnd"/>
          </w:p>
        </w:tc>
        <w:tc>
          <w:tcPr>
            <w:tcW w:w="1170" w:type="dxa"/>
            <w:tcBorders>
              <w:bottom w:val="double" w:color="auto" w:sz="4" w:space="0"/>
              <w:right w:val="double" w:color="auto" w:sz="4" w:space="0"/>
            </w:tcBorders>
            <w:shd w:val="clear" w:color="auto" w:fill="D9D9D9"/>
            <w:vAlign w:val="center"/>
          </w:tcPr>
          <w:p w:rsidRPr="009F0F92" w:rsidR="00CD2B6B" w:rsidP="00081437" w:rsidRDefault="00CD2B6B" w14:paraId="7F73E0A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Clerical</w:t>
            </w:r>
          </w:p>
          <w:p w:rsidRPr="009F0F92" w:rsidR="00CD2B6B" w:rsidP="00081437" w:rsidRDefault="00CD2B6B" w14:paraId="1B7EB59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$59/</w:t>
            </w:r>
            <w:proofErr w:type="spellStart"/>
            <w:r w:rsidRPr="009F0F92">
              <w:rPr>
                <w:rFonts w:asciiTheme="minorHAnsi" w:hAnsiTheme="minorHAnsi" w:cstheme="minorHAnsi"/>
                <w:b/>
                <w:color w:val="000000"/>
                <w:sz w:val="20"/>
                <w:szCs w:val="20"/>
              </w:rPr>
              <w:t>hr</w:t>
            </w:r>
            <w:proofErr w:type="spellEnd"/>
          </w:p>
        </w:tc>
        <w:tc>
          <w:tcPr>
            <w:tcW w:w="990" w:type="dxa"/>
            <w:tcBorders>
              <w:left w:val="double" w:color="auto" w:sz="4" w:space="0"/>
              <w:bottom w:val="double" w:color="auto" w:sz="4" w:space="0"/>
            </w:tcBorders>
            <w:shd w:val="clear" w:color="auto" w:fill="D9D9D9"/>
            <w:vAlign w:val="center"/>
          </w:tcPr>
          <w:p w:rsidRPr="009F0F92" w:rsidR="00CD2B6B" w:rsidP="00081437" w:rsidRDefault="00CD2B6B" w14:paraId="670A62E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Hours</w:t>
            </w:r>
          </w:p>
        </w:tc>
        <w:tc>
          <w:tcPr>
            <w:tcW w:w="1741" w:type="dxa"/>
            <w:tcBorders>
              <w:bottom w:val="double" w:color="auto" w:sz="4" w:space="0"/>
              <w:right w:val="double" w:color="auto" w:sz="4" w:space="0"/>
            </w:tcBorders>
            <w:shd w:val="clear" w:color="auto" w:fill="D9D9D9"/>
            <w:vAlign w:val="center"/>
          </w:tcPr>
          <w:p w:rsidRPr="009F0F92" w:rsidR="00CD2B6B" w:rsidP="00081437" w:rsidRDefault="00CD2B6B" w14:paraId="14816FC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Cost ($)</w:t>
            </w:r>
          </w:p>
        </w:tc>
      </w:tr>
      <w:tr w:rsidRPr="003E3414" w:rsidR="00CD2B6B" w:rsidTr="00081437" w14:paraId="5AA7CC1C" w14:textId="77777777">
        <w:trPr>
          <w:trHeight w:val="663"/>
          <w:jc w:val="center"/>
        </w:trPr>
        <w:tc>
          <w:tcPr>
            <w:tcW w:w="2415" w:type="dxa"/>
            <w:tcBorders>
              <w:top w:val="double" w:color="auto" w:sz="4" w:space="0"/>
              <w:left w:val="double" w:color="auto" w:sz="4" w:space="0"/>
              <w:right w:val="double" w:color="auto" w:sz="4" w:space="0"/>
            </w:tcBorders>
            <w:vAlign w:val="center"/>
          </w:tcPr>
          <w:p w:rsidRPr="009F0F92" w:rsidR="00CD2B6B" w:rsidP="00081437" w:rsidRDefault="00CD2B6B" w14:paraId="5E36D4F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Rule familiarization and training</w:t>
            </w:r>
          </w:p>
        </w:tc>
        <w:tc>
          <w:tcPr>
            <w:tcW w:w="1620" w:type="dxa"/>
            <w:tcBorders>
              <w:top w:val="double" w:color="auto" w:sz="4" w:space="0"/>
              <w:left w:val="double" w:color="auto" w:sz="4" w:space="0"/>
            </w:tcBorders>
            <w:vAlign w:val="center"/>
          </w:tcPr>
          <w:p w:rsidRPr="009F0F92" w:rsidR="00CD2B6B" w:rsidP="00081437" w:rsidRDefault="00CD2B6B" w14:paraId="789552D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1</w:t>
            </w:r>
          </w:p>
        </w:tc>
        <w:tc>
          <w:tcPr>
            <w:tcW w:w="1260" w:type="dxa"/>
            <w:tcBorders>
              <w:top w:val="double" w:color="auto" w:sz="4" w:space="0"/>
            </w:tcBorders>
            <w:vAlign w:val="center"/>
          </w:tcPr>
          <w:p w:rsidRPr="009F0F92" w:rsidR="00CD2B6B" w:rsidP="00081437" w:rsidRDefault="00CD2B6B" w14:paraId="1398AC2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1</w:t>
            </w:r>
          </w:p>
        </w:tc>
        <w:tc>
          <w:tcPr>
            <w:tcW w:w="1170" w:type="dxa"/>
            <w:tcBorders>
              <w:top w:val="double" w:color="auto" w:sz="4" w:space="0"/>
              <w:right w:val="double" w:color="auto" w:sz="4" w:space="0"/>
            </w:tcBorders>
            <w:vAlign w:val="center"/>
          </w:tcPr>
          <w:p w:rsidRPr="009F0F92" w:rsidR="00CD2B6B" w:rsidP="00081437" w:rsidRDefault="00CD2B6B" w14:paraId="6311DD5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0</w:t>
            </w:r>
          </w:p>
        </w:tc>
        <w:tc>
          <w:tcPr>
            <w:tcW w:w="990" w:type="dxa"/>
            <w:tcBorders>
              <w:top w:val="double" w:color="auto" w:sz="4" w:space="0"/>
              <w:left w:val="double" w:color="auto" w:sz="4" w:space="0"/>
            </w:tcBorders>
            <w:vAlign w:val="center"/>
          </w:tcPr>
          <w:p w:rsidRPr="009F0F92" w:rsidR="00CD2B6B" w:rsidP="00081437" w:rsidRDefault="00CD2B6B" w14:paraId="3F6525C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2</w:t>
            </w:r>
          </w:p>
        </w:tc>
        <w:tc>
          <w:tcPr>
            <w:tcW w:w="1741" w:type="dxa"/>
            <w:tcBorders>
              <w:top w:val="double" w:color="auto" w:sz="4" w:space="0"/>
              <w:right w:val="double" w:color="auto" w:sz="4" w:space="0"/>
            </w:tcBorders>
            <w:vAlign w:val="center"/>
          </w:tcPr>
          <w:p w:rsidRPr="009F0F92" w:rsidR="00CD2B6B" w:rsidP="00081437" w:rsidRDefault="00CD2B6B" w14:paraId="26670E9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cstheme="minorHAnsi"/>
                <w:color w:val="000000"/>
                <w:sz w:val="20"/>
                <w:szCs w:val="20"/>
              </w:rPr>
            </w:pPr>
            <w:r w:rsidRPr="009F0F92">
              <w:rPr>
                <w:rFonts w:asciiTheme="minorHAnsi" w:hAnsiTheme="minorHAnsi" w:cstheme="minorHAnsi"/>
                <w:sz w:val="20"/>
                <w:szCs w:val="20"/>
              </w:rPr>
              <w:t>$294</w:t>
            </w:r>
          </w:p>
        </w:tc>
      </w:tr>
      <w:tr w:rsidRPr="003E3414" w:rsidR="00CD2B6B" w:rsidTr="00081437" w14:paraId="6B2650C4" w14:textId="77777777">
        <w:trPr>
          <w:trHeight w:val="971"/>
          <w:jc w:val="center"/>
        </w:trPr>
        <w:tc>
          <w:tcPr>
            <w:tcW w:w="2415" w:type="dxa"/>
            <w:tcBorders>
              <w:left w:val="double" w:color="auto" w:sz="4" w:space="0"/>
              <w:right w:val="double" w:color="auto" w:sz="4" w:space="0"/>
            </w:tcBorders>
            <w:vAlign w:val="center"/>
          </w:tcPr>
          <w:p w:rsidRPr="009F0F92" w:rsidR="00CD2B6B" w:rsidP="00081437" w:rsidRDefault="00CD2B6B" w14:paraId="724E47C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Prepare and submit ethics information of completed human studies to the EPA</w:t>
            </w:r>
          </w:p>
        </w:tc>
        <w:tc>
          <w:tcPr>
            <w:tcW w:w="1620" w:type="dxa"/>
            <w:tcBorders>
              <w:left w:val="double" w:color="auto" w:sz="4" w:space="0"/>
            </w:tcBorders>
            <w:vAlign w:val="center"/>
          </w:tcPr>
          <w:p w:rsidRPr="009F0F92" w:rsidR="00CD2B6B" w:rsidP="00081437" w:rsidRDefault="00CD2B6B" w14:paraId="402495E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0</w:t>
            </w:r>
          </w:p>
        </w:tc>
        <w:tc>
          <w:tcPr>
            <w:tcW w:w="1260" w:type="dxa"/>
            <w:vAlign w:val="center"/>
          </w:tcPr>
          <w:p w:rsidRPr="009F0F92" w:rsidR="00CD2B6B" w:rsidP="00081437" w:rsidRDefault="00CD2B6B" w14:paraId="5698900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8</w:t>
            </w:r>
          </w:p>
        </w:tc>
        <w:tc>
          <w:tcPr>
            <w:tcW w:w="1170" w:type="dxa"/>
            <w:tcBorders>
              <w:right w:val="double" w:color="auto" w:sz="4" w:space="0"/>
            </w:tcBorders>
            <w:vAlign w:val="center"/>
          </w:tcPr>
          <w:p w:rsidRPr="009F0F92" w:rsidR="00CD2B6B" w:rsidP="00081437" w:rsidRDefault="00CD2B6B" w14:paraId="35D9F16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1</w:t>
            </w:r>
          </w:p>
        </w:tc>
        <w:tc>
          <w:tcPr>
            <w:tcW w:w="990" w:type="dxa"/>
            <w:tcBorders>
              <w:left w:val="double" w:color="auto" w:sz="4" w:space="0"/>
            </w:tcBorders>
            <w:vAlign w:val="center"/>
          </w:tcPr>
          <w:p w:rsidRPr="009F0F92" w:rsidR="00CD2B6B" w:rsidP="00081437" w:rsidRDefault="00CD2B6B" w14:paraId="050DB66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9</w:t>
            </w:r>
          </w:p>
        </w:tc>
        <w:tc>
          <w:tcPr>
            <w:tcW w:w="1741" w:type="dxa"/>
            <w:tcBorders>
              <w:right w:val="double" w:color="auto" w:sz="4" w:space="0"/>
            </w:tcBorders>
            <w:vAlign w:val="center"/>
          </w:tcPr>
          <w:p w:rsidRPr="009F0F92" w:rsidR="00CD2B6B" w:rsidP="00081437" w:rsidRDefault="00CD2B6B" w14:paraId="7A1AA484" w14:textId="4B217FE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cstheme="minorHAnsi"/>
                <w:color w:val="000000"/>
                <w:sz w:val="20"/>
                <w:szCs w:val="20"/>
              </w:rPr>
            </w:pPr>
            <w:r w:rsidRPr="009F0F92">
              <w:rPr>
                <w:rFonts w:asciiTheme="minorHAnsi" w:hAnsiTheme="minorHAnsi" w:cstheme="minorHAnsi"/>
                <w:sz w:val="20"/>
                <w:szCs w:val="20"/>
              </w:rPr>
              <w:t>$</w:t>
            </w:r>
            <w:r w:rsidR="006A45D6">
              <w:rPr>
                <w:rFonts w:asciiTheme="minorHAnsi" w:hAnsiTheme="minorHAnsi" w:cstheme="minorHAnsi"/>
                <w:sz w:val="20"/>
                <w:szCs w:val="20"/>
              </w:rPr>
              <w:t>8</w:t>
            </w:r>
            <w:r w:rsidR="00CC6124">
              <w:rPr>
                <w:rFonts w:asciiTheme="minorHAnsi" w:hAnsiTheme="minorHAnsi" w:cstheme="minorHAnsi"/>
                <w:sz w:val="20"/>
                <w:szCs w:val="20"/>
              </w:rPr>
              <w:t>48</w:t>
            </w:r>
          </w:p>
        </w:tc>
      </w:tr>
      <w:tr w:rsidRPr="003E3414" w:rsidR="00CD2B6B" w:rsidTr="00081437" w14:paraId="28B26B70" w14:textId="77777777">
        <w:trPr>
          <w:trHeight w:val="719"/>
          <w:jc w:val="center"/>
        </w:trPr>
        <w:tc>
          <w:tcPr>
            <w:tcW w:w="2415" w:type="dxa"/>
            <w:tcBorders>
              <w:left w:val="double" w:color="auto" w:sz="4" w:space="0"/>
              <w:right w:val="double" w:color="auto" w:sz="4" w:space="0"/>
            </w:tcBorders>
            <w:vAlign w:val="center"/>
          </w:tcPr>
          <w:p w:rsidRPr="009F0F92" w:rsidR="00CD2B6B" w:rsidP="00081437" w:rsidRDefault="00CD2B6B" w14:paraId="37F54FF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Store, file, and maintain records</w:t>
            </w:r>
          </w:p>
        </w:tc>
        <w:tc>
          <w:tcPr>
            <w:tcW w:w="1620" w:type="dxa"/>
            <w:tcBorders>
              <w:left w:val="double" w:color="auto" w:sz="4" w:space="0"/>
            </w:tcBorders>
            <w:vAlign w:val="center"/>
          </w:tcPr>
          <w:p w:rsidRPr="009F0F92" w:rsidR="00CD2B6B" w:rsidP="00081437" w:rsidRDefault="00CD2B6B" w14:paraId="590870D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0</w:t>
            </w:r>
          </w:p>
        </w:tc>
        <w:tc>
          <w:tcPr>
            <w:tcW w:w="1260" w:type="dxa"/>
            <w:vAlign w:val="center"/>
          </w:tcPr>
          <w:p w:rsidRPr="009F0F92" w:rsidR="00CD2B6B" w:rsidP="00081437" w:rsidRDefault="00CD2B6B" w14:paraId="33DDF35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0</w:t>
            </w:r>
          </w:p>
        </w:tc>
        <w:tc>
          <w:tcPr>
            <w:tcW w:w="1170" w:type="dxa"/>
            <w:tcBorders>
              <w:right w:val="double" w:color="auto" w:sz="4" w:space="0"/>
            </w:tcBorders>
            <w:vAlign w:val="center"/>
          </w:tcPr>
          <w:p w:rsidRPr="009F0F92" w:rsidR="00CD2B6B" w:rsidP="00081437" w:rsidRDefault="00CD2B6B" w14:paraId="64CC7D5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1</w:t>
            </w:r>
          </w:p>
        </w:tc>
        <w:tc>
          <w:tcPr>
            <w:tcW w:w="990" w:type="dxa"/>
            <w:tcBorders>
              <w:left w:val="double" w:color="auto" w:sz="4" w:space="0"/>
            </w:tcBorders>
            <w:vAlign w:val="center"/>
          </w:tcPr>
          <w:p w:rsidRPr="009F0F92" w:rsidR="00CD2B6B" w:rsidP="00081437" w:rsidRDefault="00CD2B6B" w14:paraId="13F213D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color w:val="000000"/>
                <w:sz w:val="20"/>
                <w:szCs w:val="20"/>
              </w:rPr>
            </w:pPr>
            <w:r w:rsidRPr="009F0F92">
              <w:rPr>
                <w:rFonts w:asciiTheme="minorHAnsi" w:hAnsiTheme="minorHAnsi" w:cstheme="minorHAnsi"/>
                <w:color w:val="000000"/>
                <w:sz w:val="20"/>
                <w:szCs w:val="20"/>
              </w:rPr>
              <w:t>1</w:t>
            </w:r>
          </w:p>
        </w:tc>
        <w:tc>
          <w:tcPr>
            <w:tcW w:w="1741" w:type="dxa"/>
            <w:tcBorders>
              <w:right w:val="double" w:color="auto" w:sz="4" w:space="0"/>
            </w:tcBorders>
            <w:vAlign w:val="center"/>
          </w:tcPr>
          <w:p w:rsidRPr="009F0F92" w:rsidR="00CD2B6B" w:rsidP="00081437" w:rsidRDefault="00CD2B6B" w14:paraId="48EF8AF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cstheme="minorHAnsi"/>
                <w:color w:val="000000"/>
                <w:sz w:val="20"/>
                <w:szCs w:val="20"/>
              </w:rPr>
            </w:pPr>
            <w:r w:rsidRPr="009F0F92">
              <w:rPr>
                <w:rFonts w:asciiTheme="minorHAnsi" w:hAnsiTheme="minorHAnsi" w:cstheme="minorHAnsi"/>
                <w:sz w:val="20"/>
                <w:szCs w:val="20"/>
              </w:rPr>
              <w:t>$59</w:t>
            </w:r>
          </w:p>
        </w:tc>
      </w:tr>
      <w:tr w:rsidRPr="003E3414" w:rsidR="00CD2B6B" w:rsidTr="00081437" w14:paraId="48FB9930" w14:textId="77777777">
        <w:trPr>
          <w:trHeight w:val="530"/>
          <w:jc w:val="center"/>
        </w:trPr>
        <w:tc>
          <w:tcPr>
            <w:tcW w:w="2415" w:type="dxa"/>
            <w:tcBorders>
              <w:left w:val="double" w:color="auto" w:sz="4" w:space="0"/>
              <w:bottom w:val="double" w:color="auto" w:sz="4" w:space="0"/>
              <w:right w:val="double" w:color="auto" w:sz="4" w:space="0"/>
            </w:tcBorders>
            <w:vAlign w:val="center"/>
          </w:tcPr>
          <w:p w:rsidRPr="009F0F92" w:rsidR="00CD2B6B" w:rsidP="00081437" w:rsidRDefault="00CD2B6B" w14:paraId="5FD0756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9F0F92">
              <w:rPr>
                <w:rFonts w:asciiTheme="minorHAnsi" w:hAnsiTheme="minorHAnsi" w:cstheme="minorHAnsi"/>
                <w:b/>
                <w:color w:val="000000"/>
                <w:sz w:val="20"/>
                <w:szCs w:val="20"/>
              </w:rPr>
              <w:t>Total per response</w:t>
            </w:r>
          </w:p>
        </w:tc>
        <w:tc>
          <w:tcPr>
            <w:tcW w:w="1620" w:type="dxa"/>
            <w:tcBorders>
              <w:left w:val="double" w:color="auto" w:sz="4" w:space="0"/>
              <w:bottom w:val="double" w:color="auto" w:sz="4" w:space="0"/>
            </w:tcBorders>
            <w:vAlign w:val="center"/>
          </w:tcPr>
          <w:p w:rsidRPr="009F0F92" w:rsidR="00CD2B6B" w:rsidP="00081437" w:rsidRDefault="00CD2B6B" w14:paraId="5B343EA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bCs/>
                <w:color w:val="000000"/>
                <w:sz w:val="20"/>
                <w:szCs w:val="20"/>
              </w:rPr>
            </w:pPr>
            <w:r w:rsidRPr="009F0F92">
              <w:rPr>
                <w:rFonts w:asciiTheme="minorHAnsi" w:hAnsiTheme="minorHAnsi" w:cstheme="minorHAnsi"/>
                <w:b/>
                <w:bCs/>
                <w:color w:val="000000"/>
                <w:sz w:val="20"/>
                <w:szCs w:val="20"/>
              </w:rPr>
              <w:t>1</w:t>
            </w:r>
          </w:p>
        </w:tc>
        <w:tc>
          <w:tcPr>
            <w:tcW w:w="1260" w:type="dxa"/>
            <w:tcBorders>
              <w:bottom w:val="double" w:color="auto" w:sz="4" w:space="0"/>
            </w:tcBorders>
            <w:vAlign w:val="center"/>
          </w:tcPr>
          <w:p w:rsidRPr="009F0F92" w:rsidR="00CD2B6B" w:rsidP="00081437" w:rsidRDefault="00CD2B6B" w14:paraId="7E54E89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bCs/>
                <w:color w:val="000000"/>
                <w:sz w:val="20"/>
                <w:szCs w:val="20"/>
              </w:rPr>
            </w:pPr>
            <w:r w:rsidRPr="009F0F92">
              <w:rPr>
                <w:rFonts w:asciiTheme="minorHAnsi" w:hAnsiTheme="minorHAnsi" w:cstheme="minorHAnsi"/>
                <w:b/>
                <w:bCs/>
                <w:color w:val="000000"/>
                <w:sz w:val="20"/>
                <w:szCs w:val="20"/>
              </w:rPr>
              <w:t>9</w:t>
            </w:r>
          </w:p>
        </w:tc>
        <w:tc>
          <w:tcPr>
            <w:tcW w:w="1170" w:type="dxa"/>
            <w:tcBorders>
              <w:bottom w:val="double" w:color="auto" w:sz="4" w:space="0"/>
              <w:right w:val="double" w:color="auto" w:sz="4" w:space="0"/>
            </w:tcBorders>
            <w:vAlign w:val="center"/>
          </w:tcPr>
          <w:p w:rsidRPr="009F0F92" w:rsidR="00CD2B6B" w:rsidP="00081437" w:rsidRDefault="00CD2B6B" w14:paraId="1A6B7A6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bCs/>
                <w:color w:val="000000"/>
                <w:sz w:val="20"/>
                <w:szCs w:val="20"/>
              </w:rPr>
            </w:pPr>
            <w:r w:rsidRPr="009F0F92">
              <w:rPr>
                <w:rFonts w:asciiTheme="minorHAnsi" w:hAnsiTheme="minorHAnsi" w:cstheme="minorHAnsi"/>
                <w:b/>
                <w:bCs/>
                <w:color w:val="000000"/>
                <w:sz w:val="20"/>
                <w:szCs w:val="20"/>
              </w:rPr>
              <w:t>2</w:t>
            </w:r>
          </w:p>
        </w:tc>
        <w:tc>
          <w:tcPr>
            <w:tcW w:w="990" w:type="dxa"/>
            <w:tcBorders>
              <w:left w:val="double" w:color="auto" w:sz="4" w:space="0"/>
              <w:bottom w:val="double" w:color="auto" w:sz="4" w:space="0"/>
            </w:tcBorders>
            <w:vAlign w:val="center"/>
          </w:tcPr>
          <w:p w:rsidRPr="009F0F92" w:rsidR="00CD2B6B" w:rsidP="00081437" w:rsidRDefault="00CD2B6B" w14:paraId="2843154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bCs/>
                <w:color w:val="000000"/>
                <w:sz w:val="20"/>
                <w:szCs w:val="20"/>
              </w:rPr>
            </w:pPr>
            <w:r w:rsidRPr="009F0F92">
              <w:rPr>
                <w:rFonts w:asciiTheme="minorHAnsi" w:hAnsiTheme="minorHAnsi" w:cstheme="minorHAnsi"/>
                <w:b/>
                <w:bCs/>
                <w:color w:val="000000"/>
                <w:sz w:val="20"/>
                <w:szCs w:val="20"/>
              </w:rPr>
              <w:t>12</w:t>
            </w:r>
          </w:p>
        </w:tc>
        <w:tc>
          <w:tcPr>
            <w:tcW w:w="1741" w:type="dxa"/>
            <w:tcBorders>
              <w:bottom w:val="double" w:color="auto" w:sz="4" w:space="0"/>
              <w:right w:val="double" w:color="auto" w:sz="4" w:space="0"/>
            </w:tcBorders>
            <w:vAlign w:val="center"/>
          </w:tcPr>
          <w:p w:rsidRPr="009F0F92" w:rsidR="00CD2B6B" w:rsidP="00081437" w:rsidRDefault="00CD2B6B" w14:paraId="30946BE2" w14:textId="5F35B80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cstheme="minorHAnsi"/>
                <w:b/>
                <w:bCs/>
                <w:color w:val="000000"/>
                <w:sz w:val="20"/>
                <w:szCs w:val="20"/>
              </w:rPr>
            </w:pPr>
            <w:r w:rsidRPr="009F0F92">
              <w:rPr>
                <w:rFonts w:asciiTheme="minorHAnsi" w:hAnsiTheme="minorHAnsi" w:cstheme="minorHAnsi"/>
                <w:b/>
                <w:bCs/>
                <w:sz w:val="20"/>
                <w:szCs w:val="20"/>
              </w:rPr>
              <w:t>$1,20</w:t>
            </w:r>
            <w:r w:rsidR="00CC6124">
              <w:rPr>
                <w:rFonts w:asciiTheme="minorHAnsi" w:hAnsiTheme="minorHAnsi" w:cstheme="minorHAnsi"/>
                <w:b/>
                <w:bCs/>
                <w:sz w:val="20"/>
                <w:szCs w:val="20"/>
              </w:rPr>
              <w:t>1</w:t>
            </w:r>
          </w:p>
        </w:tc>
      </w:tr>
    </w:tbl>
    <w:p w:rsidRPr="000866B7" w:rsidR="00CD2B6B" w:rsidP="00CD2B6B" w:rsidRDefault="00CD2B6B" w14:paraId="7730A957" w14:textId="77777777">
      <w:pPr>
        <w:spacing w:after="0"/>
        <w:ind w:left="360"/>
        <w:rPr>
          <w:rFonts w:cs="Arial"/>
          <w:sz w:val="16"/>
          <w:szCs w:val="16"/>
        </w:rPr>
      </w:pPr>
      <w:r w:rsidRPr="000866B7">
        <w:rPr>
          <w:rFonts w:cs="Arial"/>
          <w:sz w:val="18"/>
          <w:szCs w:val="18"/>
        </w:rPr>
        <w:t>Annual Burden:</w:t>
      </w:r>
      <w:r w:rsidRPr="000866B7">
        <w:rPr>
          <w:rFonts w:cs="Arial"/>
          <w:sz w:val="18"/>
          <w:szCs w:val="18"/>
        </w:rPr>
        <w:tab/>
        <w:t xml:space="preserve">12 hours per study * 10 studies submitted per year = </w:t>
      </w:r>
      <w:r w:rsidRPr="000866B7">
        <w:rPr>
          <w:rFonts w:cs="Arial"/>
          <w:b/>
          <w:bCs/>
          <w:sz w:val="18"/>
          <w:szCs w:val="18"/>
        </w:rPr>
        <w:t>120 hours</w:t>
      </w:r>
    </w:p>
    <w:p w:rsidRPr="000866B7" w:rsidR="00CD2B6B" w:rsidP="00CD2B6B" w:rsidRDefault="00CD2B6B" w14:paraId="20DD65D2" w14:textId="1641FEF4">
      <w:pPr>
        <w:spacing w:after="0"/>
        <w:ind w:firstLine="360"/>
        <w:rPr>
          <w:rFonts w:cs="Arial"/>
          <w:b/>
          <w:sz w:val="18"/>
          <w:szCs w:val="18"/>
        </w:rPr>
      </w:pPr>
      <w:r w:rsidRPr="000866B7">
        <w:rPr>
          <w:rFonts w:cs="Arial"/>
          <w:sz w:val="18"/>
          <w:szCs w:val="18"/>
        </w:rPr>
        <w:t>Annual Costs:</w:t>
      </w:r>
      <w:r w:rsidRPr="000866B7">
        <w:rPr>
          <w:rFonts w:cs="Arial"/>
          <w:sz w:val="18"/>
          <w:szCs w:val="18"/>
        </w:rPr>
        <w:tab/>
        <w:t>$1,20</w:t>
      </w:r>
      <w:r w:rsidR="00CC6124">
        <w:rPr>
          <w:rFonts w:cs="Arial"/>
          <w:sz w:val="18"/>
          <w:szCs w:val="18"/>
        </w:rPr>
        <w:t>1</w:t>
      </w:r>
      <w:r w:rsidRPr="000866B7">
        <w:rPr>
          <w:rFonts w:cs="Arial"/>
          <w:sz w:val="18"/>
          <w:szCs w:val="18"/>
        </w:rPr>
        <w:t xml:space="preserve"> per study * 10 studies submitted per year = </w:t>
      </w:r>
      <w:r w:rsidRPr="000866B7">
        <w:rPr>
          <w:rFonts w:cs="Arial"/>
          <w:b/>
          <w:sz w:val="18"/>
          <w:szCs w:val="18"/>
        </w:rPr>
        <w:t>$12,0</w:t>
      </w:r>
      <w:r w:rsidR="00CC6124">
        <w:rPr>
          <w:rFonts w:cs="Arial"/>
          <w:b/>
          <w:sz w:val="18"/>
          <w:szCs w:val="18"/>
        </w:rPr>
        <w:t>1</w:t>
      </w:r>
      <w:r w:rsidR="00CA74FC">
        <w:rPr>
          <w:rFonts w:cs="Arial"/>
          <w:b/>
          <w:sz w:val="18"/>
          <w:szCs w:val="18"/>
        </w:rPr>
        <w:t>0</w:t>
      </w:r>
    </w:p>
    <w:p w:rsidR="00CD2B6B" w:rsidP="00CD2B6B" w:rsidRDefault="00CD2B6B" w14:paraId="6897DC77" w14:textId="77777777">
      <w:pPr>
        <w:spacing w:after="0"/>
        <w:ind w:firstLine="360"/>
        <w:rPr>
          <w:rFonts w:cs="Arial"/>
          <w:szCs w:val="24"/>
        </w:rPr>
      </w:pPr>
    </w:p>
    <w:p w:rsidR="009F0F92" w:rsidP="00F05F80" w:rsidRDefault="00CD2B6B" w14:paraId="0C9AC852" w14:textId="4EF07322">
      <w:pPr>
        <w:spacing w:after="200" w:line="276" w:lineRule="auto"/>
        <w:rPr>
          <w:rFonts w:cs="Arial"/>
          <w:bCs/>
          <w:color w:val="000000"/>
          <w:szCs w:val="24"/>
        </w:rPr>
      </w:pPr>
      <w:r w:rsidRPr="003E3414">
        <w:rPr>
          <w:rFonts w:cs="Arial"/>
          <w:szCs w:val="24"/>
        </w:rPr>
        <w:t>The estimated annual cost for all respondents is $</w:t>
      </w:r>
      <w:r w:rsidR="00D736E4">
        <w:rPr>
          <w:rFonts w:cs="Arial"/>
          <w:szCs w:val="24"/>
        </w:rPr>
        <w:t>859,215</w:t>
      </w:r>
      <w:r w:rsidRPr="003E3414">
        <w:rPr>
          <w:rFonts w:cs="Arial"/>
          <w:szCs w:val="24"/>
        </w:rPr>
        <w:t xml:space="preserve"> (Table 1 [$</w:t>
      </w:r>
      <w:r w:rsidR="00D736E4">
        <w:rPr>
          <w:rFonts w:cs="Arial"/>
          <w:szCs w:val="24"/>
        </w:rPr>
        <w:t>847,205</w:t>
      </w:r>
      <w:r w:rsidRPr="003E3414">
        <w:rPr>
          <w:rFonts w:cs="Arial"/>
          <w:szCs w:val="24"/>
        </w:rPr>
        <w:t>] and 2 [$12,</w:t>
      </w:r>
      <w:r w:rsidR="00D736E4">
        <w:rPr>
          <w:rFonts w:cs="Arial"/>
          <w:szCs w:val="24"/>
        </w:rPr>
        <w:t>010</w:t>
      </w:r>
      <w:r w:rsidRPr="003E3414">
        <w:rPr>
          <w:rFonts w:cs="Arial"/>
          <w:szCs w:val="24"/>
        </w:rPr>
        <w:t xml:space="preserve">]).  Respondent labor rates are estimated to be $195, $99, and $59 per hour, respectively, for managerial, technical and clerical labor.  </w:t>
      </w:r>
      <w:r w:rsidRPr="003E3414">
        <w:rPr>
          <w:rFonts w:cs="Arial"/>
          <w:color w:val="000000"/>
          <w:szCs w:val="24"/>
        </w:rPr>
        <w:t xml:space="preserve">In determining the rates, OPP uses a single source of data, the BLS National Industry-Specific Occupational Employment and Wage Estimates and selects the appropriate occupational category. </w:t>
      </w:r>
      <w:r w:rsidRPr="003E3414">
        <w:rPr>
          <w:rFonts w:cs="Arial"/>
          <w:szCs w:val="24"/>
        </w:rPr>
        <w:t xml:space="preserve">The labor rates were derived from the Bureau of Labor Statistics’ May </w:t>
      </w:r>
      <w:r>
        <w:rPr>
          <w:rFonts w:cs="Arial"/>
          <w:szCs w:val="24"/>
        </w:rPr>
        <w:t>2020</w:t>
      </w:r>
      <w:r w:rsidRPr="003E3414">
        <w:rPr>
          <w:rFonts w:cs="Arial"/>
          <w:szCs w:val="24"/>
        </w:rPr>
        <w:t xml:space="preserve"> National Industry-Specific Occupational Employment and Wage Estimates for NAICS code </w:t>
      </w:r>
      <w:r w:rsidRPr="003E3414">
        <w:rPr>
          <w:rFonts w:cs="Arial"/>
          <w:bCs/>
          <w:color w:val="000000"/>
          <w:szCs w:val="24"/>
        </w:rPr>
        <w:t>541710 (Research and Development in the Physical, Engineering, and Life Sciences).</w:t>
      </w:r>
      <w:r w:rsidRPr="003E3414">
        <w:rPr>
          <w:rStyle w:val="FootnoteReference"/>
          <w:rFonts w:cs="Arial"/>
          <w:color w:val="000000"/>
          <w:szCs w:val="24"/>
        </w:rPr>
        <w:footnoteReference w:id="4"/>
      </w:r>
      <w:r w:rsidRPr="003E3414">
        <w:rPr>
          <w:rFonts w:cs="Arial"/>
          <w:bCs/>
          <w:color w:val="000000"/>
          <w:szCs w:val="24"/>
        </w:rPr>
        <w:t xml:space="preserve">  These labor rates are fully loaded and include benefits and overhead costs </w:t>
      </w:r>
      <w:r w:rsidRPr="007038A8">
        <w:rPr>
          <w:rFonts w:cs="Arial"/>
          <w:bCs/>
          <w:color w:val="000000"/>
          <w:szCs w:val="24"/>
        </w:rPr>
        <w:t>(Attachment E).</w:t>
      </w:r>
    </w:p>
    <w:p w:rsidRPr="00B26C4E" w:rsidR="00EC4305" w:rsidP="0068004C" w:rsidRDefault="00041E4F" w14:paraId="175774F0" w14:textId="6D8ED58A">
      <w:pPr>
        <w:pStyle w:val="Heading2"/>
        <w:rPr>
          <w:i w:val="0"/>
          <w:iCs w:val="0"/>
        </w:rPr>
      </w:pPr>
      <w:r w:rsidRPr="00B26C4E">
        <w:rPr>
          <w:i w:val="0"/>
          <w:iCs w:val="0"/>
        </w:rPr>
        <w:t xml:space="preserve">13. </w:t>
      </w:r>
      <w:r w:rsidRPr="00B26C4E" w:rsidR="00EC4305">
        <w:rPr>
          <w:i w:val="0"/>
          <w:iCs w:val="0"/>
        </w:rPr>
        <w:t>Provide an estimate for the total annual cost burden to respondents or recordkeepers resulting from the collection of information.</w:t>
      </w:r>
    </w:p>
    <w:p w:rsidR="009F0F92" w:rsidP="00517562" w:rsidRDefault="00EC4305" w14:paraId="40DB78E9" w14:textId="452A7D50">
      <w:r>
        <w:t>There are no operational and/or maintenance costs.</w:t>
      </w:r>
    </w:p>
    <w:p w:rsidRPr="00B26C4E" w:rsidR="00EC4305" w:rsidP="0068004C" w:rsidRDefault="00041E4F" w14:paraId="16B921E6" w14:textId="0B4D969E">
      <w:pPr>
        <w:pStyle w:val="Heading2"/>
        <w:rPr>
          <w:i w:val="0"/>
          <w:iCs w:val="0"/>
        </w:rPr>
      </w:pPr>
      <w:r w:rsidRPr="00B26C4E">
        <w:rPr>
          <w:i w:val="0"/>
          <w:iCs w:val="0"/>
        </w:rPr>
        <w:t xml:space="preserve">14. </w:t>
      </w:r>
      <w:r w:rsidRPr="00B26C4E" w:rsidR="00EC4305">
        <w:rPr>
          <w:i w:val="0"/>
          <w:iCs w:val="0"/>
        </w:rPr>
        <w:t xml:space="preserve">Provide </w:t>
      </w:r>
      <w:bookmarkStart w:name="_Hlk82508788" w:id="0"/>
      <w:r w:rsidRPr="00B26C4E" w:rsidR="00EC4305">
        <w:rPr>
          <w:i w:val="0"/>
          <w:iCs w:val="0"/>
        </w:rPr>
        <w:t>estimates of annualized cost to the Federal government.</w:t>
      </w:r>
      <w:bookmarkEnd w:id="0"/>
    </w:p>
    <w:p w:rsidR="00A11F9A" w:rsidP="007038A8" w:rsidRDefault="00CD2B6B" w14:paraId="274F4DE8" w14:textId="3CB24992">
      <w:pPr>
        <w:spacing w:after="200" w:line="276" w:lineRule="auto"/>
        <w:rPr>
          <w:rFonts w:cs="Arial"/>
        </w:rPr>
      </w:pPr>
      <w:r w:rsidRPr="615E7E28">
        <w:rPr>
          <w:rFonts w:cs="Arial"/>
        </w:rPr>
        <w:t>The estimated Agency annual cost is $372,104.</w:t>
      </w:r>
      <w:r w:rsidRPr="615E7E28" w:rsidR="1EACADD4">
        <w:rPr>
          <w:rFonts w:cs="Arial"/>
        </w:rPr>
        <w:t xml:space="preserve"> </w:t>
      </w:r>
      <w:r w:rsidRPr="615E7E28">
        <w:rPr>
          <w:rFonts w:cs="Arial"/>
        </w:rPr>
        <w:t xml:space="preserve">The EPA’s activities include communicating with respondents, reviewing the ethical aspects of submitted study protocols and completed study reports, making presentations to the HSRB, </w:t>
      </w:r>
      <w:r w:rsidRPr="615E7E28">
        <w:rPr>
          <w:rFonts w:cs="Arial"/>
        </w:rPr>
        <w:lastRenderedPageBreak/>
        <w:t>documenting decisions, and information management activities to record, file, and track the submissions.  The Agency labor rates are $139, $92, and $51 per hour for management, technical, and clerical staff, respectively.  The labor rates were derived from the Bureau of Labor Statistics’ May 2020National Industry-Specific Occupational Employment and Wage Estimates for NAICS code 999100 (Federal Executive Branch).</w:t>
      </w:r>
      <w:r w:rsidRPr="615E7E28">
        <w:rPr>
          <w:rFonts w:cs="Arial"/>
        </w:rPr>
        <w:footnoteReference w:id="5"/>
      </w:r>
      <w:r w:rsidRPr="615E7E28">
        <w:rPr>
          <w:rFonts w:cs="Arial"/>
        </w:rPr>
        <w:t xml:space="preserve">  These labor rates are fully loaded and include benefits and overhead costs (see Attachment F).  The details of the calculations are identified in Tables 3 and 4 in this section. For the pre-rule human research which does not require HSRB review, the EPA assumes that 10 of the studies will be submitted by outside parties and the remaining 10 will be located by the EPA at the Agency’s own initiative and therefore will not be subject to 40 CFR 26.1303.</w:t>
      </w:r>
    </w:p>
    <w:p w:rsidRPr="00DA458F" w:rsidR="00CD2B6B" w:rsidP="00CD2B6B" w:rsidRDefault="00CD2B6B" w14:paraId="5855BB98" w14:textId="77777777">
      <w:pPr>
        <w:spacing w:before="1" w:after="0" w:line="280" w:lineRule="exact"/>
        <w:rPr>
          <w:rFonts w:cs="Arial"/>
          <w:szCs w:val="24"/>
        </w:rPr>
      </w:pPr>
      <w:r w:rsidRPr="00DA458F">
        <w:rPr>
          <w:rFonts w:cs="Arial"/>
          <w:b/>
          <w:szCs w:val="24"/>
        </w:rPr>
        <w:t>Table 3.</w:t>
      </w:r>
      <w:r w:rsidRPr="00DA458F">
        <w:rPr>
          <w:rFonts w:cs="Arial"/>
          <w:szCs w:val="24"/>
        </w:rPr>
        <w:t xml:space="preserve">  Weighted average Agency burden and cost estimates for research involving intentional exposure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39"/>
        <w:gridCol w:w="1764"/>
        <w:gridCol w:w="1260"/>
        <w:gridCol w:w="1080"/>
        <w:gridCol w:w="890"/>
        <w:gridCol w:w="1147"/>
      </w:tblGrid>
      <w:tr w:rsidRPr="008A0B86" w:rsidR="00CD2B6B" w:rsidTr="00081437" w14:paraId="34E06C02" w14:textId="77777777">
        <w:trPr>
          <w:trHeight w:val="663"/>
        </w:trPr>
        <w:tc>
          <w:tcPr>
            <w:tcW w:w="3039" w:type="dxa"/>
            <w:vMerge w:val="restart"/>
            <w:tcBorders>
              <w:top w:val="double" w:color="auto" w:sz="4" w:space="0"/>
              <w:left w:val="double" w:color="auto" w:sz="4" w:space="0"/>
              <w:right w:val="double" w:color="auto" w:sz="4" w:space="0"/>
            </w:tcBorders>
            <w:shd w:val="clear" w:color="auto" w:fill="D9D9D9"/>
            <w:vAlign w:val="center"/>
          </w:tcPr>
          <w:p w:rsidRPr="00517562" w:rsidR="00CD2B6B" w:rsidP="00517562" w:rsidRDefault="00CD2B6B" w14:paraId="6C0AA4C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Activities</w:t>
            </w:r>
          </w:p>
        </w:tc>
        <w:tc>
          <w:tcPr>
            <w:tcW w:w="4104" w:type="dxa"/>
            <w:gridSpan w:val="3"/>
            <w:tcBorders>
              <w:top w:val="double" w:color="auto" w:sz="4" w:space="0"/>
              <w:left w:val="double" w:color="auto" w:sz="4" w:space="0"/>
              <w:right w:val="single" w:color="auto" w:sz="4" w:space="0"/>
            </w:tcBorders>
            <w:shd w:val="clear" w:color="auto" w:fill="D9D9D9"/>
            <w:vAlign w:val="center"/>
          </w:tcPr>
          <w:p w:rsidRPr="00517562" w:rsidR="00CD2B6B" w:rsidP="00517562" w:rsidRDefault="00CD2B6B" w14:paraId="6F619D4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Average Burden Hours Per Response</w:t>
            </w:r>
          </w:p>
        </w:tc>
        <w:tc>
          <w:tcPr>
            <w:tcW w:w="2037" w:type="dxa"/>
            <w:gridSpan w:val="2"/>
            <w:tcBorders>
              <w:top w:val="double" w:color="auto" w:sz="4" w:space="0"/>
              <w:left w:val="single" w:color="auto" w:sz="4" w:space="0"/>
              <w:right w:val="double" w:color="auto" w:sz="4" w:space="0"/>
            </w:tcBorders>
            <w:shd w:val="clear" w:color="auto" w:fill="D9D9D9"/>
            <w:vAlign w:val="center"/>
          </w:tcPr>
          <w:p w:rsidRPr="00517562" w:rsidR="00CD2B6B" w:rsidP="00517562" w:rsidRDefault="00CD2B6B" w14:paraId="0EDC4F7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Total Per Response</w:t>
            </w:r>
          </w:p>
        </w:tc>
      </w:tr>
      <w:tr w:rsidRPr="008A0B86" w:rsidR="00CD2B6B" w:rsidTr="00081437" w14:paraId="446B80CA" w14:textId="77777777">
        <w:trPr>
          <w:trHeight w:val="746"/>
        </w:trPr>
        <w:tc>
          <w:tcPr>
            <w:tcW w:w="3039" w:type="dxa"/>
            <w:vMerge/>
            <w:tcBorders>
              <w:left w:val="double" w:color="auto" w:sz="4" w:space="0"/>
              <w:bottom w:val="double" w:color="auto" w:sz="4" w:space="0"/>
              <w:right w:val="double" w:color="auto" w:sz="4" w:space="0"/>
            </w:tcBorders>
            <w:shd w:val="clear" w:color="auto" w:fill="D9D9D9"/>
            <w:vAlign w:val="center"/>
          </w:tcPr>
          <w:p w:rsidRPr="00517562" w:rsidR="00CD2B6B" w:rsidP="00517562" w:rsidRDefault="00CD2B6B" w14:paraId="209C46E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p>
        </w:tc>
        <w:tc>
          <w:tcPr>
            <w:tcW w:w="1764" w:type="dxa"/>
            <w:tcBorders>
              <w:left w:val="double" w:color="auto" w:sz="4" w:space="0"/>
              <w:bottom w:val="double" w:color="auto" w:sz="4" w:space="0"/>
            </w:tcBorders>
            <w:shd w:val="clear" w:color="auto" w:fill="D9D9D9"/>
            <w:vAlign w:val="center"/>
          </w:tcPr>
          <w:p w:rsidRPr="00517562" w:rsidR="00CD2B6B" w:rsidP="00517562" w:rsidRDefault="00CD2B6B" w14:paraId="2659761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Management</w:t>
            </w:r>
          </w:p>
          <w:p w:rsidRPr="00517562" w:rsidR="00CD2B6B" w:rsidP="00517562" w:rsidRDefault="00CD2B6B" w14:paraId="51135C1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$139/</w:t>
            </w:r>
            <w:proofErr w:type="spellStart"/>
            <w:r w:rsidRPr="00517562">
              <w:rPr>
                <w:rFonts w:asciiTheme="minorHAnsi" w:hAnsiTheme="minorHAnsi" w:cstheme="minorHAnsi"/>
                <w:b/>
                <w:color w:val="000000"/>
                <w:sz w:val="20"/>
                <w:szCs w:val="20"/>
              </w:rPr>
              <w:t>hr</w:t>
            </w:r>
            <w:proofErr w:type="spellEnd"/>
          </w:p>
        </w:tc>
        <w:tc>
          <w:tcPr>
            <w:tcW w:w="1260" w:type="dxa"/>
            <w:tcBorders>
              <w:bottom w:val="double" w:color="auto" w:sz="4" w:space="0"/>
            </w:tcBorders>
            <w:shd w:val="clear" w:color="auto" w:fill="D9D9D9"/>
            <w:vAlign w:val="center"/>
          </w:tcPr>
          <w:p w:rsidRPr="00517562" w:rsidR="00CD2B6B" w:rsidP="00517562" w:rsidRDefault="00CD2B6B" w14:paraId="6EBFD59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Technical</w:t>
            </w:r>
          </w:p>
          <w:p w:rsidRPr="00517562" w:rsidR="00CD2B6B" w:rsidP="00517562" w:rsidRDefault="00CD2B6B" w14:paraId="5072AEE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$92/</w:t>
            </w:r>
            <w:proofErr w:type="spellStart"/>
            <w:r w:rsidRPr="00517562">
              <w:rPr>
                <w:rFonts w:asciiTheme="minorHAnsi" w:hAnsiTheme="minorHAnsi" w:cstheme="minorHAnsi"/>
                <w:b/>
                <w:color w:val="000000"/>
                <w:sz w:val="20"/>
                <w:szCs w:val="20"/>
              </w:rPr>
              <w:t>hr</w:t>
            </w:r>
            <w:proofErr w:type="spellEnd"/>
          </w:p>
        </w:tc>
        <w:tc>
          <w:tcPr>
            <w:tcW w:w="1080" w:type="dxa"/>
            <w:tcBorders>
              <w:bottom w:val="double" w:color="auto" w:sz="4" w:space="0"/>
              <w:right w:val="single" w:color="auto" w:sz="4" w:space="0"/>
            </w:tcBorders>
            <w:shd w:val="clear" w:color="auto" w:fill="D9D9D9"/>
            <w:vAlign w:val="center"/>
          </w:tcPr>
          <w:p w:rsidRPr="00517562" w:rsidR="00CD2B6B" w:rsidP="00517562" w:rsidRDefault="00CD2B6B" w14:paraId="5AAD40E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Clerical</w:t>
            </w:r>
          </w:p>
          <w:p w:rsidRPr="00517562" w:rsidR="00CD2B6B" w:rsidP="00517562" w:rsidRDefault="00CD2B6B" w14:paraId="43A03F2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$51/</w:t>
            </w:r>
            <w:proofErr w:type="spellStart"/>
            <w:r w:rsidRPr="00517562">
              <w:rPr>
                <w:rFonts w:asciiTheme="minorHAnsi" w:hAnsiTheme="minorHAnsi" w:cstheme="minorHAnsi"/>
                <w:b/>
                <w:color w:val="000000"/>
                <w:sz w:val="20"/>
                <w:szCs w:val="20"/>
              </w:rPr>
              <w:t>hr</w:t>
            </w:r>
            <w:proofErr w:type="spellEnd"/>
          </w:p>
        </w:tc>
        <w:tc>
          <w:tcPr>
            <w:tcW w:w="890" w:type="dxa"/>
            <w:tcBorders>
              <w:left w:val="single" w:color="auto" w:sz="4" w:space="0"/>
              <w:bottom w:val="double" w:color="auto" w:sz="4" w:space="0"/>
            </w:tcBorders>
            <w:shd w:val="clear" w:color="auto" w:fill="D9D9D9"/>
            <w:vAlign w:val="center"/>
          </w:tcPr>
          <w:p w:rsidRPr="00517562" w:rsidR="00CD2B6B" w:rsidP="00517562" w:rsidRDefault="00CD2B6B" w14:paraId="75A3957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Hours</w:t>
            </w:r>
          </w:p>
        </w:tc>
        <w:tc>
          <w:tcPr>
            <w:tcW w:w="1147" w:type="dxa"/>
            <w:tcBorders>
              <w:bottom w:val="double" w:color="auto" w:sz="4" w:space="0"/>
              <w:right w:val="double" w:color="auto" w:sz="4" w:space="0"/>
            </w:tcBorders>
            <w:shd w:val="clear" w:color="auto" w:fill="D9D9D9"/>
            <w:vAlign w:val="center"/>
          </w:tcPr>
          <w:p w:rsidRPr="00517562" w:rsidR="00CD2B6B" w:rsidP="00517562" w:rsidRDefault="00CD2B6B" w14:paraId="1FA97EA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Cost ($)</w:t>
            </w:r>
          </w:p>
        </w:tc>
      </w:tr>
      <w:tr w:rsidRPr="008A0B86" w:rsidR="00CD2B6B" w:rsidTr="00081437" w14:paraId="3B213927" w14:textId="77777777">
        <w:trPr>
          <w:trHeight w:val="618"/>
        </w:trPr>
        <w:tc>
          <w:tcPr>
            <w:tcW w:w="3039" w:type="dxa"/>
            <w:tcBorders>
              <w:top w:val="double" w:color="auto" w:sz="4" w:space="0"/>
              <w:left w:val="double" w:color="auto" w:sz="4" w:space="0"/>
              <w:right w:val="double" w:color="auto" w:sz="4" w:space="0"/>
            </w:tcBorders>
            <w:vAlign w:val="center"/>
          </w:tcPr>
          <w:p w:rsidRPr="00517562" w:rsidR="00CD2B6B" w:rsidP="00081437" w:rsidRDefault="00CD2B6B" w14:paraId="6B3895DA"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Rule familiarization and training</w:t>
            </w:r>
          </w:p>
        </w:tc>
        <w:tc>
          <w:tcPr>
            <w:tcW w:w="1764" w:type="dxa"/>
            <w:tcBorders>
              <w:top w:val="double" w:color="auto" w:sz="4" w:space="0"/>
              <w:left w:val="double" w:color="auto" w:sz="4" w:space="0"/>
            </w:tcBorders>
            <w:vAlign w:val="center"/>
          </w:tcPr>
          <w:p w:rsidRPr="00517562" w:rsidR="00CD2B6B" w:rsidP="00081437" w:rsidRDefault="00CD2B6B" w14:paraId="74D9CF8B"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1</w:t>
            </w:r>
          </w:p>
        </w:tc>
        <w:tc>
          <w:tcPr>
            <w:tcW w:w="1260" w:type="dxa"/>
            <w:tcBorders>
              <w:top w:val="double" w:color="auto" w:sz="4" w:space="0"/>
            </w:tcBorders>
            <w:vAlign w:val="center"/>
          </w:tcPr>
          <w:p w:rsidRPr="00517562" w:rsidR="00CD2B6B" w:rsidP="00081437" w:rsidRDefault="00CD2B6B" w14:paraId="62FBF15E"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w:t>
            </w:r>
          </w:p>
        </w:tc>
        <w:tc>
          <w:tcPr>
            <w:tcW w:w="1080" w:type="dxa"/>
            <w:tcBorders>
              <w:top w:val="double" w:color="auto" w:sz="4" w:space="0"/>
              <w:right w:val="single" w:color="auto" w:sz="4" w:space="0"/>
            </w:tcBorders>
            <w:vAlign w:val="center"/>
          </w:tcPr>
          <w:p w:rsidRPr="00517562" w:rsidR="00CD2B6B" w:rsidP="00081437" w:rsidRDefault="00CD2B6B" w14:paraId="7667964F"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890" w:type="dxa"/>
            <w:tcBorders>
              <w:top w:val="double" w:color="auto" w:sz="4" w:space="0"/>
              <w:left w:val="single" w:color="auto" w:sz="4" w:space="0"/>
            </w:tcBorders>
            <w:vAlign w:val="center"/>
          </w:tcPr>
          <w:p w:rsidRPr="00517562" w:rsidR="00CD2B6B" w:rsidP="00081437" w:rsidRDefault="00CD2B6B" w14:paraId="7EFE5BDE"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3</w:t>
            </w:r>
          </w:p>
        </w:tc>
        <w:tc>
          <w:tcPr>
            <w:tcW w:w="1147" w:type="dxa"/>
            <w:tcBorders>
              <w:top w:val="double" w:color="auto" w:sz="4" w:space="0"/>
              <w:right w:val="double" w:color="auto" w:sz="4" w:space="0"/>
            </w:tcBorders>
            <w:vAlign w:val="center"/>
          </w:tcPr>
          <w:p w:rsidRPr="00517562" w:rsidR="00CD2B6B" w:rsidP="00081437" w:rsidRDefault="00CD2B6B" w14:paraId="7F17478F"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$323</w:t>
            </w:r>
          </w:p>
        </w:tc>
      </w:tr>
      <w:tr w:rsidRPr="008A0B86" w:rsidR="00CD2B6B" w:rsidTr="00081437" w14:paraId="41E1A6C2" w14:textId="77777777">
        <w:trPr>
          <w:trHeight w:val="881"/>
        </w:trPr>
        <w:tc>
          <w:tcPr>
            <w:tcW w:w="3039" w:type="dxa"/>
            <w:tcBorders>
              <w:left w:val="double" w:color="auto" w:sz="4" w:space="0"/>
              <w:right w:val="double" w:color="auto" w:sz="4" w:space="0"/>
            </w:tcBorders>
            <w:vAlign w:val="center"/>
          </w:tcPr>
          <w:p w:rsidRPr="00517562" w:rsidR="00CD2B6B" w:rsidP="00081437" w:rsidRDefault="00CD2B6B" w14:paraId="049A5EEB"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Primary Review of Scientific and Ethical Aspects of a Protocol</w:t>
            </w:r>
          </w:p>
        </w:tc>
        <w:tc>
          <w:tcPr>
            <w:tcW w:w="1764" w:type="dxa"/>
            <w:tcBorders>
              <w:left w:val="double" w:color="auto" w:sz="4" w:space="0"/>
            </w:tcBorders>
            <w:vAlign w:val="center"/>
          </w:tcPr>
          <w:p w:rsidRPr="00517562" w:rsidR="00CD2B6B" w:rsidP="00081437" w:rsidRDefault="00CD2B6B" w14:paraId="3138175E"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3</w:t>
            </w:r>
          </w:p>
        </w:tc>
        <w:tc>
          <w:tcPr>
            <w:tcW w:w="1260" w:type="dxa"/>
            <w:vAlign w:val="center"/>
          </w:tcPr>
          <w:p w:rsidRPr="00517562" w:rsidR="00CD2B6B" w:rsidP="00081437" w:rsidRDefault="00CD2B6B" w14:paraId="4FE53B40"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210</w:t>
            </w:r>
          </w:p>
        </w:tc>
        <w:tc>
          <w:tcPr>
            <w:tcW w:w="1080" w:type="dxa"/>
            <w:tcBorders>
              <w:right w:val="single" w:color="auto" w:sz="4" w:space="0"/>
            </w:tcBorders>
            <w:vAlign w:val="center"/>
          </w:tcPr>
          <w:p w:rsidRPr="00517562" w:rsidR="00CD2B6B" w:rsidP="00081437" w:rsidRDefault="00CD2B6B" w14:paraId="281EF8BE"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890" w:type="dxa"/>
            <w:tcBorders>
              <w:left w:val="single" w:color="auto" w:sz="4" w:space="0"/>
            </w:tcBorders>
            <w:vAlign w:val="center"/>
          </w:tcPr>
          <w:p w:rsidRPr="00517562" w:rsidR="00CD2B6B" w:rsidP="00081437" w:rsidRDefault="00CD2B6B" w14:paraId="4739597B"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213</w:t>
            </w:r>
          </w:p>
        </w:tc>
        <w:tc>
          <w:tcPr>
            <w:tcW w:w="1147" w:type="dxa"/>
            <w:tcBorders>
              <w:right w:val="double" w:color="auto" w:sz="4" w:space="0"/>
            </w:tcBorders>
            <w:vAlign w:val="center"/>
          </w:tcPr>
          <w:p w:rsidRPr="00517562" w:rsidR="00CD2B6B" w:rsidP="00081437" w:rsidRDefault="00CD2B6B" w14:paraId="7E2A8FF5"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$19,734</w:t>
            </w:r>
          </w:p>
        </w:tc>
      </w:tr>
      <w:tr w:rsidRPr="008A0B86" w:rsidR="00CD2B6B" w:rsidTr="00081437" w14:paraId="7ABD2C71" w14:textId="77777777">
        <w:trPr>
          <w:trHeight w:val="899"/>
        </w:trPr>
        <w:tc>
          <w:tcPr>
            <w:tcW w:w="3039" w:type="dxa"/>
            <w:tcBorders>
              <w:left w:val="double" w:color="auto" w:sz="4" w:space="0"/>
              <w:bottom w:val="single" w:color="auto" w:sz="4" w:space="0"/>
              <w:right w:val="double" w:color="auto" w:sz="4" w:space="0"/>
            </w:tcBorders>
            <w:vAlign w:val="center"/>
          </w:tcPr>
          <w:p w:rsidRPr="00517562" w:rsidR="00CD2B6B" w:rsidP="00081437" w:rsidRDefault="00CD2B6B" w14:paraId="08C74AF4"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Primary Review of Scientific and Ethical Aspects of a Completed Study Report</w:t>
            </w:r>
          </w:p>
        </w:tc>
        <w:tc>
          <w:tcPr>
            <w:tcW w:w="1764" w:type="dxa"/>
            <w:tcBorders>
              <w:left w:val="double" w:color="auto" w:sz="4" w:space="0"/>
              <w:bottom w:val="single" w:color="auto" w:sz="4" w:space="0"/>
            </w:tcBorders>
            <w:vAlign w:val="center"/>
          </w:tcPr>
          <w:p w:rsidRPr="00517562" w:rsidR="00CD2B6B" w:rsidP="00081437" w:rsidRDefault="00CD2B6B" w14:paraId="60932A63"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3</w:t>
            </w:r>
          </w:p>
        </w:tc>
        <w:tc>
          <w:tcPr>
            <w:tcW w:w="1260" w:type="dxa"/>
            <w:tcBorders>
              <w:bottom w:val="single" w:color="auto" w:sz="4" w:space="0"/>
            </w:tcBorders>
            <w:vAlign w:val="center"/>
          </w:tcPr>
          <w:p w:rsidRPr="00517562" w:rsidR="00CD2B6B" w:rsidP="00081437" w:rsidRDefault="00CD2B6B" w14:paraId="08CDF734"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235</w:t>
            </w:r>
          </w:p>
        </w:tc>
        <w:tc>
          <w:tcPr>
            <w:tcW w:w="1080" w:type="dxa"/>
            <w:tcBorders>
              <w:bottom w:val="single" w:color="auto" w:sz="4" w:space="0"/>
              <w:right w:val="single" w:color="auto" w:sz="4" w:space="0"/>
            </w:tcBorders>
            <w:vAlign w:val="center"/>
          </w:tcPr>
          <w:p w:rsidRPr="00517562" w:rsidR="00CD2B6B" w:rsidP="00081437" w:rsidRDefault="00CD2B6B" w14:paraId="6091343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890" w:type="dxa"/>
            <w:tcBorders>
              <w:left w:val="single" w:color="auto" w:sz="4" w:space="0"/>
            </w:tcBorders>
            <w:vAlign w:val="center"/>
          </w:tcPr>
          <w:p w:rsidRPr="00517562" w:rsidR="00CD2B6B" w:rsidP="00081437" w:rsidRDefault="00CD2B6B" w14:paraId="3D8C45BF"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238</w:t>
            </w:r>
          </w:p>
        </w:tc>
        <w:tc>
          <w:tcPr>
            <w:tcW w:w="1147" w:type="dxa"/>
            <w:tcBorders>
              <w:right w:val="double" w:color="auto" w:sz="4" w:space="0"/>
            </w:tcBorders>
            <w:vAlign w:val="center"/>
          </w:tcPr>
          <w:p w:rsidRPr="00517562" w:rsidR="00CD2B6B" w:rsidP="00081437" w:rsidRDefault="00CD2B6B" w14:paraId="495C7339"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$22,034</w:t>
            </w:r>
          </w:p>
        </w:tc>
      </w:tr>
      <w:tr w:rsidRPr="008A0B86" w:rsidR="00CD2B6B" w:rsidTr="00081437" w14:paraId="74E11C33" w14:textId="77777777">
        <w:trPr>
          <w:trHeight w:val="899"/>
        </w:trPr>
        <w:tc>
          <w:tcPr>
            <w:tcW w:w="3039" w:type="dxa"/>
            <w:tcBorders>
              <w:left w:val="double" w:color="auto" w:sz="4" w:space="0"/>
              <w:right w:val="double" w:color="auto" w:sz="4" w:space="0"/>
            </w:tcBorders>
            <w:vAlign w:val="center"/>
          </w:tcPr>
          <w:p w:rsidRPr="00517562" w:rsidR="00CD2B6B" w:rsidP="00081437" w:rsidRDefault="00CD2B6B" w14:paraId="465EE9FB"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Secondary Review of Scientific and Ethical Aspects of a Protocol</w:t>
            </w:r>
          </w:p>
        </w:tc>
        <w:tc>
          <w:tcPr>
            <w:tcW w:w="4994" w:type="dxa"/>
            <w:gridSpan w:val="4"/>
            <w:tcBorders>
              <w:left w:val="double" w:color="auto" w:sz="4" w:space="0"/>
            </w:tcBorders>
            <w:vAlign w:val="center"/>
          </w:tcPr>
          <w:p w:rsidRPr="00517562" w:rsidR="00CD2B6B" w:rsidP="00081437" w:rsidRDefault="00CD2B6B" w14:paraId="424310A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197</w:t>
            </w:r>
          </w:p>
        </w:tc>
        <w:tc>
          <w:tcPr>
            <w:tcW w:w="1147" w:type="dxa"/>
            <w:tcBorders>
              <w:right w:val="double" w:color="auto" w:sz="4" w:space="0"/>
            </w:tcBorders>
            <w:vAlign w:val="center"/>
          </w:tcPr>
          <w:p w:rsidRPr="00517562" w:rsidR="00CD2B6B" w:rsidP="00081437" w:rsidRDefault="00CD2B6B" w14:paraId="21E1F783"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$4,694*</w:t>
            </w:r>
          </w:p>
        </w:tc>
      </w:tr>
      <w:tr w:rsidRPr="008A0B86" w:rsidR="00CD2B6B" w:rsidTr="00081437" w14:paraId="6DF46D39" w14:textId="77777777">
        <w:trPr>
          <w:trHeight w:val="881"/>
        </w:trPr>
        <w:tc>
          <w:tcPr>
            <w:tcW w:w="3039" w:type="dxa"/>
            <w:tcBorders>
              <w:left w:val="double" w:color="auto" w:sz="4" w:space="0"/>
              <w:right w:val="double" w:color="auto" w:sz="4" w:space="0"/>
            </w:tcBorders>
            <w:vAlign w:val="center"/>
          </w:tcPr>
          <w:p w:rsidRPr="00517562" w:rsidR="00CD2B6B" w:rsidP="00081437" w:rsidRDefault="00CD2B6B" w14:paraId="7B03D8E5"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Secondary Review of Scientific and Ethical Aspects of a Completed Report</w:t>
            </w:r>
          </w:p>
        </w:tc>
        <w:tc>
          <w:tcPr>
            <w:tcW w:w="4994" w:type="dxa"/>
            <w:gridSpan w:val="4"/>
            <w:tcBorders>
              <w:left w:val="double" w:color="auto" w:sz="4" w:space="0"/>
            </w:tcBorders>
            <w:vAlign w:val="center"/>
          </w:tcPr>
          <w:p w:rsidRPr="00517562" w:rsidR="00CD2B6B" w:rsidP="00081437" w:rsidRDefault="00CD2B6B" w14:paraId="5DA4B98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197</w:t>
            </w:r>
          </w:p>
        </w:tc>
        <w:tc>
          <w:tcPr>
            <w:tcW w:w="1147" w:type="dxa"/>
            <w:tcBorders>
              <w:right w:val="double" w:color="auto" w:sz="4" w:space="0"/>
            </w:tcBorders>
            <w:vAlign w:val="center"/>
          </w:tcPr>
          <w:p w:rsidRPr="00517562" w:rsidR="00CD2B6B" w:rsidP="00081437" w:rsidRDefault="00CD2B6B" w14:paraId="136D94DC"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$4,694*</w:t>
            </w:r>
          </w:p>
        </w:tc>
      </w:tr>
      <w:tr w:rsidRPr="008A0B86" w:rsidR="00CD2B6B" w:rsidTr="00081437" w14:paraId="1DFD76E9" w14:textId="77777777">
        <w:trPr>
          <w:trHeight w:val="584"/>
        </w:trPr>
        <w:tc>
          <w:tcPr>
            <w:tcW w:w="3039" w:type="dxa"/>
            <w:tcBorders>
              <w:left w:val="double" w:color="auto" w:sz="4" w:space="0"/>
              <w:right w:val="double" w:color="auto" w:sz="4" w:space="0"/>
            </w:tcBorders>
            <w:vAlign w:val="center"/>
          </w:tcPr>
          <w:p w:rsidRPr="00517562" w:rsidR="00CD2B6B" w:rsidP="00081437" w:rsidRDefault="00CD2B6B" w14:paraId="550F117A"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Store, file, and maintain records</w:t>
            </w:r>
          </w:p>
        </w:tc>
        <w:tc>
          <w:tcPr>
            <w:tcW w:w="1764" w:type="dxa"/>
            <w:tcBorders>
              <w:left w:val="double" w:color="auto" w:sz="4" w:space="0"/>
            </w:tcBorders>
            <w:vAlign w:val="center"/>
          </w:tcPr>
          <w:p w:rsidRPr="00517562" w:rsidR="00CD2B6B" w:rsidP="00081437" w:rsidRDefault="00CD2B6B" w14:paraId="3E1E5335"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260" w:type="dxa"/>
            <w:vAlign w:val="center"/>
          </w:tcPr>
          <w:p w:rsidRPr="00517562" w:rsidR="00CD2B6B" w:rsidP="00081437" w:rsidRDefault="00CD2B6B" w14:paraId="2C6AE296"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080" w:type="dxa"/>
            <w:tcBorders>
              <w:right w:val="single" w:color="auto" w:sz="4" w:space="0"/>
            </w:tcBorders>
            <w:vAlign w:val="center"/>
          </w:tcPr>
          <w:p w:rsidRPr="00517562" w:rsidR="00CD2B6B" w:rsidP="00081437" w:rsidRDefault="00CD2B6B" w14:paraId="1B834F2A"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w:t>
            </w:r>
          </w:p>
        </w:tc>
        <w:tc>
          <w:tcPr>
            <w:tcW w:w="890" w:type="dxa"/>
            <w:tcBorders>
              <w:left w:val="single" w:color="auto" w:sz="4" w:space="0"/>
            </w:tcBorders>
            <w:vAlign w:val="center"/>
          </w:tcPr>
          <w:p w:rsidRPr="00517562" w:rsidR="00CD2B6B" w:rsidP="00081437" w:rsidRDefault="00CD2B6B" w14:paraId="1780BA5A"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w:t>
            </w:r>
          </w:p>
        </w:tc>
        <w:tc>
          <w:tcPr>
            <w:tcW w:w="1147" w:type="dxa"/>
            <w:tcBorders>
              <w:right w:val="double" w:color="auto" w:sz="4" w:space="0"/>
            </w:tcBorders>
            <w:vAlign w:val="center"/>
          </w:tcPr>
          <w:p w:rsidRPr="00517562" w:rsidR="00CD2B6B" w:rsidP="00081437" w:rsidRDefault="00CD2B6B" w14:paraId="4079DC19"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$ 102</w:t>
            </w:r>
          </w:p>
        </w:tc>
      </w:tr>
      <w:tr w:rsidRPr="008A0B86" w:rsidR="00CD2B6B" w:rsidTr="00081437" w14:paraId="79507803" w14:textId="77777777">
        <w:trPr>
          <w:trHeight w:val="422"/>
        </w:trPr>
        <w:tc>
          <w:tcPr>
            <w:tcW w:w="3039" w:type="dxa"/>
            <w:tcBorders>
              <w:left w:val="double" w:color="auto" w:sz="4" w:space="0"/>
              <w:bottom w:val="double" w:color="auto" w:sz="4" w:space="0"/>
              <w:right w:val="double" w:color="auto" w:sz="4" w:space="0"/>
            </w:tcBorders>
            <w:vAlign w:val="center"/>
          </w:tcPr>
          <w:p w:rsidRPr="00517562" w:rsidR="00CD2B6B" w:rsidP="00081437" w:rsidRDefault="00CD2B6B" w14:paraId="1FC79B98"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Total per response</w:t>
            </w:r>
          </w:p>
        </w:tc>
        <w:tc>
          <w:tcPr>
            <w:tcW w:w="1764" w:type="dxa"/>
            <w:tcBorders>
              <w:left w:val="double" w:color="auto" w:sz="4" w:space="0"/>
              <w:bottom w:val="double" w:color="auto" w:sz="4" w:space="0"/>
            </w:tcBorders>
            <w:vAlign w:val="center"/>
          </w:tcPr>
          <w:p w:rsidRPr="00517562" w:rsidR="00CD2B6B" w:rsidP="00081437" w:rsidRDefault="00CD2B6B" w14:paraId="47A8CC9E"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7</w:t>
            </w:r>
          </w:p>
        </w:tc>
        <w:tc>
          <w:tcPr>
            <w:tcW w:w="1260" w:type="dxa"/>
            <w:tcBorders>
              <w:bottom w:val="double" w:color="auto" w:sz="4" w:space="0"/>
            </w:tcBorders>
            <w:vAlign w:val="center"/>
          </w:tcPr>
          <w:p w:rsidRPr="00517562" w:rsidR="00CD2B6B" w:rsidP="00081437" w:rsidRDefault="00CD2B6B" w14:paraId="31BE9E4B"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841</w:t>
            </w:r>
          </w:p>
        </w:tc>
        <w:tc>
          <w:tcPr>
            <w:tcW w:w="1080" w:type="dxa"/>
            <w:tcBorders>
              <w:bottom w:val="double" w:color="auto" w:sz="4" w:space="0"/>
              <w:right w:val="single" w:color="auto" w:sz="4" w:space="0"/>
            </w:tcBorders>
            <w:vAlign w:val="center"/>
          </w:tcPr>
          <w:p w:rsidRPr="00517562" w:rsidR="00CD2B6B" w:rsidP="00081437" w:rsidRDefault="00CD2B6B" w14:paraId="78CB755D"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2</w:t>
            </w:r>
          </w:p>
        </w:tc>
        <w:tc>
          <w:tcPr>
            <w:tcW w:w="890" w:type="dxa"/>
            <w:tcBorders>
              <w:left w:val="single" w:color="auto" w:sz="4" w:space="0"/>
              <w:bottom w:val="double" w:color="auto" w:sz="4" w:space="0"/>
            </w:tcBorders>
            <w:vAlign w:val="center"/>
          </w:tcPr>
          <w:p w:rsidRPr="00517562" w:rsidR="00CD2B6B" w:rsidP="00081437" w:rsidRDefault="00CD2B6B" w14:paraId="306273FC"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850</w:t>
            </w:r>
          </w:p>
        </w:tc>
        <w:tc>
          <w:tcPr>
            <w:tcW w:w="1147" w:type="dxa"/>
            <w:tcBorders>
              <w:bottom w:val="double" w:color="auto" w:sz="4" w:space="0"/>
              <w:right w:val="double" w:color="auto" w:sz="4" w:space="0"/>
            </w:tcBorders>
            <w:vAlign w:val="center"/>
          </w:tcPr>
          <w:p w:rsidRPr="00517562" w:rsidR="00CD2B6B" w:rsidP="00081437" w:rsidRDefault="00CD2B6B" w14:paraId="4C08667C"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$51,581</w:t>
            </w:r>
          </w:p>
        </w:tc>
      </w:tr>
    </w:tbl>
    <w:p w:rsidR="009F0F92" w:rsidP="009F0F92" w:rsidRDefault="00CD2B6B" w14:paraId="490D76A3" w14:textId="77777777">
      <w:pPr>
        <w:spacing w:after="0"/>
        <w:rPr>
          <w:rFonts w:cs="Arial"/>
          <w:sz w:val="18"/>
          <w:szCs w:val="18"/>
        </w:rPr>
      </w:pPr>
      <w:r w:rsidRPr="00A778B7">
        <w:rPr>
          <w:rFonts w:cs="Arial"/>
          <w:b/>
          <w:sz w:val="18"/>
          <w:szCs w:val="18"/>
        </w:rPr>
        <w:lastRenderedPageBreak/>
        <w:t>*</w:t>
      </w:r>
      <w:r w:rsidRPr="00A778B7">
        <w:rPr>
          <w:rFonts w:cs="Arial"/>
          <w:sz w:val="18"/>
          <w:szCs w:val="18"/>
        </w:rPr>
        <w:t>HSRB members are special government employees; their time should be reflected as part of Agency burden. Cost of</w:t>
      </w:r>
      <w:r w:rsidRPr="00A778B7">
        <w:rPr>
          <w:rFonts w:cs="Arial"/>
          <w:b/>
          <w:sz w:val="18"/>
          <w:szCs w:val="18"/>
        </w:rPr>
        <w:t xml:space="preserve"> </w:t>
      </w:r>
      <w:r w:rsidRPr="00A778B7">
        <w:rPr>
          <w:rFonts w:cs="Arial"/>
          <w:sz w:val="18"/>
          <w:szCs w:val="18"/>
        </w:rPr>
        <w:t>HSRB members working on the HSRB report (collectively spending 197 hours per HSRB report in FY 2011, compensated at the 20</w:t>
      </w:r>
      <w:r>
        <w:rPr>
          <w:rFonts w:cs="Arial"/>
          <w:sz w:val="18"/>
          <w:szCs w:val="18"/>
        </w:rPr>
        <w:t>20</w:t>
      </w:r>
      <w:r w:rsidRPr="00A778B7">
        <w:rPr>
          <w:rFonts w:cs="Arial"/>
          <w:sz w:val="18"/>
          <w:szCs w:val="18"/>
        </w:rPr>
        <w:t xml:space="preserve"> rate of $59/hour), plus the cost of the EPA Office of the Science Advisor (OSA) technical staff working on the HSRB report (30 hours per report, at the technical staff rate of $82/hour). Each HSRB report covers an average of 2 protocols and/or completed studies per report, so each topic costs an average of $4,694.</w:t>
      </w:r>
    </w:p>
    <w:p w:rsidRPr="00A778B7" w:rsidR="00CD2B6B" w:rsidP="009F0F92" w:rsidRDefault="00CD2B6B" w14:paraId="1EB64F4A" w14:textId="6DEBE7AB">
      <w:pPr>
        <w:spacing w:after="0"/>
        <w:rPr>
          <w:rFonts w:cs="Arial"/>
          <w:sz w:val="18"/>
          <w:szCs w:val="18"/>
        </w:rPr>
      </w:pPr>
      <w:r w:rsidRPr="00A778B7">
        <w:rPr>
          <w:rFonts w:cs="Arial"/>
          <w:sz w:val="18"/>
          <w:szCs w:val="18"/>
        </w:rPr>
        <w:t xml:space="preserve">Annual Burden: 850 hours per response x </w:t>
      </w:r>
      <w:r w:rsidR="00AC0A29">
        <w:rPr>
          <w:rFonts w:cs="Arial"/>
          <w:sz w:val="18"/>
          <w:szCs w:val="18"/>
        </w:rPr>
        <w:t>4</w:t>
      </w:r>
      <w:r w:rsidRPr="00A778B7">
        <w:rPr>
          <w:rFonts w:cs="Arial"/>
          <w:sz w:val="18"/>
          <w:szCs w:val="18"/>
        </w:rPr>
        <w:t xml:space="preserve"> per year = 5,950 hours plus 30 for OSA review of HSRB report = 5,980 hours</w:t>
      </w:r>
    </w:p>
    <w:p w:rsidRPr="00A778B7" w:rsidR="00CD2B6B" w:rsidP="009F0F92" w:rsidRDefault="00CD2B6B" w14:paraId="530C86B9" w14:textId="372D469B">
      <w:pPr>
        <w:spacing w:before="1" w:after="0" w:line="280" w:lineRule="exact"/>
        <w:rPr>
          <w:rFonts w:cs="Arial"/>
          <w:sz w:val="18"/>
          <w:szCs w:val="18"/>
        </w:rPr>
      </w:pPr>
      <w:r w:rsidRPr="00A778B7">
        <w:rPr>
          <w:rFonts w:cs="Arial"/>
          <w:sz w:val="18"/>
          <w:szCs w:val="18"/>
        </w:rPr>
        <w:t>Annual Costs: $51,</w:t>
      </w:r>
      <w:r w:rsidR="009D4ACE">
        <w:rPr>
          <w:rFonts w:cs="Arial"/>
          <w:sz w:val="18"/>
          <w:szCs w:val="18"/>
        </w:rPr>
        <w:t>5</w:t>
      </w:r>
      <w:r w:rsidRPr="00A778B7">
        <w:rPr>
          <w:rFonts w:cs="Arial"/>
          <w:sz w:val="18"/>
          <w:szCs w:val="18"/>
        </w:rPr>
        <w:t xml:space="preserve">81 x </w:t>
      </w:r>
      <w:r w:rsidR="009D4ACE">
        <w:rPr>
          <w:rFonts w:cs="Arial"/>
          <w:sz w:val="18"/>
          <w:szCs w:val="18"/>
        </w:rPr>
        <w:t xml:space="preserve">4 </w:t>
      </w:r>
      <w:r w:rsidRPr="00A778B7">
        <w:rPr>
          <w:rFonts w:cs="Arial"/>
          <w:sz w:val="18"/>
          <w:szCs w:val="18"/>
        </w:rPr>
        <w:t>responses/year = $</w:t>
      </w:r>
      <w:r w:rsidR="009D4ACE">
        <w:rPr>
          <w:rFonts w:cs="Arial"/>
          <w:sz w:val="18"/>
          <w:szCs w:val="18"/>
        </w:rPr>
        <w:t>206,324</w:t>
      </w:r>
    </w:p>
    <w:p w:rsidR="00CD2B6B" w:rsidP="009F0F92" w:rsidRDefault="00CD2B6B" w14:paraId="229953EE" w14:textId="292CE077">
      <w:pPr>
        <w:spacing w:before="1" w:after="0" w:line="280" w:lineRule="exact"/>
        <w:rPr>
          <w:rFonts w:cs="Arial"/>
          <w:sz w:val="18"/>
          <w:szCs w:val="18"/>
        </w:rPr>
      </w:pPr>
      <w:r w:rsidRPr="00A778B7">
        <w:rPr>
          <w:rFonts w:cs="Arial"/>
          <w:sz w:val="18"/>
          <w:szCs w:val="18"/>
        </w:rPr>
        <w:t xml:space="preserve">Please note that the estimated </w:t>
      </w:r>
      <w:r w:rsidR="009D4ACE">
        <w:rPr>
          <w:rFonts w:cs="Arial"/>
          <w:sz w:val="18"/>
          <w:szCs w:val="18"/>
        </w:rPr>
        <w:t>4</w:t>
      </w:r>
      <w:r w:rsidRPr="00A778B7">
        <w:rPr>
          <w:rFonts w:cs="Arial"/>
          <w:sz w:val="18"/>
          <w:szCs w:val="18"/>
        </w:rPr>
        <w:t xml:space="preserve"> “responses” per year include </w:t>
      </w:r>
      <w:r w:rsidR="009D4ACE">
        <w:rPr>
          <w:rFonts w:cs="Arial"/>
          <w:sz w:val="18"/>
          <w:szCs w:val="18"/>
        </w:rPr>
        <w:t>4</w:t>
      </w:r>
      <w:r w:rsidRPr="00A778B7">
        <w:rPr>
          <w:rFonts w:cs="Arial"/>
          <w:sz w:val="18"/>
          <w:szCs w:val="18"/>
        </w:rPr>
        <w:t xml:space="preserve"> protocols plus </w:t>
      </w:r>
      <w:r w:rsidR="009D4ACE">
        <w:rPr>
          <w:rFonts w:cs="Arial"/>
          <w:sz w:val="18"/>
          <w:szCs w:val="18"/>
        </w:rPr>
        <w:t>4</w:t>
      </w:r>
      <w:r w:rsidRPr="00A778B7">
        <w:rPr>
          <w:rFonts w:cs="Arial"/>
          <w:sz w:val="18"/>
          <w:szCs w:val="18"/>
        </w:rPr>
        <w:t xml:space="preserve"> studies.  This approach is consistent with that used and approved for this ICR in previous years.</w:t>
      </w:r>
    </w:p>
    <w:p w:rsidRPr="00DA458F" w:rsidR="00945687" w:rsidP="00CD2B6B" w:rsidRDefault="00945687" w14:paraId="01919295" w14:textId="77777777">
      <w:pPr>
        <w:spacing w:before="1" w:after="0" w:line="280" w:lineRule="exact"/>
        <w:rPr>
          <w:rFonts w:cs="Arial"/>
          <w:b/>
          <w:szCs w:val="24"/>
        </w:rPr>
      </w:pPr>
    </w:p>
    <w:p w:rsidRPr="00DA458F" w:rsidR="00CD2B6B" w:rsidP="00CD2B6B" w:rsidRDefault="00CD2B6B" w14:paraId="29FFD402" w14:textId="77777777">
      <w:pPr>
        <w:spacing w:before="1" w:after="0" w:line="280" w:lineRule="exact"/>
        <w:rPr>
          <w:rFonts w:cs="Arial"/>
          <w:b/>
          <w:szCs w:val="24"/>
        </w:rPr>
      </w:pPr>
      <w:r w:rsidRPr="00DA458F">
        <w:rPr>
          <w:rFonts w:cs="Arial"/>
          <w:b/>
          <w:szCs w:val="24"/>
        </w:rPr>
        <w:t>Table 4.</w:t>
      </w:r>
      <w:r w:rsidRPr="00DA458F">
        <w:rPr>
          <w:rFonts w:cs="Arial"/>
          <w:szCs w:val="24"/>
        </w:rPr>
        <w:t xml:space="preserve">  Weighted Average Agency Burden and Cost Estimates – Research Involving Intentional Exposure – All Other Submitted Research with Human Subjects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83"/>
        <w:gridCol w:w="1620"/>
        <w:gridCol w:w="1260"/>
        <w:gridCol w:w="1080"/>
        <w:gridCol w:w="890"/>
        <w:gridCol w:w="1018"/>
      </w:tblGrid>
      <w:tr w:rsidRPr="008A0B86" w:rsidR="00CD2B6B" w:rsidTr="00081437" w14:paraId="5AF09795" w14:textId="77777777">
        <w:tc>
          <w:tcPr>
            <w:tcW w:w="3183" w:type="dxa"/>
            <w:vMerge w:val="restart"/>
            <w:tcBorders>
              <w:top w:val="double" w:color="auto" w:sz="4" w:space="0"/>
              <w:left w:val="double" w:color="auto" w:sz="4" w:space="0"/>
              <w:right w:val="double" w:color="auto" w:sz="4" w:space="0"/>
            </w:tcBorders>
            <w:shd w:val="clear" w:color="auto" w:fill="D9D9D9"/>
            <w:vAlign w:val="center"/>
          </w:tcPr>
          <w:p w:rsidRPr="00517562" w:rsidR="00CD2B6B" w:rsidP="00517562" w:rsidRDefault="00CD2B6B" w14:paraId="56751E6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Activities</w:t>
            </w:r>
          </w:p>
        </w:tc>
        <w:tc>
          <w:tcPr>
            <w:tcW w:w="3960" w:type="dxa"/>
            <w:gridSpan w:val="3"/>
            <w:tcBorders>
              <w:top w:val="double" w:color="auto" w:sz="4" w:space="0"/>
              <w:left w:val="double" w:color="auto" w:sz="4" w:space="0"/>
              <w:right w:val="single" w:color="auto" w:sz="4" w:space="0"/>
            </w:tcBorders>
            <w:shd w:val="clear" w:color="auto" w:fill="D9D9D9"/>
            <w:vAlign w:val="center"/>
          </w:tcPr>
          <w:p w:rsidRPr="00517562" w:rsidR="00CD2B6B" w:rsidP="00517562" w:rsidRDefault="00CD2B6B" w14:paraId="661D234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Average Burden Hours Per Response</w:t>
            </w:r>
          </w:p>
        </w:tc>
        <w:tc>
          <w:tcPr>
            <w:tcW w:w="1908" w:type="dxa"/>
            <w:gridSpan w:val="2"/>
            <w:tcBorders>
              <w:top w:val="double" w:color="auto" w:sz="4" w:space="0"/>
              <w:left w:val="single" w:color="auto" w:sz="4" w:space="0"/>
              <w:right w:val="double" w:color="auto" w:sz="4" w:space="0"/>
            </w:tcBorders>
            <w:shd w:val="clear" w:color="auto" w:fill="D9D9D9"/>
            <w:vAlign w:val="center"/>
          </w:tcPr>
          <w:p w:rsidRPr="00517562" w:rsidR="00CD2B6B" w:rsidP="00517562" w:rsidRDefault="00CD2B6B" w14:paraId="06E0037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Total Per Response</w:t>
            </w:r>
          </w:p>
        </w:tc>
      </w:tr>
      <w:tr w:rsidRPr="008A0B86" w:rsidR="00CD2B6B" w:rsidTr="00081437" w14:paraId="74C6087F" w14:textId="77777777">
        <w:trPr>
          <w:trHeight w:val="620"/>
        </w:trPr>
        <w:tc>
          <w:tcPr>
            <w:tcW w:w="3183" w:type="dxa"/>
            <w:vMerge/>
            <w:tcBorders>
              <w:left w:val="double" w:color="auto" w:sz="4" w:space="0"/>
              <w:bottom w:val="double" w:color="auto" w:sz="4" w:space="0"/>
              <w:right w:val="double" w:color="auto" w:sz="4" w:space="0"/>
            </w:tcBorders>
            <w:shd w:val="clear" w:color="auto" w:fill="D9D9D9"/>
            <w:vAlign w:val="center"/>
          </w:tcPr>
          <w:p w:rsidRPr="00517562" w:rsidR="00CD2B6B" w:rsidP="00517562" w:rsidRDefault="00CD2B6B" w14:paraId="5AF41C4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p>
        </w:tc>
        <w:tc>
          <w:tcPr>
            <w:tcW w:w="1620" w:type="dxa"/>
            <w:tcBorders>
              <w:left w:val="double" w:color="auto" w:sz="4" w:space="0"/>
              <w:bottom w:val="double" w:color="auto" w:sz="4" w:space="0"/>
            </w:tcBorders>
            <w:shd w:val="clear" w:color="auto" w:fill="D9D9D9"/>
            <w:vAlign w:val="center"/>
          </w:tcPr>
          <w:p w:rsidRPr="00517562" w:rsidR="00CD2B6B" w:rsidP="00517562" w:rsidRDefault="00CD2B6B" w14:paraId="61EE826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Management</w:t>
            </w:r>
          </w:p>
          <w:p w:rsidRPr="00517562" w:rsidR="00CD2B6B" w:rsidP="00517562" w:rsidRDefault="00CD2B6B" w14:paraId="160D676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$139/</w:t>
            </w:r>
            <w:proofErr w:type="spellStart"/>
            <w:r w:rsidRPr="00517562">
              <w:rPr>
                <w:rFonts w:asciiTheme="minorHAnsi" w:hAnsiTheme="minorHAnsi" w:cstheme="minorHAnsi"/>
                <w:b/>
                <w:color w:val="000000"/>
                <w:sz w:val="20"/>
                <w:szCs w:val="20"/>
              </w:rPr>
              <w:t>hr</w:t>
            </w:r>
            <w:proofErr w:type="spellEnd"/>
          </w:p>
        </w:tc>
        <w:tc>
          <w:tcPr>
            <w:tcW w:w="1260" w:type="dxa"/>
            <w:tcBorders>
              <w:bottom w:val="double" w:color="auto" w:sz="4" w:space="0"/>
            </w:tcBorders>
            <w:shd w:val="clear" w:color="auto" w:fill="D9D9D9"/>
            <w:vAlign w:val="center"/>
          </w:tcPr>
          <w:p w:rsidRPr="00517562" w:rsidR="00CD2B6B" w:rsidP="00517562" w:rsidRDefault="00CD2B6B" w14:paraId="1B43FC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Technical</w:t>
            </w:r>
          </w:p>
          <w:p w:rsidRPr="00517562" w:rsidR="00CD2B6B" w:rsidP="00517562" w:rsidRDefault="00CD2B6B" w14:paraId="1A44765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$92/</w:t>
            </w:r>
            <w:proofErr w:type="spellStart"/>
            <w:r w:rsidRPr="00517562">
              <w:rPr>
                <w:rFonts w:asciiTheme="minorHAnsi" w:hAnsiTheme="minorHAnsi" w:cstheme="minorHAnsi"/>
                <w:b/>
                <w:color w:val="000000"/>
                <w:sz w:val="20"/>
                <w:szCs w:val="20"/>
              </w:rPr>
              <w:t>hr</w:t>
            </w:r>
            <w:proofErr w:type="spellEnd"/>
          </w:p>
        </w:tc>
        <w:tc>
          <w:tcPr>
            <w:tcW w:w="1080" w:type="dxa"/>
            <w:tcBorders>
              <w:bottom w:val="double" w:color="auto" w:sz="4" w:space="0"/>
              <w:right w:val="single" w:color="auto" w:sz="4" w:space="0"/>
            </w:tcBorders>
            <w:shd w:val="clear" w:color="auto" w:fill="D9D9D9"/>
            <w:vAlign w:val="center"/>
          </w:tcPr>
          <w:p w:rsidRPr="00517562" w:rsidR="00CD2B6B" w:rsidP="00517562" w:rsidRDefault="00CD2B6B" w14:paraId="4F7DD07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Clerical</w:t>
            </w:r>
          </w:p>
          <w:p w:rsidRPr="00517562" w:rsidR="00CD2B6B" w:rsidP="00517562" w:rsidRDefault="00CD2B6B" w14:paraId="28B3105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$51/</w:t>
            </w:r>
            <w:proofErr w:type="spellStart"/>
            <w:r w:rsidRPr="00517562">
              <w:rPr>
                <w:rFonts w:asciiTheme="minorHAnsi" w:hAnsiTheme="minorHAnsi" w:cstheme="minorHAnsi"/>
                <w:b/>
                <w:color w:val="000000"/>
                <w:sz w:val="20"/>
                <w:szCs w:val="20"/>
              </w:rPr>
              <w:t>hr</w:t>
            </w:r>
            <w:proofErr w:type="spellEnd"/>
          </w:p>
        </w:tc>
        <w:tc>
          <w:tcPr>
            <w:tcW w:w="890" w:type="dxa"/>
            <w:tcBorders>
              <w:left w:val="single" w:color="auto" w:sz="4" w:space="0"/>
              <w:bottom w:val="double" w:color="auto" w:sz="4" w:space="0"/>
            </w:tcBorders>
            <w:shd w:val="clear" w:color="auto" w:fill="D9D9D9"/>
            <w:vAlign w:val="center"/>
          </w:tcPr>
          <w:p w:rsidRPr="00517562" w:rsidR="00CD2B6B" w:rsidP="00517562" w:rsidRDefault="00CD2B6B" w14:paraId="7885B7E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Hours</w:t>
            </w:r>
          </w:p>
        </w:tc>
        <w:tc>
          <w:tcPr>
            <w:tcW w:w="1018" w:type="dxa"/>
            <w:tcBorders>
              <w:bottom w:val="double" w:color="auto" w:sz="4" w:space="0"/>
              <w:right w:val="double" w:color="auto" w:sz="4" w:space="0"/>
            </w:tcBorders>
            <w:shd w:val="clear" w:color="auto" w:fill="D9D9D9"/>
            <w:vAlign w:val="center"/>
          </w:tcPr>
          <w:p w:rsidRPr="00517562" w:rsidR="00CD2B6B" w:rsidP="00517562" w:rsidRDefault="00CD2B6B" w14:paraId="3CED403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heme="minorHAnsi" w:hAnsiTheme="minorHAnsi" w:cstheme="minorHAnsi"/>
                <w:b/>
                <w:color w:val="000000"/>
                <w:sz w:val="20"/>
                <w:szCs w:val="20"/>
              </w:rPr>
            </w:pPr>
            <w:r w:rsidRPr="00517562">
              <w:rPr>
                <w:rFonts w:asciiTheme="minorHAnsi" w:hAnsiTheme="minorHAnsi" w:cstheme="minorHAnsi"/>
                <w:b/>
                <w:color w:val="000000"/>
                <w:sz w:val="20"/>
                <w:szCs w:val="20"/>
              </w:rPr>
              <w:t>Cost ($)</w:t>
            </w:r>
          </w:p>
        </w:tc>
      </w:tr>
      <w:tr w:rsidRPr="008A0B86" w:rsidR="00CD2B6B" w:rsidTr="00081437" w14:paraId="4840AF8D" w14:textId="77777777">
        <w:trPr>
          <w:trHeight w:val="600"/>
        </w:trPr>
        <w:tc>
          <w:tcPr>
            <w:tcW w:w="3183" w:type="dxa"/>
            <w:tcBorders>
              <w:top w:val="double" w:color="auto" w:sz="4" w:space="0"/>
              <w:left w:val="double" w:color="auto" w:sz="4" w:space="0"/>
              <w:right w:val="double" w:color="auto" w:sz="4" w:space="0"/>
            </w:tcBorders>
            <w:vAlign w:val="center"/>
          </w:tcPr>
          <w:p w:rsidRPr="00517562" w:rsidR="00CD2B6B" w:rsidP="00081437" w:rsidRDefault="00CD2B6B" w14:paraId="6C40F40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Rule familiarization and training</w:t>
            </w:r>
          </w:p>
        </w:tc>
        <w:tc>
          <w:tcPr>
            <w:tcW w:w="1620" w:type="dxa"/>
            <w:tcBorders>
              <w:top w:val="double" w:color="auto" w:sz="4" w:space="0"/>
              <w:left w:val="double" w:color="auto" w:sz="4" w:space="0"/>
            </w:tcBorders>
            <w:vAlign w:val="center"/>
          </w:tcPr>
          <w:p w:rsidRPr="00517562" w:rsidR="00CD2B6B" w:rsidP="00081437" w:rsidRDefault="00CD2B6B" w14:paraId="12DDE4F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260" w:type="dxa"/>
            <w:tcBorders>
              <w:top w:val="double" w:color="auto" w:sz="4" w:space="0"/>
            </w:tcBorders>
            <w:vAlign w:val="center"/>
          </w:tcPr>
          <w:p w:rsidRPr="00517562" w:rsidR="00CD2B6B" w:rsidP="00081437" w:rsidRDefault="00CD2B6B" w14:paraId="65A4C0E6"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080" w:type="dxa"/>
            <w:tcBorders>
              <w:top w:val="double" w:color="auto" w:sz="4" w:space="0"/>
              <w:right w:val="single" w:color="auto" w:sz="4" w:space="0"/>
            </w:tcBorders>
            <w:vAlign w:val="center"/>
          </w:tcPr>
          <w:p w:rsidRPr="00517562" w:rsidR="00CD2B6B" w:rsidP="00081437" w:rsidRDefault="00CD2B6B" w14:paraId="7C891F1A"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890" w:type="dxa"/>
            <w:tcBorders>
              <w:top w:val="double" w:color="auto" w:sz="4" w:space="0"/>
              <w:left w:val="single" w:color="auto" w:sz="4" w:space="0"/>
            </w:tcBorders>
            <w:vAlign w:val="center"/>
          </w:tcPr>
          <w:p w:rsidRPr="00517562" w:rsidR="00CD2B6B" w:rsidP="00081437" w:rsidRDefault="00CD2B6B" w14:paraId="337B29B3"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018" w:type="dxa"/>
            <w:tcBorders>
              <w:top w:val="double" w:color="auto" w:sz="4" w:space="0"/>
              <w:right w:val="double" w:color="auto" w:sz="4" w:space="0"/>
            </w:tcBorders>
            <w:vAlign w:val="center"/>
          </w:tcPr>
          <w:p w:rsidRPr="00517562" w:rsidR="00CD2B6B" w:rsidP="00081437" w:rsidRDefault="00CD2B6B" w14:paraId="16FB783E"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r>
      <w:tr w:rsidRPr="008A0B86" w:rsidR="00CD2B6B" w:rsidTr="00081437" w14:paraId="3EA980EC" w14:textId="77777777">
        <w:trPr>
          <w:trHeight w:val="899"/>
        </w:trPr>
        <w:tc>
          <w:tcPr>
            <w:tcW w:w="3183" w:type="dxa"/>
            <w:tcBorders>
              <w:left w:val="double" w:color="auto" w:sz="4" w:space="0"/>
              <w:bottom w:val="single" w:color="auto" w:sz="4" w:space="0"/>
              <w:right w:val="double" w:color="auto" w:sz="4" w:space="0"/>
            </w:tcBorders>
            <w:vAlign w:val="center"/>
          </w:tcPr>
          <w:p w:rsidRPr="00517562" w:rsidR="00CD2B6B" w:rsidP="00081437" w:rsidRDefault="00CD2B6B" w14:paraId="749B839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Primary Review of Ethical Aspects of a Completed Study Report</w:t>
            </w:r>
          </w:p>
        </w:tc>
        <w:tc>
          <w:tcPr>
            <w:tcW w:w="1620" w:type="dxa"/>
            <w:tcBorders>
              <w:left w:val="double" w:color="auto" w:sz="4" w:space="0"/>
              <w:bottom w:val="single" w:color="auto" w:sz="4" w:space="0"/>
            </w:tcBorders>
            <w:vAlign w:val="center"/>
          </w:tcPr>
          <w:p w:rsidRPr="00517562" w:rsidR="00CD2B6B" w:rsidP="00081437" w:rsidRDefault="00CD2B6B" w14:paraId="0D135F98"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260" w:type="dxa"/>
            <w:tcBorders>
              <w:bottom w:val="single" w:color="auto" w:sz="4" w:space="0"/>
            </w:tcBorders>
            <w:vAlign w:val="center"/>
          </w:tcPr>
          <w:p w:rsidRPr="00517562" w:rsidR="00CD2B6B" w:rsidP="00081437" w:rsidRDefault="00CD2B6B" w14:paraId="3B46FEE5"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6</w:t>
            </w:r>
          </w:p>
        </w:tc>
        <w:tc>
          <w:tcPr>
            <w:tcW w:w="1080" w:type="dxa"/>
            <w:tcBorders>
              <w:bottom w:val="single" w:color="auto" w:sz="4" w:space="0"/>
              <w:right w:val="single" w:color="auto" w:sz="4" w:space="0"/>
            </w:tcBorders>
            <w:vAlign w:val="center"/>
          </w:tcPr>
          <w:p w:rsidRPr="00517562" w:rsidR="00CD2B6B" w:rsidP="00081437" w:rsidRDefault="00CD2B6B" w14:paraId="2DAD6545"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890" w:type="dxa"/>
            <w:tcBorders>
              <w:left w:val="single" w:color="auto" w:sz="4" w:space="0"/>
            </w:tcBorders>
            <w:vAlign w:val="center"/>
          </w:tcPr>
          <w:p w:rsidRPr="00517562" w:rsidR="00CD2B6B" w:rsidP="00081437" w:rsidRDefault="00CD2B6B" w14:paraId="7012C5E1"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6</w:t>
            </w:r>
          </w:p>
        </w:tc>
        <w:tc>
          <w:tcPr>
            <w:tcW w:w="1018" w:type="dxa"/>
            <w:tcBorders>
              <w:right w:val="double" w:color="auto" w:sz="4" w:space="0"/>
            </w:tcBorders>
            <w:vAlign w:val="center"/>
          </w:tcPr>
          <w:p w:rsidRPr="00517562" w:rsidR="00CD2B6B" w:rsidP="00081437" w:rsidRDefault="00CD2B6B" w14:paraId="1B3E4353"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552</w:t>
            </w:r>
          </w:p>
        </w:tc>
      </w:tr>
      <w:tr w:rsidRPr="008A0B86" w:rsidR="00CD2B6B" w:rsidTr="00081437" w14:paraId="0553A928" w14:textId="77777777">
        <w:trPr>
          <w:trHeight w:val="611"/>
        </w:trPr>
        <w:tc>
          <w:tcPr>
            <w:tcW w:w="3183" w:type="dxa"/>
            <w:tcBorders>
              <w:left w:val="double" w:color="auto" w:sz="4" w:space="0"/>
              <w:right w:val="double" w:color="auto" w:sz="4" w:space="0"/>
            </w:tcBorders>
            <w:vAlign w:val="center"/>
          </w:tcPr>
          <w:p w:rsidRPr="00517562" w:rsidR="00CD2B6B" w:rsidP="00081437" w:rsidRDefault="00CD2B6B" w14:paraId="07C3B94D"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Store, file, and maintain records</w:t>
            </w:r>
          </w:p>
        </w:tc>
        <w:tc>
          <w:tcPr>
            <w:tcW w:w="1620" w:type="dxa"/>
            <w:tcBorders>
              <w:left w:val="double" w:color="auto" w:sz="4" w:space="0"/>
            </w:tcBorders>
            <w:vAlign w:val="center"/>
          </w:tcPr>
          <w:p w:rsidRPr="00517562" w:rsidR="00CD2B6B" w:rsidP="00081437" w:rsidRDefault="00CD2B6B" w14:paraId="7AA87119"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260" w:type="dxa"/>
            <w:vAlign w:val="center"/>
          </w:tcPr>
          <w:p w:rsidRPr="00517562" w:rsidR="00CD2B6B" w:rsidP="00081437" w:rsidRDefault="00CD2B6B" w14:paraId="2B07B9C7"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080" w:type="dxa"/>
            <w:tcBorders>
              <w:right w:val="single" w:color="auto" w:sz="4" w:space="0"/>
            </w:tcBorders>
            <w:vAlign w:val="center"/>
          </w:tcPr>
          <w:p w:rsidRPr="00517562" w:rsidR="00CD2B6B" w:rsidP="00081437" w:rsidRDefault="00CD2B6B" w14:paraId="626EDE2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890" w:type="dxa"/>
            <w:tcBorders>
              <w:left w:val="single" w:color="auto" w:sz="4" w:space="0"/>
            </w:tcBorders>
            <w:vAlign w:val="center"/>
          </w:tcPr>
          <w:p w:rsidRPr="00517562" w:rsidR="00CD2B6B" w:rsidP="00081437" w:rsidRDefault="00CD2B6B" w14:paraId="524CAC32"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c>
          <w:tcPr>
            <w:tcW w:w="1018" w:type="dxa"/>
            <w:tcBorders>
              <w:right w:val="double" w:color="auto" w:sz="4" w:space="0"/>
            </w:tcBorders>
            <w:vAlign w:val="center"/>
          </w:tcPr>
          <w:p w:rsidRPr="00517562" w:rsidR="00CD2B6B" w:rsidP="00081437" w:rsidRDefault="00CD2B6B" w14:paraId="6276DEF1" w14:textId="77777777">
            <w:pPr>
              <w:spacing w:before="1" w:after="0" w:line="280" w:lineRule="exact"/>
              <w:rPr>
                <w:rFonts w:eastAsia="Times New Roman" w:asciiTheme="minorHAnsi" w:hAnsiTheme="minorHAnsi" w:cstheme="minorHAnsi"/>
                <w:color w:val="000000"/>
                <w:sz w:val="20"/>
                <w:szCs w:val="20"/>
                <w:lang w:eastAsia="ko-KR"/>
              </w:rPr>
            </w:pPr>
            <w:r w:rsidRPr="00517562">
              <w:rPr>
                <w:rFonts w:eastAsia="Times New Roman" w:asciiTheme="minorHAnsi" w:hAnsiTheme="minorHAnsi" w:cstheme="minorHAnsi"/>
                <w:color w:val="000000"/>
                <w:sz w:val="20"/>
                <w:szCs w:val="20"/>
                <w:lang w:eastAsia="ko-KR"/>
              </w:rPr>
              <w:t>0</w:t>
            </w:r>
          </w:p>
        </w:tc>
      </w:tr>
      <w:tr w:rsidRPr="008A0B86" w:rsidR="00CD2B6B" w:rsidTr="00081437" w14:paraId="633F8E25" w14:textId="77777777">
        <w:trPr>
          <w:trHeight w:val="449"/>
        </w:trPr>
        <w:tc>
          <w:tcPr>
            <w:tcW w:w="3183" w:type="dxa"/>
            <w:tcBorders>
              <w:left w:val="double" w:color="auto" w:sz="4" w:space="0"/>
              <w:bottom w:val="double" w:color="auto" w:sz="4" w:space="0"/>
              <w:right w:val="double" w:color="auto" w:sz="4" w:space="0"/>
            </w:tcBorders>
            <w:vAlign w:val="center"/>
          </w:tcPr>
          <w:p w:rsidRPr="00517562" w:rsidR="00CD2B6B" w:rsidP="00081437" w:rsidRDefault="00CD2B6B" w14:paraId="758D22B1"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Total per response</w:t>
            </w:r>
          </w:p>
        </w:tc>
        <w:tc>
          <w:tcPr>
            <w:tcW w:w="1620" w:type="dxa"/>
            <w:tcBorders>
              <w:left w:val="double" w:color="auto" w:sz="4" w:space="0"/>
              <w:bottom w:val="double" w:color="auto" w:sz="4" w:space="0"/>
            </w:tcBorders>
            <w:vAlign w:val="center"/>
          </w:tcPr>
          <w:p w:rsidRPr="00517562" w:rsidR="00CD2B6B" w:rsidP="00081437" w:rsidRDefault="00CD2B6B" w14:paraId="4278E539"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0</w:t>
            </w:r>
          </w:p>
        </w:tc>
        <w:tc>
          <w:tcPr>
            <w:tcW w:w="1260" w:type="dxa"/>
            <w:tcBorders>
              <w:bottom w:val="double" w:color="auto" w:sz="4" w:space="0"/>
            </w:tcBorders>
            <w:vAlign w:val="center"/>
          </w:tcPr>
          <w:p w:rsidRPr="00517562" w:rsidR="00CD2B6B" w:rsidP="00081437" w:rsidRDefault="00CD2B6B" w14:paraId="32FE9E8A"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6</w:t>
            </w:r>
          </w:p>
        </w:tc>
        <w:tc>
          <w:tcPr>
            <w:tcW w:w="1080" w:type="dxa"/>
            <w:tcBorders>
              <w:bottom w:val="double" w:color="auto" w:sz="4" w:space="0"/>
              <w:right w:val="single" w:color="auto" w:sz="4" w:space="0"/>
            </w:tcBorders>
            <w:vAlign w:val="center"/>
          </w:tcPr>
          <w:p w:rsidRPr="00517562" w:rsidR="00CD2B6B" w:rsidP="00081437" w:rsidRDefault="00CD2B6B" w14:paraId="6D14DE02"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0</w:t>
            </w:r>
          </w:p>
        </w:tc>
        <w:tc>
          <w:tcPr>
            <w:tcW w:w="890" w:type="dxa"/>
            <w:tcBorders>
              <w:left w:val="single" w:color="auto" w:sz="4" w:space="0"/>
              <w:bottom w:val="double" w:color="auto" w:sz="4" w:space="0"/>
            </w:tcBorders>
            <w:vAlign w:val="center"/>
          </w:tcPr>
          <w:p w:rsidRPr="00517562" w:rsidR="00CD2B6B" w:rsidP="00081437" w:rsidRDefault="00CD2B6B" w14:paraId="5495F6AD"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6</w:t>
            </w:r>
          </w:p>
        </w:tc>
        <w:tc>
          <w:tcPr>
            <w:tcW w:w="1018" w:type="dxa"/>
            <w:tcBorders>
              <w:bottom w:val="double" w:color="auto" w:sz="4" w:space="0"/>
              <w:right w:val="double" w:color="auto" w:sz="4" w:space="0"/>
            </w:tcBorders>
            <w:vAlign w:val="center"/>
          </w:tcPr>
          <w:p w:rsidRPr="00517562" w:rsidR="00CD2B6B" w:rsidP="00081437" w:rsidRDefault="00CD2B6B" w14:paraId="18251FBF" w14:textId="77777777">
            <w:pPr>
              <w:spacing w:before="1" w:after="0" w:line="280" w:lineRule="exact"/>
              <w:rPr>
                <w:rFonts w:eastAsia="Times New Roman" w:asciiTheme="minorHAnsi" w:hAnsiTheme="minorHAnsi" w:cstheme="minorHAnsi"/>
                <w:b/>
                <w:bCs/>
                <w:color w:val="000000"/>
                <w:sz w:val="20"/>
                <w:szCs w:val="20"/>
                <w:lang w:eastAsia="ko-KR"/>
              </w:rPr>
            </w:pPr>
            <w:r w:rsidRPr="00517562">
              <w:rPr>
                <w:rFonts w:eastAsia="Times New Roman" w:asciiTheme="minorHAnsi" w:hAnsiTheme="minorHAnsi" w:cstheme="minorHAnsi"/>
                <w:b/>
                <w:bCs/>
                <w:color w:val="000000"/>
                <w:sz w:val="20"/>
                <w:szCs w:val="20"/>
                <w:lang w:eastAsia="ko-KR"/>
              </w:rPr>
              <w:t>552</w:t>
            </w:r>
          </w:p>
        </w:tc>
      </w:tr>
    </w:tbl>
    <w:p w:rsidRPr="00DD323A" w:rsidR="00CD2B6B" w:rsidP="00CD2B6B" w:rsidRDefault="00CD2B6B" w14:paraId="183CFE48" w14:textId="77777777">
      <w:pPr>
        <w:spacing w:before="1" w:after="0" w:line="280" w:lineRule="exact"/>
        <w:rPr>
          <w:rFonts w:cs="Arial"/>
          <w:sz w:val="18"/>
          <w:szCs w:val="18"/>
        </w:rPr>
      </w:pPr>
      <w:r w:rsidRPr="00DD323A">
        <w:rPr>
          <w:rFonts w:cs="Arial"/>
          <w:sz w:val="18"/>
          <w:szCs w:val="18"/>
        </w:rPr>
        <w:t xml:space="preserve">Annual Burden:  </w:t>
      </w:r>
      <w:r w:rsidRPr="00DD323A">
        <w:rPr>
          <w:rFonts w:cs="Arial"/>
          <w:sz w:val="18"/>
          <w:szCs w:val="18"/>
        </w:rPr>
        <w:tab/>
        <w:t xml:space="preserve">6 hours per study x 20 per year = </w:t>
      </w:r>
      <w:r w:rsidRPr="00DD323A">
        <w:rPr>
          <w:rFonts w:cs="Arial"/>
          <w:b/>
          <w:sz w:val="18"/>
          <w:szCs w:val="18"/>
        </w:rPr>
        <w:t>120 hours</w:t>
      </w:r>
    </w:p>
    <w:p w:rsidRPr="00DD323A" w:rsidR="00CD2B6B" w:rsidP="00CD2B6B" w:rsidRDefault="00CD2B6B" w14:paraId="76F3C5A7" w14:textId="77777777">
      <w:pPr>
        <w:spacing w:before="1" w:after="0" w:line="280" w:lineRule="exact"/>
        <w:rPr>
          <w:rFonts w:cs="Arial"/>
          <w:sz w:val="18"/>
          <w:szCs w:val="18"/>
        </w:rPr>
      </w:pPr>
      <w:r w:rsidRPr="00DD323A">
        <w:rPr>
          <w:rFonts w:cs="Arial"/>
          <w:sz w:val="18"/>
          <w:szCs w:val="18"/>
        </w:rPr>
        <w:t>Annual Costs:</w:t>
      </w:r>
      <w:r w:rsidRPr="00DD323A">
        <w:rPr>
          <w:rFonts w:cs="Arial"/>
          <w:sz w:val="18"/>
          <w:szCs w:val="18"/>
        </w:rPr>
        <w:tab/>
      </w:r>
      <w:r>
        <w:rPr>
          <w:rFonts w:cs="Arial"/>
          <w:sz w:val="18"/>
          <w:szCs w:val="18"/>
        </w:rPr>
        <w:t>552</w:t>
      </w:r>
      <w:r w:rsidRPr="00DD323A">
        <w:rPr>
          <w:rFonts w:cs="Arial"/>
          <w:sz w:val="18"/>
          <w:szCs w:val="18"/>
        </w:rPr>
        <w:t xml:space="preserve"> x 20 responses/year = </w:t>
      </w:r>
      <w:r w:rsidRPr="00DD323A">
        <w:rPr>
          <w:rFonts w:cs="Arial"/>
          <w:b/>
          <w:sz w:val="18"/>
          <w:szCs w:val="18"/>
        </w:rPr>
        <w:t>$</w:t>
      </w:r>
      <w:r>
        <w:rPr>
          <w:rFonts w:cs="Arial"/>
          <w:b/>
          <w:sz w:val="18"/>
          <w:szCs w:val="18"/>
        </w:rPr>
        <w:t>11,038</w:t>
      </w:r>
    </w:p>
    <w:p w:rsidRPr="00DA458F" w:rsidR="00CD2B6B" w:rsidP="00CD2B6B" w:rsidRDefault="00CD2B6B" w14:paraId="00F28C09" w14:textId="77777777">
      <w:pPr>
        <w:spacing w:before="1" w:after="0" w:line="280" w:lineRule="exact"/>
        <w:rPr>
          <w:rFonts w:cs="Arial"/>
          <w:szCs w:val="24"/>
        </w:rPr>
      </w:pPr>
    </w:p>
    <w:p w:rsidR="00AB6751" w:rsidP="007038A8" w:rsidRDefault="00CD2B6B" w14:paraId="4CA3B417" w14:textId="271BEE3D">
      <w:pPr>
        <w:spacing w:after="200" w:line="276" w:lineRule="auto"/>
      </w:pPr>
      <w:r w:rsidRPr="00DA458F">
        <w:rPr>
          <w:rFonts w:cs="Arial"/>
          <w:szCs w:val="24"/>
        </w:rPr>
        <w:t xml:space="preserve">Please note that, for the pre-rule human research </w:t>
      </w:r>
      <w:r w:rsidR="00446F44">
        <w:rPr>
          <w:rFonts w:cs="Arial"/>
          <w:szCs w:val="24"/>
        </w:rPr>
        <w:t>that</w:t>
      </w:r>
      <w:r w:rsidRPr="00DA458F" w:rsidR="00446F44">
        <w:rPr>
          <w:rFonts w:cs="Arial"/>
          <w:szCs w:val="24"/>
        </w:rPr>
        <w:t xml:space="preserve"> </w:t>
      </w:r>
      <w:r w:rsidRPr="00DA458F">
        <w:rPr>
          <w:rFonts w:cs="Arial"/>
          <w:szCs w:val="24"/>
        </w:rPr>
        <w:t>does not require HSRB review, the EPA assumes that 10 of the 20 studies will be located at the Agency’s own initiative and therefore will not be subject to 40 CFR 26.1303. This approach is consistent with that used for this ICR in previous submissions</w:t>
      </w:r>
      <w:r w:rsidR="00AB6751">
        <w:t xml:space="preserve">.  </w:t>
      </w:r>
    </w:p>
    <w:p w:rsidRPr="00B26C4E" w:rsidR="00C812B9" w:rsidP="00517562" w:rsidRDefault="00041E4F" w14:paraId="3E9A0A23" w14:textId="34115A05">
      <w:pPr>
        <w:pStyle w:val="Heading2"/>
        <w:rPr>
          <w:i w:val="0"/>
          <w:iCs w:val="0"/>
        </w:rPr>
      </w:pPr>
      <w:r w:rsidRPr="00B26C4E">
        <w:rPr>
          <w:i w:val="0"/>
          <w:iCs w:val="0"/>
        </w:rPr>
        <w:t xml:space="preserve">15. </w:t>
      </w:r>
      <w:r w:rsidRPr="00B26C4E" w:rsidR="00EC4305">
        <w:rPr>
          <w:i w:val="0"/>
          <w:iCs w:val="0"/>
        </w:rPr>
        <w:t>Explain the reasons for any program changes or adjustments reported in Items 13 (or 14) of OMB Form 83-I.</w:t>
      </w:r>
      <w:bookmarkStart w:name="_Hlk26358529" w:id="1"/>
    </w:p>
    <w:p w:rsidR="00C812B9" w:rsidP="007038A8" w:rsidRDefault="00C812B9" w14:paraId="74EC69FD" w14:textId="36111F12">
      <w:pPr>
        <w:tabs>
          <w:tab w:val="left" w:pos="-1080"/>
          <w:tab w:val="left" w:pos="-720"/>
          <w:tab w:val="left" w:pos="0"/>
          <w:tab w:val="left" w:pos="360"/>
          <w:tab w:val="left" w:pos="720"/>
          <w:tab w:val="left" w:pos="1080"/>
          <w:tab w:val="left" w:pos="1440"/>
          <w:tab w:val="left" w:pos="1800"/>
        </w:tabs>
        <w:spacing w:after="200" w:line="276" w:lineRule="auto"/>
        <w:rPr>
          <w:rFonts w:cs="Arial"/>
        </w:rPr>
      </w:pPr>
      <w:r w:rsidRPr="00C54DF9">
        <w:rPr>
          <w:color w:val="000000"/>
        </w:rPr>
        <w:t xml:space="preserve">The total annual estimated respondent burden is expected to decrease by </w:t>
      </w:r>
      <w:r>
        <w:rPr>
          <w:color w:val="000000"/>
        </w:rPr>
        <w:t>1,966</w:t>
      </w:r>
      <w:r w:rsidRPr="00C54DF9">
        <w:rPr>
          <w:color w:val="000000"/>
        </w:rPr>
        <w:t xml:space="preserve"> hours from </w:t>
      </w:r>
      <w:r>
        <w:rPr>
          <w:color w:val="000000"/>
        </w:rPr>
        <w:t>10,242</w:t>
      </w:r>
      <w:r w:rsidRPr="00C54DF9">
        <w:rPr>
          <w:color w:val="000000"/>
        </w:rPr>
        <w:t xml:space="preserve"> hours for the currently approved ICR to </w:t>
      </w:r>
      <w:r>
        <w:rPr>
          <w:color w:val="000000"/>
        </w:rPr>
        <w:t>8,276</w:t>
      </w:r>
      <w:r w:rsidRPr="00C54DF9">
        <w:rPr>
          <w:color w:val="000000"/>
        </w:rPr>
        <w:t xml:space="preserve"> hours for this renewal ICR. There is a slight </w:t>
      </w:r>
      <w:r>
        <w:rPr>
          <w:color w:val="000000"/>
        </w:rPr>
        <w:t>increase</w:t>
      </w:r>
      <w:r w:rsidRPr="00C54DF9">
        <w:rPr>
          <w:color w:val="000000"/>
        </w:rPr>
        <w:t xml:space="preserve"> in estimated annual respondent burden associated with preparation of protocols and studies; th</w:t>
      </w:r>
      <w:r>
        <w:rPr>
          <w:color w:val="000000"/>
        </w:rPr>
        <w:t xml:space="preserve">e increase reflects the comments from stakeholders. </w:t>
      </w:r>
      <w:r w:rsidRPr="00C54DF9">
        <w:rPr>
          <w:color w:val="000000"/>
        </w:rPr>
        <w:t xml:space="preserve">The anticipated number of responses per year </w:t>
      </w:r>
      <w:r>
        <w:rPr>
          <w:color w:val="000000"/>
        </w:rPr>
        <w:t xml:space="preserve">has decreased from five per year to four per year </w:t>
      </w:r>
      <w:r w:rsidRPr="00C54DF9">
        <w:rPr>
          <w:color w:val="000000"/>
        </w:rPr>
        <w:t xml:space="preserve">based on the consultation responses in </w:t>
      </w:r>
      <w:r w:rsidRPr="007038A8">
        <w:rPr>
          <w:color w:val="000000"/>
        </w:rPr>
        <w:t>Attachment H,</w:t>
      </w:r>
      <w:r w:rsidRPr="00C54DF9">
        <w:rPr>
          <w:color w:val="000000"/>
        </w:rPr>
        <w:t xml:space="preserve"> submissions to the Agency in the recent past, and recognition that some of the studies underway will be submitted prior to the start of the ICR renewal period. EPA </w:t>
      </w:r>
      <w:proofErr w:type="gramStart"/>
      <w:r w:rsidRPr="00C54DF9">
        <w:rPr>
          <w:color w:val="000000"/>
        </w:rPr>
        <w:t xml:space="preserve">took into </w:t>
      </w:r>
      <w:r w:rsidRPr="00C54DF9">
        <w:rPr>
          <w:color w:val="000000"/>
        </w:rPr>
        <w:lastRenderedPageBreak/>
        <w:t>account</w:t>
      </w:r>
      <w:proofErr w:type="gramEnd"/>
      <w:r w:rsidRPr="00C54DF9">
        <w:rPr>
          <w:color w:val="000000"/>
        </w:rPr>
        <w:t xml:space="preserve"> time estimates obtained during the consultation process.  During the comment period for this ICR, the Agency consulted with respondents who intend to submit human research in the future and have submitted studies in the past.  </w:t>
      </w:r>
      <w:r w:rsidRPr="00A778B7">
        <w:rPr>
          <w:rFonts w:cs="Arial"/>
        </w:rPr>
        <w:t xml:space="preserve">The anticipated number of responses per year </w:t>
      </w:r>
      <w:r>
        <w:rPr>
          <w:rFonts w:cs="Arial"/>
        </w:rPr>
        <w:t xml:space="preserve">has decreased </w:t>
      </w:r>
      <w:r w:rsidRPr="00A778B7">
        <w:rPr>
          <w:rFonts w:cs="Arial"/>
        </w:rPr>
        <w:t xml:space="preserve">based on the </w:t>
      </w:r>
      <w:r>
        <w:rPr>
          <w:rFonts w:cs="Arial"/>
        </w:rPr>
        <w:t xml:space="preserve">conclusion of the work of one task force conducting human studies and one outstanding study from the other task force that has been responsible for the majority of </w:t>
      </w:r>
      <w:r w:rsidRPr="00A778B7">
        <w:rPr>
          <w:rFonts w:cs="Arial"/>
        </w:rPr>
        <w:t>submissions to the Agency in the recent past</w:t>
      </w:r>
      <w:r>
        <w:rPr>
          <w:rFonts w:cs="Arial"/>
        </w:rPr>
        <w:t xml:space="preserve">. </w:t>
      </w:r>
      <w:r w:rsidRPr="00A778B7">
        <w:rPr>
          <w:rFonts w:cs="Arial"/>
        </w:rPr>
        <w:t xml:space="preserve">The annual burden per activity is estimated to be </w:t>
      </w:r>
      <w:r>
        <w:rPr>
          <w:rFonts w:cs="Arial"/>
        </w:rPr>
        <w:t>2,031</w:t>
      </w:r>
      <w:r w:rsidRPr="00A778B7">
        <w:rPr>
          <w:rFonts w:cs="Arial"/>
        </w:rPr>
        <w:t xml:space="preserve"> hours per response for research involving intentional exposure of human subjects, and 12 hours per response for all other submitted research with human subjects.</w:t>
      </w:r>
      <w:r>
        <w:t xml:space="preserve"> </w:t>
      </w:r>
    </w:p>
    <w:p w:rsidR="00CD2B6B" w:rsidP="007038A8" w:rsidRDefault="00CD2B6B" w14:paraId="44BE91A0" w14:textId="11169B57">
      <w:pPr>
        <w:tabs>
          <w:tab w:val="left" w:pos="-1080"/>
          <w:tab w:val="left" w:pos="-720"/>
          <w:tab w:val="left" w:pos="0"/>
          <w:tab w:val="left" w:pos="360"/>
          <w:tab w:val="left" w:pos="720"/>
          <w:tab w:val="left" w:pos="1080"/>
          <w:tab w:val="left" w:pos="1440"/>
          <w:tab w:val="left" w:pos="1800"/>
        </w:tabs>
        <w:spacing w:after="200" w:line="276" w:lineRule="auto"/>
        <w:rPr>
          <w:rFonts w:cs="Arial"/>
        </w:rPr>
      </w:pPr>
      <w:r w:rsidRPr="00A778B7">
        <w:rPr>
          <w:rFonts w:cs="Arial"/>
        </w:rPr>
        <w:t xml:space="preserve">The overall estimated annual Agency burden is expected to </w:t>
      </w:r>
      <w:r w:rsidR="002B43E5">
        <w:rPr>
          <w:rFonts w:cs="Arial"/>
        </w:rPr>
        <w:t>decrease</w:t>
      </w:r>
      <w:r w:rsidRPr="00A778B7" w:rsidR="002B43E5">
        <w:rPr>
          <w:rFonts w:cs="Arial"/>
        </w:rPr>
        <w:t xml:space="preserve"> </w:t>
      </w:r>
      <w:r w:rsidRPr="00A778B7">
        <w:rPr>
          <w:rFonts w:cs="Arial"/>
        </w:rPr>
        <w:t>slightly due to the number of responses which we expect to receive during the timeframe for this ICR renewal, the nature of the research to be submitted and reviewed over the next three years, and the involvement of staff who will be new to the process of reviewing human research.</w:t>
      </w:r>
    </w:p>
    <w:bookmarkEnd w:id="1"/>
    <w:p w:rsidRPr="00B26C4E" w:rsidR="00B41A83" w:rsidP="0068004C" w:rsidRDefault="00041E4F" w14:paraId="66BB1DC4" w14:textId="4FA4B05E">
      <w:pPr>
        <w:pStyle w:val="Heading2"/>
        <w:rPr>
          <w:i w:val="0"/>
          <w:iCs w:val="0"/>
        </w:rPr>
      </w:pPr>
      <w:r w:rsidRPr="00B26C4E">
        <w:rPr>
          <w:i w:val="0"/>
          <w:iCs w:val="0"/>
        </w:rPr>
        <w:t xml:space="preserve">16. </w:t>
      </w:r>
      <w:r w:rsidRPr="00B26C4E" w:rsidR="00EC4305">
        <w:rPr>
          <w:i w:val="0"/>
          <w:iCs w:val="0"/>
        </w:rPr>
        <w:t>For collections whose results will be published, outline the plans for tabulation and publication.</w:t>
      </w:r>
      <w:r w:rsidRPr="00B26C4E" w:rsidR="00B41A83">
        <w:rPr>
          <w:i w:val="0"/>
          <w:iCs w:val="0"/>
        </w:rPr>
        <w:t xml:space="preserve"> </w:t>
      </w:r>
    </w:p>
    <w:p w:rsidR="00EC4305" w:rsidP="007038A8" w:rsidRDefault="00CD2B6B" w14:paraId="48838502" w14:textId="4A358F81">
      <w:pPr>
        <w:tabs>
          <w:tab w:val="left" w:pos="-1080"/>
          <w:tab w:val="left" w:pos="-720"/>
          <w:tab w:val="left" w:pos="0"/>
          <w:tab w:val="left" w:pos="360"/>
          <w:tab w:val="left" w:pos="720"/>
          <w:tab w:val="left" w:pos="1080"/>
          <w:tab w:val="left" w:pos="1440"/>
          <w:tab w:val="left" w:pos="1800"/>
        </w:tabs>
        <w:spacing w:after="200" w:line="276" w:lineRule="auto"/>
        <w:rPr>
          <w:rFonts w:cs="Arial"/>
        </w:rPr>
      </w:pPr>
      <w:r w:rsidRPr="003E3414">
        <w:rPr>
          <w:rFonts w:cs="Arial"/>
          <w:lang w:val="en-CA"/>
        </w:rPr>
        <w:t xml:space="preserve">A </w:t>
      </w:r>
      <w:r w:rsidRPr="003E3414">
        <w:rPr>
          <w:rFonts w:cs="Arial"/>
        </w:rPr>
        <w:t xml:space="preserve">periodic collection schedule is not appropriate for the information collection activity.  The information collection activity is initiated by the respondents and therefore </w:t>
      </w:r>
      <w:r>
        <w:rPr>
          <w:rFonts w:cs="Arial"/>
        </w:rPr>
        <w:t xml:space="preserve">the </w:t>
      </w:r>
      <w:r w:rsidRPr="003E3414">
        <w:rPr>
          <w:rFonts w:cs="Arial"/>
        </w:rPr>
        <w:t xml:space="preserve">EPA expects that respondents will engage in the activities described in this ICR only once, whenever developing and performing a given research study that involves human subjects as governed by </w:t>
      </w:r>
      <w:r>
        <w:rPr>
          <w:rFonts w:cs="Arial"/>
        </w:rPr>
        <w:t xml:space="preserve">the </w:t>
      </w:r>
      <w:r w:rsidRPr="003E3414">
        <w:rPr>
          <w:rFonts w:cs="Arial"/>
        </w:rPr>
        <w:t>EPA’s regulations.</w:t>
      </w:r>
    </w:p>
    <w:p w:rsidRPr="00B26C4E" w:rsidR="00B41A83" w:rsidP="0068004C" w:rsidRDefault="00041E4F" w14:paraId="2E9B2CC1" w14:textId="59965ACD">
      <w:pPr>
        <w:pStyle w:val="Heading2"/>
        <w:rPr>
          <w:i w:val="0"/>
          <w:iCs w:val="0"/>
        </w:rPr>
      </w:pPr>
      <w:r w:rsidRPr="00B26C4E">
        <w:rPr>
          <w:i w:val="0"/>
          <w:iCs w:val="0"/>
        </w:rPr>
        <w:t xml:space="preserve">17. </w:t>
      </w:r>
      <w:r w:rsidRPr="00B26C4E" w:rsidR="00EC4305">
        <w:rPr>
          <w:i w:val="0"/>
          <w:iCs w:val="0"/>
        </w:rPr>
        <w:t>If seeking approval to not display the expiration date for OMB approval of the information collection, explain the reasons why display would be inappropriate.</w:t>
      </w:r>
      <w:r w:rsidRPr="00B26C4E" w:rsidR="00B41A83">
        <w:rPr>
          <w:i w:val="0"/>
          <w:iCs w:val="0"/>
        </w:rPr>
        <w:t xml:space="preserve"> </w:t>
      </w:r>
    </w:p>
    <w:p w:rsidR="009F0F92" w:rsidP="006C00D3" w:rsidRDefault="00EC4305" w14:paraId="11EE5A94" w14:textId="59E872B9">
      <w:r>
        <w:t>This question not applicable to this ICR</w:t>
      </w:r>
      <w:r w:rsidR="006C00D3">
        <w:t>.</w:t>
      </w:r>
    </w:p>
    <w:p w:rsidRPr="00B26C4E" w:rsidR="00B41A83" w:rsidP="0068004C" w:rsidRDefault="00041E4F" w14:paraId="27638586" w14:textId="35AE8121">
      <w:pPr>
        <w:pStyle w:val="Heading2"/>
        <w:rPr>
          <w:i w:val="0"/>
          <w:iCs w:val="0"/>
        </w:rPr>
      </w:pPr>
      <w:r w:rsidRPr="00B26C4E">
        <w:rPr>
          <w:i w:val="0"/>
          <w:iCs w:val="0"/>
        </w:rPr>
        <w:t xml:space="preserve">18. </w:t>
      </w:r>
      <w:r w:rsidRPr="00B26C4E" w:rsidR="00EC4305">
        <w:rPr>
          <w:i w:val="0"/>
          <w:iCs w:val="0"/>
        </w:rPr>
        <w:t>Explain each exception to the certification statement identified in Item 19 of OMB Form 83-I.</w:t>
      </w:r>
      <w:r w:rsidRPr="00B26C4E" w:rsidR="00B41A83">
        <w:rPr>
          <w:i w:val="0"/>
          <w:iCs w:val="0"/>
        </w:rPr>
        <w:t xml:space="preserve"> </w:t>
      </w:r>
    </w:p>
    <w:p w:rsidR="00EC4305" w:rsidP="00EC4305" w:rsidRDefault="00EC4305" w14:paraId="13F2093C" w14:textId="402EDE09">
      <w:r>
        <w:t>EPA does not request an exception to the certification of this information collection.</w:t>
      </w:r>
    </w:p>
    <w:p w:rsidR="005C59B2" w:rsidP="005C59B2" w:rsidRDefault="005C59B2" w14:paraId="0C085671" w14:textId="77777777">
      <w:pPr>
        <w:pStyle w:val="Heading1"/>
      </w:pPr>
      <w:r w:rsidRPr="008D1ED3">
        <w:t>SUPPLEMENTAL INFORMATION</w:t>
      </w:r>
    </w:p>
    <w:p w:rsidR="00F71DB5" w:rsidP="00F05F80" w:rsidRDefault="00F71DB5" w14:paraId="4FAB4CBA" w14:textId="6DA30542">
      <w:pPr>
        <w:spacing w:after="200" w:line="276" w:lineRule="auto"/>
      </w:pPr>
      <w:r>
        <w:t xml:space="preserve">Annual respondent burden for this collection of </w:t>
      </w:r>
      <w:r w:rsidR="001B6370">
        <w:t>Huma</w:t>
      </w:r>
      <w:r w:rsidR="009E5ED7">
        <w:t>n</w:t>
      </w:r>
      <w:r w:rsidR="001B6370">
        <w:t xml:space="preserve"> Subjects</w:t>
      </w:r>
      <w:r>
        <w:t xml:space="preserve"> information requirements is estimated to average </w:t>
      </w:r>
      <w:r w:rsidR="001B6370">
        <w:t>1,446</w:t>
      </w:r>
      <w:r w:rsidRPr="008944EE">
        <w:t xml:space="preserve"> hours </w:t>
      </w:r>
      <w:r>
        <w:t>per response</w:t>
      </w:r>
      <w:r w:rsidR="00C605C8">
        <w:t xml:space="preserve"> </w:t>
      </w:r>
      <w:r w:rsidRPr="00A778B7" w:rsidR="00C605C8">
        <w:rPr>
          <w:rFonts w:cs="Arial"/>
        </w:rPr>
        <w:t>involving intentional exposure of human subjects, and 12 hours per response for all other submitted research with human subjects.</w:t>
      </w:r>
      <w:r w:rsidR="00C605C8">
        <w:t xml:space="preserve"> </w:t>
      </w:r>
      <w:r>
        <w:t xml:space="preserve"> </w:t>
      </w:r>
      <w:r w:rsidRPr="006B798D">
        <w:t>Burden is defined at 5 CFR 1320.3(b).</w:t>
      </w:r>
      <w:r>
        <w:t xml:space="preserve"> This estimate includes the time for reviewing instructions, gathering and maintaining the data needed, and completing and reviewing the collection of information.</w:t>
      </w:r>
    </w:p>
    <w:p w:rsidR="00F71DB5" w:rsidP="00F05F80" w:rsidRDefault="00F71DB5" w14:paraId="3BF5BA75" w14:textId="517A7E28">
      <w:pPr>
        <w:spacing w:after="200" w:line="276" w:lineRule="auto"/>
      </w:pPr>
      <w:r w:rsidRPr="006B798D">
        <w:lastRenderedPageBreak/>
        <w:t xml:space="preserve">Under PRA, 44 U.S.C. 3501 </w:t>
      </w:r>
      <w:r w:rsidRPr="006B798D">
        <w:rPr>
          <w:i/>
        </w:rPr>
        <w:t>et seq</w:t>
      </w:r>
      <w:r w:rsidRPr="006B798D">
        <w:t xml:space="preserve">., an agency may not conduct or sponsor, and a person is not required to respond to, a collection of information, unless it displays a currently valid OMB control number. The OMB control numbers are displayed either by publication in the </w:t>
      </w:r>
      <w:r w:rsidRPr="006B798D">
        <w:rPr>
          <w:rStyle w:val="GPOBold"/>
        </w:rPr>
        <w:t xml:space="preserve">Federal Register </w:t>
      </w:r>
      <w:r w:rsidRPr="006B798D">
        <w:t>or by other appropriate means, such as on the related collection instrument or form, if applicable. The display of OMB control numbers for certain EPA regulations is consolidated in 40 CFR part 9.</w:t>
      </w:r>
    </w:p>
    <w:p w:rsidR="005C59B2" w:rsidP="00F05F80" w:rsidRDefault="005C59B2" w14:paraId="20A6B973" w14:textId="04375CB4">
      <w:pPr>
        <w:spacing w:after="200" w:line="276" w:lineRule="auto"/>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EPA-HQ-OPP-202</w:t>
      </w:r>
      <w:r w:rsidR="00CE186C">
        <w:t>1</w:t>
      </w:r>
      <w:r>
        <w:t>-</w:t>
      </w:r>
      <w:r w:rsidR="001B6370">
        <w:t>0315</w:t>
      </w:r>
      <w:r>
        <w:t xml:space="preserve">, which is available at </w:t>
      </w:r>
      <w:r w:rsidRPr="005C59B2">
        <w:rPr>
          <w:rStyle w:val="Hyperlink"/>
        </w:rPr>
        <w:t>http://www.regulations.gov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005C59B2" w:rsidP="00F05F80" w:rsidRDefault="005C59B2" w14:paraId="37252394" w14:textId="77777777">
      <w:pPr>
        <w:spacing w:after="200" w:line="276" w:lineRule="auto"/>
      </w:pPr>
      <w:r>
        <w:t xml:space="preserve">You can also provide comments to the Office of Information and Regulatory Affairs, Office of Management and Budget via </w:t>
      </w:r>
      <w:r w:rsidRPr="005C59B2">
        <w:rPr>
          <w:rStyle w:val="Hyperlink"/>
        </w:rPr>
        <w:t>http://www.reginfo.gov/public/do/PRAMain</w:t>
      </w:r>
      <w:r>
        <w:t>. Find this particular information collection by selecting ‘‘Currently under 30-day Review—Open for Public Comments’’ or by using the search function.</w:t>
      </w:r>
    </w:p>
    <w:p w:rsidR="005C59B2" w:rsidP="00F05F80" w:rsidRDefault="005C59B2" w14:paraId="26D2C473" w14:textId="32CB69BB">
      <w:pPr>
        <w:spacing w:after="200" w:line="276" w:lineRule="auto"/>
      </w:pPr>
      <w:r>
        <w:t xml:space="preserve">All comments received by EPA will be included in the docket without change, including any personal information provided, unless the comment includes profanity, threats, information claimed to be CBI, or other information whose disclosure is restricted by statute. Do not submit electronically any information you consider to be CBI or other information whose disclosure is restricted by statute. </w:t>
      </w:r>
    </w:p>
    <w:p w:rsidR="005C59B2" w:rsidP="00F05F80" w:rsidRDefault="005C59B2" w14:paraId="5066995F" w14:textId="477CB14B">
      <w:pPr>
        <w:spacing w:after="200" w:line="276" w:lineRule="auto"/>
      </w:pPr>
      <w:r>
        <w:t xml:space="preserve">Please note that due to the public health concerns related to COVID-19, the EPA Docket Center (EPA/DC) and Reading Room is </w:t>
      </w:r>
      <w:r w:rsidR="00C605C8">
        <w:t>open</w:t>
      </w:r>
      <w:r>
        <w:t xml:space="preserve"> to visitors </w:t>
      </w:r>
      <w:r w:rsidR="00C605C8">
        <w:t>by appointment only</w:t>
      </w:r>
      <w:r>
        <w:t xml:space="preserve">. The staff continues to provide remote customer service via email, phone, and webform. For the latest status information on EPA/DC services and docket access, visit </w:t>
      </w:r>
      <w:r w:rsidRPr="005C59B2">
        <w:rPr>
          <w:rStyle w:val="Hyperlink"/>
        </w:rPr>
        <w:t>https://www.epa.gov/dockets</w:t>
      </w:r>
      <w:r>
        <w:t>.</w:t>
      </w:r>
    </w:p>
    <w:p w:rsidR="00EC4305" w:rsidP="00E31F81" w:rsidRDefault="005C59B2" w14:paraId="53F4082B" w14:textId="60052876">
      <w:pPr>
        <w:pStyle w:val="Heading1"/>
      </w:pPr>
      <w:r w:rsidRPr="001B6370">
        <w:t>LIST OF ATTACHMENTS</w:t>
      </w:r>
    </w:p>
    <w:p w:rsidR="005C59B2" w:rsidP="00EC4305" w:rsidRDefault="005C59B2" w14:paraId="0DF2DA11" w14:textId="7CB1F8FD">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http://www.regulations.gov</w:t>
      </w:r>
      <w:r w:rsidRPr="005C59B2">
        <w:t xml:space="preserve"> using Docket ID Number: EPA-HQ-</w:t>
      </w:r>
      <w:r w:rsidR="00F07541">
        <w:t>OPP-2021-</w:t>
      </w:r>
      <w:r w:rsidR="001B6370">
        <w:t>0315</w:t>
      </w:r>
      <w:r w:rsidRPr="005C59B2">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7823"/>
      </w:tblGrid>
      <w:tr w:rsidRPr="000F731C" w:rsidR="00F92416" w:rsidTr="001B6370" w14:paraId="0ACD8087" w14:textId="77777777">
        <w:trPr>
          <w:tblHeader/>
        </w:trPr>
        <w:tc>
          <w:tcPr>
            <w:tcW w:w="1317" w:type="dxa"/>
            <w:shd w:val="clear" w:color="auto" w:fill="auto"/>
          </w:tcPr>
          <w:p w:rsidRPr="00033D67" w:rsidR="00F92416" w:rsidP="000F731C" w:rsidRDefault="00F92416" w14:paraId="43F85BF9" w14:textId="77777777">
            <w:pPr>
              <w:spacing w:after="0"/>
              <w:rPr>
                <w:b/>
                <w:bCs/>
                <w:szCs w:val="24"/>
                <w:u w:val="single"/>
              </w:rPr>
            </w:pPr>
            <w:r w:rsidRPr="00033D67">
              <w:rPr>
                <w:b/>
                <w:bCs/>
                <w:szCs w:val="24"/>
                <w:u w:val="single"/>
              </w:rPr>
              <w:lastRenderedPageBreak/>
              <w:t>Attachment</w:t>
            </w:r>
          </w:p>
        </w:tc>
        <w:tc>
          <w:tcPr>
            <w:tcW w:w="8043" w:type="dxa"/>
            <w:shd w:val="clear" w:color="auto" w:fill="auto"/>
          </w:tcPr>
          <w:p w:rsidRPr="00033D67" w:rsidR="00F92416" w:rsidP="000F731C" w:rsidRDefault="00F92416" w14:paraId="29ED2C69" w14:textId="7EE083DC">
            <w:pPr>
              <w:spacing w:after="0"/>
              <w:rPr>
                <w:b/>
                <w:bCs/>
                <w:szCs w:val="24"/>
                <w:u w:val="single"/>
              </w:rPr>
            </w:pPr>
            <w:r w:rsidRPr="00033D67">
              <w:rPr>
                <w:b/>
                <w:bCs/>
                <w:szCs w:val="24"/>
                <w:u w:val="single"/>
              </w:rPr>
              <w:t>Description</w:t>
            </w:r>
          </w:p>
        </w:tc>
      </w:tr>
      <w:tr w:rsidRPr="00E31F81" w:rsidR="00C81D17" w:rsidTr="001B6370" w14:paraId="487CF647" w14:textId="77777777">
        <w:tc>
          <w:tcPr>
            <w:tcW w:w="1317" w:type="dxa"/>
          </w:tcPr>
          <w:p w:rsidRPr="009E5ED7" w:rsidR="00C81D17" w:rsidP="00C81D17" w:rsidRDefault="00C81D17" w14:paraId="08C8805B" w14:textId="77777777">
            <w:pPr>
              <w:jc w:val="center"/>
              <w:rPr>
                <w:b/>
                <w:bCs/>
                <w:sz w:val="22"/>
                <w:szCs w:val="20"/>
              </w:rPr>
            </w:pPr>
            <w:r w:rsidRPr="009E5ED7">
              <w:rPr>
                <w:b/>
                <w:bCs/>
                <w:sz w:val="22"/>
                <w:szCs w:val="20"/>
              </w:rPr>
              <w:t>A</w:t>
            </w:r>
          </w:p>
        </w:tc>
        <w:tc>
          <w:tcPr>
            <w:tcW w:w="8043" w:type="dxa"/>
          </w:tcPr>
          <w:p w:rsidRPr="001B6370" w:rsidR="00C81D17" w:rsidP="00C81D17" w:rsidRDefault="004A053A" w14:paraId="0EF0D736" w14:textId="2101B4E1">
            <w:pPr>
              <w:rPr>
                <w:b/>
                <w:bCs/>
              </w:rPr>
            </w:pPr>
            <w:hyperlink w:history="1" r:id="rId12">
              <w:r w:rsidR="00AC5682">
                <w:rPr>
                  <w:rStyle w:val="Hyperlink"/>
                  <w:rFonts w:cs="Arial"/>
                  <w:b/>
                  <w:bCs/>
                  <w:szCs w:val="24"/>
                </w:rPr>
                <w:t xml:space="preserve">Final Rule – 2006 Amendment of 40 </w:t>
              </w:r>
              <w:r w:rsidR="006000BC">
                <w:rPr>
                  <w:rStyle w:val="Hyperlink"/>
                  <w:rFonts w:cs="Arial"/>
                  <w:b/>
                  <w:bCs/>
                  <w:szCs w:val="24"/>
                </w:rPr>
                <w:t>C</w:t>
              </w:r>
              <w:r w:rsidR="006000BC">
                <w:rPr>
                  <w:rStyle w:val="Hyperlink"/>
                  <w:b/>
                  <w:bCs/>
                  <w:szCs w:val="24"/>
                </w:rPr>
                <w:t>FR p</w:t>
              </w:r>
              <w:r w:rsidR="00AC5682">
                <w:rPr>
                  <w:rStyle w:val="Hyperlink"/>
                  <w:rFonts w:cs="Arial"/>
                  <w:b/>
                  <w:bCs/>
                  <w:szCs w:val="24"/>
                </w:rPr>
                <w:t xml:space="preserve">art 26; Protections for Test Subjects in Human Research </w:t>
              </w:r>
            </w:hyperlink>
            <w:r w:rsidR="00AC5682">
              <w:rPr>
                <w:rFonts w:cs="Arial"/>
                <w:b/>
                <w:bCs/>
                <w:szCs w:val="24"/>
              </w:rPr>
              <w:t xml:space="preserve"> </w:t>
            </w:r>
          </w:p>
        </w:tc>
      </w:tr>
      <w:tr w:rsidRPr="00E31F81" w:rsidR="00F07541" w:rsidTr="001B6370" w14:paraId="66E8A658" w14:textId="77777777">
        <w:tc>
          <w:tcPr>
            <w:tcW w:w="1317" w:type="dxa"/>
          </w:tcPr>
          <w:p w:rsidRPr="009E5ED7" w:rsidR="00F07541" w:rsidP="00F07541" w:rsidRDefault="00F07541" w14:paraId="1932DECD" w14:textId="7D60C823">
            <w:pPr>
              <w:jc w:val="center"/>
              <w:rPr>
                <w:b/>
                <w:bCs/>
                <w:sz w:val="22"/>
                <w:szCs w:val="20"/>
              </w:rPr>
            </w:pPr>
            <w:r w:rsidRPr="009E5ED7">
              <w:rPr>
                <w:b/>
                <w:bCs/>
                <w:sz w:val="22"/>
                <w:szCs w:val="20"/>
              </w:rPr>
              <w:t>B</w:t>
            </w:r>
          </w:p>
        </w:tc>
        <w:tc>
          <w:tcPr>
            <w:tcW w:w="8043" w:type="dxa"/>
          </w:tcPr>
          <w:p w:rsidRPr="001B6370" w:rsidR="00F07541" w:rsidP="00F07541" w:rsidRDefault="004A053A" w14:paraId="4F9A20C9" w14:textId="1EAF1CB6">
            <w:pPr>
              <w:rPr>
                <w:b/>
                <w:bCs/>
              </w:rPr>
            </w:pPr>
            <w:hyperlink r:id="rId13">
              <w:r w:rsidRPr="4D7E2AF7" w:rsidR="001B6370">
                <w:rPr>
                  <w:rStyle w:val="Hyperlink"/>
                  <w:rFonts w:cs="Arial"/>
                  <w:b/>
                  <w:bCs/>
                </w:rPr>
                <w:t>Appropriations Act, 2006, Pub. L. No. 109-54</w:t>
              </w:r>
            </w:hyperlink>
          </w:p>
        </w:tc>
      </w:tr>
      <w:tr w:rsidRPr="00E31F81" w:rsidR="00F92416" w:rsidTr="001B6370" w14:paraId="7F40FD40" w14:textId="77777777">
        <w:tc>
          <w:tcPr>
            <w:tcW w:w="1317" w:type="dxa"/>
          </w:tcPr>
          <w:p w:rsidRPr="009E5ED7" w:rsidR="00F92416" w:rsidP="000675B2" w:rsidRDefault="00F92416" w14:paraId="273407D4" w14:textId="107B4ACB">
            <w:pPr>
              <w:jc w:val="center"/>
              <w:rPr>
                <w:b/>
                <w:bCs/>
                <w:sz w:val="22"/>
                <w:szCs w:val="20"/>
              </w:rPr>
            </w:pPr>
            <w:r w:rsidRPr="009E5ED7">
              <w:rPr>
                <w:b/>
                <w:bCs/>
                <w:sz w:val="22"/>
                <w:szCs w:val="20"/>
              </w:rPr>
              <w:t>C</w:t>
            </w:r>
          </w:p>
        </w:tc>
        <w:tc>
          <w:tcPr>
            <w:tcW w:w="8043" w:type="dxa"/>
          </w:tcPr>
          <w:p w:rsidRPr="001B6370" w:rsidR="00F92416" w:rsidP="000675B2" w:rsidRDefault="001B6370" w14:paraId="121D0B23" w14:textId="57C4566E">
            <w:pPr>
              <w:rPr>
                <w:b/>
                <w:bCs/>
                <w:sz w:val="22"/>
                <w:szCs w:val="20"/>
              </w:rPr>
            </w:pPr>
            <w:r w:rsidRPr="001B6370">
              <w:rPr>
                <w:rFonts w:cs="Arial"/>
                <w:b/>
                <w:bCs/>
                <w:szCs w:val="24"/>
              </w:rPr>
              <w:t>FIFRA Sections 3(c)(5), 3(g), 4(g)(2), and 25</w:t>
            </w:r>
          </w:p>
        </w:tc>
      </w:tr>
      <w:tr w:rsidRPr="00E31F81" w:rsidR="00F92416" w:rsidTr="001B6370" w14:paraId="39448A26" w14:textId="77777777">
        <w:tc>
          <w:tcPr>
            <w:tcW w:w="1317" w:type="dxa"/>
          </w:tcPr>
          <w:p w:rsidRPr="001B6370" w:rsidR="00F92416" w:rsidP="000675B2" w:rsidRDefault="00F92416" w14:paraId="7B4081A6" w14:textId="64F10950">
            <w:pPr>
              <w:jc w:val="center"/>
              <w:rPr>
                <w:b/>
                <w:bCs/>
                <w:sz w:val="22"/>
                <w:szCs w:val="20"/>
              </w:rPr>
            </w:pPr>
            <w:r w:rsidRPr="001B6370">
              <w:rPr>
                <w:b/>
                <w:bCs/>
                <w:sz w:val="22"/>
                <w:szCs w:val="20"/>
              </w:rPr>
              <w:t>D</w:t>
            </w:r>
          </w:p>
        </w:tc>
        <w:tc>
          <w:tcPr>
            <w:tcW w:w="8043" w:type="dxa"/>
          </w:tcPr>
          <w:p w:rsidRPr="001B6370" w:rsidR="00F92416" w:rsidP="00C81D17" w:rsidRDefault="001B6370" w14:paraId="74BAB1D1" w14:textId="5DAB1206">
            <w:pPr>
              <w:rPr>
                <w:b/>
                <w:bCs/>
              </w:rPr>
            </w:pPr>
            <w:r w:rsidRPr="001B6370">
              <w:rPr>
                <w:rFonts w:cs="Arial"/>
                <w:b/>
                <w:bCs/>
                <w:szCs w:val="24"/>
              </w:rPr>
              <w:t>FFDCA Sections 408(b)(2)(A)(ii) and 408(e)(1)(C)</w:t>
            </w:r>
          </w:p>
        </w:tc>
      </w:tr>
      <w:tr w:rsidRPr="00E31F81" w:rsidR="00F07541" w:rsidTr="001B6370" w14:paraId="17D7D05D" w14:textId="77777777">
        <w:tc>
          <w:tcPr>
            <w:tcW w:w="1317" w:type="dxa"/>
          </w:tcPr>
          <w:p w:rsidRPr="001B6370" w:rsidR="00F07541" w:rsidP="00F07541" w:rsidRDefault="00F07541" w14:paraId="1574AAF3" w14:textId="0DFF2B6A">
            <w:pPr>
              <w:jc w:val="center"/>
              <w:rPr>
                <w:b/>
                <w:bCs/>
                <w:sz w:val="22"/>
                <w:szCs w:val="20"/>
              </w:rPr>
            </w:pPr>
            <w:r w:rsidRPr="001B6370">
              <w:rPr>
                <w:b/>
                <w:bCs/>
                <w:sz w:val="22"/>
                <w:szCs w:val="20"/>
              </w:rPr>
              <w:t>E</w:t>
            </w:r>
          </w:p>
        </w:tc>
        <w:tc>
          <w:tcPr>
            <w:tcW w:w="8043" w:type="dxa"/>
          </w:tcPr>
          <w:p w:rsidRPr="001B6370" w:rsidR="00F07541" w:rsidP="00F07541" w:rsidRDefault="001B6370" w14:paraId="37CEE945" w14:textId="7F3EE1E0">
            <w:pPr>
              <w:rPr>
                <w:b/>
                <w:bCs/>
                <w:sz w:val="22"/>
                <w:szCs w:val="20"/>
              </w:rPr>
            </w:pPr>
            <w:r w:rsidRPr="001B6370">
              <w:rPr>
                <w:rFonts w:cs="Arial"/>
                <w:b/>
                <w:bCs/>
                <w:szCs w:val="24"/>
              </w:rPr>
              <w:t>Estimated Wage Rates for Pesticide Registrants Using BLS NAICS 541710</w:t>
            </w:r>
          </w:p>
        </w:tc>
      </w:tr>
      <w:tr w:rsidRPr="00E31F81" w:rsidR="00F07541" w:rsidTr="001B6370" w14:paraId="26AA7A21" w14:textId="77777777">
        <w:tc>
          <w:tcPr>
            <w:tcW w:w="1317" w:type="dxa"/>
          </w:tcPr>
          <w:p w:rsidRPr="001B6370" w:rsidR="00F07541" w:rsidP="00F07541" w:rsidRDefault="00F07541" w14:paraId="4D614086" w14:textId="113143D3">
            <w:pPr>
              <w:jc w:val="center"/>
              <w:rPr>
                <w:b/>
                <w:bCs/>
                <w:sz w:val="22"/>
                <w:szCs w:val="20"/>
              </w:rPr>
            </w:pPr>
            <w:r w:rsidRPr="001B6370">
              <w:rPr>
                <w:b/>
                <w:bCs/>
                <w:sz w:val="22"/>
                <w:szCs w:val="20"/>
              </w:rPr>
              <w:t>F</w:t>
            </w:r>
          </w:p>
        </w:tc>
        <w:tc>
          <w:tcPr>
            <w:tcW w:w="8043" w:type="dxa"/>
          </w:tcPr>
          <w:p w:rsidRPr="001B6370" w:rsidR="001B6370" w:rsidP="00F07541" w:rsidRDefault="001B6370" w14:paraId="26F52C1F" w14:textId="0A5A9164">
            <w:pPr>
              <w:rPr>
                <w:rFonts w:cs="Arial"/>
                <w:b/>
                <w:bCs/>
                <w:szCs w:val="24"/>
              </w:rPr>
            </w:pPr>
            <w:r w:rsidRPr="001B6370">
              <w:rPr>
                <w:rFonts w:cs="Arial"/>
                <w:b/>
                <w:bCs/>
                <w:szCs w:val="24"/>
              </w:rPr>
              <w:t>Standard Wages for the Federal Government Using BLS NAICS 999100</w:t>
            </w:r>
          </w:p>
        </w:tc>
      </w:tr>
      <w:tr w:rsidRPr="00E31F81" w:rsidR="001B6370" w:rsidTr="001B6370" w14:paraId="728BC216" w14:textId="77777777">
        <w:tc>
          <w:tcPr>
            <w:tcW w:w="1317" w:type="dxa"/>
          </w:tcPr>
          <w:p w:rsidRPr="007265D4" w:rsidR="001B6370" w:rsidP="001B6370" w:rsidRDefault="001B6370" w14:paraId="0C3D7F3D" w14:textId="62A914E4">
            <w:pPr>
              <w:jc w:val="center"/>
              <w:rPr>
                <w:rFonts w:cs="Arial"/>
                <w:b/>
                <w:bCs/>
                <w:szCs w:val="24"/>
              </w:rPr>
            </w:pPr>
            <w:r w:rsidRPr="006D75CC">
              <w:rPr>
                <w:rFonts w:cs="Arial"/>
                <w:b/>
                <w:bCs/>
                <w:szCs w:val="24"/>
              </w:rPr>
              <w:t>G</w:t>
            </w:r>
          </w:p>
        </w:tc>
        <w:tc>
          <w:tcPr>
            <w:tcW w:w="8043" w:type="dxa"/>
          </w:tcPr>
          <w:p w:rsidRPr="001B6370" w:rsidR="001B6370" w:rsidP="001B6370" w:rsidRDefault="001B6370" w14:paraId="2E46F0AC" w14:textId="0B934EAA">
            <w:pPr>
              <w:rPr>
                <w:rFonts w:cs="Arial"/>
                <w:b/>
                <w:bCs/>
                <w:szCs w:val="24"/>
              </w:rPr>
            </w:pPr>
            <w:r w:rsidRPr="001B6370">
              <w:rPr>
                <w:rFonts w:cs="Arial"/>
                <w:b/>
                <w:bCs/>
                <w:szCs w:val="24"/>
              </w:rPr>
              <w:t>Display Related to OMB Control #2070-0169 -Listings of Related Regulations in 40 CFR 9.1</w:t>
            </w:r>
          </w:p>
        </w:tc>
      </w:tr>
      <w:tr w:rsidRPr="00E31F81" w:rsidR="001B6370" w:rsidTr="001B6370" w14:paraId="01B889AA" w14:textId="77777777">
        <w:tc>
          <w:tcPr>
            <w:tcW w:w="1317" w:type="dxa"/>
          </w:tcPr>
          <w:p w:rsidRPr="00B6580D" w:rsidR="001B6370" w:rsidP="001B6370" w:rsidRDefault="001B6370" w14:paraId="53D1357F" w14:textId="0072229C">
            <w:pPr>
              <w:jc w:val="center"/>
              <w:rPr>
                <w:rFonts w:cs="Arial"/>
                <w:b/>
                <w:bCs/>
                <w:szCs w:val="24"/>
              </w:rPr>
            </w:pPr>
            <w:r>
              <w:rPr>
                <w:rFonts w:cs="Arial"/>
                <w:b/>
                <w:bCs/>
                <w:szCs w:val="24"/>
              </w:rPr>
              <w:t>H</w:t>
            </w:r>
          </w:p>
        </w:tc>
        <w:tc>
          <w:tcPr>
            <w:tcW w:w="8043" w:type="dxa"/>
          </w:tcPr>
          <w:p w:rsidRPr="001B6370" w:rsidR="001B6370" w:rsidP="001B6370" w:rsidRDefault="009E5ED7" w14:paraId="1BFE315D" w14:textId="27DC8407">
            <w:pPr>
              <w:rPr>
                <w:rFonts w:cs="Arial"/>
                <w:b/>
                <w:bCs/>
                <w:szCs w:val="24"/>
              </w:rPr>
            </w:pPr>
            <w:r>
              <w:rPr>
                <w:rFonts w:cs="Arial"/>
                <w:b/>
                <w:bCs/>
                <w:szCs w:val="24"/>
              </w:rPr>
              <w:t>Consultation Summary</w:t>
            </w:r>
          </w:p>
        </w:tc>
      </w:tr>
      <w:tr w:rsidRPr="00E31F81" w:rsidR="001B6370" w:rsidTr="001B6370" w14:paraId="13A9665D" w14:textId="77777777">
        <w:tc>
          <w:tcPr>
            <w:tcW w:w="1317" w:type="dxa"/>
          </w:tcPr>
          <w:p w:rsidRPr="00E31F81" w:rsidR="001B6370" w:rsidP="001B6370" w:rsidRDefault="001B6370" w14:paraId="1F4CDC39" w14:textId="4D46D4B1">
            <w:pPr>
              <w:jc w:val="center"/>
              <w:rPr>
                <w:sz w:val="22"/>
                <w:szCs w:val="20"/>
              </w:rPr>
            </w:pPr>
            <w:r>
              <w:rPr>
                <w:rFonts w:cs="Arial"/>
                <w:b/>
                <w:bCs/>
                <w:szCs w:val="24"/>
              </w:rPr>
              <w:t>I</w:t>
            </w:r>
          </w:p>
        </w:tc>
        <w:tc>
          <w:tcPr>
            <w:tcW w:w="8043" w:type="dxa"/>
          </w:tcPr>
          <w:p w:rsidRPr="001B6370" w:rsidR="001B6370" w:rsidP="001B6370" w:rsidRDefault="001B6370" w14:paraId="62A94ADA" w14:textId="12C5D611">
            <w:pPr>
              <w:rPr>
                <w:rFonts w:cs="Arial"/>
                <w:b/>
                <w:bCs/>
                <w:szCs w:val="24"/>
              </w:rPr>
            </w:pPr>
            <w:r w:rsidRPr="001B6370">
              <w:rPr>
                <w:rFonts w:cs="Arial"/>
                <w:b/>
                <w:bCs/>
                <w:szCs w:val="24"/>
              </w:rPr>
              <w:t>Explanation of Methodology and Data Used to Calculate Respondent Burdens and Costs</w:t>
            </w:r>
          </w:p>
        </w:tc>
      </w:tr>
    </w:tbl>
    <w:p w:rsidR="00EC4305" w:rsidP="00947E69" w:rsidRDefault="00EC4305" w14:paraId="3C3CFDF9" w14:textId="70F6B7DC"/>
    <w:sectPr w:rsidR="00EC4305" w:rsidSect="00947E69">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11F1" w14:textId="77777777" w:rsidR="00B26C4E" w:rsidRDefault="00B26C4E" w:rsidP="00B41A83">
      <w:pPr>
        <w:spacing w:after="0" w:line="240" w:lineRule="auto"/>
      </w:pPr>
      <w:r>
        <w:separator/>
      </w:r>
    </w:p>
  </w:endnote>
  <w:endnote w:type="continuationSeparator" w:id="0">
    <w:p w14:paraId="449AFBFA" w14:textId="77777777" w:rsidR="00B26C4E" w:rsidRDefault="00B26C4E" w:rsidP="00B41A83">
      <w:pPr>
        <w:spacing w:after="0" w:line="240" w:lineRule="auto"/>
      </w:pPr>
      <w:r>
        <w:continuationSeparator/>
      </w:r>
    </w:p>
  </w:endnote>
  <w:endnote w:type="continuationNotice" w:id="1">
    <w:p w14:paraId="04A12D2C" w14:textId="77777777" w:rsidR="00B26C4E" w:rsidRDefault="00B26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82630"/>
      <w:docPartObj>
        <w:docPartGallery w:val="Page Numbers (Bottom of Page)"/>
        <w:docPartUnique/>
      </w:docPartObj>
    </w:sdtPr>
    <w:sdtEndPr/>
    <w:sdtContent>
      <w:sdt>
        <w:sdtPr>
          <w:id w:val="-1705238520"/>
          <w:docPartObj>
            <w:docPartGallery w:val="Page Numbers (Top of Page)"/>
            <w:docPartUnique/>
          </w:docPartObj>
        </w:sdtPr>
        <w:sdtEndPr/>
        <w:sdtContent>
          <w:p w14:paraId="7F6369D3" w14:textId="62726952" w:rsidR="00B26C4E" w:rsidRPr="00041E4F" w:rsidRDefault="00B26C4E" w:rsidP="00041E4F">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rsidR="004A053A">
              <w:fldChar w:fldCharType="begin"/>
            </w:r>
            <w:r w:rsidR="004A053A">
              <w:instrText xml:space="preserve"> NUMPAGES  </w:instrText>
            </w:r>
            <w:r w:rsidR="004A053A">
              <w:fldChar w:fldCharType="separate"/>
            </w:r>
            <w:r w:rsidRPr="00041E4F">
              <w:t>2</w:t>
            </w:r>
            <w:r w:rsidR="004A053A">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6127" w14:textId="77777777" w:rsidR="00B26C4E" w:rsidRDefault="00B26C4E" w:rsidP="00B41A83">
      <w:pPr>
        <w:spacing w:after="0" w:line="240" w:lineRule="auto"/>
      </w:pPr>
      <w:r>
        <w:separator/>
      </w:r>
    </w:p>
  </w:footnote>
  <w:footnote w:type="continuationSeparator" w:id="0">
    <w:p w14:paraId="0B1715AB" w14:textId="77777777" w:rsidR="00B26C4E" w:rsidRDefault="00B26C4E" w:rsidP="00B41A83">
      <w:pPr>
        <w:spacing w:after="0" w:line="240" w:lineRule="auto"/>
      </w:pPr>
      <w:r>
        <w:continuationSeparator/>
      </w:r>
    </w:p>
  </w:footnote>
  <w:footnote w:type="continuationNotice" w:id="1">
    <w:p w14:paraId="16131FF3" w14:textId="77777777" w:rsidR="00B26C4E" w:rsidRDefault="00B26C4E">
      <w:pPr>
        <w:spacing w:after="0" w:line="240" w:lineRule="auto"/>
      </w:pPr>
    </w:p>
  </w:footnote>
  <w:footnote w:id="2">
    <w:p w14:paraId="23C7C1E6" w14:textId="77777777" w:rsidR="00B26C4E" w:rsidRDefault="00B26C4E" w:rsidP="002D3148">
      <w:pPr>
        <w:pStyle w:val="FootnoteText"/>
      </w:pPr>
      <w:r w:rsidRPr="00F65E20">
        <w:rPr>
          <w:rStyle w:val="FootnoteReference"/>
        </w:rPr>
        <w:footnoteRef/>
      </w:r>
      <w:r>
        <w:t xml:space="preserve">  To access the revised </w:t>
      </w:r>
      <w:proofErr w:type="gramStart"/>
      <w:r>
        <w:t>regulation</w:t>
      </w:r>
      <w:proofErr w:type="gramEnd"/>
      <w:r>
        <w:t xml:space="preserve"> go to: </w:t>
      </w:r>
      <w:hyperlink r:id="rId1" w:history="1">
        <w:r w:rsidRPr="001E70CD">
          <w:rPr>
            <w:rStyle w:val="Hyperlink"/>
          </w:rPr>
          <w:t>https://www.govinfo.gov/content/pkg/CFR-2020-title40-vol1/pdf/CFR-2020-title40-vol1-part26.pdf</w:t>
        </w:r>
      </w:hyperlink>
    </w:p>
    <w:p w14:paraId="41664ED9" w14:textId="77777777" w:rsidR="00B26C4E" w:rsidRDefault="00B26C4E" w:rsidP="002D3148">
      <w:pPr>
        <w:pStyle w:val="FootnoteText"/>
      </w:pPr>
    </w:p>
  </w:footnote>
  <w:footnote w:id="3">
    <w:p w14:paraId="13E88B87" w14:textId="6B718595" w:rsidR="00B26C4E" w:rsidRDefault="00B26C4E" w:rsidP="002D3148">
      <w:pPr>
        <w:pStyle w:val="FootnoteText"/>
        <w:ind w:left="360" w:hanging="360"/>
      </w:pPr>
      <w:r w:rsidRPr="00E248E5">
        <w:rPr>
          <w:rStyle w:val="FootnoteReference"/>
        </w:rPr>
        <w:footnoteRef/>
      </w:r>
      <w:r>
        <w:t xml:space="preserve"> </w:t>
      </w:r>
      <w:r>
        <w:tab/>
      </w:r>
      <w:r w:rsidRPr="00385C7D">
        <w:t>Defined in FIFRA section 2(bb) as “. . .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w:t>
      </w:r>
      <w:r>
        <w:t xml:space="preserve"> Cosmetic Act (21 U.S.C. 346a) </w:t>
      </w:r>
      <w:r w:rsidRPr="00385C7D">
        <w:t>. . .”</w:t>
      </w:r>
    </w:p>
  </w:footnote>
  <w:footnote w:id="4">
    <w:p w14:paraId="1DF86A9F" w14:textId="77777777" w:rsidR="00B26C4E" w:rsidRDefault="00B26C4E" w:rsidP="00CD2B6B">
      <w:pPr>
        <w:pStyle w:val="FootnoteText"/>
        <w:ind w:left="360" w:hanging="360"/>
      </w:pPr>
      <w:r w:rsidRPr="0038196C">
        <w:rPr>
          <w:rStyle w:val="FootnoteReference"/>
          <w:rFonts w:ascii="Times" w:hAnsi="Times"/>
        </w:rPr>
        <w:footnoteRef/>
      </w:r>
      <w:r>
        <w:t xml:space="preserve"> </w:t>
      </w:r>
      <w:r>
        <w:tab/>
      </w:r>
      <w:r w:rsidRPr="001A36C1">
        <w:t>Bureau</w:t>
      </w:r>
      <w:r>
        <w:t xml:space="preserve"> of Labor Statistics.  “May 2020</w:t>
      </w:r>
      <w:r w:rsidRPr="001A36C1">
        <w:t xml:space="preserve"> National Industry-Specific Occupational Employment and Wage Estimates: </w:t>
      </w:r>
      <w:r w:rsidRPr="001A36C1">
        <w:rPr>
          <w:rFonts w:ascii="Tms Rmn" w:hAnsi="Tms Rmn" w:cs="Tms Rmn"/>
          <w:bCs/>
          <w:color w:val="000000"/>
        </w:rPr>
        <w:t>541710 – Research and Development in the Physical, Engineering, and Life Sciences</w:t>
      </w:r>
      <w:r w:rsidRPr="001A36C1">
        <w:rPr>
          <w:bCs/>
          <w:color w:val="000000"/>
        </w:rPr>
        <w:t xml:space="preserve">.” Accessed at </w:t>
      </w:r>
      <w:hyperlink r:id="rId2" w:history="1">
        <w:r w:rsidRPr="004C7671">
          <w:rPr>
            <w:rStyle w:val="Hyperlink"/>
          </w:rPr>
          <w:t>http://www.bls.gov/oes/current/naics5_541710.htm</w:t>
        </w:r>
      </w:hyperlink>
      <w:r w:rsidRPr="004C7671">
        <w:rPr>
          <w:bCs/>
          <w:color w:val="000000"/>
        </w:rPr>
        <w:t>.</w:t>
      </w:r>
    </w:p>
  </w:footnote>
  <w:footnote w:id="5">
    <w:p w14:paraId="495BF31C" w14:textId="77777777" w:rsidR="00B26C4E" w:rsidRPr="008404EB" w:rsidRDefault="00B26C4E" w:rsidP="00CD2B6B">
      <w:pPr>
        <w:ind w:left="360" w:hanging="360"/>
        <w:rPr>
          <w:bCs/>
          <w:color w:val="000000"/>
        </w:rPr>
      </w:pPr>
      <w:r w:rsidRPr="00057892">
        <w:rPr>
          <w:rStyle w:val="FootnoteReference"/>
          <w:rFonts w:ascii="Times" w:hAnsi="Times"/>
        </w:rPr>
        <w:footnoteRef/>
      </w:r>
      <w:r>
        <w:t xml:space="preserve"> </w:t>
      </w:r>
      <w:r>
        <w:tab/>
      </w:r>
      <w:r w:rsidRPr="004C7671">
        <w:rPr>
          <w:sz w:val="20"/>
          <w:szCs w:val="20"/>
        </w:rPr>
        <w:t>Bureau</w:t>
      </w:r>
      <w:r>
        <w:rPr>
          <w:sz w:val="20"/>
          <w:szCs w:val="20"/>
        </w:rPr>
        <w:t xml:space="preserve"> of Labor Statistics.  “May 2020</w:t>
      </w:r>
      <w:r w:rsidRPr="004C7671">
        <w:rPr>
          <w:sz w:val="20"/>
          <w:szCs w:val="20"/>
        </w:rPr>
        <w:t xml:space="preserve"> National Industry-Specific Occupational Employment and Wage Estimates: NAICS 999100 – Federal Executive Branch</w:t>
      </w:r>
      <w:r w:rsidRPr="004C7671">
        <w:rPr>
          <w:bCs/>
          <w:color w:val="000000"/>
          <w:sz w:val="20"/>
          <w:szCs w:val="20"/>
        </w:rPr>
        <w:t xml:space="preserve">.” Accessed at </w:t>
      </w:r>
      <w:hyperlink r:id="rId3" w:history="1">
        <w:r w:rsidRPr="004C7671">
          <w:rPr>
            <w:rStyle w:val="Hyperlink"/>
            <w:sz w:val="20"/>
            <w:szCs w:val="20"/>
          </w:rPr>
          <w:t>http://www.bls.gov/oes/current/naics4_999100.htm</w:t>
        </w:r>
      </w:hyperlink>
      <w:r w:rsidRPr="004C7671">
        <w:rPr>
          <w:bCs/>
          <w:color w:val="000000"/>
          <w:sz w:val="20"/>
          <w:szCs w:val="20"/>
        </w:rPr>
        <w:t>.</w:t>
      </w:r>
    </w:p>
    <w:p w14:paraId="678A6059" w14:textId="77777777" w:rsidR="00B26C4E" w:rsidRDefault="00B26C4E" w:rsidP="00CD2B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4E1" w14:textId="36731F94" w:rsidR="00B26C4E" w:rsidRPr="00041E4F" w:rsidRDefault="004A053A" w:rsidP="00041E4F">
    <w:pPr>
      <w:pStyle w:val="Header"/>
    </w:pPr>
    <w:sdt>
      <w:sdtPr>
        <w:alias w:val="Version"/>
        <w:tag w:val="Version"/>
        <w:id w:val="1456983313"/>
        <w:placeholder>
          <w:docPart w:val="E43A35DED13B4AE096B05542BEB87C4D"/>
        </w:placeholder>
        <w:dropDownList>
          <w:listItem w:displayText="Public Review Version" w:value="Public Review Version"/>
          <w:listItem w:displayText="OMB Review Version" w:value="OMB Review Version"/>
        </w:dropDownList>
      </w:sdtPr>
      <w:sdtEndPr/>
      <w:sdtContent>
        <w:r w:rsidR="00B26C4E">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1AC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B8A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F063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D46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96C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E07F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8A01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6012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C80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4C8B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10B51F37"/>
    <w:multiLevelType w:val="hybridMultilevel"/>
    <w:tmpl w:val="8CEA8344"/>
    <w:lvl w:ilvl="0" w:tplc="04090011">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156F4"/>
    <w:multiLevelType w:val="hybridMultilevel"/>
    <w:tmpl w:val="38F47512"/>
    <w:lvl w:ilvl="0" w:tplc="CCBA75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822AC"/>
    <w:multiLevelType w:val="hybridMultilevel"/>
    <w:tmpl w:val="3A9C0322"/>
    <w:lvl w:ilvl="0" w:tplc="8B98AE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243B7"/>
    <w:multiLevelType w:val="hybridMultilevel"/>
    <w:tmpl w:val="044EA7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58E70A9"/>
    <w:multiLevelType w:val="hybridMultilevel"/>
    <w:tmpl w:val="8CEA8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A4D46"/>
    <w:multiLevelType w:val="hybridMultilevel"/>
    <w:tmpl w:val="4D785924"/>
    <w:lvl w:ilvl="0" w:tplc="260ABC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07C6A"/>
    <w:multiLevelType w:val="hybridMultilevel"/>
    <w:tmpl w:val="14267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81334"/>
    <w:multiLevelType w:val="hybridMultilevel"/>
    <w:tmpl w:val="CB7E2BA8"/>
    <w:lvl w:ilvl="0" w:tplc="67FCCA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B0D98"/>
    <w:multiLevelType w:val="multilevel"/>
    <w:tmpl w:val="CB7E2BA8"/>
    <w:numStyleLink w:val="StyleBulletedLatinCalibriLeft025Hanging025"/>
  </w:abstractNum>
  <w:abstractNum w:abstractNumId="23" w15:restartNumberingAfterBreak="0">
    <w:nsid w:val="43137F6C"/>
    <w:multiLevelType w:val="hybridMultilevel"/>
    <w:tmpl w:val="682CE184"/>
    <w:lvl w:ilvl="0" w:tplc="67FCCA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D5D5D"/>
    <w:multiLevelType w:val="hybridMultilevel"/>
    <w:tmpl w:val="EE443844"/>
    <w:lvl w:ilvl="0" w:tplc="67FCCA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378A9"/>
    <w:multiLevelType w:val="hybridMultilevel"/>
    <w:tmpl w:val="78EC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E5100"/>
    <w:multiLevelType w:val="hybridMultilevel"/>
    <w:tmpl w:val="533C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611C4"/>
    <w:multiLevelType w:val="hybridMultilevel"/>
    <w:tmpl w:val="3BE8B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5"/>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23"/>
  </w:num>
  <w:num w:numId="14">
    <w:abstractNumId w:val="12"/>
  </w:num>
  <w:num w:numId="15">
    <w:abstractNumId w:val="20"/>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14"/>
  </w:num>
  <w:num w:numId="29">
    <w:abstractNumId w:val="28"/>
  </w:num>
  <w:num w:numId="30">
    <w:abstractNumId w:val="22"/>
  </w:num>
  <w:num w:numId="31">
    <w:abstractNumId w:val="13"/>
  </w:num>
  <w:num w:numId="32">
    <w:abstractNumId w:val="26"/>
  </w:num>
  <w:num w:numId="33">
    <w:abstractNumId w:val="27"/>
  </w:num>
  <w:num w:numId="34">
    <w:abstractNumId w:val="18"/>
  </w:num>
  <w:num w:numId="35">
    <w:abstractNumId w:val="16"/>
  </w:num>
  <w:num w:numId="36">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360"/>
  <w:doNotShadeFormData/>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312E8"/>
    <w:rsid w:val="00033D67"/>
    <w:rsid w:val="00041E4F"/>
    <w:rsid w:val="00044EB4"/>
    <w:rsid w:val="0005463F"/>
    <w:rsid w:val="000575E2"/>
    <w:rsid w:val="000675B2"/>
    <w:rsid w:val="0007164A"/>
    <w:rsid w:val="000739F6"/>
    <w:rsid w:val="000752C2"/>
    <w:rsid w:val="00081437"/>
    <w:rsid w:val="00084E18"/>
    <w:rsid w:val="000973DC"/>
    <w:rsid w:val="000B78A2"/>
    <w:rsid w:val="000D7865"/>
    <w:rsid w:val="000E0038"/>
    <w:rsid w:val="000E18FF"/>
    <w:rsid w:val="000F009E"/>
    <w:rsid w:val="000F731C"/>
    <w:rsid w:val="00106918"/>
    <w:rsid w:val="0010754F"/>
    <w:rsid w:val="00124D37"/>
    <w:rsid w:val="001742D1"/>
    <w:rsid w:val="00183665"/>
    <w:rsid w:val="00197590"/>
    <w:rsid w:val="001A2D54"/>
    <w:rsid w:val="001B0671"/>
    <w:rsid w:val="001B6370"/>
    <w:rsid w:val="001B6C6A"/>
    <w:rsid w:val="001D08CD"/>
    <w:rsid w:val="001D419E"/>
    <w:rsid w:val="001E3B05"/>
    <w:rsid w:val="001E6C32"/>
    <w:rsid w:val="001F6B0A"/>
    <w:rsid w:val="00201BA4"/>
    <w:rsid w:val="00202B28"/>
    <w:rsid w:val="00216736"/>
    <w:rsid w:val="00230AE4"/>
    <w:rsid w:val="00234D66"/>
    <w:rsid w:val="002444D2"/>
    <w:rsid w:val="002469AC"/>
    <w:rsid w:val="002550B9"/>
    <w:rsid w:val="00260C22"/>
    <w:rsid w:val="002617D8"/>
    <w:rsid w:val="00265740"/>
    <w:rsid w:val="0028166B"/>
    <w:rsid w:val="00285242"/>
    <w:rsid w:val="002A523B"/>
    <w:rsid w:val="002B43E5"/>
    <w:rsid w:val="002B49E4"/>
    <w:rsid w:val="002C75CB"/>
    <w:rsid w:val="002D3148"/>
    <w:rsid w:val="002E6946"/>
    <w:rsid w:val="00305CF1"/>
    <w:rsid w:val="00314CCC"/>
    <w:rsid w:val="0031723E"/>
    <w:rsid w:val="003201C1"/>
    <w:rsid w:val="00325F76"/>
    <w:rsid w:val="00326D02"/>
    <w:rsid w:val="003271A3"/>
    <w:rsid w:val="00331CC1"/>
    <w:rsid w:val="00335583"/>
    <w:rsid w:val="00335D7E"/>
    <w:rsid w:val="00346123"/>
    <w:rsid w:val="003462C9"/>
    <w:rsid w:val="0034639D"/>
    <w:rsid w:val="00347B47"/>
    <w:rsid w:val="003679B0"/>
    <w:rsid w:val="00372497"/>
    <w:rsid w:val="0038118B"/>
    <w:rsid w:val="003A5D50"/>
    <w:rsid w:val="003A7E96"/>
    <w:rsid w:val="003C072E"/>
    <w:rsid w:val="003C3801"/>
    <w:rsid w:val="003C3B1C"/>
    <w:rsid w:val="003E3DDF"/>
    <w:rsid w:val="003E4CE6"/>
    <w:rsid w:val="003E6143"/>
    <w:rsid w:val="003E68B6"/>
    <w:rsid w:val="0040064C"/>
    <w:rsid w:val="00417682"/>
    <w:rsid w:val="004314BF"/>
    <w:rsid w:val="00437E07"/>
    <w:rsid w:val="00446F44"/>
    <w:rsid w:val="0049039B"/>
    <w:rsid w:val="004A053A"/>
    <w:rsid w:val="004A4334"/>
    <w:rsid w:val="004B43A1"/>
    <w:rsid w:val="004C296A"/>
    <w:rsid w:val="004C680B"/>
    <w:rsid w:val="004D2587"/>
    <w:rsid w:val="004D278A"/>
    <w:rsid w:val="004D3BC2"/>
    <w:rsid w:val="004D63B9"/>
    <w:rsid w:val="004E1B8E"/>
    <w:rsid w:val="004F2BBA"/>
    <w:rsid w:val="0050366F"/>
    <w:rsid w:val="00517562"/>
    <w:rsid w:val="00517C67"/>
    <w:rsid w:val="00524EDC"/>
    <w:rsid w:val="0052682B"/>
    <w:rsid w:val="00530DBC"/>
    <w:rsid w:val="0053290A"/>
    <w:rsid w:val="00532A7D"/>
    <w:rsid w:val="00544EE7"/>
    <w:rsid w:val="0055539F"/>
    <w:rsid w:val="00571531"/>
    <w:rsid w:val="00575882"/>
    <w:rsid w:val="0059788A"/>
    <w:rsid w:val="005A0321"/>
    <w:rsid w:val="005B283D"/>
    <w:rsid w:val="005B3E6F"/>
    <w:rsid w:val="005C2FD6"/>
    <w:rsid w:val="005C59B2"/>
    <w:rsid w:val="005D485C"/>
    <w:rsid w:val="005D49E5"/>
    <w:rsid w:val="005E162F"/>
    <w:rsid w:val="006000BC"/>
    <w:rsid w:val="00600232"/>
    <w:rsid w:val="00620F25"/>
    <w:rsid w:val="00625B4A"/>
    <w:rsid w:val="006427F5"/>
    <w:rsid w:val="006530C6"/>
    <w:rsid w:val="0068004C"/>
    <w:rsid w:val="006A0F34"/>
    <w:rsid w:val="006A45D6"/>
    <w:rsid w:val="006A5038"/>
    <w:rsid w:val="006B37CA"/>
    <w:rsid w:val="006C00D3"/>
    <w:rsid w:val="006F4235"/>
    <w:rsid w:val="00701FC8"/>
    <w:rsid w:val="007038A8"/>
    <w:rsid w:val="007078AE"/>
    <w:rsid w:val="007175D6"/>
    <w:rsid w:val="00724D8F"/>
    <w:rsid w:val="00725D82"/>
    <w:rsid w:val="007368DA"/>
    <w:rsid w:val="00761070"/>
    <w:rsid w:val="007655E1"/>
    <w:rsid w:val="0077261D"/>
    <w:rsid w:val="00774E80"/>
    <w:rsid w:val="0079195E"/>
    <w:rsid w:val="00794AE3"/>
    <w:rsid w:val="007A3302"/>
    <w:rsid w:val="007C7432"/>
    <w:rsid w:val="007C7FB8"/>
    <w:rsid w:val="007F5030"/>
    <w:rsid w:val="00831159"/>
    <w:rsid w:val="008550CF"/>
    <w:rsid w:val="00864E48"/>
    <w:rsid w:val="00864E56"/>
    <w:rsid w:val="008652EF"/>
    <w:rsid w:val="0087157C"/>
    <w:rsid w:val="008841B8"/>
    <w:rsid w:val="008923C0"/>
    <w:rsid w:val="008C38D9"/>
    <w:rsid w:val="008D1ED3"/>
    <w:rsid w:val="008D359E"/>
    <w:rsid w:val="008E13F2"/>
    <w:rsid w:val="008E153F"/>
    <w:rsid w:val="008E1BB4"/>
    <w:rsid w:val="00905FF3"/>
    <w:rsid w:val="00923751"/>
    <w:rsid w:val="00935F3D"/>
    <w:rsid w:val="00945687"/>
    <w:rsid w:val="00947E69"/>
    <w:rsid w:val="0095161E"/>
    <w:rsid w:val="00952B4F"/>
    <w:rsid w:val="00973863"/>
    <w:rsid w:val="00984BD1"/>
    <w:rsid w:val="0099299A"/>
    <w:rsid w:val="009A6F3A"/>
    <w:rsid w:val="009C0CA7"/>
    <w:rsid w:val="009C56CB"/>
    <w:rsid w:val="009D4ACE"/>
    <w:rsid w:val="009E5ED7"/>
    <w:rsid w:val="009F0F92"/>
    <w:rsid w:val="009F4CFC"/>
    <w:rsid w:val="00A10DBF"/>
    <w:rsid w:val="00A11F9A"/>
    <w:rsid w:val="00A2040B"/>
    <w:rsid w:val="00A32121"/>
    <w:rsid w:val="00A4537D"/>
    <w:rsid w:val="00A502DF"/>
    <w:rsid w:val="00A60449"/>
    <w:rsid w:val="00A6100C"/>
    <w:rsid w:val="00A730ED"/>
    <w:rsid w:val="00A83E86"/>
    <w:rsid w:val="00A918D7"/>
    <w:rsid w:val="00A92F86"/>
    <w:rsid w:val="00A93837"/>
    <w:rsid w:val="00AB044F"/>
    <w:rsid w:val="00AB183F"/>
    <w:rsid w:val="00AB6751"/>
    <w:rsid w:val="00AC0A29"/>
    <w:rsid w:val="00AC5682"/>
    <w:rsid w:val="00AE4DAA"/>
    <w:rsid w:val="00AF11A8"/>
    <w:rsid w:val="00AF29D0"/>
    <w:rsid w:val="00AF48E1"/>
    <w:rsid w:val="00B103EA"/>
    <w:rsid w:val="00B109F8"/>
    <w:rsid w:val="00B26C4E"/>
    <w:rsid w:val="00B37541"/>
    <w:rsid w:val="00B41A83"/>
    <w:rsid w:val="00B54DE2"/>
    <w:rsid w:val="00B6083F"/>
    <w:rsid w:val="00B61F00"/>
    <w:rsid w:val="00B84B05"/>
    <w:rsid w:val="00B97489"/>
    <w:rsid w:val="00BA2C21"/>
    <w:rsid w:val="00BB139B"/>
    <w:rsid w:val="00BB66DE"/>
    <w:rsid w:val="00BB6DC5"/>
    <w:rsid w:val="00BD4D2A"/>
    <w:rsid w:val="00BD6FC7"/>
    <w:rsid w:val="00BE274A"/>
    <w:rsid w:val="00BF6045"/>
    <w:rsid w:val="00BF7348"/>
    <w:rsid w:val="00C075F6"/>
    <w:rsid w:val="00C1234B"/>
    <w:rsid w:val="00C20CC4"/>
    <w:rsid w:val="00C54DF9"/>
    <w:rsid w:val="00C56213"/>
    <w:rsid w:val="00C605C8"/>
    <w:rsid w:val="00C621B1"/>
    <w:rsid w:val="00C812B9"/>
    <w:rsid w:val="00C81D17"/>
    <w:rsid w:val="00CA74FC"/>
    <w:rsid w:val="00CB6BF9"/>
    <w:rsid w:val="00CC6124"/>
    <w:rsid w:val="00CD2B6B"/>
    <w:rsid w:val="00CE186C"/>
    <w:rsid w:val="00CF4801"/>
    <w:rsid w:val="00D06F11"/>
    <w:rsid w:val="00D130DE"/>
    <w:rsid w:val="00D1436F"/>
    <w:rsid w:val="00D407C9"/>
    <w:rsid w:val="00D42D7D"/>
    <w:rsid w:val="00D62EA2"/>
    <w:rsid w:val="00D736E4"/>
    <w:rsid w:val="00D80B3A"/>
    <w:rsid w:val="00D825F4"/>
    <w:rsid w:val="00D86193"/>
    <w:rsid w:val="00D91DBB"/>
    <w:rsid w:val="00D92571"/>
    <w:rsid w:val="00D97CA7"/>
    <w:rsid w:val="00DA5CC6"/>
    <w:rsid w:val="00DD0C28"/>
    <w:rsid w:val="00DD204B"/>
    <w:rsid w:val="00DE19AF"/>
    <w:rsid w:val="00DE29B7"/>
    <w:rsid w:val="00DF6964"/>
    <w:rsid w:val="00DF7F34"/>
    <w:rsid w:val="00E31F81"/>
    <w:rsid w:val="00E40A23"/>
    <w:rsid w:val="00E6036A"/>
    <w:rsid w:val="00E64FF8"/>
    <w:rsid w:val="00E6686B"/>
    <w:rsid w:val="00E66AD3"/>
    <w:rsid w:val="00E6742D"/>
    <w:rsid w:val="00E76339"/>
    <w:rsid w:val="00E91C3C"/>
    <w:rsid w:val="00EC4305"/>
    <w:rsid w:val="00ED79B0"/>
    <w:rsid w:val="00EE0E2F"/>
    <w:rsid w:val="00EF494C"/>
    <w:rsid w:val="00F02996"/>
    <w:rsid w:val="00F05F80"/>
    <w:rsid w:val="00F07541"/>
    <w:rsid w:val="00F22F59"/>
    <w:rsid w:val="00F42B00"/>
    <w:rsid w:val="00F44B08"/>
    <w:rsid w:val="00F5676B"/>
    <w:rsid w:val="00F5683E"/>
    <w:rsid w:val="00F607FF"/>
    <w:rsid w:val="00F71DB5"/>
    <w:rsid w:val="00F92416"/>
    <w:rsid w:val="00F92A04"/>
    <w:rsid w:val="00FB18A1"/>
    <w:rsid w:val="00FB6AEB"/>
    <w:rsid w:val="00FC4F79"/>
    <w:rsid w:val="00FC6F03"/>
    <w:rsid w:val="00FE177E"/>
    <w:rsid w:val="00FF21E8"/>
    <w:rsid w:val="00FF3DA9"/>
    <w:rsid w:val="01F8FC60"/>
    <w:rsid w:val="1AFF7CB2"/>
    <w:rsid w:val="1E3685FC"/>
    <w:rsid w:val="1EACADD4"/>
    <w:rsid w:val="20CB7BA7"/>
    <w:rsid w:val="227E5399"/>
    <w:rsid w:val="266E626A"/>
    <w:rsid w:val="2BBC7833"/>
    <w:rsid w:val="42D5A4E6"/>
    <w:rsid w:val="48DDC51E"/>
    <w:rsid w:val="49C013F2"/>
    <w:rsid w:val="4CB2264D"/>
    <w:rsid w:val="4D7E2AF7"/>
    <w:rsid w:val="532F7B7A"/>
    <w:rsid w:val="615E7E28"/>
    <w:rsid w:val="7880A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eastAsiaTheme="majorEastAsia" w:hAnsi="Arial" w:cstheme="minorHAnsi"/>
      <w:b/>
      <w:bCs/>
      <w:sz w:val="24"/>
      <w:szCs w:val="32"/>
    </w:rPr>
  </w:style>
  <w:style w:type="character" w:styleId="Strong">
    <w:name w:val="Strong"/>
    <w:basedOn w:val="DefaultParagraphFont"/>
    <w:uiPriority w:val="22"/>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B41A83"/>
    <w:rPr>
      <w:color w:val="000000" w:themeColor="hyperlink"/>
      <w:u w:val="single"/>
    </w:rPr>
  </w:style>
  <w:style w:type="character" w:styleId="UnresolvedMention">
    <w:name w:val="Unresolved Mention"/>
    <w:basedOn w:val="DefaultParagraphFont"/>
    <w:uiPriority w:val="99"/>
    <w:semiHidden/>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eastAsiaTheme="majorEastAsia" w:hAnsi="Arial"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semiHidden/>
    <w:unhideWhenUsed/>
    <w:rsid w:val="00973863"/>
    <w:pPr>
      <w:spacing w:line="240" w:lineRule="auto"/>
    </w:pPr>
    <w:rPr>
      <w:sz w:val="20"/>
      <w:szCs w:val="20"/>
    </w:rPr>
  </w:style>
  <w:style w:type="character" w:customStyle="1" w:styleId="CommentTextChar">
    <w:name w:val="Comment Text Char"/>
    <w:basedOn w:val="DefaultParagraphFont"/>
    <w:link w:val="CommentText"/>
    <w:semiHidden/>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NormalWeb">
    <w:name w:val="Normal (Web)"/>
    <w:basedOn w:val="Normal"/>
    <w:uiPriority w:val="99"/>
    <w:unhideWhenUsed/>
    <w:rsid w:val="002D3148"/>
    <w:pPr>
      <w:spacing w:after="0" w:line="240" w:lineRule="auto"/>
    </w:pPr>
    <w:rPr>
      <w:rFonts w:ascii="Times New Roman" w:hAnsi="Times New Roman" w:cs="Times New Roman"/>
      <w:szCs w:val="24"/>
    </w:rPr>
  </w:style>
  <w:style w:type="paragraph" w:styleId="BodyTextIndent">
    <w:name w:val="Body Text Indent"/>
    <w:basedOn w:val="Normal"/>
    <w:link w:val="BodyTextIndentChar"/>
    <w:uiPriority w:val="99"/>
    <w:unhideWhenUsed/>
    <w:rsid w:val="002D3148"/>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rsid w:val="002D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5440">
      <w:bodyDiv w:val="1"/>
      <w:marLeft w:val="0"/>
      <w:marRight w:val="0"/>
      <w:marTop w:val="0"/>
      <w:marBottom w:val="0"/>
      <w:divBdr>
        <w:top w:val="none" w:sz="0" w:space="0" w:color="auto"/>
        <w:left w:val="none" w:sz="0" w:space="0" w:color="auto"/>
        <w:bottom w:val="none" w:sz="0" w:space="0" w:color="auto"/>
        <w:right w:val="none" w:sz="0" w:space="0" w:color="auto"/>
      </w:divBdr>
    </w:div>
    <w:div w:id="5087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gress.gov/109/plaws/publ54/PLAW-109publ5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06/02/06/06-1045/protections-for-subjects-in-human-resear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999100.htm" TargetMode="External"/><Relationship Id="rId2" Type="http://schemas.openxmlformats.org/officeDocument/2006/relationships/hyperlink" Target="http://www.bls.gov/oes/current/naics5_541710.htm" TargetMode="External"/><Relationship Id="rId1" Type="http://schemas.openxmlformats.org/officeDocument/2006/relationships/hyperlink" Target="https://www.govinfo.gov/content/pkg/CFR-2020-title40-vol1/pdf/CFR-2020-title40-vol1-part26.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RDefault="008E13F2" w:rsidP="008E13F2">
          <w:pPr>
            <w:pStyle w:val="E43A35DED13B4AE096B05542BEB87C4D1"/>
          </w:pPr>
          <w:r w:rsidRPr="007C5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1B17DA"/>
    <w:rsid w:val="00276204"/>
    <w:rsid w:val="005F658F"/>
    <w:rsid w:val="007417DD"/>
    <w:rsid w:val="007F0600"/>
    <w:rsid w:val="00820A42"/>
    <w:rsid w:val="008B0F91"/>
    <w:rsid w:val="008E13F2"/>
    <w:rsid w:val="00AE08B3"/>
    <w:rsid w:val="00B94D42"/>
    <w:rsid w:val="00DA20C2"/>
    <w:rsid w:val="00DB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7DA"/>
    <w:rPr>
      <w:color w:val="808080"/>
    </w:rPr>
  </w:style>
  <w:style w:type="paragraph" w:customStyle="1" w:styleId="E43A35DED13B4AE096B05542BEB87C4D1">
    <w:name w:val="E43A35DED13B4AE096B05542BEB87C4D1"/>
    <w:rsid w:val="008E13F2"/>
    <w:pPr>
      <w:spacing w:after="0" w:line="240" w:lineRule="auto"/>
      <w:jc w:val="right"/>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3635</FRN_x0020_List_x0020_Item_x0020_ID>
    <_ip_UnifiedCompliancePolicyUIAction xmlns="http://schemas.microsoft.com/sharepoint/v3" xsi:nil="true"/>
    <_ip_UnifiedCompliancePolicyProperties xmlns="http://schemas.microsoft.com/sharepoint/v3" xsi:nil="true"/>
    <SharedWithUsers xmlns="a5d1ca4e-0a3f-4119-b619-e20b93ebd1aa">
      <UserInfo>
        <DisplayName>Stoner, Nora</DisplayName>
        <AccountId>10662</AccountId>
        <AccountType/>
      </UserInfo>
    </SharedWithUsers>
  </documentManagement>
</p:properties>
</file>

<file path=customXml/itemProps1.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2.xml><?xml version="1.0" encoding="utf-8"?>
<ds:datastoreItem xmlns:ds="http://schemas.openxmlformats.org/officeDocument/2006/customXml" ds:itemID="{4018CD55-4747-4E08-B804-1E2866134655}">
  <ds:schemaRefs>
    <ds:schemaRef ds:uri="Microsoft.SharePoint.Taxonomy.ContentTypeSync"/>
  </ds:schemaRefs>
</ds:datastoreItem>
</file>

<file path=customXml/itemProps3.xml><?xml version="1.0" encoding="utf-8"?>
<ds:datastoreItem xmlns:ds="http://schemas.openxmlformats.org/officeDocument/2006/customXml" ds:itemID="{B58597F0-ADDA-4F60-80A0-897405D2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5.xml><?xml version="1.0" encoding="utf-8"?>
<ds:datastoreItem xmlns:ds="http://schemas.openxmlformats.org/officeDocument/2006/customXml" ds:itemID="{1ACC76EA-381F-485B-AAEB-CECCAE595265}">
  <ds:schemaRefs>
    <ds:schemaRef ds:uri="http://www.w3.org/XML/1998/namespace"/>
    <ds:schemaRef ds:uri="http://schemas.microsoft.com/office/infopath/2007/PartnerControls"/>
    <ds:schemaRef ds:uri="http://purl.org/dc/terms/"/>
    <ds:schemaRef ds:uri="http://schemas.microsoft.com/sharepoint.v3"/>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a5d1ca4e-0a3f-4119-b619-e20b93ebd1aa"/>
    <ds:schemaRef ds:uri="118f882f-1e32-4cf2-ad69-9de43d57f4c6"/>
    <ds:schemaRef ds:uri="4ffa91fb-a0ff-4ac5-b2db-65c790d184a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5489</Words>
  <Characters>31290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Green</dc:creator>
  <cp:keywords/>
  <dc:description/>
  <cp:lastModifiedBy>Johnson, Amaris</cp:lastModifiedBy>
  <cp:revision>2</cp:revision>
  <dcterms:created xsi:type="dcterms:W3CDTF">2022-04-14T17:49:00Z</dcterms:created>
  <dcterms:modified xsi:type="dcterms:W3CDTF">2022-04-14T17:49:00Z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