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0A34" w:rsidP="00F30A34" w:rsidRDefault="00F30A34" w14:paraId="67BF13A6" w14:textId="2F19BA79">
      <w:r>
        <w:t xml:space="preserve">2127-0706 - </w:t>
      </w:r>
      <w:r w:rsidRPr="00F30A34">
        <w:t>Investigation-Based Crash Data Studies</w:t>
      </w:r>
    </w:p>
    <w:p w:rsidR="00F30A34" w:rsidP="00F30A34" w:rsidRDefault="00F30A34" w14:paraId="74D695B6" w14:textId="77777777"/>
    <w:p w:rsidR="00F30A34" w:rsidP="00F30A34" w:rsidRDefault="00F30A34" w14:paraId="612B119E" w14:textId="5B886CF0">
      <w:r>
        <w:t>ROCIS will not allow a collection to be entered without a CFR or an instrument.</w:t>
      </w:r>
    </w:p>
    <w:p w:rsidR="00F30A34" w:rsidP="00F30A34" w:rsidRDefault="00F30A34" w14:paraId="2D6B442A" w14:textId="77777777"/>
    <w:p w:rsidR="00F30A34" w:rsidP="00F30A34" w:rsidRDefault="00F30A34" w14:paraId="033EFF54" w14:textId="01C5875D">
      <w:r>
        <w:t>There are no CFRs or instruments associated with the collection. The information collections without instruments involve NHTSA accessing police reports or hospital reports or visiting tow yards to gain access to vehicles involved in crashes</w:t>
      </w:r>
      <w:r>
        <w:t>.</w:t>
      </w:r>
    </w:p>
    <w:p w:rsidR="003F25D8" w:rsidRDefault="003F25D8" w14:paraId="16564C2E" w14:textId="77777777"/>
    <w:sectPr w:rsidR="003F2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34"/>
    <w:rsid w:val="003614E4"/>
    <w:rsid w:val="003F25D8"/>
    <w:rsid w:val="00746B66"/>
    <w:rsid w:val="00F30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FC600"/>
  <w15:chartTrackingRefBased/>
  <w15:docId w15:val="{FFA112AF-6DE1-4E3B-BB59-B2CECD89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A3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89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Culbreath, Walter (NHTSA)</dc:creator>
  <cp:keywords/>
  <dc:description/>
  <cp:lastModifiedBy>Culbreath, Walter (NHTSA)</cp:lastModifiedBy>
  <cp:revision>2</cp:revision>
  <dcterms:created xsi:type="dcterms:W3CDTF">2022-04-21T19:19:00Z</dcterms:created>
  <dcterms:modified xsi:type="dcterms:W3CDTF">2022-04-21T19:19:00Z</dcterms:modified>
</cp:coreProperties>
</file>