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81917" w:rsidR="00F45271" w:rsidP="6C720080" w:rsidRDefault="6C720080" w14:paraId="1A1F3087" w14:textId="65DE37FE">
      <w:pPr>
        <w:widowControl w:val="0"/>
        <w:jc w:val="center"/>
        <w:rPr>
          <w:b/>
          <w:bCs/>
          <w:szCs w:val="24"/>
        </w:rPr>
      </w:pPr>
      <w:r w:rsidRPr="6C720080">
        <w:rPr>
          <w:b/>
          <w:bCs/>
          <w:szCs w:val="24"/>
        </w:rPr>
        <w:t>Department of Transportation</w:t>
      </w:r>
    </w:p>
    <w:p w:rsidRPr="00981917" w:rsidR="00F45271" w:rsidP="6C720080" w:rsidRDefault="6C720080" w14:paraId="4BB9B6F7" w14:textId="6E441E3C">
      <w:pPr>
        <w:widowControl w:val="0"/>
        <w:jc w:val="center"/>
        <w:rPr>
          <w:b/>
          <w:bCs/>
          <w:szCs w:val="24"/>
        </w:rPr>
      </w:pPr>
      <w:r w:rsidRPr="6C720080">
        <w:rPr>
          <w:b/>
          <w:bCs/>
          <w:szCs w:val="24"/>
        </w:rPr>
        <w:t>Office of the Chief Information Officer</w:t>
      </w:r>
    </w:p>
    <w:p w:rsidRPr="00981917" w:rsidR="00F45271" w:rsidP="6C720080" w:rsidRDefault="6C720080" w14:paraId="6846D2B3" w14:textId="41E1ED61">
      <w:pPr>
        <w:widowControl w:val="0"/>
        <w:jc w:val="center"/>
        <w:rPr>
          <w:b/>
          <w:bCs/>
          <w:szCs w:val="24"/>
        </w:rPr>
      </w:pPr>
      <w:r w:rsidRPr="6C720080">
        <w:rPr>
          <w:b/>
          <w:bCs/>
          <w:szCs w:val="24"/>
        </w:rPr>
        <w:t xml:space="preserve"> </w:t>
      </w:r>
    </w:p>
    <w:p w:rsidRPr="00981917" w:rsidR="00F45271" w:rsidP="6C720080" w:rsidRDefault="6C720080" w14:paraId="04A3A5C7" w14:textId="219A45CD">
      <w:pPr>
        <w:widowControl w:val="0"/>
        <w:jc w:val="center"/>
        <w:rPr>
          <w:b/>
          <w:bCs/>
          <w:szCs w:val="24"/>
        </w:rPr>
      </w:pPr>
      <w:r w:rsidRPr="6C720080">
        <w:rPr>
          <w:b/>
          <w:bCs/>
          <w:szCs w:val="24"/>
        </w:rPr>
        <w:t>Supporting Statement</w:t>
      </w:r>
    </w:p>
    <w:p w:rsidRPr="00981917" w:rsidR="00F45271" w:rsidP="6C720080" w:rsidRDefault="6C720080" w14:paraId="7212DFC6" w14:textId="5B6954FA">
      <w:pPr>
        <w:widowControl w:val="0"/>
        <w:jc w:val="center"/>
        <w:rPr>
          <w:b/>
          <w:bCs/>
          <w:szCs w:val="24"/>
        </w:rPr>
      </w:pPr>
      <w:r w:rsidRPr="6C720080">
        <w:rPr>
          <w:b/>
          <w:bCs/>
          <w:szCs w:val="24"/>
        </w:rPr>
        <w:t xml:space="preserve"> </w:t>
      </w:r>
    </w:p>
    <w:p w:rsidRPr="00981917" w:rsidR="00F45271" w:rsidP="6C720080" w:rsidRDefault="6C720080" w14:paraId="59AA9392" w14:textId="50EC35BC">
      <w:pPr>
        <w:widowControl w:val="0"/>
        <w:jc w:val="center"/>
        <w:rPr>
          <w:b/>
          <w:bCs/>
          <w:szCs w:val="24"/>
        </w:rPr>
      </w:pPr>
      <w:r w:rsidRPr="6C720080">
        <w:rPr>
          <w:b/>
          <w:bCs/>
          <w:color w:val="000000" w:themeColor="text1"/>
          <w:szCs w:val="24"/>
        </w:rPr>
        <w:t>Natural Gas Distribution Infrastructure Safety and Modernization Grant Program</w:t>
      </w:r>
    </w:p>
    <w:p w:rsidRPr="00981917" w:rsidR="00F45271" w:rsidP="6C720080" w:rsidRDefault="00F45271" w14:paraId="324A4097" w14:textId="0C622C81">
      <w:pPr>
        <w:widowControl w:val="0"/>
        <w:jc w:val="center"/>
        <w:rPr>
          <w:b/>
          <w:bCs/>
          <w:szCs w:val="24"/>
        </w:rPr>
      </w:pPr>
    </w:p>
    <w:p w:rsidRPr="00981917" w:rsidR="00F45271" w:rsidP="6C720080" w:rsidRDefault="00F45271" w14:paraId="3CBF93BD" w14:textId="7AC547F8">
      <w:pPr>
        <w:widowControl w:val="0"/>
        <w:tabs>
          <w:tab w:val="center" w:pos="4680"/>
        </w:tabs>
        <w:jc w:val="center"/>
        <w:rPr>
          <w:b/>
          <w:bCs/>
          <w:szCs w:val="24"/>
        </w:rPr>
      </w:pPr>
      <w:r>
        <w:fldChar w:fldCharType="begin"/>
      </w:r>
      <w:r>
        <w:instrText xml:space="preserve"> SEQ CHAPTER \h \r 1</w:instrText>
      </w:r>
      <w:r>
        <w:fldChar w:fldCharType="end"/>
      </w:r>
    </w:p>
    <w:p w:rsidRPr="00981917" w:rsidR="00EC23D6" w:rsidP="00EC23D6" w:rsidRDefault="00EC23D6" w14:paraId="1C939DB1" w14:textId="77777777">
      <w:pPr>
        <w:rPr>
          <w:b/>
          <w:szCs w:val="24"/>
          <w:u w:val="single"/>
        </w:rPr>
      </w:pPr>
      <w:r w:rsidRPr="00981917">
        <w:rPr>
          <w:b/>
          <w:szCs w:val="24"/>
          <w:u w:val="single"/>
        </w:rPr>
        <w:t>INTRODUCTION</w:t>
      </w:r>
    </w:p>
    <w:p w:rsidRPr="00981917" w:rsidR="00EC23D6" w:rsidP="00EC23D6" w:rsidRDefault="00EC23D6" w14:paraId="66155595" w14:textId="77777777">
      <w:pPr>
        <w:rPr>
          <w:b/>
          <w:szCs w:val="24"/>
          <w:u w:val="single"/>
        </w:rPr>
      </w:pPr>
    </w:p>
    <w:p w:rsidR="6C720080" w:rsidP="6C720080" w:rsidRDefault="6C720080" w14:paraId="2288DA86" w14:textId="7F074B8D">
      <w:pPr>
        <w:rPr>
          <w:color w:val="000000" w:themeColor="text1"/>
          <w:szCs w:val="24"/>
        </w:rPr>
      </w:pPr>
      <w:r w:rsidRPr="6C720080">
        <w:rPr>
          <w:szCs w:val="24"/>
        </w:rPr>
        <w:t>The Pipeline and Hazardous Materials Safety Administration (PHMSA) requests that the Office of Management and Budget (OMB) grant an emergency clearance for a new information collection entitled “</w:t>
      </w:r>
      <w:r w:rsidRPr="6C720080">
        <w:rPr>
          <w:color w:val="000000" w:themeColor="text1"/>
          <w:szCs w:val="24"/>
        </w:rPr>
        <w:t>Natural Gas Distribution Infrastructure Safety and Modernization Grant Program”.</w:t>
      </w:r>
    </w:p>
    <w:p w:rsidR="6C720080" w:rsidP="6C720080" w:rsidRDefault="6C720080" w14:paraId="6E652D8B" w14:textId="25EAB444">
      <w:pPr>
        <w:rPr>
          <w:szCs w:val="24"/>
        </w:rPr>
      </w:pPr>
    </w:p>
    <w:p w:rsidRPr="00981917" w:rsidR="00EC23D6" w:rsidP="00EC23D6" w:rsidRDefault="00EC23D6" w14:paraId="0355B8AE" w14:textId="77777777">
      <w:pPr>
        <w:rPr>
          <w:szCs w:val="24"/>
        </w:rPr>
      </w:pPr>
    </w:p>
    <w:p w:rsidRPr="00981917" w:rsidR="00EC23D6" w:rsidP="00EC23D6" w:rsidRDefault="00EC23D6" w14:paraId="0A9AA463" w14:textId="77777777">
      <w:pPr>
        <w:rPr>
          <w:b/>
          <w:szCs w:val="24"/>
        </w:rPr>
      </w:pPr>
      <w:r w:rsidRPr="00981917">
        <w:rPr>
          <w:b/>
          <w:szCs w:val="24"/>
        </w:rPr>
        <w:t>Part A. Justification</w:t>
      </w:r>
    </w:p>
    <w:p w:rsidRPr="00981917" w:rsidR="00EC23D6" w:rsidP="00EC23D6" w:rsidRDefault="00EC23D6" w14:paraId="69A10DC7" w14:textId="77777777">
      <w:pPr>
        <w:jc w:val="center"/>
        <w:rPr>
          <w:b/>
          <w:szCs w:val="24"/>
        </w:rPr>
      </w:pPr>
    </w:p>
    <w:p w:rsidR="00FA169D" w:rsidP="6C720080" w:rsidRDefault="2CCDFF8E" w14:paraId="4505FAD5" w14:textId="7520FCF3">
      <w:pPr>
        <w:numPr>
          <w:ilvl w:val="0"/>
          <w:numId w:val="17"/>
        </w:numPr>
        <w:tabs>
          <w:tab w:val="clear" w:pos="720"/>
          <w:tab w:val="left" w:pos="540"/>
        </w:tabs>
        <w:ind w:left="0" w:firstLine="0"/>
        <w:rPr>
          <w:color w:val="FF0000"/>
        </w:rPr>
      </w:pPr>
      <w:r w:rsidRPr="6C720080">
        <w:rPr>
          <w:b/>
          <w:bCs/>
          <w:u w:val="single"/>
        </w:rPr>
        <w:t>Circumstances that make the collection of information necessary</w:t>
      </w:r>
      <w:r w:rsidRPr="6C720080">
        <w:rPr>
          <w:b/>
          <w:bCs/>
        </w:rPr>
        <w:t xml:space="preserve">.  </w:t>
      </w:r>
    </w:p>
    <w:p w:rsidR="6C720080" w:rsidP="6C720080" w:rsidRDefault="6C720080" w14:paraId="4EE05A79" w14:textId="7B500AA9">
      <w:pPr>
        <w:tabs>
          <w:tab w:val="left" w:pos="540"/>
        </w:tabs>
        <w:rPr>
          <w:color w:val="4471C4"/>
        </w:rPr>
      </w:pPr>
    </w:p>
    <w:p w:rsidR="005A3EC7" w:rsidP="6C720080" w:rsidRDefault="1B90D2AC" w14:paraId="754886D4" w14:textId="2DF2F63C">
      <w:pPr>
        <w:tabs>
          <w:tab w:val="left" w:pos="540"/>
        </w:tabs>
      </w:pPr>
      <w:r w:rsidRPr="6C720080">
        <w:t xml:space="preserve">The Infrastructure Investment and Jobs Act </w:t>
      </w:r>
      <w:r w:rsidRPr="6C720080" w:rsidR="143DBBD5">
        <w:t xml:space="preserve">(H.R. 3684, </w:t>
      </w:r>
      <w:r w:rsidRPr="6C720080" w:rsidR="10973F2A">
        <w:t xml:space="preserve">Public Law 117 - 58) </w:t>
      </w:r>
      <w:r w:rsidRPr="6C720080">
        <w:t>is the most significant investment in our nation’s infrastructure in more than half a century. This includes the Pipeline and Hazardous Materials Safety Administration</w:t>
      </w:r>
      <w:r w:rsidRPr="6C720080" w:rsidR="10973F2A">
        <w:t>’</w:t>
      </w:r>
      <w:r w:rsidRPr="6C720080">
        <w:t xml:space="preserve">s (PHMSA) first ever infrastructure grant program. Subject to funding availability, the legislation designated $200 million a year in grant funding with a total of $1 billion in grant funding over the next five years. </w:t>
      </w:r>
    </w:p>
    <w:p w:rsidR="005A3EC7" w:rsidP="6C720080" w:rsidRDefault="005A3EC7" w14:paraId="71F1ECF9" w14:textId="34349439">
      <w:pPr>
        <w:tabs>
          <w:tab w:val="left" w:pos="540"/>
        </w:tabs>
      </w:pPr>
    </w:p>
    <w:p w:rsidR="005A3EC7" w:rsidP="6C720080" w:rsidRDefault="1E3DAAD0" w14:paraId="45F149BF" w14:textId="7F1A932F">
      <w:pPr>
        <w:tabs>
          <w:tab w:val="left" w:pos="540"/>
        </w:tabs>
      </w:pPr>
      <w:r w:rsidRPr="6C720080">
        <w:t xml:space="preserve">This grant </w:t>
      </w:r>
      <w:r w:rsidRPr="6C720080" w:rsidR="4B7EB96A">
        <w:t>funding is intended to reduce potential incidents and fatalities and to avoid the economic loss</w:t>
      </w:r>
      <w:r w:rsidRPr="6C720080">
        <w:t>es</w:t>
      </w:r>
      <w:r w:rsidRPr="6C720080" w:rsidR="4B7EB96A">
        <w:t xml:space="preserve"> that can result from an incident occurring.  </w:t>
      </w:r>
      <w:r w:rsidRPr="6C720080" w:rsidR="20224B2D">
        <w:t xml:space="preserve">Additionally, this will also assist in the reduction of methane emissions by replacing existing pipe that is more prone to fugitive emissions of methane.  </w:t>
      </w:r>
    </w:p>
    <w:p w:rsidR="005A3EC7" w:rsidP="6C720080" w:rsidRDefault="005A3EC7" w14:paraId="54A704BE" w14:textId="77777777">
      <w:pPr>
        <w:tabs>
          <w:tab w:val="left" w:pos="540"/>
        </w:tabs>
      </w:pPr>
    </w:p>
    <w:p w:rsidRPr="00806A71" w:rsidR="00806A71" w:rsidP="6C720080" w:rsidRDefault="2A34526F" w14:paraId="54CAC45F" w14:textId="0F98A1E4">
      <w:pPr>
        <w:tabs>
          <w:tab w:val="left" w:pos="540"/>
        </w:tabs>
      </w:pPr>
      <w:r w:rsidRPr="6C720080">
        <w:t xml:space="preserve">The Act sets forth that </w:t>
      </w:r>
      <w:r w:rsidRPr="6C720080" w:rsidR="1E3DAAD0">
        <w:t xml:space="preserve">the Secretary </w:t>
      </w:r>
      <w:r w:rsidRPr="6C720080">
        <w:t xml:space="preserve">of Transportation </w:t>
      </w:r>
      <w:r w:rsidRPr="6C720080" w:rsidR="1E3DAAD0">
        <w:t xml:space="preserve">shall establish procedures for awarding grants that take into consideration the following: (1) the risk profile of the existing pipeline system operated by the applicant, including the presence of pipe prone to leakage; (2) the potential of the project for creating jobs; (3) the potential for benefiting disadvantaged rural and urban communities; and (4) economic impact or growth. </w:t>
      </w:r>
      <w:r w:rsidRPr="6C720080">
        <w:t xml:space="preserve">This information collection is necessary to meet the Act’s requirements stipulated above.  </w:t>
      </w:r>
      <w:proofErr w:type="gramStart"/>
      <w:r w:rsidRPr="6C720080" w:rsidR="4B7EB96A">
        <w:t>In order to</w:t>
      </w:r>
      <w:proofErr w:type="gramEnd"/>
      <w:r w:rsidRPr="6C720080" w:rsidR="4B7EB96A">
        <w:t xml:space="preserve"> award the grant money, DOT/PHMSA must request solicitations from the municipalities and community owned utility systems for review against set criteria for consideration as laid out in H. R. 3684—1015.</w:t>
      </w:r>
    </w:p>
    <w:p w:rsidRPr="00981917" w:rsidR="001D224D" w:rsidP="00C35CCA" w:rsidRDefault="001D224D" w14:paraId="01DC6328" w14:textId="77777777">
      <w:pPr>
        <w:widowControl w:val="0"/>
        <w:tabs>
          <w:tab w:val="left" w:pos="540"/>
        </w:tabs>
        <w:rPr>
          <w:b/>
          <w:szCs w:val="24"/>
        </w:rPr>
      </w:pPr>
    </w:p>
    <w:p w:rsidR="00595674" w:rsidP="6C720080" w:rsidRDefault="572BD6E3" w14:paraId="44C3077B" w14:textId="4B10821A">
      <w:pPr>
        <w:widowControl w:val="0"/>
        <w:tabs>
          <w:tab w:val="left" w:pos="540"/>
        </w:tabs>
        <w:rPr>
          <w:b/>
          <w:bCs/>
        </w:rPr>
      </w:pPr>
      <w:r w:rsidRPr="6C720080">
        <w:rPr>
          <w:b/>
          <w:bCs/>
        </w:rPr>
        <w:t>2.</w:t>
      </w:r>
      <w:r w:rsidRPr="6C720080" w:rsidR="413061CF">
        <w:rPr>
          <w:b/>
          <w:bCs/>
        </w:rPr>
        <w:t xml:space="preserve"> </w:t>
      </w:r>
      <w:r w:rsidR="00595674">
        <w:tab/>
      </w:r>
      <w:r w:rsidRPr="6C720080" w:rsidR="413061CF">
        <w:rPr>
          <w:b/>
          <w:bCs/>
          <w:u w:val="single"/>
        </w:rPr>
        <w:t xml:space="preserve">How, by whom, and for what purpose </w:t>
      </w:r>
      <w:r w:rsidRPr="6C720080" w:rsidR="06C17676">
        <w:rPr>
          <w:b/>
          <w:bCs/>
          <w:u w:val="single"/>
        </w:rPr>
        <w:t xml:space="preserve">is </w:t>
      </w:r>
      <w:r w:rsidRPr="6C720080" w:rsidR="413061CF">
        <w:rPr>
          <w:b/>
          <w:bCs/>
          <w:u w:val="single"/>
        </w:rPr>
        <w:t>the information to be used</w:t>
      </w:r>
      <w:r w:rsidRPr="6C720080" w:rsidR="413061CF">
        <w:rPr>
          <w:b/>
          <w:bCs/>
        </w:rPr>
        <w:t>.</w:t>
      </w:r>
      <w:r w:rsidR="413061CF">
        <w:t xml:space="preserve"> </w:t>
      </w:r>
    </w:p>
    <w:p w:rsidR="6C720080" w:rsidP="6C720080" w:rsidRDefault="6C720080" w14:paraId="51AB4422" w14:textId="48F6E269">
      <w:pPr>
        <w:widowControl w:val="0"/>
        <w:tabs>
          <w:tab w:val="left" w:pos="540"/>
        </w:tabs>
        <w:rPr>
          <w:szCs w:val="24"/>
        </w:rPr>
      </w:pPr>
    </w:p>
    <w:p w:rsidR="00C35CCA" w:rsidP="6C720080" w:rsidRDefault="35E190B7" w14:paraId="0902CAAF" w14:textId="4E472C7A">
      <w:pPr>
        <w:widowControl w:val="0"/>
        <w:tabs>
          <w:tab w:val="left" w:pos="540"/>
        </w:tabs>
      </w:pPr>
      <w:r w:rsidRPr="6C720080">
        <w:t xml:space="preserve">Information will be collected by PHMSA beginning with PHMSA’s Notice of Funding Opportunity (NOFO), posted on Grants.gov. Prospective applicants will apply for grant funding consideration and the information collected will be used to evaluate and award grant funding. After grants are awarded, PHMSA will collect information as required by </w:t>
      </w:r>
      <w:r w:rsidRPr="6C720080" w:rsidR="56202D5F">
        <w:t xml:space="preserve">the NOFO and Federal Grants process and, if needed, additional information </w:t>
      </w:r>
      <w:r w:rsidRPr="6C720080">
        <w:t>to monitor use of grant funding and track grantee progress.</w:t>
      </w:r>
    </w:p>
    <w:p w:rsidR="00595674" w:rsidP="6C720080" w:rsidRDefault="00595674" w14:paraId="4B265C9D" w14:textId="77777777">
      <w:pPr>
        <w:widowControl w:val="0"/>
        <w:tabs>
          <w:tab w:val="left" w:pos="540"/>
        </w:tabs>
        <w:rPr>
          <w:color w:val="FF0000"/>
        </w:rPr>
      </w:pPr>
    </w:p>
    <w:p w:rsidRPr="00981917" w:rsidR="001D224D" w:rsidP="6C720080" w:rsidRDefault="0D3D8F08" w14:paraId="3441591A" w14:textId="13B4727F">
      <w:pPr>
        <w:widowControl w:val="0"/>
        <w:tabs>
          <w:tab w:val="left" w:pos="540"/>
        </w:tabs>
        <w:rPr>
          <w:b/>
          <w:bCs/>
        </w:rPr>
      </w:pPr>
      <w:r w:rsidRPr="6C720080">
        <w:rPr>
          <w:b/>
          <w:bCs/>
        </w:rPr>
        <w:t xml:space="preserve"> </w:t>
      </w:r>
    </w:p>
    <w:p w:rsidR="00F45271" w:rsidP="6C720080" w:rsidRDefault="572BD6E3" w14:paraId="040EEF8F" w14:textId="7A3477ED">
      <w:pPr>
        <w:widowControl w:val="0"/>
        <w:tabs>
          <w:tab w:val="left" w:pos="540"/>
        </w:tabs>
        <w:rPr>
          <w:b/>
          <w:bCs/>
        </w:rPr>
      </w:pPr>
      <w:r w:rsidRPr="6C720080">
        <w:rPr>
          <w:b/>
          <w:bCs/>
        </w:rPr>
        <w:lastRenderedPageBreak/>
        <w:t>3.</w:t>
      </w:r>
      <w:r w:rsidR="00F45271">
        <w:tab/>
      </w:r>
      <w:r w:rsidRPr="6C720080" w:rsidR="413061CF">
        <w:rPr>
          <w:b/>
          <w:bCs/>
          <w:u w:val="single"/>
        </w:rPr>
        <w:t>Extent of automated information collection</w:t>
      </w:r>
      <w:r w:rsidRPr="6C720080" w:rsidR="413061CF">
        <w:rPr>
          <w:b/>
          <w:bCs/>
        </w:rPr>
        <w:t xml:space="preserve">.  </w:t>
      </w:r>
    </w:p>
    <w:p w:rsidRPr="00A86E73" w:rsidR="00A86E73" w:rsidP="000A6210" w:rsidRDefault="00A86E73" w14:paraId="4C08ED02" w14:textId="77777777">
      <w:pPr>
        <w:widowControl w:val="0"/>
        <w:tabs>
          <w:tab w:val="left" w:pos="540"/>
        </w:tabs>
      </w:pPr>
    </w:p>
    <w:p w:rsidR="00A86E73" w:rsidP="000A6210" w:rsidRDefault="11865023" w14:paraId="0D793813" w14:textId="77777777">
      <w:pPr>
        <w:widowControl w:val="0"/>
        <w:tabs>
          <w:tab w:val="left" w:pos="540"/>
        </w:tabs>
      </w:pPr>
      <w:r>
        <w:t xml:space="preserve">Grant applicants must submit the required Federal grant application forms and narrative statements in electronic form through www.grants.gov.  </w:t>
      </w:r>
    </w:p>
    <w:p w:rsidR="00A86E73" w:rsidP="000A6210" w:rsidRDefault="00A86E73" w14:paraId="7E68FC47" w14:textId="77777777">
      <w:pPr>
        <w:widowControl w:val="0"/>
        <w:tabs>
          <w:tab w:val="left" w:pos="540"/>
        </w:tabs>
      </w:pPr>
    </w:p>
    <w:p w:rsidR="00A86E73" w:rsidP="6C720080" w:rsidRDefault="11865023" w14:paraId="1CA325A8" w14:textId="532D2ECD">
      <w:pPr>
        <w:widowControl w:val="0"/>
        <w:tabs>
          <w:tab w:val="left" w:pos="540"/>
        </w:tabs>
      </w:pPr>
      <w:r>
        <w:t>PHMSA is currently reviewing and assessing existing grant management and reporting systems with the goal of streamlining the reporting requirements within the statute to reduce the reporting burden of prospective and awarded grantees</w:t>
      </w:r>
      <w:r w:rsidR="00C171A0">
        <w:t xml:space="preserve"> and determining the most efficient and effective way to submit that information to include grants.gov, web portal, e-mails, or some other electronic means</w:t>
      </w:r>
      <w:r>
        <w:t xml:space="preserve">.  </w:t>
      </w:r>
    </w:p>
    <w:p w:rsidR="00A86E73" w:rsidP="00A86E73" w:rsidRDefault="00A86E73" w14:paraId="39E86D3B" w14:textId="77777777">
      <w:pPr>
        <w:widowControl w:val="0"/>
        <w:tabs>
          <w:tab w:val="left" w:pos="540"/>
        </w:tabs>
      </w:pPr>
    </w:p>
    <w:p w:rsidRPr="00A86E73" w:rsidR="000907D5" w:rsidP="6C720080" w:rsidRDefault="1CD1CFB3" w14:paraId="6A446E17" w14:textId="50BA0429">
      <w:pPr>
        <w:widowControl w:val="0"/>
        <w:numPr>
          <w:ilvl w:val="0"/>
          <w:numId w:val="12"/>
        </w:numPr>
        <w:tabs>
          <w:tab w:val="clear" w:pos="720"/>
          <w:tab w:val="left" w:pos="540"/>
        </w:tabs>
        <w:ind w:left="-90" w:firstLine="0"/>
        <w:rPr>
          <w:b/>
          <w:bCs/>
        </w:rPr>
      </w:pPr>
      <w:r w:rsidRPr="6C720080">
        <w:rPr>
          <w:b/>
          <w:bCs/>
          <w:u w:val="single"/>
        </w:rPr>
        <w:t>Describe efforts to identify duplication.</w:t>
      </w:r>
      <w:r w:rsidRPr="6C720080">
        <w:rPr>
          <w:b/>
          <w:bCs/>
        </w:rPr>
        <w:t xml:space="preserve">   </w:t>
      </w:r>
    </w:p>
    <w:p w:rsidR="6C720080" w:rsidP="6C720080" w:rsidRDefault="6C720080" w14:paraId="5598B461" w14:textId="2566F9B6">
      <w:pPr>
        <w:widowControl w:val="0"/>
        <w:tabs>
          <w:tab w:val="left" w:pos="540"/>
        </w:tabs>
        <w:rPr>
          <w:b/>
          <w:bCs/>
          <w:szCs w:val="24"/>
        </w:rPr>
      </w:pPr>
    </w:p>
    <w:p w:rsidRPr="00A86E73" w:rsidR="00A86E73" w:rsidP="00A86E73" w:rsidRDefault="11865023" w14:paraId="5E4060EA" w14:textId="77777777">
      <w:pPr>
        <w:widowControl w:val="0"/>
        <w:tabs>
          <w:tab w:val="left" w:pos="540"/>
        </w:tabs>
      </w:pPr>
      <w:r>
        <w:t>PHMSA does not foresee any duplication of efforts caused by our information collection.</w:t>
      </w:r>
    </w:p>
    <w:p w:rsidRPr="00A86E73" w:rsidR="00A86E73" w:rsidP="00A86E73" w:rsidRDefault="00A86E73" w14:paraId="66D2D4CF" w14:textId="77777777">
      <w:pPr>
        <w:widowControl w:val="0"/>
        <w:tabs>
          <w:tab w:val="left" w:pos="540"/>
        </w:tabs>
      </w:pPr>
    </w:p>
    <w:p w:rsidRPr="00981917" w:rsidR="001D224D" w:rsidP="6C720080" w:rsidRDefault="572BD6E3" w14:paraId="109409B7" w14:textId="37ADCF69">
      <w:pPr>
        <w:widowControl w:val="0"/>
        <w:tabs>
          <w:tab w:val="left" w:pos="540"/>
        </w:tabs>
      </w:pPr>
      <w:r>
        <w:t xml:space="preserve">                 </w:t>
      </w:r>
    </w:p>
    <w:p w:rsidR="00720D5B" w:rsidP="6C720080" w:rsidRDefault="572BD6E3" w14:paraId="73391CEE" w14:textId="76B0ACB8">
      <w:pPr>
        <w:widowControl w:val="0"/>
        <w:tabs>
          <w:tab w:val="left" w:pos="540"/>
        </w:tabs>
        <w:rPr>
          <w:b/>
          <w:bCs/>
        </w:rPr>
      </w:pPr>
      <w:r w:rsidRPr="6C720080">
        <w:rPr>
          <w:b/>
          <w:bCs/>
        </w:rPr>
        <w:t>5.</w:t>
      </w:r>
      <w:r w:rsidR="00720D5B">
        <w:tab/>
      </w:r>
      <w:r w:rsidRPr="6C720080" w:rsidR="1CD1CFB3">
        <w:rPr>
          <w:b/>
          <w:bCs/>
          <w:u w:val="single"/>
        </w:rPr>
        <w:t xml:space="preserve">Efforts to minimize the </w:t>
      </w:r>
      <w:r w:rsidRPr="6C720080" w:rsidR="2D4C1133">
        <w:rPr>
          <w:b/>
          <w:bCs/>
          <w:u w:val="single"/>
        </w:rPr>
        <w:t>burden on</w:t>
      </w:r>
      <w:r w:rsidRPr="6C720080" w:rsidR="1CD1CFB3">
        <w:rPr>
          <w:b/>
          <w:bCs/>
          <w:u w:val="single"/>
        </w:rPr>
        <w:t xml:space="preserve"> small businesses</w:t>
      </w:r>
      <w:r w:rsidR="1CD1CFB3">
        <w:t xml:space="preserve">.  </w:t>
      </w:r>
    </w:p>
    <w:p w:rsidR="00A86E73" w:rsidP="6C720080" w:rsidRDefault="00A86E73" w14:paraId="563BE4E8" w14:textId="308D3B7D">
      <w:pPr>
        <w:widowControl w:val="0"/>
        <w:tabs>
          <w:tab w:val="left" w:pos="540"/>
        </w:tabs>
        <w:ind w:left="-90"/>
      </w:pPr>
    </w:p>
    <w:p w:rsidR="00A86E73" w:rsidP="6C720080" w:rsidRDefault="6C720080" w14:paraId="7117DE74" w14:textId="3C1D9A95">
      <w:pPr>
        <w:widowControl w:val="0"/>
      </w:pPr>
      <w:r w:rsidRPr="6C720080">
        <w:rPr>
          <w:szCs w:val="24"/>
        </w:rPr>
        <w:t xml:space="preserve">This information collection applies only to municipalities and community-owned utility companies.  PHMSA does not expect this </w:t>
      </w:r>
      <w:r w:rsidR="11865023">
        <w:t xml:space="preserve">information collection to adversely impact small businesses or other small entities.  </w:t>
      </w:r>
    </w:p>
    <w:p w:rsidRPr="00981917" w:rsidR="00A86E73" w:rsidP="00720D5B" w:rsidRDefault="00A86E73" w14:paraId="3BBDFC0E" w14:textId="77777777">
      <w:pPr>
        <w:widowControl w:val="0"/>
        <w:tabs>
          <w:tab w:val="left" w:pos="0"/>
          <w:tab w:val="left" w:pos="540"/>
        </w:tabs>
        <w:ind w:left="-90"/>
        <w:rPr>
          <w:szCs w:val="24"/>
        </w:rPr>
      </w:pPr>
    </w:p>
    <w:p w:rsidR="00743112" w:rsidP="6C720080" w:rsidRDefault="572BD6E3" w14:paraId="1716F53C" w14:textId="6434A20C">
      <w:pPr>
        <w:widowControl w:val="0"/>
        <w:tabs>
          <w:tab w:val="left" w:pos="540"/>
        </w:tabs>
        <w:rPr>
          <w:b/>
          <w:bCs/>
        </w:rPr>
      </w:pPr>
      <w:r w:rsidRPr="6C720080">
        <w:rPr>
          <w:b/>
          <w:bCs/>
        </w:rPr>
        <w:t>6.</w:t>
      </w:r>
      <w:r w:rsidR="00743112">
        <w:tab/>
      </w:r>
      <w:r w:rsidRPr="6C720080" w:rsidR="79E2E51C">
        <w:rPr>
          <w:b/>
          <w:bCs/>
          <w:u w:val="single"/>
        </w:rPr>
        <w:t>Impact of less frequent collection of information</w:t>
      </w:r>
      <w:r w:rsidR="79E2E51C">
        <w:t xml:space="preserve">.  </w:t>
      </w:r>
    </w:p>
    <w:p w:rsidR="6C720080" w:rsidP="6C720080" w:rsidRDefault="6C720080" w14:paraId="140A9386" w14:textId="6BD6D2D8">
      <w:pPr>
        <w:widowControl w:val="0"/>
        <w:tabs>
          <w:tab w:val="left" w:pos="540"/>
        </w:tabs>
        <w:rPr>
          <w:szCs w:val="24"/>
        </w:rPr>
      </w:pPr>
    </w:p>
    <w:p w:rsidR="009C368D" w:rsidP="6C720080" w:rsidRDefault="579FAF42" w14:paraId="77E8442A" w14:textId="07136B08">
      <w:pPr>
        <w:widowControl w:val="0"/>
      </w:pPr>
      <w:r>
        <w:t xml:space="preserve"> </w:t>
      </w:r>
      <w:r w:rsidRPr="6C720080" w:rsidR="6C720080">
        <w:rPr>
          <w:szCs w:val="24"/>
        </w:rPr>
        <w:t>If this information was collected less frequently, the disbursement of federal funds to municipalities and community-owned utilities would be adversely impacted.  Information used to evaluate potential grantees would not be timely or accurate, possibly resulting in an inequitable distribution of funds.</w:t>
      </w:r>
    </w:p>
    <w:p w:rsidR="009C368D" w:rsidP="6C720080" w:rsidRDefault="009C368D" w14:paraId="66CAC17B" w14:textId="64FB34A8">
      <w:pPr>
        <w:widowControl w:val="0"/>
        <w:tabs>
          <w:tab w:val="left" w:pos="540"/>
        </w:tabs>
        <w:rPr>
          <w:szCs w:val="24"/>
        </w:rPr>
      </w:pPr>
    </w:p>
    <w:p w:rsidR="00F512C5" w:rsidP="6C720080" w:rsidRDefault="572BD6E3" w14:paraId="49A01737" w14:textId="63634311">
      <w:pPr>
        <w:widowControl w:val="0"/>
        <w:tabs>
          <w:tab w:val="left" w:pos="540"/>
        </w:tabs>
        <w:rPr>
          <w:szCs w:val="24"/>
        </w:rPr>
      </w:pPr>
      <w:r w:rsidRPr="6C720080">
        <w:rPr>
          <w:b/>
          <w:bCs/>
        </w:rPr>
        <w:t>7.</w:t>
      </w:r>
      <w:r w:rsidR="00F512C5">
        <w:tab/>
      </w:r>
      <w:r w:rsidRPr="6C720080" w:rsidR="79E2E51C">
        <w:rPr>
          <w:b/>
          <w:bCs/>
          <w:u w:val="single"/>
        </w:rPr>
        <w:t>Special Circumstances</w:t>
      </w:r>
      <w:r w:rsidRPr="6C720080" w:rsidR="79E2E51C">
        <w:rPr>
          <w:b/>
          <w:bCs/>
        </w:rPr>
        <w:t xml:space="preserve">.  </w:t>
      </w:r>
    </w:p>
    <w:p w:rsidR="6C720080" w:rsidP="6C720080" w:rsidRDefault="6C720080" w14:paraId="196F0198" w14:textId="432E3933">
      <w:pPr>
        <w:widowControl w:val="0"/>
        <w:tabs>
          <w:tab w:val="left" w:pos="540"/>
        </w:tabs>
        <w:rPr>
          <w:b/>
          <w:bCs/>
          <w:szCs w:val="24"/>
        </w:rPr>
      </w:pPr>
    </w:p>
    <w:p w:rsidR="6C720080" w:rsidP="6C720080" w:rsidRDefault="6C720080" w14:paraId="6C917C1E" w14:textId="6EDE19CD">
      <w:r w:rsidRPr="6C720080">
        <w:rPr>
          <w:szCs w:val="24"/>
        </w:rPr>
        <w:t xml:space="preserve">PHMSA intends for this information collection to be conducted in a manner consistent with the guidelines in 5 CFR 1320.5(d)(2).  </w:t>
      </w:r>
    </w:p>
    <w:p w:rsidR="6C720080" w:rsidP="6C720080" w:rsidRDefault="6C720080" w14:paraId="024EB60A" w14:textId="3F85372C">
      <w:pPr>
        <w:tabs>
          <w:tab w:val="left" w:pos="360"/>
        </w:tabs>
        <w:rPr>
          <w:szCs w:val="24"/>
        </w:rPr>
      </w:pPr>
    </w:p>
    <w:p w:rsidRPr="00981917" w:rsidR="00F512C5" w:rsidP="6C720080" w:rsidRDefault="090F038C" w14:paraId="409EBC03" w14:textId="7FE76BDD">
      <w:pPr>
        <w:widowControl w:val="0"/>
        <w:tabs>
          <w:tab w:val="left" w:pos="540"/>
        </w:tabs>
        <w:rPr>
          <w:b/>
          <w:bCs/>
        </w:rPr>
      </w:pPr>
      <w:r>
        <w:t xml:space="preserve"> </w:t>
      </w:r>
      <w:r w:rsidRPr="6C720080" w:rsidR="572BD6E3">
        <w:rPr>
          <w:b/>
          <w:bCs/>
        </w:rPr>
        <w:t>8.</w:t>
      </w:r>
      <w:r w:rsidR="00F512C5">
        <w:tab/>
      </w:r>
      <w:r w:rsidRPr="6C720080" w:rsidR="27E15FD9">
        <w:rPr>
          <w:b/>
          <w:bCs/>
          <w:u w:val="single"/>
        </w:rPr>
        <w:t>Compliance with 5 CFR 1320.8(d)</w:t>
      </w:r>
      <w:r w:rsidRPr="6C720080" w:rsidR="27E15FD9">
        <w:rPr>
          <w:b/>
          <w:bCs/>
        </w:rPr>
        <w:t>.</w:t>
      </w:r>
      <w:r w:rsidR="27E15FD9">
        <w:t xml:space="preserve">  </w:t>
      </w:r>
    </w:p>
    <w:p w:rsidRPr="00981917" w:rsidR="00F512C5" w:rsidP="6C720080" w:rsidRDefault="00F512C5" w14:paraId="58C132C2" w14:textId="56845E10">
      <w:pPr>
        <w:widowControl w:val="0"/>
        <w:tabs>
          <w:tab w:val="left" w:pos="540"/>
        </w:tabs>
        <w:rPr>
          <w:szCs w:val="24"/>
        </w:rPr>
      </w:pPr>
    </w:p>
    <w:p w:rsidR="00F512C5" w:rsidP="6C720080" w:rsidRDefault="6C720080" w14:paraId="38D52C44" w14:textId="0D96DF00">
      <w:pPr>
        <w:widowControl w:val="0"/>
        <w:tabs>
          <w:tab w:val="left" w:pos="540"/>
        </w:tabs>
        <w:rPr>
          <w:szCs w:val="24"/>
        </w:rPr>
      </w:pPr>
      <w:r w:rsidRPr="3A7FDE9A">
        <w:rPr>
          <w:szCs w:val="24"/>
        </w:rPr>
        <w:t xml:space="preserve">PHMSA </w:t>
      </w:r>
      <w:r w:rsidR="00651025">
        <w:rPr>
          <w:szCs w:val="24"/>
        </w:rPr>
        <w:t>sent</w:t>
      </w:r>
      <w:r w:rsidRPr="3A7FDE9A">
        <w:rPr>
          <w:szCs w:val="24"/>
        </w:rPr>
        <w:t xml:space="preserve"> a Notice </w:t>
      </w:r>
      <w:r w:rsidR="00651025">
        <w:rPr>
          <w:szCs w:val="24"/>
        </w:rPr>
        <w:t>to</w:t>
      </w:r>
      <w:r w:rsidRPr="3A7FDE9A">
        <w:rPr>
          <w:szCs w:val="24"/>
        </w:rPr>
        <w:t xml:space="preserve"> the Federal Register </w:t>
      </w:r>
      <w:r w:rsidR="00651025">
        <w:rPr>
          <w:szCs w:val="24"/>
        </w:rPr>
        <w:t xml:space="preserve">for publication to </w:t>
      </w:r>
      <w:r w:rsidRPr="3A7FDE9A">
        <w:rPr>
          <w:szCs w:val="24"/>
        </w:rPr>
        <w:t xml:space="preserve">notify the public of its plan to seek emergency approval of this information collection from the OMB.  Due to the emergency status of this request, the comment period for this notice will be open for 10 days.  A draft of the Federal Register Notice is included with this submission. </w:t>
      </w:r>
    </w:p>
    <w:p w:rsidR="002E791F" w:rsidP="6C720080" w:rsidRDefault="002E791F" w14:paraId="7D0F40B0" w14:textId="712FE9CA">
      <w:pPr>
        <w:widowControl w:val="0"/>
        <w:tabs>
          <w:tab w:val="left" w:pos="540"/>
        </w:tabs>
        <w:rPr>
          <w:b/>
          <w:bCs/>
          <w:szCs w:val="24"/>
        </w:rPr>
      </w:pPr>
    </w:p>
    <w:p w:rsidR="00940F76" w:rsidP="6C720080" w:rsidRDefault="00940F76" w14:paraId="5628CFFC" w14:textId="76BFDC12">
      <w:pPr>
        <w:widowControl w:val="0"/>
        <w:tabs>
          <w:tab w:val="left" w:pos="540"/>
        </w:tabs>
        <w:rPr>
          <w:b/>
          <w:bCs/>
          <w:szCs w:val="24"/>
        </w:rPr>
      </w:pPr>
    </w:p>
    <w:p w:rsidRPr="00981917" w:rsidR="00940F76" w:rsidP="6C720080" w:rsidRDefault="00940F76" w14:paraId="396AA376" w14:textId="77777777">
      <w:pPr>
        <w:widowControl w:val="0"/>
        <w:tabs>
          <w:tab w:val="left" w:pos="540"/>
        </w:tabs>
        <w:rPr>
          <w:b/>
          <w:bCs/>
          <w:szCs w:val="24"/>
        </w:rPr>
      </w:pPr>
    </w:p>
    <w:p w:rsidR="009D5E83" w:rsidP="6C720080" w:rsidRDefault="27E15FD9" w14:paraId="35C26900" w14:textId="0C451FE4">
      <w:pPr>
        <w:widowControl w:val="0"/>
        <w:numPr>
          <w:ilvl w:val="0"/>
          <w:numId w:val="10"/>
        </w:numPr>
        <w:tabs>
          <w:tab w:val="clear" w:pos="720"/>
          <w:tab w:val="num" w:pos="90"/>
          <w:tab w:val="left" w:pos="540"/>
        </w:tabs>
        <w:ind w:left="0" w:firstLine="0"/>
        <w:rPr>
          <w:b/>
          <w:bCs/>
        </w:rPr>
      </w:pPr>
      <w:r w:rsidRPr="6C720080">
        <w:rPr>
          <w:b/>
          <w:bCs/>
          <w:u w:val="single"/>
        </w:rPr>
        <w:lastRenderedPageBreak/>
        <w:t>Payment or gifts to respondents.</w:t>
      </w:r>
      <w:r w:rsidRPr="6C720080">
        <w:rPr>
          <w:b/>
          <w:bCs/>
        </w:rPr>
        <w:t xml:space="preserve">   </w:t>
      </w:r>
    </w:p>
    <w:p w:rsidR="00940F76" w:rsidP="6C720080" w:rsidRDefault="00940F76" w14:paraId="29F80002" w14:textId="77777777">
      <w:pPr>
        <w:widowControl w:val="0"/>
        <w:tabs>
          <w:tab w:val="num" w:pos="90"/>
          <w:tab w:val="left" w:pos="540"/>
        </w:tabs>
        <w:rPr>
          <w:szCs w:val="24"/>
        </w:rPr>
      </w:pPr>
    </w:p>
    <w:p w:rsidR="009D5E83" w:rsidP="6C720080" w:rsidRDefault="6C720080" w14:paraId="4E00F27F" w14:textId="21FAB4D4">
      <w:pPr>
        <w:widowControl w:val="0"/>
        <w:tabs>
          <w:tab w:val="num" w:pos="90"/>
          <w:tab w:val="left" w:pos="540"/>
        </w:tabs>
        <w:rPr>
          <w:b/>
          <w:bCs/>
        </w:rPr>
      </w:pPr>
      <w:r w:rsidRPr="6C720080">
        <w:rPr>
          <w:szCs w:val="24"/>
        </w:rPr>
        <w:t>There is no payment or gift provided to respondents associated with this collection of information.</w:t>
      </w:r>
    </w:p>
    <w:p w:rsidR="009D5E83" w:rsidP="6C720080" w:rsidRDefault="009D5E83" w14:paraId="3F6A144F" w14:textId="5A24B269">
      <w:pPr>
        <w:tabs>
          <w:tab w:val="left" w:pos="360"/>
        </w:tabs>
        <w:rPr>
          <w:color w:val="000000"/>
          <w:szCs w:val="24"/>
        </w:rPr>
      </w:pPr>
    </w:p>
    <w:p w:rsidRPr="00981917" w:rsidR="009D5E83" w:rsidP="000A6210" w:rsidRDefault="009D5E83" w14:paraId="6399FB34" w14:textId="77777777">
      <w:pPr>
        <w:widowControl w:val="0"/>
        <w:tabs>
          <w:tab w:val="left" w:pos="540"/>
        </w:tabs>
        <w:rPr>
          <w:szCs w:val="24"/>
        </w:rPr>
      </w:pPr>
    </w:p>
    <w:p w:rsidR="009D5E83" w:rsidP="6C720080" w:rsidRDefault="572BD6E3" w14:paraId="4A74D78B" w14:textId="25A60BBD">
      <w:pPr>
        <w:widowControl w:val="0"/>
        <w:tabs>
          <w:tab w:val="left" w:pos="540"/>
        </w:tabs>
        <w:rPr>
          <w:b/>
          <w:bCs/>
        </w:rPr>
      </w:pPr>
      <w:r w:rsidRPr="6C720080">
        <w:rPr>
          <w:b/>
          <w:bCs/>
        </w:rPr>
        <w:t>10.</w:t>
      </w:r>
      <w:r w:rsidR="009D5E83">
        <w:tab/>
      </w:r>
      <w:r w:rsidRPr="6C720080" w:rsidR="27E15FD9">
        <w:rPr>
          <w:b/>
          <w:bCs/>
          <w:u w:val="single"/>
        </w:rPr>
        <w:t>Assurance of confidentiality</w:t>
      </w:r>
      <w:r w:rsidRPr="6C720080" w:rsidR="27E15FD9">
        <w:rPr>
          <w:b/>
          <w:bCs/>
        </w:rPr>
        <w:t xml:space="preserve">.  </w:t>
      </w:r>
    </w:p>
    <w:p w:rsidRPr="00981917" w:rsidR="009D5E83" w:rsidP="6C720080" w:rsidRDefault="009D5E83" w14:paraId="019DBB12" w14:textId="2397133E">
      <w:pPr>
        <w:widowControl w:val="0"/>
        <w:tabs>
          <w:tab w:val="left" w:pos="540"/>
        </w:tabs>
        <w:rPr>
          <w:b/>
          <w:bCs/>
          <w:szCs w:val="24"/>
        </w:rPr>
      </w:pPr>
    </w:p>
    <w:p w:rsidRPr="00981917" w:rsidR="009D5E83" w:rsidP="6C720080" w:rsidRDefault="6C720080" w14:paraId="621880FA" w14:textId="25EECA9B">
      <w:pPr>
        <w:widowControl w:val="0"/>
      </w:pPr>
      <w:r w:rsidRPr="6C720080">
        <w:rPr>
          <w:szCs w:val="24"/>
        </w:rPr>
        <w:t>PHMSA does not have the authority to grant confidentiality.</w:t>
      </w:r>
    </w:p>
    <w:p w:rsidRPr="00981917" w:rsidR="009D5E83" w:rsidP="6C720080" w:rsidRDefault="009D5E83" w14:paraId="7F7DD0C0" w14:textId="22B7484A">
      <w:pPr>
        <w:widowControl w:val="0"/>
        <w:rPr>
          <w:szCs w:val="24"/>
        </w:rPr>
      </w:pPr>
    </w:p>
    <w:p w:rsidR="00AA1704" w:rsidP="6C720080" w:rsidRDefault="572BD6E3" w14:paraId="3640FB55" w14:textId="5D6D1E15">
      <w:pPr>
        <w:widowControl w:val="0"/>
        <w:tabs>
          <w:tab w:val="left" w:pos="540"/>
        </w:tabs>
        <w:rPr>
          <w:b/>
          <w:bCs/>
        </w:rPr>
      </w:pPr>
      <w:r w:rsidRPr="6C720080">
        <w:rPr>
          <w:b/>
          <w:bCs/>
        </w:rPr>
        <w:t>11.</w:t>
      </w:r>
      <w:r w:rsidR="00AA1704">
        <w:tab/>
      </w:r>
      <w:r w:rsidRPr="6C720080" w:rsidR="4CBD871F">
        <w:rPr>
          <w:b/>
          <w:bCs/>
          <w:u w:val="single"/>
        </w:rPr>
        <w:t>Justification for collection of sensitive information</w:t>
      </w:r>
      <w:r w:rsidRPr="6C720080" w:rsidR="4CBD871F">
        <w:rPr>
          <w:b/>
          <w:bCs/>
        </w:rPr>
        <w:t xml:space="preserve">.  </w:t>
      </w:r>
    </w:p>
    <w:p w:rsidR="6C720080" w:rsidP="6C720080" w:rsidRDefault="6C720080" w14:paraId="2FDF0211" w14:textId="3BC233D4">
      <w:pPr>
        <w:widowControl w:val="0"/>
        <w:tabs>
          <w:tab w:val="left" w:pos="540"/>
        </w:tabs>
        <w:rPr>
          <w:b/>
          <w:bCs/>
          <w:szCs w:val="24"/>
        </w:rPr>
      </w:pPr>
    </w:p>
    <w:p w:rsidRPr="002A4BE3" w:rsidR="009D5E83" w:rsidP="6C720080" w:rsidRDefault="54002B1F" w14:paraId="75F6B18F" w14:textId="77777777">
      <w:pPr>
        <w:tabs>
          <w:tab w:val="left" w:pos="360"/>
          <w:tab w:val="left" w:pos="720"/>
        </w:tabs>
        <w:rPr>
          <w:color w:val="000000"/>
        </w:rPr>
      </w:pPr>
      <w:r w:rsidRPr="6C720080">
        <w:rPr>
          <w:color w:val="000000" w:themeColor="text1"/>
        </w:rPr>
        <w:t>The information collected does not include information of a sensitive nature.</w:t>
      </w:r>
    </w:p>
    <w:p w:rsidRPr="00981917" w:rsidR="009D5E83" w:rsidP="000A6210" w:rsidRDefault="009D5E83" w14:paraId="1406B84F" w14:textId="77777777">
      <w:pPr>
        <w:widowControl w:val="0"/>
        <w:tabs>
          <w:tab w:val="left" w:pos="540"/>
        </w:tabs>
        <w:rPr>
          <w:b/>
          <w:szCs w:val="24"/>
        </w:rPr>
      </w:pPr>
    </w:p>
    <w:p w:rsidR="001D224D" w:rsidP="6C720080" w:rsidRDefault="572BD6E3" w14:paraId="18DFC324" w14:textId="7406B51C">
      <w:pPr>
        <w:widowControl w:val="0"/>
        <w:tabs>
          <w:tab w:val="left" w:pos="540"/>
        </w:tabs>
        <w:rPr>
          <w:b/>
          <w:bCs/>
          <w:szCs w:val="24"/>
        </w:rPr>
      </w:pPr>
      <w:r w:rsidRPr="6C720080">
        <w:rPr>
          <w:b/>
          <w:bCs/>
        </w:rPr>
        <w:t>12.</w:t>
      </w:r>
      <w:r w:rsidR="001D224D">
        <w:tab/>
      </w:r>
      <w:r w:rsidRPr="6C720080" w:rsidR="4CBD871F">
        <w:rPr>
          <w:b/>
          <w:bCs/>
          <w:u w:val="single"/>
        </w:rPr>
        <w:t xml:space="preserve">Estimate of burden hours for information requested. </w:t>
      </w:r>
      <w:r w:rsidRPr="6C720080" w:rsidR="4CBD871F">
        <w:rPr>
          <w:b/>
          <w:bCs/>
        </w:rPr>
        <w:t xml:space="preserve"> </w:t>
      </w:r>
    </w:p>
    <w:p w:rsidR="6C720080" w:rsidP="6C720080" w:rsidRDefault="6C720080" w14:paraId="3DA4BC99" w14:textId="73A0951A">
      <w:pPr>
        <w:widowControl w:val="0"/>
        <w:tabs>
          <w:tab w:val="left" w:pos="540"/>
        </w:tabs>
        <w:rPr>
          <w:b/>
          <w:bCs/>
          <w:szCs w:val="24"/>
        </w:rPr>
      </w:pPr>
    </w:p>
    <w:p w:rsidRPr="002E791F" w:rsidR="6C720080" w:rsidP="6C720080" w:rsidRDefault="6C720080" w14:paraId="29D21211" w14:textId="5A992093">
      <w:pPr>
        <w:rPr>
          <w:i/>
          <w:iCs/>
          <w:szCs w:val="24"/>
        </w:rPr>
      </w:pPr>
      <w:r w:rsidRPr="002E791F">
        <w:rPr>
          <w:i/>
          <w:iCs/>
          <w:szCs w:val="24"/>
        </w:rPr>
        <w:t xml:space="preserve">Estimated Annual Burden: </w:t>
      </w:r>
      <w:r w:rsidR="00651025">
        <w:rPr>
          <w:i/>
          <w:iCs/>
          <w:szCs w:val="24"/>
        </w:rPr>
        <w:t>2</w:t>
      </w:r>
      <w:r w:rsidRPr="002E791F">
        <w:rPr>
          <w:i/>
          <w:iCs/>
          <w:szCs w:val="24"/>
        </w:rPr>
        <w:t>00 responses and 7,000 burden hours.</w:t>
      </w:r>
    </w:p>
    <w:p w:rsidR="6C720080" w:rsidP="6C720080" w:rsidRDefault="6C720080" w14:paraId="468E2BE9" w14:textId="1EE88893">
      <w:pPr>
        <w:widowControl w:val="0"/>
        <w:tabs>
          <w:tab w:val="left" w:pos="540"/>
        </w:tabs>
        <w:rPr>
          <w:b/>
          <w:bCs/>
          <w:szCs w:val="24"/>
        </w:rPr>
      </w:pPr>
    </w:p>
    <w:p w:rsidR="00373B2E" w:rsidP="002631C8" w:rsidRDefault="0CAA2222" w14:paraId="4CCC1A9F" w14:textId="600E73A4">
      <w:pPr>
        <w:widowControl w:val="0"/>
        <w:tabs>
          <w:tab w:val="left" w:pos="360"/>
        </w:tabs>
        <w:rPr>
          <w:szCs w:val="24"/>
        </w:rPr>
      </w:pPr>
      <w:r>
        <w:t xml:space="preserve">PHMSA expects the requested information to be collected once per applicant for each NOFO. </w:t>
      </w:r>
      <w:r w:rsidR="00373B2E">
        <w:rPr>
          <w:szCs w:val="24"/>
        </w:rPr>
        <w:t xml:space="preserve">PHMSA expects to receive approximately 100 applications from potential grantees.  PHMSA estimates that it will take applicants approximately 65 hours to compile and submit the forms required to complete the application process.  PHMA estimates that grant recipients will spend another 5 hours, annually, requesting reimbursements and submitting post-award reports.  </w:t>
      </w:r>
    </w:p>
    <w:p w:rsidR="002631C8" w:rsidP="002631C8" w:rsidRDefault="0CAA2222" w14:paraId="2577359E" w14:textId="77777777">
      <w:pPr>
        <w:widowControl w:val="0"/>
        <w:tabs>
          <w:tab w:val="left" w:pos="360"/>
        </w:tabs>
        <w:rPr>
          <w:szCs w:val="24"/>
        </w:rPr>
      </w:pPr>
      <w:r>
        <w:t xml:space="preserve">The total estimated average hourly burden for this information collection is 70 hours per applicant, or a total of 7,000 hours for an estimated100 applicants.  Estimates are based on information provided by agencies with similar programs.  Actual hours will vary depending on the proposed scope of the applicant’s program, the applicant’s geographic service area and the number of affiliate organizations.  </w:t>
      </w:r>
      <w:r w:rsidR="002631C8">
        <w:rPr>
          <w:szCs w:val="24"/>
        </w:rPr>
        <w:t xml:space="preserve">The burden estimate below accounts for the total amount of effort involved. </w:t>
      </w:r>
    </w:p>
    <w:p w:rsidR="6C720080" w:rsidP="6C720080" w:rsidRDefault="6C720080" w14:paraId="6319BDFF" w14:textId="77777777">
      <w:pPr>
        <w:widowControl w:val="0"/>
        <w:tabs>
          <w:tab w:val="left" w:pos="540"/>
        </w:tabs>
      </w:pPr>
    </w:p>
    <w:p w:rsidR="6C720080" w:rsidP="3A7FDE9A" w:rsidRDefault="6C720080" w14:paraId="0B01332B" w14:textId="06F2F9A2">
      <w:pPr>
        <w:widowControl w:val="0"/>
        <w:tabs>
          <w:tab w:val="left" w:pos="540"/>
        </w:tabs>
        <w:rPr>
          <w:b/>
          <w:bCs/>
          <w:szCs w:val="24"/>
        </w:rPr>
      </w:pPr>
    </w:p>
    <w:tbl>
      <w:tblPr>
        <w:tblW w:w="8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00"/>
        <w:gridCol w:w="1740"/>
        <w:gridCol w:w="1260"/>
        <w:gridCol w:w="2790"/>
      </w:tblGrid>
      <w:tr w:rsidRPr="001174AD" w:rsidR="00651025" w:rsidTr="00651025" w14:paraId="0FE6428A" w14:textId="77777777">
        <w:tc>
          <w:tcPr>
            <w:tcW w:w="2400" w:type="dxa"/>
            <w:shd w:val="clear" w:color="auto" w:fill="D5DCE4" w:themeFill="text2" w:themeFillTint="33"/>
          </w:tcPr>
          <w:p w:rsidRPr="002E791F" w:rsidR="00651025" w:rsidP="3A7FDE9A" w:rsidRDefault="00651025" w14:paraId="5B4DF89E" w14:textId="77777777">
            <w:pPr>
              <w:jc w:val="center"/>
              <w:rPr>
                <w:rFonts w:eastAsia="Calibri"/>
                <w:b/>
                <w:bCs/>
                <w:sz w:val="20"/>
              </w:rPr>
            </w:pPr>
            <w:r w:rsidRPr="002E791F">
              <w:rPr>
                <w:rFonts w:eastAsia="Calibri"/>
                <w:b/>
                <w:bCs/>
                <w:sz w:val="20"/>
              </w:rPr>
              <w:t>Information</w:t>
            </w:r>
          </w:p>
          <w:p w:rsidRPr="001174AD" w:rsidR="00651025" w:rsidP="3A7FDE9A" w:rsidRDefault="00651025" w14:paraId="5947BC9C" w14:textId="77777777">
            <w:pPr>
              <w:jc w:val="center"/>
              <w:rPr>
                <w:rFonts w:eastAsia="Calibri"/>
                <w:b/>
                <w:bCs/>
                <w:sz w:val="20"/>
              </w:rPr>
            </w:pPr>
            <w:r w:rsidRPr="3A7FDE9A">
              <w:rPr>
                <w:rFonts w:eastAsia="Calibri"/>
                <w:b/>
                <w:bCs/>
                <w:sz w:val="20"/>
              </w:rPr>
              <w:t>Collection</w:t>
            </w:r>
          </w:p>
        </w:tc>
        <w:tc>
          <w:tcPr>
            <w:tcW w:w="1740" w:type="dxa"/>
            <w:shd w:val="clear" w:color="auto" w:fill="D5DCE4" w:themeFill="text2" w:themeFillTint="33"/>
          </w:tcPr>
          <w:p w:rsidRPr="001174AD" w:rsidR="00651025" w:rsidP="3A7FDE9A" w:rsidRDefault="00651025" w14:paraId="301B8623" w14:textId="7CC0EDA9">
            <w:pPr>
              <w:jc w:val="center"/>
              <w:rPr>
                <w:rFonts w:eastAsia="Calibri"/>
                <w:b/>
                <w:bCs/>
                <w:sz w:val="20"/>
              </w:rPr>
            </w:pPr>
            <w:r w:rsidRPr="3A7FDE9A">
              <w:rPr>
                <w:rFonts w:eastAsia="Calibri"/>
                <w:b/>
                <w:bCs/>
                <w:sz w:val="20"/>
              </w:rPr>
              <w:t>Number of Respon</w:t>
            </w:r>
            <w:r>
              <w:rPr>
                <w:rFonts w:eastAsia="Calibri"/>
                <w:b/>
                <w:bCs/>
                <w:sz w:val="20"/>
              </w:rPr>
              <w:t>ses</w:t>
            </w:r>
          </w:p>
        </w:tc>
        <w:tc>
          <w:tcPr>
            <w:tcW w:w="1260" w:type="dxa"/>
            <w:shd w:val="clear" w:color="auto" w:fill="D5DCE4" w:themeFill="text2" w:themeFillTint="33"/>
          </w:tcPr>
          <w:p w:rsidRPr="001174AD" w:rsidR="00651025" w:rsidP="3A7FDE9A" w:rsidRDefault="00651025" w14:paraId="3948A325" w14:textId="613E01AE">
            <w:pPr>
              <w:jc w:val="center"/>
              <w:rPr>
                <w:rFonts w:eastAsia="Calibri"/>
                <w:b/>
                <w:bCs/>
                <w:sz w:val="20"/>
              </w:rPr>
            </w:pPr>
            <w:r w:rsidRPr="3A7FDE9A">
              <w:rPr>
                <w:rFonts w:eastAsia="Calibri"/>
                <w:b/>
                <w:bCs/>
                <w:sz w:val="20"/>
              </w:rPr>
              <w:t>Burden Hour</w:t>
            </w:r>
            <w:r>
              <w:rPr>
                <w:rFonts w:eastAsia="Calibri"/>
                <w:b/>
                <w:bCs/>
                <w:sz w:val="20"/>
              </w:rPr>
              <w:t>s</w:t>
            </w:r>
            <w:r w:rsidRPr="3A7FDE9A">
              <w:rPr>
                <w:rFonts w:eastAsia="Calibri"/>
                <w:b/>
                <w:bCs/>
                <w:sz w:val="20"/>
              </w:rPr>
              <w:t xml:space="preserve"> Per Respon</w:t>
            </w:r>
            <w:r>
              <w:rPr>
                <w:rFonts w:eastAsia="Calibri"/>
                <w:b/>
                <w:bCs/>
                <w:sz w:val="20"/>
              </w:rPr>
              <w:t>dent</w:t>
            </w:r>
          </w:p>
        </w:tc>
        <w:tc>
          <w:tcPr>
            <w:tcW w:w="2790" w:type="dxa"/>
            <w:shd w:val="clear" w:color="auto" w:fill="D5DCE4" w:themeFill="text2" w:themeFillTint="33"/>
          </w:tcPr>
          <w:p w:rsidRPr="001174AD" w:rsidR="00651025" w:rsidP="3A7FDE9A" w:rsidRDefault="00651025" w14:paraId="32A79FCE" w14:textId="09654ABB">
            <w:pPr>
              <w:jc w:val="center"/>
              <w:rPr>
                <w:rFonts w:eastAsia="Calibri"/>
                <w:b/>
                <w:bCs/>
                <w:sz w:val="20"/>
              </w:rPr>
            </w:pPr>
            <w:r w:rsidRPr="3A7FDE9A">
              <w:rPr>
                <w:rFonts w:eastAsia="Calibri"/>
                <w:b/>
                <w:bCs/>
                <w:sz w:val="20"/>
              </w:rPr>
              <w:t>Total Annual Burden Hours</w:t>
            </w:r>
          </w:p>
        </w:tc>
      </w:tr>
      <w:tr w:rsidRPr="001174AD" w:rsidR="00651025" w:rsidTr="00651025" w14:paraId="33CA8E23" w14:textId="77777777">
        <w:tc>
          <w:tcPr>
            <w:tcW w:w="2400" w:type="dxa"/>
            <w:shd w:val="clear" w:color="auto" w:fill="auto"/>
          </w:tcPr>
          <w:p w:rsidRPr="002E791F" w:rsidR="00651025" w:rsidRDefault="00651025" w14:paraId="0F9367D3" w14:textId="6C50AFE3">
            <w:pPr>
              <w:rPr>
                <w:b/>
                <w:bCs/>
                <w:color w:val="000000" w:themeColor="text1"/>
                <w:sz w:val="20"/>
              </w:rPr>
            </w:pPr>
            <w:r w:rsidRPr="002E791F">
              <w:rPr>
                <w:b/>
                <w:bCs/>
                <w:color w:val="000000" w:themeColor="text1"/>
                <w:sz w:val="20"/>
              </w:rPr>
              <w:t>Natural Gas Distribution Infrastructure Safety and Modernization Grant Application</w:t>
            </w:r>
          </w:p>
        </w:tc>
        <w:tc>
          <w:tcPr>
            <w:tcW w:w="1740" w:type="dxa"/>
            <w:shd w:val="clear" w:color="auto" w:fill="auto"/>
          </w:tcPr>
          <w:p w:rsidRPr="001174AD" w:rsidR="00651025" w:rsidP="001174AD" w:rsidRDefault="00651025" w14:paraId="2502CC44" w14:textId="52F2A79A">
            <w:pPr>
              <w:jc w:val="right"/>
              <w:rPr>
                <w:rFonts w:eastAsia="Calibri"/>
                <w:sz w:val="18"/>
                <w:szCs w:val="18"/>
              </w:rPr>
            </w:pPr>
            <w:r w:rsidRPr="3A7FDE9A">
              <w:rPr>
                <w:rFonts w:eastAsia="Calibri"/>
                <w:sz w:val="18"/>
                <w:szCs w:val="18"/>
              </w:rPr>
              <w:t>100</w:t>
            </w:r>
          </w:p>
        </w:tc>
        <w:tc>
          <w:tcPr>
            <w:tcW w:w="1260" w:type="dxa"/>
            <w:shd w:val="clear" w:color="auto" w:fill="auto"/>
          </w:tcPr>
          <w:p w:rsidRPr="001174AD" w:rsidR="00651025" w:rsidP="002E791F" w:rsidRDefault="00651025" w14:paraId="7935CE0B" w14:textId="6CDBB367">
            <w:pPr>
              <w:spacing w:line="259" w:lineRule="auto"/>
              <w:jc w:val="right"/>
              <w:rPr>
                <w:szCs w:val="24"/>
              </w:rPr>
            </w:pPr>
            <w:r w:rsidRPr="3A7FDE9A">
              <w:rPr>
                <w:rFonts w:eastAsia="Calibri"/>
                <w:sz w:val="18"/>
                <w:szCs w:val="18"/>
              </w:rPr>
              <w:t>65</w:t>
            </w:r>
          </w:p>
        </w:tc>
        <w:tc>
          <w:tcPr>
            <w:tcW w:w="2790" w:type="dxa"/>
            <w:shd w:val="clear" w:color="auto" w:fill="auto"/>
          </w:tcPr>
          <w:p w:rsidRPr="001174AD" w:rsidR="00651025" w:rsidP="001174AD" w:rsidRDefault="00651025" w14:paraId="202E7D8D" w14:textId="1FFC93ED">
            <w:pPr>
              <w:jc w:val="right"/>
              <w:rPr>
                <w:rFonts w:eastAsia="Calibri"/>
                <w:sz w:val="18"/>
                <w:szCs w:val="18"/>
              </w:rPr>
            </w:pPr>
            <w:r w:rsidRPr="3A7FDE9A">
              <w:rPr>
                <w:rFonts w:eastAsia="Calibri"/>
                <w:sz w:val="18"/>
                <w:szCs w:val="18"/>
              </w:rPr>
              <w:t>6,500</w:t>
            </w:r>
          </w:p>
        </w:tc>
      </w:tr>
      <w:tr w:rsidRPr="004512F6" w:rsidR="00651025" w:rsidTr="00651025" w14:paraId="76A3BA1D" w14:textId="77777777">
        <w:trPr>
          <w:trHeight w:val="152"/>
        </w:trPr>
        <w:tc>
          <w:tcPr>
            <w:tcW w:w="2400" w:type="dxa"/>
            <w:shd w:val="clear" w:color="auto" w:fill="auto"/>
          </w:tcPr>
          <w:p w:rsidRPr="002E791F" w:rsidR="00651025" w:rsidP="001174AD" w:rsidRDefault="00651025" w14:paraId="2E54A10E" w14:textId="6FB15C51">
            <w:pPr>
              <w:rPr>
                <w:b/>
                <w:bCs/>
                <w:color w:val="000000" w:themeColor="text1"/>
                <w:sz w:val="20"/>
              </w:rPr>
            </w:pPr>
            <w:r>
              <w:rPr>
                <w:b/>
                <w:bCs/>
                <w:color w:val="000000" w:themeColor="text1"/>
                <w:sz w:val="20"/>
              </w:rPr>
              <w:t xml:space="preserve">Post-Grant Reporting </w:t>
            </w:r>
            <w:r w:rsidRPr="002E791F">
              <w:rPr>
                <w:b/>
                <w:bCs/>
                <w:color w:val="000000" w:themeColor="text1"/>
                <w:sz w:val="20"/>
              </w:rPr>
              <w:t>Quarterly/Closeout Reporting</w:t>
            </w:r>
          </w:p>
        </w:tc>
        <w:tc>
          <w:tcPr>
            <w:tcW w:w="1740" w:type="dxa"/>
            <w:shd w:val="clear" w:color="auto" w:fill="auto"/>
          </w:tcPr>
          <w:p w:rsidRPr="004512F6" w:rsidR="00651025" w:rsidP="3A7FDE9A" w:rsidRDefault="00651025" w14:paraId="7FB36788" w14:textId="1ED1D61D">
            <w:pPr>
              <w:jc w:val="right"/>
              <w:rPr>
                <w:color w:val="000000" w:themeColor="text1"/>
                <w:sz w:val="20"/>
              </w:rPr>
            </w:pPr>
            <w:r w:rsidRPr="004512F6">
              <w:rPr>
                <w:color w:val="000000" w:themeColor="text1"/>
                <w:sz w:val="20"/>
              </w:rPr>
              <w:t>100</w:t>
            </w:r>
          </w:p>
        </w:tc>
        <w:tc>
          <w:tcPr>
            <w:tcW w:w="1260" w:type="dxa"/>
            <w:shd w:val="clear" w:color="auto" w:fill="auto"/>
          </w:tcPr>
          <w:p w:rsidRPr="004512F6" w:rsidR="00651025" w:rsidP="001174AD" w:rsidRDefault="00651025" w14:paraId="6F193C42" w14:textId="4A881289">
            <w:pPr>
              <w:jc w:val="right"/>
              <w:rPr>
                <w:color w:val="000000" w:themeColor="text1"/>
                <w:sz w:val="20"/>
              </w:rPr>
            </w:pPr>
            <w:r>
              <w:rPr>
                <w:color w:val="000000" w:themeColor="text1"/>
                <w:sz w:val="20"/>
              </w:rPr>
              <w:t>5</w:t>
            </w:r>
          </w:p>
        </w:tc>
        <w:tc>
          <w:tcPr>
            <w:tcW w:w="2790" w:type="dxa"/>
            <w:shd w:val="clear" w:color="auto" w:fill="auto"/>
          </w:tcPr>
          <w:p w:rsidRPr="004512F6" w:rsidR="00651025" w:rsidP="001174AD" w:rsidRDefault="005B64BA" w14:paraId="3629A4CA" w14:textId="1BC4B529">
            <w:pPr>
              <w:jc w:val="right"/>
              <w:rPr>
                <w:color w:val="000000" w:themeColor="text1"/>
                <w:sz w:val="20"/>
              </w:rPr>
            </w:pPr>
            <w:r>
              <w:rPr>
                <w:color w:val="000000" w:themeColor="text1"/>
                <w:sz w:val="20"/>
              </w:rPr>
              <w:t>5</w:t>
            </w:r>
            <w:r w:rsidRPr="004512F6" w:rsidR="00651025">
              <w:rPr>
                <w:color w:val="000000" w:themeColor="text1"/>
                <w:sz w:val="20"/>
              </w:rPr>
              <w:t>00</w:t>
            </w:r>
          </w:p>
        </w:tc>
      </w:tr>
      <w:tr w:rsidRPr="004512F6" w:rsidR="00651025" w:rsidTr="00651025" w14:paraId="0F9E6EF5" w14:textId="77777777">
        <w:trPr>
          <w:trHeight w:val="152"/>
        </w:trPr>
        <w:tc>
          <w:tcPr>
            <w:tcW w:w="2400" w:type="dxa"/>
            <w:shd w:val="clear" w:color="auto" w:fill="auto"/>
          </w:tcPr>
          <w:p w:rsidRPr="002E791F" w:rsidR="00651025" w:rsidP="001174AD" w:rsidRDefault="00651025" w14:paraId="008C9FF6" w14:textId="5E40B1A9">
            <w:pPr>
              <w:rPr>
                <w:b/>
                <w:bCs/>
                <w:color w:val="000000" w:themeColor="text1"/>
                <w:sz w:val="20"/>
              </w:rPr>
            </w:pPr>
            <w:r>
              <w:rPr>
                <w:b/>
                <w:bCs/>
                <w:color w:val="000000" w:themeColor="text1"/>
                <w:sz w:val="20"/>
              </w:rPr>
              <w:t xml:space="preserve">Total </w:t>
            </w:r>
          </w:p>
        </w:tc>
        <w:tc>
          <w:tcPr>
            <w:tcW w:w="1740" w:type="dxa"/>
            <w:shd w:val="clear" w:color="auto" w:fill="auto"/>
          </w:tcPr>
          <w:p w:rsidRPr="004512F6" w:rsidR="00651025" w:rsidP="3A7FDE9A" w:rsidRDefault="00651025" w14:paraId="2DE14981" w14:textId="317F4B34">
            <w:pPr>
              <w:jc w:val="right"/>
              <w:rPr>
                <w:color w:val="000000" w:themeColor="text1"/>
                <w:sz w:val="20"/>
              </w:rPr>
            </w:pPr>
            <w:r>
              <w:rPr>
                <w:color w:val="000000" w:themeColor="text1"/>
                <w:sz w:val="20"/>
              </w:rPr>
              <w:t>200 responses</w:t>
            </w:r>
          </w:p>
        </w:tc>
        <w:tc>
          <w:tcPr>
            <w:tcW w:w="1260" w:type="dxa"/>
            <w:shd w:val="clear" w:color="auto" w:fill="auto"/>
          </w:tcPr>
          <w:p w:rsidRPr="004512F6" w:rsidR="00651025" w:rsidP="001174AD" w:rsidRDefault="00651025" w14:paraId="3AB29F06" w14:textId="785CBB76">
            <w:pPr>
              <w:jc w:val="right"/>
              <w:rPr>
                <w:color w:val="000000" w:themeColor="text1"/>
                <w:sz w:val="20"/>
              </w:rPr>
            </w:pPr>
            <w:r>
              <w:rPr>
                <w:color w:val="000000" w:themeColor="text1"/>
                <w:sz w:val="20"/>
              </w:rPr>
              <w:t>70 hours per respondent</w:t>
            </w:r>
          </w:p>
        </w:tc>
        <w:tc>
          <w:tcPr>
            <w:tcW w:w="2790" w:type="dxa"/>
            <w:shd w:val="clear" w:color="auto" w:fill="auto"/>
          </w:tcPr>
          <w:p w:rsidRPr="007961DE" w:rsidR="00651025" w:rsidP="007961DE" w:rsidRDefault="00651025" w14:paraId="718B7F45" w14:textId="51ABEB62">
            <w:pPr>
              <w:rPr>
                <w:b/>
                <w:bCs/>
                <w:color w:val="000000" w:themeColor="text1"/>
                <w:sz w:val="20"/>
              </w:rPr>
            </w:pPr>
            <w:r w:rsidRPr="007961DE">
              <w:rPr>
                <w:b/>
                <w:bCs/>
                <w:color w:val="000000" w:themeColor="text1"/>
                <w:sz w:val="20"/>
              </w:rPr>
              <w:t>7,000 total burden hours</w:t>
            </w:r>
          </w:p>
        </w:tc>
      </w:tr>
    </w:tbl>
    <w:p w:rsidR="3A7FDE9A" w:rsidP="3A7FDE9A" w:rsidRDefault="3A7FDE9A" w14:paraId="2947D81F" w14:textId="1017518C">
      <w:pPr>
        <w:rPr>
          <w:szCs w:val="24"/>
        </w:rPr>
      </w:pPr>
    </w:p>
    <w:p w:rsidR="001D224D" w:rsidP="3A7FDE9A" w:rsidRDefault="572BD6E3" w14:paraId="230FFE1A" w14:textId="0B6D7A2D">
      <w:pPr>
        <w:widowControl w:val="0"/>
        <w:tabs>
          <w:tab w:val="left" w:pos="540"/>
        </w:tabs>
        <w:rPr>
          <w:b/>
          <w:bCs/>
        </w:rPr>
      </w:pPr>
      <w:r w:rsidRPr="3A7FDE9A">
        <w:rPr>
          <w:b/>
          <w:bCs/>
        </w:rPr>
        <w:t>13.</w:t>
      </w:r>
      <w:r w:rsidR="001D224D">
        <w:tab/>
      </w:r>
      <w:r w:rsidRPr="3A7FDE9A" w:rsidR="4CBD871F">
        <w:rPr>
          <w:b/>
          <w:bCs/>
          <w:u w:val="single"/>
        </w:rPr>
        <w:t>Estimate of the total annual costs burden</w:t>
      </w:r>
      <w:r w:rsidRPr="3A7FDE9A" w:rsidR="4CBD871F">
        <w:rPr>
          <w:b/>
          <w:bCs/>
        </w:rPr>
        <w:t xml:space="preserve">.  </w:t>
      </w:r>
    </w:p>
    <w:p w:rsidR="6C720080" w:rsidP="6C720080" w:rsidRDefault="6C720080" w14:paraId="1108159A" w14:textId="0A30F1B8">
      <w:pPr>
        <w:widowControl w:val="0"/>
        <w:tabs>
          <w:tab w:val="left" w:pos="540"/>
        </w:tabs>
        <w:rPr>
          <w:b/>
          <w:bCs/>
          <w:szCs w:val="24"/>
        </w:rPr>
      </w:pPr>
    </w:p>
    <w:p w:rsidR="00940F76" w:rsidP="003B16AD" w:rsidRDefault="0CAA2222" w14:paraId="3EA638B7" w14:textId="77777777">
      <w:pPr>
        <w:widowControl w:val="0"/>
        <w:rPr>
          <w:b/>
          <w:bCs/>
        </w:rPr>
      </w:pPr>
      <w:r>
        <w:t xml:space="preserve">There are no costs to the respondents other than those shown in item 12 above. </w:t>
      </w:r>
      <w:r w:rsidR="001D224D">
        <w:br/>
      </w:r>
    </w:p>
    <w:p w:rsidRPr="00981917" w:rsidR="006C0638" w:rsidP="003B16AD" w:rsidRDefault="572BD6E3" w14:paraId="60DC8AA7" w14:textId="33E04AE6">
      <w:pPr>
        <w:widowControl w:val="0"/>
        <w:rPr>
          <w:color w:val="FF0000"/>
          <w:szCs w:val="24"/>
        </w:rPr>
      </w:pPr>
      <w:r w:rsidRPr="6C720080">
        <w:rPr>
          <w:b/>
          <w:bCs/>
        </w:rPr>
        <w:t>14.</w:t>
      </w:r>
      <w:r w:rsidR="001D224D">
        <w:tab/>
      </w:r>
      <w:r w:rsidRPr="6C720080" w:rsidR="4CBD871F">
        <w:rPr>
          <w:b/>
          <w:bCs/>
          <w:u w:val="single"/>
        </w:rPr>
        <w:t>Estimates of costs to the Federal Government</w:t>
      </w:r>
      <w:r w:rsidRPr="6C720080" w:rsidR="4CBD871F">
        <w:rPr>
          <w:b/>
          <w:bCs/>
        </w:rPr>
        <w:t xml:space="preserve">.  </w:t>
      </w:r>
    </w:p>
    <w:p w:rsidR="006C0638" w:rsidP="000A6210" w:rsidRDefault="006C0638" w14:paraId="07C00E20" w14:textId="77777777">
      <w:pPr>
        <w:widowControl w:val="0"/>
        <w:tabs>
          <w:tab w:val="left" w:pos="540"/>
        </w:tabs>
        <w:rPr>
          <w:szCs w:val="24"/>
        </w:rPr>
      </w:pPr>
    </w:p>
    <w:p w:rsidR="00FF758C" w:rsidP="00FF758C" w:rsidRDefault="00C171A0" w14:paraId="6DEA92DA" w14:textId="3FA18E63">
      <w:pPr>
        <w:pStyle w:val="BodyText"/>
        <w:keepLines w:val="0"/>
        <w:tabs>
          <w:tab w:val="left" w:pos="360"/>
        </w:tabs>
        <w:spacing w:after="0"/>
        <w:rPr>
          <w:sz w:val="24"/>
          <w:szCs w:val="24"/>
        </w:rPr>
      </w:pPr>
      <w:r>
        <w:rPr>
          <w:sz w:val="24"/>
          <w:szCs w:val="24"/>
        </w:rPr>
        <w:t>Based on PHMSA’s best projections using examples of other NOFO’s published by PHMSA, t</w:t>
      </w:r>
      <w:r w:rsidRPr="584FC3A7" w:rsidR="65035522">
        <w:rPr>
          <w:sz w:val="24"/>
          <w:szCs w:val="24"/>
        </w:rPr>
        <w:t xml:space="preserve">he </w:t>
      </w:r>
      <w:r>
        <w:rPr>
          <w:sz w:val="24"/>
          <w:szCs w:val="24"/>
        </w:rPr>
        <w:t xml:space="preserve">estimated </w:t>
      </w:r>
      <w:r w:rsidRPr="584FC3A7" w:rsidR="65035522">
        <w:rPr>
          <w:sz w:val="24"/>
          <w:szCs w:val="24"/>
        </w:rPr>
        <w:t>cost to the federal government to review and rate applications and select grantees is $</w:t>
      </w:r>
      <w:r w:rsidR="003B16AD">
        <w:rPr>
          <w:sz w:val="24"/>
          <w:szCs w:val="24"/>
        </w:rPr>
        <w:t>198,000</w:t>
      </w:r>
      <w:r w:rsidRPr="584FC3A7" w:rsidR="65035522">
        <w:rPr>
          <w:sz w:val="24"/>
          <w:szCs w:val="24"/>
        </w:rPr>
        <w:t xml:space="preserve"> on an annual basis.  This estimate is based on experience with prior NOFO application cycles.  PHMSA </w:t>
      </w:r>
      <w:r w:rsidR="003B16AD">
        <w:rPr>
          <w:sz w:val="24"/>
          <w:szCs w:val="24"/>
        </w:rPr>
        <w:t>expects to receive</w:t>
      </w:r>
      <w:r w:rsidRPr="584FC3A7" w:rsidR="65035522">
        <w:rPr>
          <w:sz w:val="24"/>
          <w:szCs w:val="24"/>
        </w:rPr>
        <w:t xml:space="preserve"> </w:t>
      </w:r>
      <w:r w:rsidR="003B16AD">
        <w:rPr>
          <w:sz w:val="24"/>
          <w:szCs w:val="24"/>
        </w:rPr>
        <w:t>100</w:t>
      </w:r>
      <w:r w:rsidRPr="584FC3A7" w:rsidR="003B16AD">
        <w:rPr>
          <w:sz w:val="24"/>
          <w:szCs w:val="24"/>
        </w:rPr>
        <w:t xml:space="preserve"> </w:t>
      </w:r>
      <w:r w:rsidRPr="584FC3A7" w:rsidR="65035522">
        <w:rPr>
          <w:sz w:val="24"/>
          <w:szCs w:val="24"/>
        </w:rPr>
        <w:t xml:space="preserve">applications </w:t>
      </w:r>
      <w:r w:rsidR="00940F76">
        <w:rPr>
          <w:sz w:val="24"/>
          <w:szCs w:val="24"/>
        </w:rPr>
        <w:t>for grant funds</w:t>
      </w:r>
      <w:r w:rsidR="003B16AD">
        <w:rPr>
          <w:sz w:val="24"/>
          <w:szCs w:val="24"/>
        </w:rPr>
        <w:t xml:space="preserve">.  PHMA estimates that it will </w:t>
      </w:r>
      <w:r w:rsidR="000B44D9">
        <w:rPr>
          <w:sz w:val="24"/>
          <w:szCs w:val="24"/>
        </w:rPr>
        <w:t>spend</w:t>
      </w:r>
      <w:r w:rsidR="003B16AD">
        <w:rPr>
          <w:sz w:val="24"/>
          <w:szCs w:val="24"/>
        </w:rPr>
        <w:t xml:space="preserve"> approximately </w:t>
      </w:r>
      <w:r w:rsidR="000B44D9">
        <w:rPr>
          <w:sz w:val="24"/>
          <w:szCs w:val="24"/>
        </w:rPr>
        <w:t xml:space="preserve">33 hours, per application, reviewing and </w:t>
      </w:r>
      <w:r w:rsidR="00940F76">
        <w:rPr>
          <w:sz w:val="24"/>
          <w:szCs w:val="24"/>
        </w:rPr>
        <w:t>rating</w:t>
      </w:r>
      <w:r w:rsidR="000B44D9">
        <w:rPr>
          <w:sz w:val="24"/>
          <w:szCs w:val="24"/>
        </w:rPr>
        <w:t xml:space="preserve"> each</w:t>
      </w:r>
      <w:r w:rsidR="00940F76">
        <w:rPr>
          <w:sz w:val="24"/>
          <w:szCs w:val="24"/>
        </w:rPr>
        <w:t xml:space="preserve"> </w:t>
      </w:r>
      <w:proofErr w:type="gramStart"/>
      <w:r w:rsidR="00940F76">
        <w:rPr>
          <w:sz w:val="24"/>
          <w:szCs w:val="24"/>
        </w:rPr>
        <w:t>application</w:t>
      </w:r>
      <w:r w:rsidR="000B44D9">
        <w:rPr>
          <w:sz w:val="24"/>
          <w:szCs w:val="24"/>
        </w:rPr>
        <w:t xml:space="preserve"> .</w:t>
      </w:r>
      <w:proofErr w:type="gramEnd"/>
      <w:r w:rsidR="000B44D9">
        <w:rPr>
          <w:sz w:val="24"/>
          <w:szCs w:val="24"/>
        </w:rPr>
        <w:t xml:space="preserve">  At a rate of approximately $60 per hour, PHMSA expects that this information collection will cost the federal government $198,00</w:t>
      </w:r>
      <w:r w:rsidR="00940F76">
        <w:rPr>
          <w:sz w:val="24"/>
          <w:szCs w:val="24"/>
        </w:rPr>
        <w:t>0 annually.</w:t>
      </w:r>
    </w:p>
    <w:p w:rsidR="00FF758C" w:rsidP="00FF758C" w:rsidRDefault="00FF758C" w14:paraId="5B109BFF" w14:textId="77777777">
      <w:pPr>
        <w:pStyle w:val="BodyText"/>
        <w:keepLines w:val="0"/>
        <w:tabs>
          <w:tab w:val="left" w:pos="360"/>
        </w:tabs>
        <w:spacing w:after="0"/>
        <w:rPr>
          <w:sz w:val="24"/>
          <w:szCs w:val="24"/>
        </w:rPr>
      </w:pPr>
    </w:p>
    <w:p w:rsidRPr="002A4BE3" w:rsidR="00FF758C" w:rsidP="00FF758C" w:rsidRDefault="00FF758C" w14:paraId="273D6792" w14:textId="77777777">
      <w:pPr>
        <w:pStyle w:val="BodyText"/>
        <w:keepLines w:val="0"/>
        <w:tabs>
          <w:tab w:val="left" w:pos="360"/>
        </w:tabs>
        <w:spacing w:after="0"/>
        <w:rPr>
          <w:sz w:val="24"/>
          <w:szCs w:val="24"/>
        </w:rPr>
      </w:pPr>
      <w:r>
        <w:rPr>
          <w:sz w:val="24"/>
          <w:szCs w:val="24"/>
        </w:rPr>
        <w:t>The hourly cost reflects the rate of PHMSA staff who are assigned to perform each of the required actions listed in the chart below.  The hourly cost is based on PHMSA experience, under other grant applications cycles.</w:t>
      </w:r>
    </w:p>
    <w:p w:rsidRPr="002A4BE3" w:rsidR="00FF758C" w:rsidP="00FF758C" w:rsidRDefault="00FF758C" w14:paraId="79BB0F06" w14:textId="77777777">
      <w:pPr>
        <w:tabs>
          <w:tab w:val="left" w:pos="360"/>
        </w:tabs>
        <w:rPr>
          <w:color w:val="000000"/>
          <w:szCs w:val="24"/>
        </w:rPr>
      </w:pPr>
    </w:p>
    <w:tbl>
      <w:tblPr>
        <w:tblW w:w="91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10"/>
        <w:gridCol w:w="1147"/>
        <w:gridCol w:w="1170"/>
        <w:gridCol w:w="1440"/>
        <w:gridCol w:w="1260"/>
        <w:gridCol w:w="1170"/>
        <w:gridCol w:w="1260"/>
      </w:tblGrid>
      <w:tr w:rsidRPr="00DA2C6C" w:rsidR="00FF758C" w:rsidTr="584FC3A7" w14:paraId="435366BF" w14:textId="77777777">
        <w:trPr>
          <w:trHeight w:val="788"/>
        </w:trPr>
        <w:tc>
          <w:tcPr>
            <w:tcW w:w="1710" w:type="dxa"/>
          </w:tcPr>
          <w:p w:rsidRPr="00DA2C6C" w:rsidR="00FF758C" w:rsidP="001174AD" w:rsidRDefault="00FF758C" w14:paraId="183C41DB" w14:textId="77777777">
            <w:pPr>
              <w:keepNext/>
              <w:keepLines/>
              <w:tabs>
                <w:tab w:val="left" w:pos="360"/>
              </w:tabs>
              <w:jc w:val="center"/>
              <w:rPr>
                <w:b/>
                <w:bCs/>
                <w:color w:val="000000"/>
                <w:sz w:val="18"/>
                <w:szCs w:val="18"/>
              </w:rPr>
            </w:pPr>
            <w:r w:rsidRPr="00DA2C6C">
              <w:rPr>
                <w:b/>
                <w:bCs/>
                <w:color w:val="000000"/>
                <w:sz w:val="18"/>
                <w:szCs w:val="18"/>
              </w:rPr>
              <w:t>Required Action</w:t>
            </w:r>
          </w:p>
        </w:tc>
        <w:tc>
          <w:tcPr>
            <w:tcW w:w="1147" w:type="dxa"/>
          </w:tcPr>
          <w:p w:rsidRPr="00DA2C6C" w:rsidR="00FF758C" w:rsidP="001174AD" w:rsidRDefault="00FF758C" w14:paraId="5AB73EF5" w14:textId="77777777">
            <w:pPr>
              <w:keepNext/>
              <w:keepLines/>
              <w:tabs>
                <w:tab w:val="left" w:pos="360"/>
              </w:tabs>
              <w:ind w:left="-108" w:firstLine="108"/>
              <w:jc w:val="center"/>
              <w:rPr>
                <w:b/>
                <w:bCs/>
                <w:color w:val="000000"/>
                <w:sz w:val="18"/>
                <w:szCs w:val="18"/>
              </w:rPr>
            </w:pPr>
            <w:r w:rsidRPr="00DA2C6C">
              <w:rPr>
                <w:b/>
                <w:bCs/>
                <w:color w:val="000000"/>
                <w:sz w:val="18"/>
                <w:szCs w:val="18"/>
              </w:rPr>
              <w:t>Frequency of Action</w:t>
            </w:r>
          </w:p>
        </w:tc>
        <w:tc>
          <w:tcPr>
            <w:tcW w:w="1170" w:type="dxa"/>
          </w:tcPr>
          <w:p w:rsidRPr="00DA2C6C" w:rsidR="00FF758C" w:rsidP="001174AD" w:rsidRDefault="00FF758C" w14:paraId="42F71306" w14:textId="77777777">
            <w:pPr>
              <w:keepNext/>
              <w:keepLines/>
              <w:tabs>
                <w:tab w:val="left" w:pos="360"/>
              </w:tabs>
              <w:ind w:left="-108" w:firstLine="108"/>
              <w:jc w:val="center"/>
              <w:rPr>
                <w:b/>
                <w:bCs/>
                <w:color w:val="000000"/>
                <w:sz w:val="18"/>
                <w:szCs w:val="18"/>
              </w:rPr>
            </w:pPr>
            <w:r w:rsidRPr="00DA2C6C">
              <w:rPr>
                <w:b/>
                <w:bCs/>
                <w:color w:val="000000"/>
                <w:sz w:val="18"/>
                <w:szCs w:val="18"/>
              </w:rPr>
              <w:t>Hours per Action</w:t>
            </w:r>
          </w:p>
        </w:tc>
        <w:tc>
          <w:tcPr>
            <w:tcW w:w="1440" w:type="dxa"/>
          </w:tcPr>
          <w:p w:rsidRPr="00DA2C6C" w:rsidR="00FF758C" w:rsidP="001174AD" w:rsidRDefault="00FF758C" w14:paraId="1BA194BD" w14:textId="77777777">
            <w:pPr>
              <w:tabs>
                <w:tab w:val="left" w:pos="360"/>
              </w:tabs>
              <w:ind w:left="-108" w:firstLine="108"/>
              <w:jc w:val="center"/>
              <w:rPr>
                <w:b/>
                <w:bCs/>
                <w:color w:val="000000"/>
                <w:sz w:val="18"/>
                <w:szCs w:val="18"/>
              </w:rPr>
            </w:pPr>
            <w:r w:rsidRPr="00DA2C6C">
              <w:rPr>
                <w:b/>
                <w:bCs/>
                <w:color w:val="000000"/>
                <w:sz w:val="18"/>
                <w:szCs w:val="18"/>
              </w:rPr>
              <w:t>Number of Respondents</w:t>
            </w:r>
          </w:p>
        </w:tc>
        <w:tc>
          <w:tcPr>
            <w:tcW w:w="1260" w:type="dxa"/>
          </w:tcPr>
          <w:p w:rsidRPr="00DA2C6C" w:rsidR="00FF758C" w:rsidP="001174AD" w:rsidRDefault="00FF758C" w14:paraId="20D3DC0C" w14:textId="77777777">
            <w:pPr>
              <w:tabs>
                <w:tab w:val="left" w:pos="360"/>
              </w:tabs>
              <w:ind w:left="-108" w:firstLine="108"/>
              <w:jc w:val="center"/>
              <w:rPr>
                <w:b/>
                <w:bCs/>
                <w:color w:val="000000"/>
                <w:sz w:val="18"/>
                <w:szCs w:val="18"/>
              </w:rPr>
            </w:pPr>
            <w:r w:rsidRPr="00DA2C6C">
              <w:rPr>
                <w:b/>
                <w:bCs/>
                <w:color w:val="000000"/>
                <w:sz w:val="18"/>
                <w:szCs w:val="18"/>
              </w:rPr>
              <w:t xml:space="preserve">Number of </w:t>
            </w:r>
            <w:r w:rsidRPr="00DA2C6C" w:rsidR="00DA2C6C">
              <w:rPr>
                <w:b/>
                <w:bCs/>
                <w:color w:val="000000"/>
                <w:sz w:val="18"/>
                <w:szCs w:val="18"/>
              </w:rPr>
              <w:t>PHMSA</w:t>
            </w:r>
            <w:r w:rsidRPr="00DA2C6C">
              <w:rPr>
                <w:b/>
                <w:bCs/>
                <w:color w:val="000000"/>
                <w:sz w:val="18"/>
                <w:szCs w:val="18"/>
              </w:rPr>
              <w:t xml:space="preserve"> Staff Hours</w:t>
            </w:r>
          </w:p>
        </w:tc>
        <w:tc>
          <w:tcPr>
            <w:tcW w:w="1170" w:type="dxa"/>
          </w:tcPr>
          <w:p w:rsidRPr="00DA2C6C" w:rsidR="00FF758C" w:rsidP="001174AD" w:rsidRDefault="00FF758C" w14:paraId="7AAD7379" w14:textId="77777777">
            <w:pPr>
              <w:tabs>
                <w:tab w:val="left" w:pos="360"/>
              </w:tabs>
              <w:ind w:left="-108" w:firstLine="108"/>
              <w:jc w:val="center"/>
              <w:rPr>
                <w:b/>
                <w:bCs/>
                <w:color w:val="000000"/>
                <w:sz w:val="18"/>
                <w:szCs w:val="18"/>
              </w:rPr>
            </w:pPr>
            <w:r w:rsidRPr="00DA2C6C">
              <w:rPr>
                <w:b/>
                <w:bCs/>
                <w:color w:val="000000"/>
                <w:sz w:val="18"/>
                <w:szCs w:val="18"/>
              </w:rPr>
              <w:t>Average GS Hourly Rate</w:t>
            </w:r>
          </w:p>
        </w:tc>
        <w:tc>
          <w:tcPr>
            <w:tcW w:w="1260" w:type="dxa"/>
          </w:tcPr>
          <w:p w:rsidRPr="00DA2C6C" w:rsidR="00FF758C" w:rsidP="001174AD" w:rsidRDefault="00FF758C" w14:paraId="6B33F538" w14:textId="77777777">
            <w:pPr>
              <w:tabs>
                <w:tab w:val="left" w:pos="360"/>
              </w:tabs>
              <w:ind w:left="-108" w:firstLine="108"/>
              <w:jc w:val="center"/>
              <w:rPr>
                <w:b/>
                <w:bCs/>
                <w:color w:val="000000"/>
                <w:sz w:val="18"/>
                <w:szCs w:val="18"/>
              </w:rPr>
            </w:pPr>
            <w:r w:rsidRPr="00DA2C6C">
              <w:rPr>
                <w:b/>
                <w:bCs/>
                <w:color w:val="000000"/>
                <w:sz w:val="18"/>
                <w:szCs w:val="18"/>
              </w:rPr>
              <w:t>Annual Cost</w:t>
            </w:r>
          </w:p>
        </w:tc>
      </w:tr>
      <w:tr w:rsidRPr="00DA2C6C" w:rsidR="00FF758C" w:rsidTr="00C125E1" w14:paraId="23A9DA8C" w14:textId="77777777">
        <w:trPr>
          <w:trHeight w:val="510"/>
        </w:trPr>
        <w:tc>
          <w:tcPr>
            <w:tcW w:w="1710" w:type="dxa"/>
          </w:tcPr>
          <w:p w:rsidRPr="00DA2C6C" w:rsidR="00FF758C" w:rsidP="001174AD" w:rsidRDefault="65035522" w14:paraId="282521EB" w14:textId="65F6791B">
            <w:pPr>
              <w:keepNext/>
              <w:keepLines/>
              <w:ind w:right="-7726"/>
              <w:jc w:val="both"/>
              <w:rPr>
                <w:rFonts w:eastAsia="Calibri"/>
                <w:color w:val="000000"/>
                <w:sz w:val="18"/>
                <w:szCs w:val="18"/>
              </w:rPr>
            </w:pPr>
            <w:r w:rsidRPr="584FC3A7">
              <w:rPr>
                <w:rFonts w:eastAsia="Calibri"/>
                <w:color w:val="000000" w:themeColor="text1"/>
                <w:sz w:val="18"/>
                <w:szCs w:val="18"/>
              </w:rPr>
              <w:t>Eligibility Review</w:t>
            </w:r>
          </w:p>
        </w:tc>
        <w:tc>
          <w:tcPr>
            <w:tcW w:w="1147" w:type="dxa"/>
          </w:tcPr>
          <w:p w:rsidRPr="00DA2C6C" w:rsidR="00FF758C" w:rsidP="001174AD" w:rsidRDefault="00FF758C" w14:paraId="3393049F" w14:textId="77777777">
            <w:pPr>
              <w:keepNext/>
              <w:keepLines/>
              <w:tabs>
                <w:tab w:val="left" w:pos="360"/>
              </w:tabs>
              <w:ind w:left="-108" w:firstLine="108"/>
              <w:jc w:val="right"/>
              <w:rPr>
                <w:rFonts w:eastAsia="Calibri"/>
                <w:color w:val="000000"/>
                <w:sz w:val="18"/>
                <w:szCs w:val="18"/>
              </w:rPr>
            </w:pPr>
          </w:p>
          <w:p w:rsidRPr="00DA2C6C" w:rsidR="00FF758C" w:rsidP="001174AD" w:rsidRDefault="00FF758C" w14:paraId="2A250FD8" w14:textId="77777777">
            <w:pPr>
              <w:keepNext/>
              <w:keepLines/>
              <w:tabs>
                <w:tab w:val="left" w:pos="360"/>
              </w:tabs>
              <w:ind w:left="-108" w:firstLine="108"/>
              <w:jc w:val="right"/>
              <w:rPr>
                <w:rFonts w:eastAsia="Calibri"/>
                <w:color w:val="000000"/>
                <w:sz w:val="18"/>
                <w:szCs w:val="18"/>
              </w:rPr>
            </w:pPr>
            <w:r w:rsidRPr="00DA2C6C">
              <w:rPr>
                <w:rFonts w:eastAsia="Calibri"/>
                <w:color w:val="000000"/>
                <w:sz w:val="18"/>
                <w:szCs w:val="18"/>
              </w:rPr>
              <w:t>1</w:t>
            </w:r>
            <w:r w:rsidRPr="00DA2C6C">
              <w:rPr>
                <w:sz w:val="18"/>
                <w:szCs w:val="18"/>
              </w:rPr>
              <w:t>.00</w:t>
            </w:r>
          </w:p>
        </w:tc>
        <w:tc>
          <w:tcPr>
            <w:tcW w:w="1170" w:type="dxa"/>
          </w:tcPr>
          <w:p w:rsidRPr="00DA2C6C" w:rsidR="00FF758C" w:rsidP="001174AD" w:rsidRDefault="00FF758C" w14:paraId="6ADDA144" w14:textId="77777777">
            <w:pPr>
              <w:keepNext/>
              <w:keepLines/>
              <w:tabs>
                <w:tab w:val="left" w:pos="360"/>
              </w:tabs>
              <w:ind w:left="-108" w:firstLine="108"/>
              <w:jc w:val="right"/>
              <w:rPr>
                <w:rFonts w:eastAsia="Calibri"/>
                <w:color w:val="000000"/>
                <w:sz w:val="18"/>
                <w:szCs w:val="18"/>
              </w:rPr>
            </w:pPr>
          </w:p>
          <w:p w:rsidRPr="00DA2C6C" w:rsidR="00FF758C" w:rsidP="001174AD" w:rsidRDefault="65035522" w14:paraId="538098B3" w14:textId="366ACC97">
            <w:pPr>
              <w:keepNext/>
              <w:keepLines/>
              <w:tabs>
                <w:tab w:val="left" w:pos="360"/>
              </w:tabs>
              <w:ind w:left="-108" w:firstLine="108"/>
              <w:jc w:val="right"/>
              <w:rPr>
                <w:rFonts w:eastAsia="Calibri"/>
                <w:color w:val="000000"/>
                <w:sz w:val="18"/>
                <w:szCs w:val="18"/>
              </w:rPr>
            </w:pPr>
            <w:r w:rsidRPr="584FC3A7">
              <w:rPr>
                <w:sz w:val="18"/>
                <w:szCs w:val="18"/>
              </w:rPr>
              <w:t>5.00</w:t>
            </w:r>
          </w:p>
        </w:tc>
        <w:tc>
          <w:tcPr>
            <w:tcW w:w="1440" w:type="dxa"/>
          </w:tcPr>
          <w:p w:rsidRPr="00DA2C6C" w:rsidR="00FF758C" w:rsidP="001174AD" w:rsidRDefault="00FF758C" w14:paraId="076EF38E" w14:textId="77777777">
            <w:pPr>
              <w:tabs>
                <w:tab w:val="left" w:pos="360"/>
              </w:tabs>
              <w:ind w:left="-108" w:firstLine="108"/>
              <w:jc w:val="right"/>
              <w:rPr>
                <w:rFonts w:eastAsia="Calibri"/>
                <w:color w:val="000000"/>
                <w:sz w:val="18"/>
                <w:szCs w:val="18"/>
              </w:rPr>
            </w:pPr>
          </w:p>
          <w:p w:rsidRPr="00DA2C6C" w:rsidR="00FF758C" w:rsidP="001174AD" w:rsidRDefault="65035522" w14:paraId="468250F9" w14:textId="23F0B70E">
            <w:pPr>
              <w:tabs>
                <w:tab w:val="left" w:pos="360"/>
              </w:tabs>
              <w:ind w:left="-108" w:firstLine="108"/>
              <w:jc w:val="right"/>
              <w:rPr>
                <w:rFonts w:eastAsia="Calibri"/>
                <w:color w:val="000000"/>
                <w:sz w:val="18"/>
                <w:szCs w:val="18"/>
              </w:rPr>
            </w:pPr>
            <w:r w:rsidRPr="584FC3A7">
              <w:rPr>
                <w:rFonts w:eastAsia="Calibri"/>
                <w:color w:val="000000" w:themeColor="text1"/>
                <w:sz w:val="18"/>
                <w:szCs w:val="18"/>
              </w:rPr>
              <w:t>100</w:t>
            </w:r>
            <w:r w:rsidRPr="584FC3A7">
              <w:rPr>
                <w:sz w:val="18"/>
                <w:szCs w:val="18"/>
              </w:rPr>
              <w:t>.00</w:t>
            </w:r>
          </w:p>
        </w:tc>
        <w:tc>
          <w:tcPr>
            <w:tcW w:w="1260" w:type="dxa"/>
          </w:tcPr>
          <w:p w:rsidRPr="00DA2C6C" w:rsidR="00FF758C" w:rsidP="001174AD" w:rsidRDefault="00FF758C" w14:paraId="106937C0" w14:textId="77777777">
            <w:pPr>
              <w:tabs>
                <w:tab w:val="left" w:pos="360"/>
              </w:tabs>
              <w:ind w:left="-108" w:firstLine="108"/>
              <w:jc w:val="right"/>
              <w:rPr>
                <w:rFonts w:eastAsia="Calibri"/>
                <w:color w:val="000000"/>
                <w:sz w:val="18"/>
                <w:szCs w:val="18"/>
              </w:rPr>
            </w:pPr>
          </w:p>
          <w:p w:rsidRPr="00DA2C6C" w:rsidR="00FF758C" w:rsidP="001174AD" w:rsidRDefault="00BA17E7" w14:paraId="2F8C8BAE" w14:textId="56A73F9B">
            <w:pPr>
              <w:tabs>
                <w:tab w:val="left" w:pos="360"/>
              </w:tabs>
              <w:ind w:left="-108" w:firstLine="108"/>
              <w:jc w:val="right"/>
              <w:rPr>
                <w:rFonts w:eastAsia="Calibri"/>
                <w:color w:val="000000"/>
                <w:sz w:val="18"/>
                <w:szCs w:val="18"/>
              </w:rPr>
            </w:pPr>
            <w:r>
              <w:rPr>
                <w:rFonts w:eastAsia="Calibri"/>
                <w:color w:val="000000" w:themeColor="text1"/>
                <w:sz w:val="18"/>
                <w:szCs w:val="18"/>
              </w:rPr>
              <w:t>500</w:t>
            </w:r>
          </w:p>
        </w:tc>
        <w:tc>
          <w:tcPr>
            <w:tcW w:w="1170" w:type="dxa"/>
          </w:tcPr>
          <w:p w:rsidRPr="00DA2C6C" w:rsidR="00FF758C" w:rsidP="001174AD" w:rsidRDefault="00FF758C" w14:paraId="3DD75E43" w14:textId="77777777">
            <w:pPr>
              <w:tabs>
                <w:tab w:val="left" w:pos="360"/>
              </w:tabs>
              <w:ind w:left="-108" w:firstLine="108"/>
              <w:jc w:val="right"/>
              <w:rPr>
                <w:rFonts w:eastAsia="Calibri"/>
                <w:color w:val="000000"/>
                <w:sz w:val="18"/>
                <w:szCs w:val="18"/>
              </w:rPr>
            </w:pPr>
          </w:p>
          <w:p w:rsidRPr="00DA2C6C" w:rsidR="00FF758C" w:rsidP="001174AD" w:rsidRDefault="00FF758C" w14:paraId="0A481832" w14:textId="77777777">
            <w:pPr>
              <w:tabs>
                <w:tab w:val="left" w:pos="360"/>
              </w:tabs>
              <w:ind w:left="-108" w:firstLine="108"/>
              <w:jc w:val="right"/>
              <w:rPr>
                <w:rFonts w:eastAsia="Calibri"/>
                <w:color w:val="000000"/>
                <w:sz w:val="18"/>
                <w:szCs w:val="18"/>
              </w:rPr>
            </w:pPr>
            <w:r w:rsidRPr="00DA2C6C">
              <w:rPr>
                <w:rFonts w:eastAsia="Calibri"/>
                <w:color w:val="000000"/>
                <w:sz w:val="18"/>
                <w:szCs w:val="18"/>
              </w:rPr>
              <w:t>$60.00</w:t>
            </w:r>
          </w:p>
        </w:tc>
        <w:tc>
          <w:tcPr>
            <w:tcW w:w="1260" w:type="dxa"/>
          </w:tcPr>
          <w:p w:rsidR="00BA17E7" w:rsidP="00BA17E7" w:rsidRDefault="00BA17E7" w14:paraId="20DAE2C1" w14:textId="77777777">
            <w:pPr>
              <w:tabs>
                <w:tab w:val="left" w:pos="360"/>
              </w:tabs>
              <w:ind w:left="-108" w:firstLine="108"/>
              <w:jc w:val="center"/>
              <w:rPr>
                <w:rFonts w:eastAsia="Calibri"/>
                <w:color w:val="000000"/>
                <w:sz w:val="18"/>
                <w:szCs w:val="18"/>
              </w:rPr>
            </w:pPr>
          </w:p>
          <w:p w:rsidRPr="00DA2C6C" w:rsidR="00FF758C" w:rsidP="003B16AD" w:rsidRDefault="00BA17E7" w14:paraId="0AD4E034" w14:textId="18C38BE7">
            <w:pPr>
              <w:tabs>
                <w:tab w:val="left" w:pos="360"/>
              </w:tabs>
              <w:ind w:left="-108" w:firstLine="108"/>
              <w:jc w:val="center"/>
              <w:rPr>
                <w:rFonts w:eastAsia="Calibri"/>
                <w:color w:val="000000"/>
                <w:sz w:val="18"/>
                <w:szCs w:val="18"/>
              </w:rPr>
            </w:pPr>
            <w:r>
              <w:rPr>
                <w:rFonts w:eastAsia="Calibri"/>
                <w:color w:val="000000"/>
                <w:sz w:val="18"/>
                <w:szCs w:val="18"/>
              </w:rPr>
              <w:t>$30,000.00</w:t>
            </w:r>
          </w:p>
        </w:tc>
      </w:tr>
      <w:tr w:rsidRPr="00DA2C6C" w:rsidR="00FF758C" w:rsidTr="584FC3A7" w14:paraId="6008760A" w14:textId="77777777">
        <w:tc>
          <w:tcPr>
            <w:tcW w:w="1710" w:type="dxa"/>
          </w:tcPr>
          <w:p w:rsidRPr="00DA2C6C" w:rsidR="00FF758C" w:rsidP="003B16AD" w:rsidRDefault="65035522" w14:paraId="4631F46A" w14:textId="0C298341">
            <w:pPr>
              <w:keepNext/>
              <w:keepLines/>
              <w:rPr>
                <w:rFonts w:eastAsia="Calibri"/>
                <w:color w:val="000000"/>
                <w:sz w:val="18"/>
                <w:szCs w:val="18"/>
              </w:rPr>
            </w:pPr>
            <w:r w:rsidRPr="584FC3A7">
              <w:rPr>
                <w:rFonts w:eastAsia="Calibri"/>
                <w:color w:val="000000" w:themeColor="text1"/>
                <w:sz w:val="18"/>
                <w:szCs w:val="18"/>
              </w:rPr>
              <w:t>Technical Review &amp; Rating Application</w:t>
            </w:r>
          </w:p>
        </w:tc>
        <w:tc>
          <w:tcPr>
            <w:tcW w:w="1147" w:type="dxa"/>
          </w:tcPr>
          <w:p w:rsidRPr="00DA2C6C" w:rsidR="00FF758C" w:rsidP="001174AD" w:rsidRDefault="00FF758C" w14:paraId="057A7242" w14:textId="77777777">
            <w:pPr>
              <w:keepNext/>
              <w:keepLines/>
              <w:tabs>
                <w:tab w:val="left" w:pos="360"/>
              </w:tabs>
              <w:ind w:left="-108" w:firstLine="108"/>
              <w:jc w:val="right"/>
              <w:rPr>
                <w:rFonts w:eastAsia="Calibri"/>
                <w:color w:val="000000"/>
                <w:sz w:val="18"/>
                <w:szCs w:val="18"/>
              </w:rPr>
            </w:pPr>
          </w:p>
          <w:p w:rsidRPr="00DA2C6C" w:rsidR="00FF758C" w:rsidP="001174AD" w:rsidRDefault="00FF758C" w14:paraId="457E0918" w14:textId="77777777">
            <w:pPr>
              <w:keepNext/>
              <w:keepLines/>
              <w:tabs>
                <w:tab w:val="left" w:pos="360"/>
              </w:tabs>
              <w:ind w:left="-108" w:firstLine="108"/>
              <w:jc w:val="right"/>
              <w:rPr>
                <w:rFonts w:eastAsia="Calibri"/>
                <w:color w:val="000000"/>
                <w:sz w:val="18"/>
                <w:szCs w:val="18"/>
              </w:rPr>
            </w:pPr>
            <w:r w:rsidRPr="00DA2C6C">
              <w:rPr>
                <w:rFonts w:eastAsia="Calibri"/>
                <w:color w:val="000000"/>
                <w:sz w:val="18"/>
                <w:szCs w:val="18"/>
              </w:rPr>
              <w:t>1</w:t>
            </w:r>
            <w:r w:rsidRPr="00DA2C6C">
              <w:rPr>
                <w:sz w:val="18"/>
                <w:szCs w:val="18"/>
              </w:rPr>
              <w:t>.00</w:t>
            </w:r>
          </w:p>
        </w:tc>
        <w:tc>
          <w:tcPr>
            <w:tcW w:w="1170" w:type="dxa"/>
          </w:tcPr>
          <w:p w:rsidRPr="00DA2C6C" w:rsidR="00FF758C" w:rsidP="001174AD" w:rsidRDefault="00FF758C" w14:paraId="0F2FC3A0" w14:textId="77777777">
            <w:pPr>
              <w:keepNext/>
              <w:keepLines/>
              <w:tabs>
                <w:tab w:val="left" w:pos="360"/>
              </w:tabs>
              <w:ind w:left="-108" w:firstLine="108"/>
              <w:jc w:val="right"/>
              <w:rPr>
                <w:rFonts w:eastAsia="Calibri"/>
                <w:color w:val="000000"/>
                <w:sz w:val="18"/>
                <w:szCs w:val="18"/>
              </w:rPr>
            </w:pPr>
          </w:p>
          <w:p w:rsidRPr="00DA2C6C" w:rsidR="00FF758C" w:rsidP="001174AD" w:rsidRDefault="65035522" w14:paraId="367085CD" w14:textId="40F9B0AE">
            <w:pPr>
              <w:keepNext/>
              <w:keepLines/>
              <w:tabs>
                <w:tab w:val="left" w:pos="360"/>
              </w:tabs>
              <w:ind w:left="-108" w:firstLine="108"/>
              <w:jc w:val="right"/>
              <w:rPr>
                <w:rFonts w:eastAsia="Calibri"/>
                <w:color w:val="000000"/>
                <w:sz w:val="18"/>
                <w:szCs w:val="18"/>
              </w:rPr>
            </w:pPr>
            <w:r w:rsidRPr="584FC3A7">
              <w:rPr>
                <w:sz w:val="18"/>
                <w:szCs w:val="18"/>
              </w:rPr>
              <w:t>20.00</w:t>
            </w:r>
          </w:p>
        </w:tc>
        <w:tc>
          <w:tcPr>
            <w:tcW w:w="1440" w:type="dxa"/>
          </w:tcPr>
          <w:p w:rsidRPr="00DA2C6C" w:rsidR="00FF758C" w:rsidP="001174AD" w:rsidRDefault="00FF758C" w14:paraId="15C9D78D" w14:textId="77777777">
            <w:pPr>
              <w:tabs>
                <w:tab w:val="left" w:pos="360"/>
              </w:tabs>
              <w:ind w:left="-108" w:firstLine="108"/>
              <w:jc w:val="right"/>
              <w:rPr>
                <w:rFonts w:eastAsia="Calibri"/>
                <w:color w:val="000000"/>
                <w:sz w:val="18"/>
                <w:szCs w:val="18"/>
              </w:rPr>
            </w:pPr>
          </w:p>
          <w:p w:rsidRPr="00DA2C6C" w:rsidR="00FF758C" w:rsidP="003B16AD" w:rsidRDefault="65035522" w14:paraId="7B5EFA09" w14:textId="3A2D8681">
            <w:pPr>
              <w:tabs>
                <w:tab w:val="left" w:pos="360"/>
              </w:tabs>
              <w:ind w:left="-108"/>
              <w:jc w:val="right"/>
              <w:rPr>
                <w:rFonts w:eastAsia="Calibri"/>
                <w:color w:val="000000"/>
                <w:sz w:val="18"/>
                <w:szCs w:val="18"/>
              </w:rPr>
            </w:pPr>
            <w:r w:rsidRPr="584FC3A7">
              <w:rPr>
                <w:sz w:val="18"/>
                <w:szCs w:val="18"/>
              </w:rPr>
              <w:t>100.00</w:t>
            </w:r>
          </w:p>
        </w:tc>
        <w:tc>
          <w:tcPr>
            <w:tcW w:w="1260" w:type="dxa"/>
          </w:tcPr>
          <w:p w:rsidRPr="00DA2C6C" w:rsidR="00FF758C" w:rsidP="001174AD" w:rsidRDefault="00FF758C" w14:paraId="05AB25DB" w14:textId="77777777">
            <w:pPr>
              <w:tabs>
                <w:tab w:val="left" w:pos="360"/>
              </w:tabs>
              <w:ind w:left="-108" w:firstLine="108"/>
              <w:jc w:val="right"/>
              <w:rPr>
                <w:rFonts w:eastAsia="Calibri"/>
                <w:color w:val="000000"/>
                <w:sz w:val="18"/>
                <w:szCs w:val="18"/>
              </w:rPr>
            </w:pPr>
          </w:p>
          <w:p w:rsidRPr="00DA2C6C" w:rsidR="00FF758C" w:rsidP="001174AD" w:rsidRDefault="00BA17E7" w14:paraId="11D7FC55" w14:textId="37CFFDFC">
            <w:pPr>
              <w:tabs>
                <w:tab w:val="left" w:pos="360"/>
              </w:tabs>
              <w:ind w:left="-108" w:firstLine="108"/>
              <w:jc w:val="right"/>
              <w:rPr>
                <w:rFonts w:eastAsia="Calibri"/>
                <w:color w:val="000000"/>
                <w:sz w:val="18"/>
                <w:szCs w:val="18"/>
              </w:rPr>
            </w:pPr>
            <w:r>
              <w:rPr>
                <w:rFonts w:eastAsia="Calibri"/>
                <w:color w:val="000000" w:themeColor="text1"/>
                <w:sz w:val="18"/>
                <w:szCs w:val="18"/>
              </w:rPr>
              <w:t>2,000</w:t>
            </w:r>
          </w:p>
        </w:tc>
        <w:tc>
          <w:tcPr>
            <w:tcW w:w="1170" w:type="dxa"/>
          </w:tcPr>
          <w:p w:rsidRPr="00DA2C6C" w:rsidR="00FF758C" w:rsidP="001174AD" w:rsidRDefault="00FF758C" w14:paraId="25F7FE14" w14:textId="77777777">
            <w:pPr>
              <w:tabs>
                <w:tab w:val="left" w:pos="360"/>
              </w:tabs>
              <w:ind w:left="-108" w:firstLine="108"/>
              <w:jc w:val="right"/>
              <w:rPr>
                <w:rFonts w:eastAsia="Calibri"/>
                <w:color w:val="000000"/>
                <w:sz w:val="18"/>
                <w:szCs w:val="18"/>
              </w:rPr>
            </w:pPr>
          </w:p>
          <w:p w:rsidRPr="00DA2C6C" w:rsidR="00FF758C" w:rsidP="001174AD" w:rsidRDefault="00FF758C" w14:paraId="35DB1DC2" w14:textId="77777777">
            <w:pPr>
              <w:tabs>
                <w:tab w:val="left" w:pos="360"/>
              </w:tabs>
              <w:ind w:left="-108" w:firstLine="108"/>
              <w:jc w:val="right"/>
              <w:rPr>
                <w:rFonts w:eastAsia="Calibri"/>
                <w:color w:val="000000"/>
                <w:sz w:val="18"/>
                <w:szCs w:val="18"/>
              </w:rPr>
            </w:pPr>
            <w:r w:rsidRPr="00DA2C6C">
              <w:rPr>
                <w:rFonts w:eastAsia="Calibri"/>
                <w:color w:val="000000"/>
                <w:sz w:val="18"/>
                <w:szCs w:val="18"/>
              </w:rPr>
              <w:t>$60.00</w:t>
            </w:r>
          </w:p>
        </w:tc>
        <w:tc>
          <w:tcPr>
            <w:tcW w:w="1260" w:type="dxa"/>
          </w:tcPr>
          <w:p w:rsidR="00BA17E7" w:rsidP="00BA17E7" w:rsidRDefault="00BA17E7" w14:paraId="03BD85D2" w14:textId="77777777">
            <w:pPr>
              <w:tabs>
                <w:tab w:val="left" w:pos="360"/>
              </w:tabs>
              <w:ind w:left="-108" w:firstLine="108"/>
              <w:jc w:val="center"/>
              <w:rPr>
                <w:rFonts w:eastAsia="Calibri"/>
                <w:color w:val="000000"/>
                <w:sz w:val="18"/>
                <w:szCs w:val="18"/>
              </w:rPr>
            </w:pPr>
          </w:p>
          <w:p w:rsidRPr="00DA2C6C" w:rsidR="00FF758C" w:rsidP="003B16AD" w:rsidRDefault="00BA17E7" w14:paraId="321162CF" w14:textId="22391A95">
            <w:pPr>
              <w:tabs>
                <w:tab w:val="left" w:pos="360"/>
              </w:tabs>
              <w:ind w:left="-108" w:firstLine="108"/>
              <w:jc w:val="center"/>
              <w:rPr>
                <w:rFonts w:eastAsia="Calibri"/>
                <w:color w:val="000000"/>
                <w:sz w:val="18"/>
                <w:szCs w:val="18"/>
              </w:rPr>
            </w:pPr>
            <w:r>
              <w:rPr>
                <w:rFonts w:eastAsia="Calibri"/>
                <w:color w:val="000000"/>
                <w:sz w:val="18"/>
                <w:szCs w:val="18"/>
              </w:rPr>
              <w:t>$120,000.00</w:t>
            </w:r>
          </w:p>
        </w:tc>
      </w:tr>
      <w:tr w:rsidRPr="00DA2C6C" w:rsidR="00FF758C" w:rsidTr="584FC3A7" w14:paraId="23831D09" w14:textId="77777777">
        <w:tc>
          <w:tcPr>
            <w:tcW w:w="1710" w:type="dxa"/>
          </w:tcPr>
          <w:p w:rsidR="003B16AD" w:rsidP="001174AD" w:rsidRDefault="003B16AD" w14:paraId="4F648FCA" w14:textId="77777777">
            <w:pPr>
              <w:keepNext/>
              <w:keepLines/>
              <w:jc w:val="both"/>
              <w:rPr>
                <w:rFonts w:eastAsia="Calibri"/>
                <w:color w:val="000000"/>
                <w:sz w:val="18"/>
                <w:szCs w:val="18"/>
              </w:rPr>
            </w:pPr>
          </w:p>
          <w:p w:rsidRPr="00DA2C6C" w:rsidR="00FF758C" w:rsidP="001174AD" w:rsidRDefault="00FF758C" w14:paraId="71F3F4CA" w14:textId="12C5F56A">
            <w:pPr>
              <w:keepNext/>
              <w:keepLines/>
              <w:jc w:val="both"/>
              <w:rPr>
                <w:rFonts w:eastAsia="Calibri"/>
                <w:color w:val="000000"/>
                <w:sz w:val="18"/>
                <w:szCs w:val="18"/>
              </w:rPr>
            </w:pPr>
            <w:r w:rsidRPr="00DA2C6C">
              <w:rPr>
                <w:rFonts w:eastAsia="Calibri"/>
                <w:color w:val="000000"/>
                <w:sz w:val="18"/>
                <w:szCs w:val="18"/>
              </w:rPr>
              <w:t>Grantee Selection</w:t>
            </w:r>
          </w:p>
        </w:tc>
        <w:tc>
          <w:tcPr>
            <w:tcW w:w="1147" w:type="dxa"/>
          </w:tcPr>
          <w:p w:rsidRPr="00DA2C6C" w:rsidR="00FF758C" w:rsidP="001174AD" w:rsidRDefault="00FF758C" w14:paraId="3702CBEA" w14:textId="77777777">
            <w:pPr>
              <w:keepNext/>
              <w:keepLines/>
              <w:tabs>
                <w:tab w:val="left" w:pos="360"/>
              </w:tabs>
              <w:ind w:left="-108" w:firstLine="108"/>
              <w:jc w:val="right"/>
              <w:rPr>
                <w:rFonts w:eastAsia="Calibri"/>
                <w:color w:val="000000"/>
                <w:sz w:val="18"/>
                <w:szCs w:val="18"/>
              </w:rPr>
            </w:pPr>
          </w:p>
          <w:p w:rsidRPr="00DA2C6C" w:rsidR="00FF758C" w:rsidP="001174AD" w:rsidRDefault="00FF758C" w14:paraId="0155A475" w14:textId="77777777">
            <w:pPr>
              <w:keepNext/>
              <w:keepLines/>
              <w:tabs>
                <w:tab w:val="left" w:pos="360"/>
              </w:tabs>
              <w:ind w:left="-108" w:firstLine="108"/>
              <w:jc w:val="right"/>
              <w:rPr>
                <w:rFonts w:eastAsia="Calibri"/>
                <w:color w:val="000000"/>
                <w:sz w:val="18"/>
                <w:szCs w:val="18"/>
              </w:rPr>
            </w:pPr>
            <w:r w:rsidRPr="00DA2C6C">
              <w:rPr>
                <w:rFonts w:eastAsia="Calibri"/>
                <w:color w:val="000000"/>
                <w:sz w:val="18"/>
                <w:szCs w:val="18"/>
              </w:rPr>
              <w:t>1</w:t>
            </w:r>
            <w:r w:rsidRPr="00DA2C6C">
              <w:rPr>
                <w:sz w:val="18"/>
                <w:szCs w:val="18"/>
              </w:rPr>
              <w:t>.00</w:t>
            </w:r>
          </w:p>
        </w:tc>
        <w:tc>
          <w:tcPr>
            <w:tcW w:w="1170" w:type="dxa"/>
          </w:tcPr>
          <w:p w:rsidRPr="00DA2C6C" w:rsidR="00FF758C" w:rsidP="001174AD" w:rsidRDefault="00FF758C" w14:paraId="4D92C4D1" w14:textId="77777777">
            <w:pPr>
              <w:keepNext/>
              <w:keepLines/>
              <w:tabs>
                <w:tab w:val="left" w:pos="360"/>
              </w:tabs>
              <w:ind w:left="-108" w:firstLine="108"/>
              <w:jc w:val="right"/>
              <w:rPr>
                <w:rFonts w:eastAsia="Calibri"/>
                <w:color w:val="000000"/>
                <w:sz w:val="18"/>
                <w:szCs w:val="18"/>
              </w:rPr>
            </w:pPr>
          </w:p>
          <w:p w:rsidRPr="00DA2C6C" w:rsidR="00FF758C" w:rsidP="001174AD" w:rsidRDefault="65035522" w14:paraId="12955521" w14:textId="6F254009">
            <w:pPr>
              <w:keepNext/>
              <w:keepLines/>
              <w:tabs>
                <w:tab w:val="left" w:pos="360"/>
              </w:tabs>
              <w:ind w:left="-108" w:firstLine="108"/>
              <w:jc w:val="right"/>
              <w:rPr>
                <w:rFonts w:eastAsia="Calibri"/>
                <w:color w:val="000000"/>
                <w:sz w:val="18"/>
                <w:szCs w:val="18"/>
              </w:rPr>
            </w:pPr>
            <w:r w:rsidRPr="584FC3A7">
              <w:rPr>
                <w:sz w:val="18"/>
                <w:szCs w:val="18"/>
              </w:rPr>
              <w:t>8.00</w:t>
            </w:r>
          </w:p>
        </w:tc>
        <w:tc>
          <w:tcPr>
            <w:tcW w:w="1440" w:type="dxa"/>
          </w:tcPr>
          <w:p w:rsidRPr="00DA2C6C" w:rsidR="00FF758C" w:rsidP="001174AD" w:rsidRDefault="00FF758C" w14:paraId="05EF91B5" w14:textId="77777777">
            <w:pPr>
              <w:tabs>
                <w:tab w:val="left" w:pos="360"/>
              </w:tabs>
              <w:ind w:left="-108" w:firstLine="108"/>
              <w:jc w:val="right"/>
              <w:rPr>
                <w:rFonts w:eastAsia="Calibri"/>
                <w:color w:val="000000"/>
                <w:sz w:val="18"/>
                <w:szCs w:val="18"/>
              </w:rPr>
            </w:pPr>
          </w:p>
          <w:p w:rsidRPr="00DA2C6C" w:rsidR="00FF758C" w:rsidP="001174AD" w:rsidRDefault="65035522" w14:paraId="52B58181" w14:textId="4D18E529">
            <w:pPr>
              <w:tabs>
                <w:tab w:val="left" w:pos="360"/>
              </w:tabs>
              <w:ind w:left="-108" w:firstLine="108"/>
              <w:jc w:val="right"/>
              <w:rPr>
                <w:rFonts w:eastAsia="Calibri"/>
                <w:color w:val="000000"/>
                <w:sz w:val="18"/>
                <w:szCs w:val="18"/>
              </w:rPr>
            </w:pPr>
            <w:r w:rsidRPr="584FC3A7">
              <w:rPr>
                <w:sz w:val="18"/>
                <w:szCs w:val="18"/>
              </w:rPr>
              <w:t>100.00</w:t>
            </w:r>
          </w:p>
        </w:tc>
        <w:tc>
          <w:tcPr>
            <w:tcW w:w="1260" w:type="dxa"/>
          </w:tcPr>
          <w:p w:rsidRPr="00DA2C6C" w:rsidR="00FF758C" w:rsidP="001174AD" w:rsidRDefault="00FF758C" w14:paraId="183606E9" w14:textId="77777777">
            <w:pPr>
              <w:tabs>
                <w:tab w:val="left" w:pos="360"/>
              </w:tabs>
              <w:ind w:left="-108" w:firstLine="108"/>
              <w:jc w:val="right"/>
              <w:rPr>
                <w:rFonts w:eastAsia="Calibri"/>
                <w:color w:val="000000"/>
                <w:sz w:val="18"/>
                <w:szCs w:val="18"/>
              </w:rPr>
            </w:pPr>
          </w:p>
          <w:p w:rsidRPr="00DA2C6C" w:rsidR="00FF758C" w:rsidP="001174AD" w:rsidRDefault="65035522" w14:paraId="6BB3D256" w14:textId="270AF8EF">
            <w:pPr>
              <w:tabs>
                <w:tab w:val="left" w:pos="360"/>
              </w:tabs>
              <w:ind w:left="-108" w:firstLine="108"/>
              <w:jc w:val="right"/>
              <w:rPr>
                <w:rFonts w:eastAsia="Calibri"/>
                <w:color w:val="000000"/>
                <w:sz w:val="18"/>
                <w:szCs w:val="18"/>
              </w:rPr>
            </w:pPr>
            <w:r w:rsidRPr="584FC3A7">
              <w:rPr>
                <w:rFonts w:eastAsia="Calibri"/>
                <w:color w:val="000000" w:themeColor="text1"/>
                <w:sz w:val="18"/>
                <w:szCs w:val="18"/>
              </w:rPr>
              <w:t>800.00</w:t>
            </w:r>
          </w:p>
        </w:tc>
        <w:tc>
          <w:tcPr>
            <w:tcW w:w="1170" w:type="dxa"/>
          </w:tcPr>
          <w:p w:rsidRPr="00DA2C6C" w:rsidR="00FF758C" w:rsidP="001174AD" w:rsidRDefault="00FF758C" w14:paraId="6C992832" w14:textId="77777777">
            <w:pPr>
              <w:tabs>
                <w:tab w:val="left" w:pos="360"/>
              </w:tabs>
              <w:ind w:left="-108" w:firstLine="108"/>
              <w:jc w:val="right"/>
              <w:rPr>
                <w:rFonts w:eastAsia="Calibri"/>
                <w:color w:val="000000"/>
                <w:sz w:val="18"/>
                <w:szCs w:val="18"/>
              </w:rPr>
            </w:pPr>
          </w:p>
          <w:p w:rsidRPr="00DA2C6C" w:rsidR="00FF758C" w:rsidP="001174AD" w:rsidRDefault="00FF758C" w14:paraId="4AA80937" w14:textId="77777777">
            <w:pPr>
              <w:tabs>
                <w:tab w:val="left" w:pos="360"/>
              </w:tabs>
              <w:ind w:left="-108" w:firstLine="108"/>
              <w:jc w:val="right"/>
              <w:rPr>
                <w:rFonts w:eastAsia="Calibri"/>
                <w:color w:val="000000"/>
                <w:sz w:val="18"/>
                <w:szCs w:val="18"/>
              </w:rPr>
            </w:pPr>
            <w:r w:rsidRPr="00DA2C6C">
              <w:rPr>
                <w:rFonts w:eastAsia="Calibri"/>
                <w:color w:val="000000"/>
                <w:sz w:val="18"/>
                <w:szCs w:val="18"/>
              </w:rPr>
              <w:t>$60.00</w:t>
            </w:r>
          </w:p>
        </w:tc>
        <w:tc>
          <w:tcPr>
            <w:tcW w:w="1260" w:type="dxa"/>
          </w:tcPr>
          <w:p w:rsidRPr="00DA2C6C" w:rsidR="00FF758C" w:rsidP="003B16AD" w:rsidRDefault="00FF758C" w14:paraId="2B7650FB" w14:textId="77777777">
            <w:pPr>
              <w:tabs>
                <w:tab w:val="left" w:pos="360"/>
              </w:tabs>
              <w:ind w:left="-108" w:firstLine="108"/>
              <w:jc w:val="center"/>
              <w:rPr>
                <w:rFonts w:eastAsia="Calibri"/>
                <w:color w:val="000000"/>
                <w:sz w:val="18"/>
                <w:szCs w:val="18"/>
              </w:rPr>
            </w:pPr>
          </w:p>
          <w:p w:rsidRPr="00DA2C6C" w:rsidR="00FF758C" w:rsidP="003B16AD" w:rsidRDefault="00BA17E7" w14:paraId="750D8A64" w14:textId="731FF057">
            <w:pPr>
              <w:tabs>
                <w:tab w:val="left" w:pos="360"/>
              </w:tabs>
              <w:ind w:left="-108" w:firstLine="108"/>
              <w:jc w:val="center"/>
              <w:rPr>
                <w:rFonts w:eastAsia="Calibri"/>
                <w:color w:val="000000"/>
                <w:sz w:val="18"/>
                <w:szCs w:val="18"/>
              </w:rPr>
            </w:pPr>
            <w:r>
              <w:rPr>
                <w:rFonts w:eastAsia="Calibri"/>
                <w:color w:val="000000"/>
                <w:sz w:val="18"/>
                <w:szCs w:val="18"/>
              </w:rPr>
              <w:t>$48,000.00</w:t>
            </w:r>
          </w:p>
        </w:tc>
      </w:tr>
      <w:tr w:rsidRPr="00DA2C6C" w:rsidR="00FF758C" w:rsidTr="003B16AD" w14:paraId="6F25F6BB" w14:textId="77777777">
        <w:trPr>
          <w:trHeight w:val="683"/>
        </w:trPr>
        <w:tc>
          <w:tcPr>
            <w:tcW w:w="1710" w:type="dxa"/>
          </w:tcPr>
          <w:p w:rsidR="003B16AD" w:rsidP="001174AD" w:rsidRDefault="003B16AD" w14:paraId="3B67A8DD" w14:textId="77777777">
            <w:pPr>
              <w:keepNext/>
              <w:keepLines/>
              <w:jc w:val="both"/>
              <w:rPr>
                <w:rFonts w:eastAsia="Calibri"/>
                <w:b/>
                <w:color w:val="000000"/>
                <w:sz w:val="18"/>
                <w:szCs w:val="18"/>
              </w:rPr>
            </w:pPr>
          </w:p>
          <w:p w:rsidRPr="00DA2C6C" w:rsidR="00FF758C" w:rsidP="001174AD" w:rsidRDefault="00FF758C" w14:paraId="77FD9BBD" w14:textId="16544F01">
            <w:pPr>
              <w:keepNext/>
              <w:keepLines/>
              <w:jc w:val="both"/>
              <w:rPr>
                <w:rFonts w:eastAsia="Calibri"/>
                <w:b/>
                <w:color w:val="000000"/>
                <w:sz w:val="18"/>
                <w:szCs w:val="18"/>
              </w:rPr>
            </w:pPr>
            <w:r w:rsidRPr="00DA2C6C">
              <w:rPr>
                <w:rFonts w:eastAsia="Calibri"/>
                <w:b/>
                <w:color w:val="000000"/>
                <w:sz w:val="18"/>
                <w:szCs w:val="18"/>
              </w:rPr>
              <w:t>Total</w:t>
            </w:r>
          </w:p>
        </w:tc>
        <w:tc>
          <w:tcPr>
            <w:tcW w:w="1147" w:type="dxa"/>
          </w:tcPr>
          <w:p w:rsidRPr="00DA2C6C" w:rsidR="00FF758C" w:rsidP="001174AD" w:rsidRDefault="00FF758C" w14:paraId="574C87B6" w14:textId="77777777">
            <w:pPr>
              <w:keepNext/>
              <w:keepLines/>
              <w:tabs>
                <w:tab w:val="left" w:pos="360"/>
              </w:tabs>
              <w:ind w:left="-108" w:firstLine="108"/>
              <w:jc w:val="right"/>
              <w:rPr>
                <w:rFonts w:eastAsia="Calibri"/>
                <w:color w:val="000000"/>
                <w:sz w:val="18"/>
                <w:szCs w:val="18"/>
              </w:rPr>
            </w:pPr>
          </w:p>
        </w:tc>
        <w:tc>
          <w:tcPr>
            <w:tcW w:w="1170" w:type="dxa"/>
          </w:tcPr>
          <w:p w:rsidRPr="00DA2C6C" w:rsidR="00FF758C" w:rsidP="001174AD" w:rsidRDefault="00FF758C" w14:paraId="2DFF3A3E" w14:textId="77777777">
            <w:pPr>
              <w:keepNext/>
              <w:keepLines/>
              <w:tabs>
                <w:tab w:val="left" w:pos="360"/>
              </w:tabs>
              <w:ind w:left="-108" w:firstLine="108"/>
              <w:jc w:val="right"/>
              <w:rPr>
                <w:rFonts w:eastAsia="Calibri"/>
                <w:color w:val="000000"/>
                <w:sz w:val="18"/>
                <w:szCs w:val="18"/>
              </w:rPr>
            </w:pPr>
          </w:p>
        </w:tc>
        <w:tc>
          <w:tcPr>
            <w:tcW w:w="1440" w:type="dxa"/>
          </w:tcPr>
          <w:p w:rsidRPr="00DA2C6C" w:rsidR="00FF758C" w:rsidP="001174AD" w:rsidRDefault="00FF758C" w14:paraId="336A304B" w14:textId="77777777">
            <w:pPr>
              <w:tabs>
                <w:tab w:val="left" w:pos="360"/>
              </w:tabs>
              <w:ind w:left="-108" w:firstLine="108"/>
              <w:jc w:val="right"/>
              <w:rPr>
                <w:rFonts w:eastAsia="Calibri"/>
                <w:color w:val="000000"/>
                <w:sz w:val="18"/>
                <w:szCs w:val="18"/>
              </w:rPr>
            </w:pPr>
          </w:p>
        </w:tc>
        <w:tc>
          <w:tcPr>
            <w:tcW w:w="1260" w:type="dxa"/>
          </w:tcPr>
          <w:p w:rsidRPr="00DA2C6C" w:rsidR="00FF758C" w:rsidP="001174AD" w:rsidRDefault="00FF758C" w14:paraId="0BCB89F0" w14:textId="77777777">
            <w:pPr>
              <w:tabs>
                <w:tab w:val="left" w:pos="360"/>
              </w:tabs>
              <w:ind w:left="-108" w:firstLine="108"/>
              <w:jc w:val="right"/>
              <w:rPr>
                <w:rFonts w:eastAsia="Calibri"/>
                <w:color w:val="000000"/>
                <w:sz w:val="18"/>
                <w:szCs w:val="18"/>
              </w:rPr>
            </w:pPr>
          </w:p>
        </w:tc>
        <w:tc>
          <w:tcPr>
            <w:tcW w:w="1170" w:type="dxa"/>
          </w:tcPr>
          <w:p w:rsidRPr="00DA2C6C" w:rsidR="00FF758C" w:rsidP="001174AD" w:rsidRDefault="00FF758C" w14:paraId="1A7763C1" w14:textId="77777777">
            <w:pPr>
              <w:tabs>
                <w:tab w:val="left" w:pos="360"/>
              </w:tabs>
              <w:ind w:left="-108" w:firstLine="108"/>
              <w:jc w:val="right"/>
              <w:rPr>
                <w:rFonts w:eastAsia="Calibri"/>
                <w:color w:val="000000"/>
                <w:sz w:val="18"/>
                <w:szCs w:val="18"/>
              </w:rPr>
            </w:pPr>
          </w:p>
        </w:tc>
        <w:tc>
          <w:tcPr>
            <w:tcW w:w="1260" w:type="dxa"/>
          </w:tcPr>
          <w:p w:rsidR="00BA17E7" w:rsidP="00BA17E7" w:rsidRDefault="00BA17E7" w14:paraId="1B320C9D" w14:textId="77777777">
            <w:pPr>
              <w:tabs>
                <w:tab w:val="left" w:pos="360"/>
              </w:tabs>
              <w:ind w:left="-108" w:firstLine="108"/>
              <w:jc w:val="center"/>
              <w:rPr>
                <w:rFonts w:eastAsia="Calibri"/>
                <w:b/>
                <w:bCs/>
                <w:color w:val="000000"/>
                <w:sz w:val="18"/>
                <w:szCs w:val="18"/>
              </w:rPr>
            </w:pPr>
          </w:p>
          <w:p w:rsidR="00BA17E7" w:rsidP="00BA17E7" w:rsidRDefault="00BA17E7" w14:paraId="1AEA1BCC" w14:textId="77777777">
            <w:pPr>
              <w:tabs>
                <w:tab w:val="left" w:pos="360"/>
              </w:tabs>
              <w:ind w:left="-108" w:firstLine="108"/>
              <w:jc w:val="center"/>
              <w:rPr>
                <w:rFonts w:eastAsia="Calibri"/>
                <w:b/>
                <w:bCs/>
                <w:color w:val="000000"/>
                <w:sz w:val="18"/>
                <w:szCs w:val="18"/>
              </w:rPr>
            </w:pPr>
          </w:p>
          <w:p w:rsidRPr="00DA2C6C" w:rsidR="00FF758C" w:rsidP="003B16AD" w:rsidRDefault="00BA17E7" w14:paraId="713A92FD" w14:textId="6A1AA2F2">
            <w:pPr>
              <w:tabs>
                <w:tab w:val="left" w:pos="360"/>
              </w:tabs>
              <w:ind w:left="-108" w:firstLine="108"/>
              <w:jc w:val="center"/>
              <w:rPr>
                <w:rFonts w:eastAsia="Calibri"/>
                <w:b/>
                <w:bCs/>
                <w:color w:val="000000"/>
                <w:sz w:val="18"/>
                <w:szCs w:val="18"/>
              </w:rPr>
            </w:pPr>
            <w:r>
              <w:rPr>
                <w:rFonts w:eastAsia="Calibri"/>
                <w:b/>
                <w:bCs/>
                <w:color w:val="000000"/>
                <w:sz w:val="18"/>
                <w:szCs w:val="18"/>
              </w:rPr>
              <w:t>$198,000.00</w:t>
            </w:r>
          </w:p>
        </w:tc>
      </w:tr>
    </w:tbl>
    <w:p w:rsidRPr="002A4BE3" w:rsidR="00FF758C" w:rsidP="00FF758C" w:rsidRDefault="00FF758C" w14:paraId="1E7769D5" w14:textId="77777777">
      <w:pPr>
        <w:rPr>
          <w:szCs w:val="24"/>
        </w:rPr>
      </w:pPr>
    </w:p>
    <w:p w:rsidRPr="00FF758C" w:rsidR="00FF758C" w:rsidP="000A6210" w:rsidRDefault="00FF758C" w14:paraId="088752EB" w14:textId="77777777">
      <w:pPr>
        <w:widowControl w:val="0"/>
        <w:tabs>
          <w:tab w:val="left" w:pos="540"/>
        </w:tabs>
        <w:rPr>
          <w:szCs w:val="24"/>
        </w:rPr>
      </w:pPr>
    </w:p>
    <w:p w:rsidRPr="00981917" w:rsidR="00F67FCC" w:rsidP="6C720080" w:rsidRDefault="40688B15" w14:paraId="62036484" w14:textId="129581A5">
      <w:pPr>
        <w:widowControl w:val="0"/>
        <w:numPr>
          <w:ilvl w:val="0"/>
          <w:numId w:val="11"/>
        </w:numPr>
        <w:tabs>
          <w:tab w:val="clear" w:pos="720"/>
          <w:tab w:val="left" w:pos="540"/>
        </w:tabs>
        <w:ind w:left="0" w:firstLine="0"/>
        <w:rPr>
          <w:b/>
          <w:bCs/>
        </w:rPr>
      </w:pPr>
      <w:r w:rsidRPr="6C720080">
        <w:rPr>
          <w:b/>
          <w:bCs/>
          <w:u w:val="single"/>
        </w:rPr>
        <w:t>Explanation of the program change or adjustments</w:t>
      </w:r>
      <w:r w:rsidRPr="6C720080">
        <w:rPr>
          <w:b/>
          <w:bCs/>
        </w:rPr>
        <w:t xml:space="preserve">.  </w:t>
      </w:r>
    </w:p>
    <w:p w:rsidRPr="00981917" w:rsidR="00FF758C" w:rsidP="6C720080" w:rsidRDefault="00FF758C" w14:paraId="341C04B0" w14:textId="130F75A5">
      <w:pPr>
        <w:widowControl w:val="0"/>
        <w:tabs>
          <w:tab w:val="left" w:pos="540"/>
        </w:tabs>
        <w:rPr>
          <w:b/>
          <w:bCs/>
          <w:szCs w:val="24"/>
        </w:rPr>
      </w:pPr>
    </w:p>
    <w:p w:rsidR="00FF758C" w:rsidP="6C720080" w:rsidRDefault="1B90D2AC" w14:paraId="676D2BFE" w14:textId="3F83855D">
      <w:pPr>
        <w:widowControl w:val="0"/>
        <w:rPr>
          <w:color w:val="000000" w:themeColor="text1"/>
          <w:szCs w:val="24"/>
        </w:rPr>
      </w:pPr>
      <w:r w:rsidRPr="6C720080">
        <w:t xml:space="preserve">The Infrastructure Investment and Jobs Act </w:t>
      </w:r>
      <w:r w:rsidRPr="6C720080" w:rsidR="143DBBD5">
        <w:t xml:space="preserve">(H.R. 3684, </w:t>
      </w:r>
      <w:r w:rsidRPr="6C720080" w:rsidR="10973F2A">
        <w:t xml:space="preserve">Public Law 117 - 58) required PHMSA to create </w:t>
      </w:r>
      <w:r w:rsidRPr="6C720080" w:rsidR="6C720080">
        <w:rPr>
          <w:szCs w:val="24"/>
        </w:rPr>
        <w:t>the “</w:t>
      </w:r>
      <w:r w:rsidRPr="6C720080" w:rsidR="6C720080">
        <w:rPr>
          <w:color w:val="000000" w:themeColor="text1"/>
          <w:szCs w:val="24"/>
        </w:rPr>
        <w:t xml:space="preserve">Natural Gas Distribution Infrastructure Safety and Modernization Grant Program.” The statutory requirements of the Natural Gas Distribution Infrastructure  Safety and Modernization Grant are found under the heading “Department of Transportation -- Pipeline and Hazardous Materials Safety Administration -- Natural Gas Distribution Infrastructure Safety and Modernization Grant Program” in title VIII of division J of Public Law 117-58   Those statutory requirements </w:t>
      </w:r>
      <w:r w:rsidRPr="004512F6" w:rsidR="6C720080">
        <w:rPr>
          <w:szCs w:val="24"/>
        </w:rPr>
        <w:t>necessitate</w:t>
      </w:r>
      <w:r w:rsidRPr="6C720080" w:rsidR="6C720080">
        <w:rPr>
          <w:color w:val="000000" w:themeColor="text1"/>
          <w:szCs w:val="24"/>
        </w:rPr>
        <w:t xml:space="preserve"> swift issuance of a notification of funding opportunity (NOFO) and a tight deadline to issue the awards.  Specifically, PHMSA is statutorily required to issue a NOFO no later than 180 days from the date the funds were made available and to make awards to eligible municipality and community owned utilities no later than 270 days after publication of the NOFO.</w:t>
      </w:r>
    </w:p>
    <w:p w:rsidRPr="00981917" w:rsidR="00651025" w:rsidP="6C720080" w:rsidRDefault="00651025" w14:paraId="33A01215" w14:textId="77777777">
      <w:pPr>
        <w:widowControl w:val="0"/>
        <w:rPr>
          <w:color w:val="000000" w:themeColor="text1"/>
          <w:szCs w:val="24"/>
        </w:rPr>
      </w:pPr>
    </w:p>
    <w:p w:rsidR="007B68C6" w:rsidP="6C720080" w:rsidRDefault="572BD6E3" w14:paraId="65544387" w14:textId="212438DA">
      <w:pPr>
        <w:widowControl w:val="0"/>
        <w:tabs>
          <w:tab w:val="left" w:pos="540"/>
        </w:tabs>
        <w:rPr>
          <w:b/>
          <w:bCs/>
        </w:rPr>
      </w:pPr>
      <w:r w:rsidRPr="6C720080">
        <w:rPr>
          <w:b/>
          <w:bCs/>
        </w:rPr>
        <w:lastRenderedPageBreak/>
        <w:t>16.</w:t>
      </w:r>
      <w:r w:rsidR="007B68C6">
        <w:tab/>
      </w:r>
      <w:r w:rsidR="007B68C6">
        <w:tab/>
      </w:r>
      <w:r w:rsidRPr="6C720080" w:rsidR="30A80824">
        <w:rPr>
          <w:b/>
          <w:bCs/>
          <w:u w:val="single"/>
        </w:rPr>
        <w:t>Publication of results of data collection</w:t>
      </w:r>
      <w:r w:rsidRPr="6C720080" w:rsidR="30A80824">
        <w:rPr>
          <w:b/>
          <w:bCs/>
        </w:rPr>
        <w:t xml:space="preserve">.  </w:t>
      </w:r>
    </w:p>
    <w:p w:rsidR="6C720080" w:rsidP="6C720080" w:rsidRDefault="6C720080" w14:paraId="63AEE9AD" w14:textId="77D7ED22">
      <w:pPr>
        <w:widowControl w:val="0"/>
        <w:tabs>
          <w:tab w:val="left" w:pos="540"/>
        </w:tabs>
      </w:pPr>
    </w:p>
    <w:p w:rsidRPr="00981917" w:rsidR="00495B41" w:rsidP="000A6210" w:rsidRDefault="00187BC3" w14:paraId="21126B8B" w14:textId="3AA01586">
      <w:pPr>
        <w:widowControl w:val="0"/>
        <w:tabs>
          <w:tab w:val="left" w:pos="540"/>
        </w:tabs>
      </w:pPr>
      <w:r>
        <w:t xml:space="preserve">Annual grant awards will be publicly announced. Grant annual progress report will be made available on PHMSA’s website 90-days after the grant period. </w:t>
      </w:r>
    </w:p>
    <w:p w:rsidR="584FC3A7" w:rsidP="584FC3A7" w:rsidRDefault="584FC3A7" w14:paraId="5BAA5758" w14:textId="1D536A75">
      <w:pPr>
        <w:widowControl w:val="0"/>
        <w:tabs>
          <w:tab w:val="left" w:pos="540"/>
        </w:tabs>
        <w:rPr>
          <w:szCs w:val="24"/>
        </w:rPr>
      </w:pPr>
    </w:p>
    <w:p w:rsidR="007B68C6" w:rsidP="6C720080" w:rsidRDefault="572BD6E3" w14:paraId="19E1A619" w14:textId="5F98928D">
      <w:pPr>
        <w:widowControl w:val="0"/>
        <w:tabs>
          <w:tab w:val="left" w:pos="540"/>
        </w:tabs>
        <w:rPr>
          <w:b/>
          <w:bCs/>
        </w:rPr>
      </w:pPr>
      <w:r w:rsidRPr="6C720080">
        <w:rPr>
          <w:b/>
          <w:bCs/>
        </w:rPr>
        <w:t>17.</w:t>
      </w:r>
      <w:r w:rsidR="007B68C6">
        <w:tab/>
      </w:r>
      <w:r w:rsidR="007B68C6">
        <w:tab/>
      </w:r>
      <w:r w:rsidRPr="6C720080" w:rsidR="30A80824">
        <w:rPr>
          <w:b/>
          <w:bCs/>
          <w:u w:val="single"/>
        </w:rPr>
        <w:t>Approval for not displaying the expiration date of OMB approval</w:t>
      </w:r>
      <w:r w:rsidRPr="6C720080" w:rsidR="30A80824">
        <w:rPr>
          <w:b/>
          <w:bCs/>
        </w:rPr>
        <w:t xml:space="preserve">.  </w:t>
      </w:r>
    </w:p>
    <w:p w:rsidR="6C720080" w:rsidP="6C720080" w:rsidRDefault="6C720080" w14:paraId="3BCF37D7" w14:textId="7FBCF839">
      <w:pPr>
        <w:keepNext/>
        <w:tabs>
          <w:tab w:val="left" w:pos="360"/>
        </w:tabs>
        <w:rPr>
          <w:color w:val="000000" w:themeColor="text1"/>
        </w:rPr>
      </w:pPr>
    </w:p>
    <w:p w:rsidRPr="00981917" w:rsidR="001D224D" w:rsidP="6C720080" w:rsidRDefault="6C720080" w14:paraId="618CE755" w14:textId="7E66CC8E">
      <w:pPr>
        <w:keepNext/>
        <w:widowControl w:val="0"/>
        <w:tabs>
          <w:tab w:val="left" w:pos="360"/>
        </w:tabs>
        <w:rPr>
          <w:szCs w:val="24"/>
        </w:rPr>
      </w:pPr>
      <w:r w:rsidRPr="6C720080">
        <w:rPr>
          <w:szCs w:val="24"/>
        </w:rPr>
        <w:t>PHMSA is not seeking approval to not display the expiration date.</w:t>
      </w:r>
    </w:p>
    <w:p w:rsidRPr="00981917" w:rsidR="001D224D" w:rsidP="6C720080" w:rsidRDefault="001D224D" w14:paraId="5869E05F" w14:textId="2CB4EB67">
      <w:pPr>
        <w:widowControl w:val="0"/>
        <w:rPr>
          <w:szCs w:val="24"/>
        </w:rPr>
      </w:pPr>
    </w:p>
    <w:p w:rsidRPr="00981917" w:rsidR="001D224D" w:rsidP="6C720080" w:rsidRDefault="30A80824" w14:paraId="26FCFA5D" w14:textId="0C673569">
      <w:pPr>
        <w:widowControl w:val="0"/>
        <w:tabs>
          <w:tab w:val="left" w:pos="540"/>
        </w:tabs>
        <w:rPr>
          <w:b/>
          <w:bCs/>
          <w:szCs w:val="24"/>
        </w:rPr>
      </w:pPr>
      <w:r w:rsidRPr="6C720080">
        <w:rPr>
          <w:b/>
          <w:bCs/>
          <w:u w:val="single"/>
        </w:rPr>
        <w:t>18. Exceptions to the certification statement</w:t>
      </w:r>
      <w:r w:rsidRPr="6C720080">
        <w:rPr>
          <w:b/>
          <w:bCs/>
        </w:rPr>
        <w:t xml:space="preserve">.  </w:t>
      </w:r>
    </w:p>
    <w:p w:rsidRPr="00981917" w:rsidR="001D224D" w:rsidP="6C720080" w:rsidRDefault="001D224D" w14:paraId="139E594A" w14:textId="7A7EAE9D">
      <w:pPr>
        <w:widowControl w:val="0"/>
        <w:tabs>
          <w:tab w:val="left" w:pos="540"/>
        </w:tabs>
        <w:rPr>
          <w:szCs w:val="24"/>
        </w:rPr>
      </w:pPr>
    </w:p>
    <w:p w:rsidRPr="00981917" w:rsidR="001D224D" w:rsidP="6C720080" w:rsidRDefault="6C720080" w14:paraId="1AE76FF2" w14:textId="1EB95239">
      <w:pPr>
        <w:widowControl w:val="0"/>
        <w:tabs>
          <w:tab w:val="left" w:pos="540"/>
        </w:tabs>
        <w:rPr>
          <w:b/>
          <w:bCs/>
          <w:szCs w:val="24"/>
        </w:rPr>
      </w:pPr>
      <w:r w:rsidRPr="6C720080">
        <w:rPr>
          <w:szCs w:val="24"/>
        </w:rPr>
        <w:t>There is no exception to PHMSA’s certification of this request for information collection approval.</w:t>
      </w:r>
    </w:p>
    <w:p w:rsidRPr="00981917" w:rsidR="001D224D" w:rsidP="6C720080" w:rsidRDefault="6C720080" w14:paraId="4BF5A122" w14:textId="72D63F2C">
      <w:pPr>
        <w:spacing w:line="259" w:lineRule="auto"/>
        <w:rPr>
          <w:b/>
          <w:bCs/>
        </w:rPr>
      </w:pPr>
      <w:r w:rsidRPr="6C720080">
        <w:rPr>
          <w:b/>
          <w:bCs/>
        </w:rPr>
        <w:t xml:space="preserve"> </w:t>
      </w:r>
    </w:p>
    <w:p w:rsidRPr="00981917" w:rsidR="001D224D" w:rsidP="6C720080" w:rsidRDefault="001D224D" w14:paraId="07A42B81" w14:textId="7D530EF3">
      <w:pPr>
        <w:widowControl w:val="0"/>
        <w:rPr>
          <w:szCs w:val="24"/>
        </w:rPr>
      </w:pPr>
    </w:p>
    <w:sectPr w:rsidRPr="00981917" w:rsidR="001D224D" w:rsidSect="000673B2">
      <w:headerReference w:type="even" r:id="rId9"/>
      <w:headerReference w:type="default" r:id="rId10"/>
      <w:footerReference w:type="even" r:id="rId11"/>
      <w:footerReference w:type="default" r:id="rId12"/>
      <w:footnotePr>
        <w:numFmt w:val="lowerLetter"/>
      </w:footnotePr>
      <w:endnotePr>
        <w:numFmt w:val="lowerLetter"/>
      </w:endnotePr>
      <w:pgSz w:w="12240" w:h="15840"/>
      <w:pgMar w:top="1008" w:right="1440" w:bottom="864"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FFB69" w14:textId="77777777" w:rsidR="00B453EC" w:rsidRDefault="00B453EC">
      <w:r>
        <w:separator/>
      </w:r>
    </w:p>
  </w:endnote>
  <w:endnote w:type="continuationSeparator" w:id="0">
    <w:p w14:paraId="524FCB4A" w14:textId="77777777" w:rsidR="00B453EC" w:rsidRDefault="00B453EC">
      <w:r>
        <w:continuationSeparator/>
      </w:r>
    </w:p>
  </w:endnote>
  <w:endnote w:type="continuationNotice" w:id="1">
    <w:p w14:paraId="7D50F146" w14:textId="77777777" w:rsidR="00B453EC" w:rsidRDefault="00B45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ACD33" w14:textId="77777777" w:rsidR="00B15EA9" w:rsidRDefault="00B15EA9">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DA3DC" w14:textId="77777777" w:rsidR="00B15EA9" w:rsidRDefault="00B15EA9">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4B51F" w14:textId="77777777" w:rsidR="00B453EC" w:rsidRDefault="00B453EC">
      <w:r>
        <w:separator/>
      </w:r>
    </w:p>
  </w:footnote>
  <w:footnote w:type="continuationSeparator" w:id="0">
    <w:p w14:paraId="0895AFAD" w14:textId="77777777" w:rsidR="00B453EC" w:rsidRDefault="00B453EC">
      <w:r>
        <w:continuationSeparator/>
      </w:r>
    </w:p>
  </w:footnote>
  <w:footnote w:type="continuationNotice" w:id="1">
    <w:p w14:paraId="05E559F5" w14:textId="77777777" w:rsidR="00B453EC" w:rsidRDefault="00B453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850B9" w14:textId="77777777" w:rsidR="00B15EA9" w:rsidRDefault="00B15EA9"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2B8C">
      <w:rPr>
        <w:rStyle w:val="PageNumber"/>
        <w:noProof/>
      </w:rPr>
      <w:t>2</w:t>
    </w:r>
    <w:r>
      <w:rPr>
        <w:rStyle w:val="PageNumber"/>
      </w:rPr>
      <w:fldChar w:fldCharType="end"/>
    </w:r>
  </w:p>
  <w:p w14:paraId="01ED835B" w14:textId="77777777" w:rsidR="00B15EA9" w:rsidRDefault="00B15EA9">
    <w:pPr>
      <w:widowControl w:val="0"/>
    </w:pPr>
  </w:p>
  <w:p w14:paraId="0FD4EBBD" w14:textId="77777777" w:rsidR="00B15EA9" w:rsidRDefault="00B15EA9">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E5C12" w14:textId="77777777" w:rsidR="00B15EA9" w:rsidRDefault="00B15EA9"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2B8C">
      <w:rPr>
        <w:rStyle w:val="PageNumber"/>
        <w:noProof/>
      </w:rPr>
      <w:t>3</w:t>
    </w:r>
    <w:r>
      <w:rPr>
        <w:rStyle w:val="PageNumber"/>
      </w:rPr>
      <w:fldChar w:fldCharType="end"/>
    </w:r>
  </w:p>
  <w:p w14:paraId="671EDAB4" w14:textId="77777777" w:rsidR="00B15EA9" w:rsidRDefault="00B15EA9">
    <w:pPr>
      <w:widowControl w:val="0"/>
    </w:pPr>
  </w:p>
  <w:p w14:paraId="25B92620" w14:textId="77777777" w:rsidR="00B15EA9" w:rsidRDefault="00B15EA9">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15:restartNumberingAfterBreak="0">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15:restartNumberingAfterBreak="0">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15:restartNumberingAfterBreak="0">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15:restartNumberingAfterBreak="0">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15:restartNumberingAfterBreak="0">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15:restartNumberingAfterBreak="0">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B541D3C"/>
    <w:multiLevelType w:val="hybridMultilevel"/>
    <w:tmpl w:val="FFFFFFFF"/>
    <w:lvl w:ilvl="0" w:tplc="99221258">
      <w:start w:val="7"/>
      <w:numFmt w:val="bullet"/>
      <w:lvlText w:val="-"/>
      <w:lvlJc w:val="left"/>
      <w:pPr>
        <w:ind w:left="720" w:hanging="360"/>
      </w:pPr>
      <w:rPr>
        <w:rFonts w:ascii="Times New Roman" w:hAnsi="Times New Roman" w:hint="default"/>
      </w:rPr>
    </w:lvl>
    <w:lvl w:ilvl="1" w:tplc="25A22644">
      <w:start w:val="1"/>
      <w:numFmt w:val="bullet"/>
      <w:lvlText w:val="o"/>
      <w:lvlJc w:val="left"/>
      <w:pPr>
        <w:ind w:left="1440" w:hanging="360"/>
      </w:pPr>
      <w:rPr>
        <w:rFonts w:ascii="Courier New" w:hAnsi="Courier New" w:hint="default"/>
      </w:rPr>
    </w:lvl>
    <w:lvl w:ilvl="2" w:tplc="4B9AB90C">
      <w:start w:val="1"/>
      <w:numFmt w:val="bullet"/>
      <w:lvlText w:val=""/>
      <w:lvlJc w:val="left"/>
      <w:pPr>
        <w:ind w:left="2160" w:hanging="360"/>
      </w:pPr>
      <w:rPr>
        <w:rFonts w:ascii="Wingdings" w:hAnsi="Wingdings" w:hint="default"/>
      </w:rPr>
    </w:lvl>
    <w:lvl w:ilvl="3" w:tplc="93CC90AC">
      <w:start w:val="1"/>
      <w:numFmt w:val="bullet"/>
      <w:lvlText w:val=""/>
      <w:lvlJc w:val="left"/>
      <w:pPr>
        <w:ind w:left="2880" w:hanging="360"/>
      </w:pPr>
      <w:rPr>
        <w:rFonts w:ascii="Symbol" w:hAnsi="Symbol" w:hint="default"/>
      </w:rPr>
    </w:lvl>
    <w:lvl w:ilvl="4" w:tplc="86A29F34">
      <w:start w:val="1"/>
      <w:numFmt w:val="bullet"/>
      <w:lvlText w:val="o"/>
      <w:lvlJc w:val="left"/>
      <w:pPr>
        <w:ind w:left="3600" w:hanging="360"/>
      </w:pPr>
      <w:rPr>
        <w:rFonts w:ascii="Courier New" w:hAnsi="Courier New" w:hint="default"/>
      </w:rPr>
    </w:lvl>
    <w:lvl w:ilvl="5" w:tplc="3556A744">
      <w:start w:val="1"/>
      <w:numFmt w:val="bullet"/>
      <w:lvlText w:val=""/>
      <w:lvlJc w:val="left"/>
      <w:pPr>
        <w:ind w:left="4320" w:hanging="360"/>
      </w:pPr>
      <w:rPr>
        <w:rFonts w:ascii="Wingdings" w:hAnsi="Wingdings" w:hint="default"/>
      </w:rPr>
    </w:lvl>
    <w:lvl w:ilvl="6" w:tplc="86341622">
      <w:start w:val="1"/>
      <w:numFmt w:val="bullet"/>
      <w:lvlText w:val=""/>
      <w:lvlJc w:val="left"/>
      <w:pPr>
        <w:ind w:left="5040" w:hanging="360"/>
      </w:pPr>
      <w:rPr>
        <w:rFonts w:ascii="Symbol" w:hAnsi="Symbol" w:hint="default"/>
      </w:rPr>
    </w:lvl>
    <w:lvl w:ilvl="7" w:tplc="8ADA45F6">
      <w:start w:val="1"/>
      <w:numFmt w:val="bullet"/>
      <w:lvlText w:val="o"/>
      <w:lvlJc w:val="left"/>
      <w:pPr>
        <w:ind w:left="5760" w:hanging="360"/>
      </w:pPr>
      <w:rPr>
        <w:rFonts w:ascii="Courier New" w:hAnsi="Courier New" w:hint="default"/>
      </w:rPr>
    </w:lvl>
    <w:lvl w:ilvl="8" w:tplc="4808D5A6">
      <w:start w:val="1"/>
      <w:numFmt w:val="bullet"/>
      <w:lvlText w:val=""/>
      <w:lvlJc w:val="left"/>
      <w:pPr>
        <w:ind w:left="6480" w:hanging="360"/>
      </w:pPr>
      <w:rPr>
        <w:rFonts w:ascii="Wingdings" w:hAnsi="Wingdings" w:hint="default"/>
      </w:rPr>
    </w:lvl>
  </w:abstractNum>
  <w:abstractNum w:abstractNumId="13" w15:restartNumberingAfterBreak="0">
    <w:nsid w:val="21C66843"/>
    <w:multiLevelType w:val="hybridMultilevel"/>
    <w:tmpl w:val="F800CCBC"/>
    <w:lvl w:ilvl="0" w:tplc="1A882320">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15:restartNumberingAfterBreak="0">
    <w:nsid w:val="378A7AD2"/>
    <w:multiLevelType w:val="hybridMultilevel"/>
    <w:tmpl w:val="E0DE30A0"/>
    <w:lvl w:ilvl="0" w:tplc="FFFFFFFF">
      <w:start w:val="18"/>
      <w:numFmt w:val="decimal"/>
      <w:lvlText w:val="%1."/>
      <w:lvlJc w:val="left"/>
      <w:pPr>
        <w:tabs>
          <w:tab w:val="num" w:pos="900"/>
        </w:tabs>
        <w:ind w:left="900" w:hanging="54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7D5D7B"/>
    <w:multiLevelType w:val="hybridMultilevel"/>
    <w:tmpl w:val="AAFC31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513801"/>
    <w:multiLevelType w:val="hybridMultilevel"/>
    <w:tmpl w:val="5E380A0A"/>
    <w:lvl w:ilvl="0" w:tplc="89EED42E">
      <w:start w:val="7"/>
      <w:numFmt w:val="bullet"/>
      <w:lvlText w:val="-"/>
      <w:lvlJc w:val="left"/>
      <w:pPr>
        <w:ind w:left="720" w:hanging="360"/>
      </w:pPr>
      <w:rPr>
        <w:rFonts w:ascii="Times New Roman" w:hAnsi="Times New Roman" w:hint="default"/>
      </w:rPr>
    </w:lvl>
    <w:lvl w:ilvl="1" w:tplc="9EDC04AA">
      <w:start w:val="1"/>
      <w:numFmt w:val="bullet"/>
      <w:lvlText w:val="o"/>
      <w:lvlJc w:val="left"/>
      <w:pPr>
        <w:ind w:left="1440" w:hanging="360"/>
      </w:pPr>
      <w:rPr>
        <w:rFonts w:ascii="Courier New" w:hAnsi="Courier New" w:hint="default"/>
      </w:rPr>
    </w:lvl>
    <w:lvl w:ilvl="2" w:tplc="41D4E7C2">
      <w:start w:val="1"/>
      <w:numFmt w:val="bullet"/>
      <w:lvlText w:val=""/>
      <w:lvlJc w:val="left"/>
      <w:pPr>
        <w:ind w:left="2160" w:hanging="360"/>
      </w:pPr>
      <w:rPr>
        <w:rFonts w:ascii="Wingdings" w:hAnsi="Wingdings" w:hint="default"/>
      </w:rPr>
    </w:lvl>
    <w:lvl w:ilvl="3" w:tplc="82743C44">
      <w:start w:val="1"/>
      <w:numFmt w:val="bullet"/>
      <w:lvlText w:val=""/>
      <w:lvlJc w:val="left"/>
      <w:pPr>
        <w:ind w:left="2880" w:hanging="360"/>
      </w:pPr>
      <w:rPr>
        <w:rFonts w:ascii="Symbol" w:hAnsi="Symbol" w:hint="default"/>
      </w:rPr>
    </w:lvl>
    <w:lvl w:ilvl="4" w:tplc="859AFC4C">
      <w:start w:val="1"/>
      <w:numFmt w:val="bullet"/>
      <w:lvlText w:val="o"/>
      <w:lvlJc w:val="left"/>
      <w:pPr>
        <w:ind w:left="3600" w:hanging="360"/>
      </w:pPr>
      <w:rPr>
        <w:rFonts w:ascii="Courier New" w:hAnsi="Courier New" w:hint="default"/>
      </w:rPr>
    </w:lvl>
    <w:lvl w:ilvl="5" w:tplc="BB702B8A">
      <w:start w:val="1"/>
      <w:numFmt w:val="bullet"/>
      <w:lvlText w:val=""/>
      <w:lvlJc w:val="left"/>
      <w:pPr>
        <w:ind w:left="4320" w:hanging="360"/>
      </w:pPr>
      <w:rPr>
        <w:rFonts w:ascii="Wingdings" w:hAnsi="Wingdings" w:hint="default"/>
      </w:rPr>
    </w:lvl>
    <w:lvl w:ilvl="6" w:tplc="C8284002">
      <w:start w:val="1"/>
      <w:numFmt w:val="bullet"/>
      <w:lvlText w:val=""/>
      <w:lvlJc w:val="left"/>
      <w:pPr>
        <w:ind w:left="5040" w:hanging="360"/>
      </w:pPr>
      <w:rPr>
        <w:rFonts w:ascii="Symbol" w:hAnsi="Symbol" w:hint="default"/>
      </w:rPr>
    </w:lvl>
    <w:lvl w:ilvl="7" w:tplc="FE04A514">
      <w:start w:val="1"/>
      <w:numFmt w:val="bullet"/>
      <w:lvlText w:val="o"/>
      <w:lvlJc w:val="left"/>
      <w:pPr>
        <w:ind w:left="5760" w:hanging="360"/>
      </w:pPr>
      <w:rPr>
        <w:rFonts w:ascii="Courier New" w:hAnsi="Courier New" w:hint="default"/>
      </w:rPr>
    </w:lvl>
    <w:lvl w:ilvl="8" w:tplc="7C2E93F4">
      <w:start w:val="1"/>
      <w:numFmt w:val="bullet"/>
      <w:lvlText w:val=""/>
      <w:lvlJc w:val="left"/>
      <w:pPr>
        <w:ind w:left="6480" w:hanging="360"/>
      </w:pPr>
      <w:rPr>
        <w:rFonts w:ascii="Wingdings" w:hAnsi="Wingdings" w:hint="default"/>
      </w:rPr>
    </w:lvl>
  </w:abstractNum>
  <w:abstractNum w:abstractNumId="21" w15:restartNumberingAfterBreak="0">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C427E1"/>
    <w:multiLevelType w:val="hybridMultilevel"/>
    <w:tmpl w:val="59B02E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5770F2"/>
    <w:multiLevelType w:val="hybridMultilevel"/>
    <w:tmpl w:val="C7E88924"/>
    <w:lvl w:ilvl="0" w:tplc="FFFFFFFF">
      <w:start w:val="7"/>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C84F7F"/>
    <w:multiLevelType w:val="hybridMultilevel"/>
    <w:tmpl w:val="EDC4337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22"/>
  </w:num>
  <w:num w:numId="11">
    <w:abstractNumId w:val="17"/>
  </w:num>
  <w:num w:numId="12">
    <w:abstractNumId w:val="19"/>
  </w:num>
  <w:num w:numId="13">
    <w:abstractNumId w:val="8"/>
  </w:num>
  <w:num w:numId="14">
    <w:abstractNumId w:val="11"/>
  </w:num>
  <w:num w:numId="15">
    <w:abstractNumId w:val="15"/>
  </w:num>
  <w:num w:numId="16">
    <w:abstractNumId w:val="18"/>
  </w:num>
  <w:num w:numId="17">
    <w:abstractNumId w:val="13"/>
  </w:num>
  <w:num w:numId="18">
    <w:abstractNumId w:val="23"/>
  </w:num>
  <w:num w:numId="19">
    <w:abstractNumId w:val="16"/>
  </w:num>
  <w:num w:numId="20">
    <w:abstractNumId w:val="10"/>
  </w:num>
  <w:num w:numId="21">
    <w:abstractNumId w:val="24"/>
  </w:num>
  <w:num w:numId="22">
    <w:abstractNumId w:val="14"/>
  </w:num>
  <w:num w:numId="23">
    <w:abstractNumId w:val="21"/>
  </w:num>
  <w:num w:numId="24">
    <w:abstractNumId w:val="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9D"/>
    <w:rsid w:val="0000185B"/>
    <w:rsid w:val="0001363C"/>
    <w:rsid w:val="00016E42"/>
    <w:rsid w:val="00044C4B"/>
    <w:rsid w:val="00045F08"/>
    <w:rsid w:val="00046647"/>
    <w:rsid w:val="000525A0"/>
    <w:rsid w:val="000673B2"/>
    <w:rsid w:val="000736A7"/>
    <w:rsid w:val="000738F3"/>
    <w:rsid w:val="0007609B"/>
    <w:rsid w:val="000768CD"/>
    <w:rsid w:val="000773D0"/>
    <w:rsid w:val="00082B4A"/>
    <w:rsid w:val="00086A03"/>
    <w:rsid w:val="000907D5"/>
    <w:rsid w:val="0009490E"/>
    <w:rsid w:val="000974A5"/>
    <w:rsid w:val="000A6210"/>
    <w:rsid w:val="000A6237"/>
    <w:rsid w:val="000A6651"/>
    <w:rsid w:val="000B44D9"/>
    <w:rsid w:val="000C5B12"/>
    <w:rsid w:val="000D16E2"/>
    <w:rsid w:val="000D2714"/>
    <w:rsid w:val="000D3A31"/>
    <w:rsid w:val="000E129F"/>
    <w:rsid w:val="000F02F0"/>
    <w:rsid w:val="0010553F"/>
    <w:rsid w:val="00105786"/>
    <w:rsid w:val="001106CD"/>
    <w:rsid w:val="00111C90"/>
    <w:rsid w:val="001174AD"/>
    <w:rsid w:val="0012012B"/>
    <w:rsid w:val="00125C17"/>
    <w:rsid w:val="00143869"/>
    <w:rsid w:val="0014478D"/>
    <w:rsid w:val="00145724"/>
    <w:rsid w:val="00145EE7"/>
    <w:rsid w:val="001602BD"/>
    <w:rsid w:val="00162850"/>
    <w:rsid w:val="00187BC3"/>
    <w:rsid w:val="001A2B8C"/>
    <w:rsid w:val="001C56C9"/>
    <w:rsid w:val="001D1C24"/>
    <w:rsid w:val="001D224D"/>
    <w:rsid w:val="001F680E"/>
    <w:rsid w:val="00214EA1"/>
    <w:rsid w:val="00216BBD"/>
    <w:rsid w:val="00220896"/>
    <w:rsid w:val="002231EF"/>
    <w:rsid w:val="0022478F"/>
    <w:rsid w:val="00243260"/>
    <w:rsid w:val="00250CAF"/>
    <w:rsid w:val="0025238D"/>
    <w:rsid w:val="00254AB4"/>
    <w:rsid w:val="00262265"/>
    <w:rsid w:val="002631C8"/>
    <w:rsid w:val="0026368B"/>
    <w:rsid w:val="0026419F"/>
    <w:rsid w:val="00271E38"/>
    <w:rsid w:val="00282AD5"/>
    <w:rsid w:val="00282E6B"/>
    <w:rsid w:val="002843AF"/>
    <w:rsid w:val="00285BC2"/>
    <w:rsid w:val="002874C2"/>
    <w:rsid w:val="00290CB3"/>
    <w:rsid w:val="00291331"/>
    <w:rsid w:val="002929B0"/>
    <w:rsid w:val="002958AA"/>
    <w:rsid w:val="002A1CB8"/>
    <w:rsid w:val="002A4DFE"/>
    <w:rsid w:val="002A5A16"/>
    <w:rsid w:val="002B54A1"/>
    <w:rsid w:val="002B6B54"/>
    <w:rsid w:val="002D2A3F"/>
    <w:rsid w:val="002E154D"/>
    <w:rsid w:val="002E3119"/>
    <w:rsid w:val="002E791F"/>
    <w:rsid w:val="002F283D"/>
    <w:rsid w:val="0030347C"/>
    <w:rsid w:val="0030454E"/>
    <w:rsid w:val="0030713B"/>
    <w:rsid w:val="00311384"/>
    <w:rsid w:val="0031308A"/>
    <w:rsid w:val="00323A7B"/>
    <w:rsid w:val="00323F3E"/>
    <w:rsid w:val="00342AD1"/>
    <w:rsid w:val="00342EB2"/>
    <w:rsid w:val="003520AC"/>
    <w:rsid w:val="003533E1"/>
    <w:rsid w:val="0035553B"/>
    <w:rsid w:val="00364904"/>
    <w:rsid w:val="00366EDD"/>
    <w:rsid w:val="00373B2E"/>
    <w:rsid w:val="003825DD"/>
    <w:rsid w:val="00383C3D"/>
    <w:rsid w:val="003848F8"/>
    <w:rsid w:val="00385DEC"/>
    <w:rsid w:val="0039412D"/>
    <w:rsid w:val="0039436D"/>
    <w:rsid w:val="00397165"/>
    <w:rsid w:val="00397F24"/>
    <w:rsid w:val="003B16AD"/>
    <w:rsid w:val="003F21BC"/>
    <w:rsid w:val="003F7601"/>
    <w:rsid w:val="00400889"/>
    <w:rsid w:val="00412866"/>
    <w:rsid w:val="00414833"/>
    <w:rsid w:val="00427866"/>
    <w:rsid w:val="00431B7C"/>
    <w:rsid w:val="00433080"/>
    <w:rsid w:val="00447A44"/>
    <w:rsid w:val="004512F6"/>
    <w:rsid w:val="004547EA"/>
    <w:rsid w:val="00463C8A"/>
    <w:rsid w:val="004722AC"/>
    <w:rsid w:val="0048262A"/>
    <w:rsid w:val="0048271C"/>
    <w:rsid w:val="004845F1"/>
    <w:rsid w:val="00490FF0"/>
    <w:rsid w:val="00492398"/>
    <w:rsid w:val="00495B41"/>
    <w:rsid w:val="004A133B"/>
    <w:rsid w:val="004A2D90"/>
    <w:rsid w:val="004B0581"/>
    <w:rsid w:val="004B13BC"/>
    <w:rsid w:val="004B41D5"/>
    <w:rsid w:val="004C3296"/>
    <w:rsid w:val="004C5215"/>
    <w:rsid w:val="004D1083"/>
    <w:rsid w:val="004D19C1"/>
    <w:rsid w:val="004D1AA9"/>
    <w:rsid w:val="004D7BD3"/>
    <w:rsid w:val="004E0A52"/>
    <w:rsid w:val="004E26A0"/>
    <w:rsid w:val="004F164A"/>
    <w:rsid w:val="004F248A"/>
    <w:rsid w:val="00503686"/>
    <w:rsid w:val="00507C0F"/>
    <w:rsid w:val="00510A26"/>
    <w:rsid w:val="005150DF"/>
    <w:rsid w:val="00517784"/>
    <w:rsid w:val="00520F03"/>
    <w:rsid w:val="00521940"/>
    <w:rsid w:val="00525138"/>
    <w:rsid w:val="0052547C"/>
    <w:rsid w:val="0053423B"/>
    <w:rsid w:val="00535F6A"/>
    <w:rsid w:val="00542B21"/>
    <w:rsid w:val="00542E46"/>
    <w:rsid w:val="005432AF"/>
    <w:rsid w:val="0055023E"/>
    <w:rsid w:val="00561E7E"/>
    <w:rsid w:val="00571076"/>
    <w:rsid w:val="00576631"/>
    <w:rsid w:val="00581334"/>
    <w:rsid w:val="0058459E"/>
    <w:rsid w:val="00591081"/>
    <w:rsid w:val="00595674"/>
    <w:rsid w:val="005A0377"/>
    <w:rsid w:val="005A3EC7"/>
    <w:rsid w:val="005A47ED"/>
    <w:rsid w:val="005A5526"/>
    <w:rsid w:val="005A6F96"/>
    <w:rsid w:val="005B0506"/>
    <w:rsid w:val="005B64BA"/>
    <w:rsid w:val="005C1E2C"/>
    <w:rsid w:val="005E0EDE"/>
    <w:rsid w:val="005E32BD"/>
    <w:rsid w:val="005E3952"/>
    <w:rsid w:val="005F0AE8"/>
    <w:rsid w:val="00602613"/>
    <w:rsid w:val="00607316"/>
    <w:rsid w:val="006152EE"/>
    <w:rsid w:val="00620F79"/>
    <w:rsid w:val="00624048"/>
    <w:rsid w:val="006306BD"/>
    <w:rsid w:val="00636AA0"/>
    <w:rsid w:val="0064782C"/>
    <w:rsid w:val="00647958"/>
    <w:rsid w:val="00651025"/>
    <w:rsid w:val="00653420"/>
    <w:rsid w:val="0065710F"/>
    <w:rsid w:val="00662FEA"/>
    <w:rsid w:val="00671D37"/>
    <w:rsid w:val="00681E37"/>
    <w:rsid w:val="0068484D"/>
    <w:rsid w:val="00687C73"/>
    <w:rsid w:val="00691922"/>
    <w:rsid w:val="00693C31"/>
    <w:rsid w:val="006A0320"/>
    <w:rsid w:val="006B5210"/>
    <w:rsid w:val="006B749B"/>
    <w:rsid w:val="006C0638"/>
    <w:rsid w:val="006C1DBB"/>
    <w:rsid w:val="006D527E"/>
    <w:rsid w:val="00720D5B"/>
    <w:rsid w:val="0072371F"/>
    <w:rsid w:val="00724627"/>
    <w:rsid w:val="00731CCC"/>
    <w:rsid w:val="00731F93"/>
    <w:rsid w:val="00733E58"/>
    <w:rsid w:val="00743112"/>
    <w:rsid w:val="00752227"/>
    <w:rsid w:val="00752A4E"/>
    <w:rsid w:val="00763417"/>
    <w:rsid w:val="007666F7"/>
    <w:rsid w:val="0078271D"/>
    <w:rsid w:val="00785360"/>
    <w:rsid w:val="00786565"/>
    <w:rsid w:val="00787F4D"/>
    <w:rsid w:val="00791079"/>
    <w:rsid w:val="007961DE"/>
    <w:rsid w:val="007975AF"/>
    <w:rsid w:val="007A11F2"/>
    <w:rsid w:val="007A2754"/>
    <w:rsid w:val="007B3022"/>
    <w:rsid w:val="007B6267"/>
    <w:rsid w:val="007B68C6"/>
    <w:rsid w:val="007C2F1C"/>
    <w:rsid w:val="007D7EDD"/>
    <w:rsid w:val="007E0401"/>
    <w:rsid w:val="007E2D7F"/>
    <w:rsid w:val="007E7F05"/>
    <w:rsid w:val="0080049A"/>
    <w:rsid w:val="00802D6E"/>
    <w:rsid w:val="0080405D"/>
    <w:rsid w:val="00806A71"/>
    <w:rsid w:val="00811808"/>
    <w:rsid w:val="00824623"/>
    <w:rsid w:val="00827A2E"/>
    <w:rsid w:val="00843930"/>
    <w:rsid w:val="00884CD2"/>
    <w:rsid w:val="008B1820"/>
    <w:rsid w:val="008B5371"/>
    <w:rsid w:val="009038BD"/>
    <w:rsid w:val="00910FC7"/>
    <w:rsid w:val="00912BA0"/>
    <w:rsid w:val="009242A6"/>
    <w:rsid w:val="0093512C"/>
    <w:rsid w:val="00936CC3"/>
    <w:rsid w:val="00936FE9"/>
    <w:rsid w:val="0094084B"/>
    <w:rsid w:val="00940F76"/>
    <w:rsid w:val="00954038"/>
    <w:rsid w:val="00964B32"/>
    <w:rsid w:val="00970D00"/>
    <w:rsid w:val="00977EE8"/>
    <w:rsid w:val="00981917"/>
    <w:rsid w:val="009857FB"/>
    <w:rsid w:val="00990FC4"/>
    <w:rsid w:val="00997784"/>
    <w:rsid w:val="00997834"/>
    <w:rsid w:val="009A3299"/>
    <w:rsid w:val="009B3673"/>
    <w:rsid w:val="009C368D"/>
    <w:rsid w:val="009D0915"/>
    <w:rsid w:val="009D5E83"/>
    <w:rsid w:val="009D7683"/>
    <w:rsid w:val="009E1D59"/>
    <w:rsid w:val="009E26B1"/>
    <w:rsid w:val="009E2B72"/>
    <w:rsid w:val="009E49DB"/>
    <w:rsid w:val="009E4A51"/>
    <w:rsid w:val="009E4A89"/>
    <w:rsid w:val="009F3D0A"/>
    <w:rsid w:val="00A1037E"/>
    <w:rsid w:val="00A32459"/>
    <w:rsid w:val="00A32E48"/>
    <w:rsid w:val="00A3435C"/>
    <w:rsid w:val="00A37A22"/>
    <w:rsid w:val="00A40753"/>
    <w:rsid w:val="00A45FCC"/>
    <w:rsid w:val="00A46ADB"/>
    <w:rsid w:val="00A71EC0"/>
    <w:rsid w:val="00A75487"/>
    <w:rsid w:val="00A81529"/>
    <w:rsid w:val="00A86046"/>
    <w:rsid w:val="00A86E73"/>
    <w:rsid w:val="00AA1704"/>
    <w:rsid w:val="00AA2D42"/>
    <w:rsid w:val="00AB5155"/>
    <w:rsid w:val="00AB7AC4"/>
    <w:rsid w:val="00AC512B"/>
    <w:rsid w:val="00AD05BD"/>
    <w:rsid w:val="00AD24E5"/>
    <w:rsid w:val="00AE19BD"/>
    <w:rsid w:val="00AF0344"/>
    <w:rsid w:val="00AF2582"/>
    <w:rsid w:val="00AF7D52"/>
    <w:rsid w:val="00B029B8"/>
    <w:rsid w:val="00B0326B"/>
    <w:rsid w:val="00B114B5"/>
    <w:rsid w:val="00B11502"/>
    <w:rsid w:val="00B15EA9"/>
    <w:rsid w:val="00B16A3B"/>
    <w:rsid w:val="00B22350"/>
    <w:rsid w:val="00B2436D"/>
    <w:rsid w:val="00B34D95"/>
    <w:rsid w:val="00B40E11"/>
    <w:rsid w:val="00B453EC"/>
    <w:rsid w:val="00B623C2"/>
    <w:rsid w:val="00B67CA5"/>
    <w:rsid w:val="00B82CD2"/>
    <w:rsid w:val="00B97699"/>
    <w:rsid w:val="00BA17E7"/>
    <w:rsid w:val="00BB1A46"/>
    <w:rsid w:val="00BD2388"/>
    <w:rsid w:val="00BD7C75"/>
    <w:rsid w:val="00BE2C8F"/>
    <w:rsid w:val="00BF16E9"/>
    <w:rsid w:val="00C0163B"/>
    <w:rsid w:val="00C03498"/>
    <w:rsid w:val="00C125E1"/>
    <w:rsid w:val="00C171A0"/>
    <w:rsid w:val="00C2648A"/>
    <w:rsid w:val="00C314A7"/>
    <w:rsid w:val="00C3484D"/>
    <w:rsid w:val="00C35CCA"/>
    <w:rsid w:val="00C433E6"/>
    <w:rsid w:val="00C50B19"/>
    <w:rsid w:val="00C50BFC"/>
    <w:rsid w:val="00C56F3F"/>
    <w:rsid w:val="00C65AE6"/>
    <w:rsid w:val="00C67722"/>
    <w:rsid w:val="00C861B2"/>
    <w:rsid w:val="00C95090"/>
    <w:rsid w:val="00CA2F8F"/>
    <w:rsid w:val="00CA5901"/>
    <w:rsid w:val="00CB1F75"/>
    <w:rsid w:val="00CB30D6"/>
    <w:rsid w:val="00CC4C8E"/>
    <w:rsid w:val="00CE14A5"/>
    <w:rsid w:val="00CE48C3"/>
    <w:rsid w:val="00CE7782"/>
    <w:rsid w:val="00CF168D"/>
    <w:rsid w:val="00CF4CB1"/>
    <w:rsid w:val="00D05F3A"/>
    <w:rsid w:val="00D06745"/>
    <w:rsid w:val="00D14093"/>
    <w:rsid w:val="00D1476A"/>
    <w:rsid w:val="00D214A4"/>
    <w:rsid w:val="00D25907"/>
    <w:rsid w:val="00D25987"/>
    <w:rsid w:val="00D37B6D"/>
    <w:rsid w:val="00D404C6"/>
    <w:rsid w:val="00D50419"/>
    <w:rsid w:val="00D546F8"/>
    <w:rsid w:val="00D55503"/>
    <w:rsid w:val="00D7060E"/>
    <w:rsid w:val="00D759FC"/>
    <w:rsid w:val="00DA1B86"/>
    <w:rsid w:val="00DA2C6C"/>
    <w:rsid w:val="00DA2E75"/>
    <w:rsid w:val="00DB4683"/>
    <w:rsid w:val="00DB6E97"/>
    <w:rsid w:val="00DC04EE"/>
    <w:rsid w:val="00DC3605"/>
    <w:rsid w:val="00DE110A"/>
    <w:rsid w:val="00DE3587"/>
    <w:rsid w:val="00DE3BB2"/>
    <w:rsid w:val="00E03924"/>
    <w:rsid w:val="00E07CCF"/>
    <w:rsid w:val="00E11316"/>
    <w:rsid w:val="00E15198"/>
    <w:rsid w:val="00E16B93"/>
    <w:rsid w:val="00E25C4A"/>
    <w:rsid w:val="00E27B6B"/>
    <w:rsid w:val="00E31627"/>
    <w:rsid w:val="00E35C6E"/>
    <w:rsid w:val="00E3745C"/>
    <w:rsid w:val="00E37575"/>
    <w:rsid w:val="00E459F0"/>
    <w:rsid w:val="00E50617"/>
    <w:rsid w:val="00E50DA4"/>
    <w:rsid w:val="00E66A09"/>
    <w:rsid w:val="00E67ED3"/>
    <w:rsid w:val="00E76DB5"/>
    <w:rsid w:val="00EA0394"/>
    <w:rsid w:val="00EA4541"/>
    <w:rsid w:val="00EA591D"/>
    <w:rsid w:val="00EA7689"/>
    <w:rsid w:val="00EB4240"/>
    <w:rsid w:val="00EC23D6"/>
    <w:rsid w:val="00EC7D44"/>
    <w:rsid w:val="00ED24F2"/>
    <w:rsid w:val="00ED4F84"/>
    <w:rsid w:val="00EE1E06"/>
    <w:rsid w:val="00EE5390"/>
    <w:rsid w:val="00EE6BBC"/>
    <w:rsid w:val="00EF4FFB"/>
    <w:rsid w:val="00F03BBF"/>
    <w:rsid w:val="00F12098"/>
    <w:rsid w:val="00F138FF"/>
    <w:rsid w:val="00F31288"/>
    <w:rsid w:val="00F415DF"/>
    <w:rsid w:val="00F422CF"/>
    <w:rsid w:val="00F42E08"/>
    <w:rsid w:val="00F45141"/>
    <w:rsid w:val="00F45271"/>
    <w:rsid w:val="00F4544F"/>
    <w:rsid w:val="00F45A57"/>
    <w:rsid w:val="00F46034"/>
    <w:rsid w:val="00F512C5"/>
    <w:rsid w:val="00F57B41"/>
    <w:rsid w:val="00F67FCC"/>
    <w:rsid w:val="00F702C1"/>
    <w:rsid w:val="00F7389D"/>
    <w:rsid w:val="00F75AD0"/>
    <w:rsid w:val="00F75DB2"/>
    <w:rsid w:val="00F8083A"/>
    <w:rsid w:val="00F83CF4"/>
    <w:rsid w:val="00F90453"/>
    <w:rsid w:val="00FA169D"/>
    <w:rsid w:val="00FA6919"/>
    <w:rsid w:val="00FC5765"/>
    <w:rsid w:val="00FD167E"/>
    <w:rsid w:val="00FE16F5"/>
    <w:rsid w:val="00FE1BFF"/>
    <w:rsid w:val="00FE477B"/>
    <w:rsid w:val="00FF5047"/>
    <w:rsid w:val="00FF758C"/>
    <w:rsid w:val="016485D1"/>
    <w:rsid w:val="01B144DE"/>
    <w:rsid w:val="02756CFB"/>
    <w:rsid w:val="02B9FBDC"/>
    <w:rsid w:val="03346F7E"/>
    <w:rsid w:val="0336D7B0"/>
    <w:rsid w:val="033B547C"/>
    <w:rsid w:val="050FB692"/>
    <w:rsid w:val="069A4C1C"/>
    <w:rsid w:val="06AB86F3"/>
    <w:rsid w:val="06C17676"/>
    <w:rsid w:val="070FFF33"/>
    <w:rsid w:val="0749FA72"/>
    <w:rsid w:val="077A2B1F"/>
    <w:rsid w:val="07862189"/>
    <w:rsid w:val="07C82C41"/>
    <w:rsid w:val="07C9824B"/>
    <w:rsid w:val="0878A2FD"/>
    <w:rsid w:val="090F038C"/>
    <w:rsid w:val="093738C6"/>
    <w:rsid w:val="095AEB20"/>
    <w:rsid w:val="096517D9"/>
    <w:rsid w:val="0995C6FC"/>
    <w:rsid w:val="09FF485F"/>
    <w:rsid w:val="0B03D285"/>
    <w:rsid w:val="0C6D5BFD"/>
    <w:rsid w:val="0CA4A621"/>
    <w:rsid w:val="0CAA2222"/>
    <w:rsid w:val="0CB7E429"/>
    <w:rsid w:val="0D082CDA"/>
    <w:rsid w:val="0D2BED7F"/>
    <w:rsid w:val="0D3D8F08"/>
    <w:rsid w:val="0D4A5850"/>
    <w:rsid w:val="0D9D294D"/>
    <w:rsid w:val="0DC8CB2D"/>
    <w:rsid w:val="0E1EC130"/>
    <w:rsid w:val="0E3B87F2"/>
    <w:rsid w:val="0EC8CA51"/>
    <w:rsid w:val="0EC9068F"/>
    <w:rsid w:val="0FC31E86"/>
    <w:rsid w:val="0FCB0C0C"/>
    <w:rsid w:val="1001C0DE"/>
    <w:rsid w:val="10684325"/>
    <w:rsid w:val="10973F2A"/>
    <w:rsid w:val="109DB91C"/>
    <w:rsid w:val="10B870F3"/>
    <w:rsid w:val="10E74392"/>
    <w:rsid w:val="1113CA1F"/>
    <w:rsid w:val="11865023"/>
    <w:rsid w:val="121CEA80"/>
    <w:rsid w:val="124FC278"/>
    <w:rsid w:val="1252B1DA"/>
    <w:rsid w:val="12544154"/>
    <w:rsid w:val="13EA8E96"/>
    <w:rsid w:val="143C2382"/>
    <w:rsid w:val="143DBBD5"/>
    <w:rsid w:val="1464A491"/>
    <w:rsid w:val="14D725E2"/>
    <w:rsid w:val="14F1BC3E"/>
    <w:rsid w:val="151F1FB6"/>
    <w:rsid w:val="158A2A37"/>
    <w:rsid w:val="159B8D73"/>
    <w:rsid w:val="15CC270A"/>
    <w:rsid w:val="163A8066"/>
    <w:rsid w:val="166E958D"/>
    <w:rsid w:val="168E50C7"/>
    <w:rsid w:val="169C04EF"/>
    <w:rsid w:val="171AD1DB"/>
    <w:rsid w:val="1721FDEE"/>
    <w:rsid w:val="17D61DF1"/>
    <w:rsid w:val="180EC6A4"/>
    <w:rsid w:val="1964C91A"/>
    <w:rsid w:val="1B2C8A77"/>
    <w:rsid w:val="1B55C7F5"/>
    <w:rsid w:val="1B6175A8"/>
    <w:rsid w:val="1B90D2AC"/>
    <w:rsid w:val="1C224D85"/>
    <w:rsid w:val="1C2D4746"/>
    <w:rsid w:val="1C6FB676"/>
    <w:rsid w:val="1C858EB0"/>
    <w:rsid w:val="1CD1CFB3"/>
    <w:rsid w:val="1D1D6712"/>
    <w:rsid w:val="1D8F82F2"/>
    <w:rsid w:val="1D9C28D8"/>
    <w:rsid w:val="1E13745D"/>
    <w:rsid w:val="1E3DAAD0"/>
    <w:rsid w:val="1E455F75"/>
    <w:rsid w:val="1EB2326C"/>
    <w:rsid w:val="1F3134E2"/>
    <w:rsid w:val="1F7588A6"/>
    <w:rsid w:val="1FC67C8F"/>
    <w:rsid w:val="1FD2ED4C"/>
    <w:rsid w:val="20224B2D"/>
    <w:rsid w:val="205559EE"/>
    <w:rsid w:val="20E77C92"/>
    <w:rsid w:val="20F7977D"/>
    <w:rsid w:val="20F9345F"/>
    <w:rsid w:val="217512B1"/>
    <w:rsid w:val="21B0B35D"/>
    <w:rsid w:val="22934652"/>
    <w:rsid w:val="2310E312"/>
    <w:rsid w:val="2336E497"/>
    <w:rsid w:val="234FF8C3"/>
    <w:rsid w:val="23ED0D22"/>
    <w:rsid w:val="24384CFE"/>
    <w:rsid w:val="24AC1404"/>
    <w:rsid w:val="252F1C0E"/>
    <w:rsid w:val="256F06C3"/>
    <w:rsid w:val="25780501"/>
    <w:rsid w:val="25816C7A"/>
    <w:rsid w:val="2590CB09"/>
    <w:rsid w:val="25E87991"/>
    <w:rsid w:val="26A517A1"/>
    <w:rsid w:val="2774EF7A"/>
    <w:rsid w:val="277CDD00"/>
    <w:rsid w:val="278F515F"/>
    <w:rsid w:val="27C2B1CB"/>
    <w:rsid w:val="27E15FD9"/>
    <w:rsid w:val="28E6F2A8"/>
    <w:rsid w:val="28F73E6A"/>
    <w:rsid w:val="296DA0A2"/>
    <w:rsid w:val="299A18F6"/>
    <w:rsid w:val="29B00B0D"/>
    <w:rsid w:val="29BBE3A1"/>
    <w:rsid w:val="29F1B701"/>
    <w:rsid w:val="2A34526F"/>
    <w:rsid w:val="2B105690"/>
    <w:rsid w:val="2B39498F"/>
    <w:rsid w:val="2B8B0070"/>
    <w:rsid w:val="2CCDFF8E"/>
    <w:rsid w:val="2CF75D9F"/>
    <w:rsid w:val="2D3EEC92"/>
    <w:rsid w:val="2D4C1133"/>
    <w:rsid w:val="2DC606E7"/>
    <w:rsid w:val="2E299827"/>
    <w:rsid w:val="2E6BDBDB"/>
    <w:rsid w:val="2F0432BD"/>
    <w:rsid w:val="2F667FEE"/>
    <w:rsid w:val="2F87EEE5"/>
    <w:rsid w:val="2FAC402B"/>
    <w:rsid w:val="2FB9A9CD"/>
    <w:rsid w:val="300A5A5F"/>
    <w:rsid w:val="300B9F7A"/>
    <w:rsid w:val="30A80824"/>
    <w:rsid w:val="31882D34"/>
    <w:rsid w:val="318B6DD9"/>
    <w:rsid w:val="31A40F2B"/>
    <w:rsid w:val="32287F79"/>
    <w:rsid w:val="3299780A"/>
    <w:rsid w:val="33B239DB"/>
    <w:rsid w:val="340B1E72"/>
    <w:rsid w:val="35A09CF1"/>
    <w:rsid w:val="35E190B7"/>
    <w:rsid w:val="360172EA"/>
    <w:rsid w:val="37394234"/>
    <w:rsid w:val="37591388"/>
    <w:rsid w:val="375E4F0E"/>
    <w:rsid w:val="3769A789"/>
    <w:rsid w:val="38259EB5"/>
    <w:rsid w:val="38D51295"/>
    <w:rsid w:val="39D0C30E"/>
    <w:rsid w:val="3A7FDE9A"/>
    <w:rsid w:val="3B2C6F25"/>
    <w:rsid w:val="3B653A01"/>
    <w:rsid w:val="3B6C936F"/>
    <w:rsid w:val="3C16CEA2"/>
    <w:rsid w:val="3C4D4990"/>
    <w:rsid w:val="3C5AC9B1"/>
    <w:rsid w:val="3D8B29AC"/>
    <w:rsid w:val="3D97AE83"/>
    <w:rsid w:val="3DA883B8"/>
    <w:rsid w:val="3DD02FF8"/>
    <w:rsid w:val="3E02424E"/>
    <w:rsid w:val="3E5229A8"/>
    <w:rsid w:val="3E9641FE"/>
    <w:rsid w:val="3F331942"/>
    <w:rsid w:val="3FAF2146"/>
    <w:rsid w:val="3FC6BCB4"/>
    <w:rsid w:val="3FF3AF9E"/>
    <w:rsid w:val="3FF5CBF5"/>
    <w:rsid w:val="404F3E39"/>
    <w:rsid w:val="4057658C"/>
    <w:rsid w:val="40688B15"/>
    <w:rsid w:val="40A93A38"/>
    <w:rsid w:val="4120BAB3"/>
    <w:rsid w:val="413061CF"/>
    <w:rsid w:val="416082C0"/>
    <w:rsid w:val="416F94AD"/>
    <w:rsid w:val="41FB5549"/>
    <w:rsid w:val="4276928F"/>
    <w:rsid w:val="4301F23D"/>
    <w:rsid w:val="435E7CF7"/>
    <w:rsid w:val="438EDF10"/>
    <w:rsid w:val="441FB2C2"/>
    <w:rsid w:val="44C4925A"/>
    <w:rsid w:val="452AAF71"/>
    <w:rsid w:val="45954C12"/>
    <w:rsid w:val="45ED0899"/>
    <w:rsid w:val="46167BA6"/>
    <w:rsid w:val="463992FF"/>
    <w:rsid w:val="465C97B6"/>
    <w:rsid w:val="46AF4616"/>
    <w:rsid w:val="47575384"/>
    <w:rsid w:val="4835FB06"/>
    <w:rsid w:val="486A96CD"/>
    <w:rsid w:val="48F64F03"/>
    <w:rsid w:val="49198574"/>
    <w:rsid w:val="491F5301"/>
    <w:rsid w:val="49560F19"/>
    <w:rsid w:val="499062DE"/>
    <w:rsid w:val="499BD363"/>
    <w:rsid w:val="499E1B9E"/>
    <w:rsid w:val="4A09F410"/>
    <w:rsid w:val="4A68D863"/>
    <w:rsid w:val="4B46EB58"/>
    <w:rsid w:val="4B7EB96A"/>
    <w:rsid w:val="4BB43C96"/>
    <w:rsid w:val="4BBB5FEC"/>
    <w:rsid w:val="4C34FA29"/>
    <w:rsid w:val="4C636A94"/>
    <w:rsid w:val="4CBD871F"/>
    <w:rsid w:val="4D0A5D5D"/>
    <w:rsid w:val="4D296757"/>
    <w:rsid w:val="4DAB9F1B"/>
    <w:rsid w:val="4ED9D851"/>
    <w:rsid w:val="4FDE5A32"/>
    <w:rsid w:val="506D6218"/>
    <w:rsid w:val="507CCE27"/>
    <w:rsid w:val="51281795"/>
    <w:rsid w:val="51614320"/>
    <w:rsid w:val="51696BA5"/>
    <w:rsid w:val="517E0567"/>
    <w:rsid w:val="51CD7F3E"/>
    <w:rsid w:val="51D95E71"/>
    <w:rsid w:val="51DB62B7"/>
    <w:rsid w:val="52063875"/>
    <w:rsid w:val="52237E33"/>
    <w:rsid w:val="522AA170"/>
    <w:rsid w:val="5256E03C"/>
    <w:rsid w:val="52D84274"/>
    <w:rsid w:val="52DB0786"/>
    <w:rsid w:val="534FA288"/>
    <w:rsid w:val="5391C015"/>
    <w:rsid w:val="53C17017"/>
    <w:rsid w:val="53F2B09D"/>
    <w:rsid w:val="54002B1F"/>
    <w:rsid w:val="558AEC37"/>
    <w:rsid w:val="55EB715A"/>
    <w:rsid w:val="56043415"/>
    <w:rsid w:val="56160FBC"/>
    <w:rsid w:val="56202D5F"/>
    <w:rsid w:val="564C0D2A"/>
    <w:rsid w:val="56A68F9E"/>
    <w:rsid w:val="57112902"/>
    <w:rsid w:val="572BD6E3"/>
    <w:rsid w:val="5787282A"/>
    <w:rsid w:val="579FAF42"/>
    <w:rsid w:val="57A6EA4A"/>
    <w:rsid w:val="57C97374"/>
    <w:rsid w:val="584FC3A7"/>
    <w:rsid w:val="5867EC93"/>
    <w:rsid w:val="5899E2F4"/>
    <w:rsid w:val="58EFD477"/>
    <w:rsid w:val="5923E9AE"/>
    <w:rsid w:val="5924B357"/>
    <w:rsid w:val="5945E602"/>
    <w:rsid w:val="5A6F29DB"/>
    <w:rsid w:val="5A83C76B"/>
    <w:rsid w:val="5AA0C398"/>
    <w:rsid w:val="5AA8025B"/>
    <w:rsid w:val="5B11DB42"/>
    <w:rsid w:val="5B127909"/>
    <w:rsid w:val="5B55C741"/>
    <w:rsid w:val="5B7A8B9C"/>
    <w:rsid w:val="5CD5998C"/>
    <w:rsid w:val="5DA41314"/>
    <w:rsid w:val="5DAD6011"/>
    <w:rsid w:val="5DADC607"/>
    <w:rsid w:val="5F15D1EB"/>
    <w:rsid w:val="5F3FE375"/>
    <w:rsid w:val="5F5EC167"/>
    <w:rsid w:val="5F792B43"/>
    <w:rsid w:val="5FA2C10D"/>
    <w:rsid w:val="618C62C5"/>
    <w:rsid w:val="61FED8D3"/>
    <w:rsid w:val="622F8A63"/>
    <w:rsid w:val="62D07A62"/>
    <w:rsid w:val="62DCD58E"/>
    <w:rsid w:val="6408D467"/>
    <w:rsid w:val="65035522"/>
    <w:rsid w:val="65623598"/>
    <w:rsid w:val="65672B25"/>
    <w:rsid w:val="65F5DE60"/>
    <w:rsid w:val="669712B7"/>
    <w:rsid w:val="66C5906B"/>
    <w:rsid w:val="66D160F1"/>
    <w:rsid w:val="66E77227"/>
    <w:rsid w:val="66FE05F9"/>
    <w:rsid w:val="6702FB86"/>
    <w:rsid w:val="674C25B1"/>
    <w:rsid w:val="679E8F5D"/>
    <w:rsid w:val="67E9CF39"/>
    <w:rsid w:val="681B4C0A"/>
    <w:rsid w:val="686160CC"/>
    <w:rsid w:val="6933FA3A"/>
    <w:rsid w:val="698AA154"/>
    <w:rsid w:val="6C010C4B"/>
    <w:rsid w:val="6C4A1F16"/>
    <w:rsid w:val="6C720080"/>
    <w:rsid w:val="6D31A6D1"/>
    <w:rsid w:val="6D34EB0A"/>
    <w:rsid w:val="6D723D0A"/>
    <w:rsid w:val="6DA9B503"/>
    <w:rsid w:val="6EC34105"/>
    <w:rsid w:val="6F0FABC8"/>
    <w:rsid w:val="707B247A"/>
    <w:rsid w:val="715E106D"/>
    <w:rsid w:val="71C7172A"/>
    <w:rsid w:val="73E17E8E"/>
    <w:rsid w:val="7557ACFB"/>
    <w:rsid w:val="759FA7F7"/>
    <w:rsid w:val="76C1B517"/>
    <w:rsid w:val="7777291C"/>
    <w:rsid w:val="786ECC73"/>
    <w:rsid w:val="788F4DBD"/>
    <w:rsid w:val="78A2C191"/>
    <w:rsid w:val="79315C1A"/>
    <w:rsid w:val="793EDA2D"/>
    <w:rsid w:val="79CD03EA"/>
    <w:rsid w:val="79E2E51C"/>
    <w:rsid w:val="7A3E91F2"/>
    <w:rsid w:val="7AA0A76C"/>
    <w:rsid w:val="7AEAC46F"/>
    <w:rsid w:val="7B23140E"/>
    <w:rsid w:val="7B3F9DAF"/>
    <w:rsid w:val="7B6B45E3"/>
    <w:rsid w:val="7BDA6253"/>
    <w:rsid w:val="7C8694D0"/>
    <w:rsid w:val="7C8E8256"/>
    <w:rsid w:val="7CD394AD"/>
    <w:rsid w:val="7CD99515"/>
    <w:rsid w:val="7DD23B16"/>
    <w:rsid w:val="7E25904F"/>
    <w:rsid w:val="7EA0750D"/>
    <w:rsid w:val="7FE142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1E7DB"/>
  <w15:chartTrackingRefBased/>
  <w15:docId w15:val="{F7E7B395-ADDA-4838-95DF-6AC60815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styleId="CommentReference">
    <w:name w:val="annotation reference"/>
    <w:rsid w:val="00A86E73"/>
    <w:rPr>
      <w:sz w:val="16"/>
      <w:szCs w:val="16"/>
    </w:rPr>
  </w:style>
  <w:style w:type="paragraph" w:styleId="CommentText">
    <w:name w:val="annotation text"/>
    <w:basedOn w:val="Normal"/>
    <w:link w:val="CommentTextChar"/>
    <w:rsid w:val="00A86E73"/>
    <w:rPr>
      <w:sz w:val="20"/>
    </w:rPr>
  </w:style>
  <w:style w:type="character" w:customStyle="1" w:styleId="CommentTextChar">
    <w:name w:val="Comment Text Char"/>
    <w:basedOn w:val="DefaultParagraphFont"/>
    <w:link w:val="CommentText"/>
    <w:rsid w:val="00A86E73"/>
  </w:style>
  <w:style w:type="paragraph" w:styleId="CommentSubject">
    <w:name w:val="annotation subject"/>
    <w:basedOn w:val="CommentText"/>
    <w:next w:val="CommentText"/>
    <w:link w:val="CommentSubjectChar"/>
    <w:rsid w:val="00A86E73"/>
    <w:rPr>
      <w:b/>
      <w:bCs/>
    </w:rPr>
  </w:style>
  <w:style w:type="character" w:customStyle="1" w:styleId="CommentSubjectChar">
    <w:name w:val="Comment Subject Char"/>
    <w:link w:val="CommentSubject"/>
    <w:rsid w:val="00A86E73"/>
    <w:rPr>
      <w:b/>
      <w:bCs/>
    </w:rPr>
  </w:style>
  <w:style w:type="paragraph" w:styleId="BodyText">
    <w:name w:val="Body Text"/>
    <w:basedOn w:val="Normal"/>
    <w:link w:val="BodyTextChar"/>
    <w:rsid w:val="009D5E83"/>
    <w:pPr>
      <w:keepLines/>
      <w:tabs>
        <w:tab w:val="left" w:pos="0"/>
      </w:tabs>
      <w:overflowPunct w:val="0"/>
      <w:autoSpaceDE w:val="0"/>
      <w:autoSpaceDN w:val="0"/>
      <w:adjustRightInd w:val="0"/>
      <w:spacing w:after="80"/>
      <w:textAlignment w:val="baseline"/>
    </w:pPr>
    <w:rPr>
      <w:color w:val="000000"/>
      <w:sz w:val="22"/>
    </w:rPr>
  </w:style>
  <w:style w:type="character" w:customStyle="1" w:styleId="BodyTextChar">
    <w:name w:val="Body Text Char"/>
    <w:link w:val="BodyText"/>
    <w:rsid w:val="009D5E83"/>
    <w:rPr>
      <w:color w:val="000000"/>
      <w:sz w:val="22"/>
    </w:rPr>
  </w:style>
  <w:style w:type="table" w:styleId="TableGrid">
    <w:name w:val="Table Grid"/>
    <w:basedOn w:val="TableNormal"/>
    <w:uiPriority w:val="39"/>
    <w:rsid w:val="00F808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6C720080"/>
    <w:rPr>
      <w:rFonts w:eastAsiaTheme="minorEastAsia"/>
      <w:color w:val="000000" w:themeColor="text1"/>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DFDB89E926D4EA66B7480DEA43C4F" ma:contentTypeVersion="4" ma:contentTypeDescription="Create a new document." ma:contentTypeScope="" ma:versionID="1027e8f9ce44c96330458b88c4090dda">
  <xsd:schema xmlns:xsd="http://www.w3.org/2001/XMLSchema" xmlns:xs="http://www.w3.org/2001/XMLSchema" xmlns:p="http://schemas.microsoft.com/office/2006/metadata/properties" xmlns:ns2="7474f317-e80e-4572-8a09-3addef527b77" xmlns:ns3="b3ce6949-99fe-4549-b75a-2322037c47c1" targetNamespace="http://schemas.microsoft.com/office/2006/metadata/properties" ma:root="true" ma:fieldsID="0e756781a93e993f5372a1dfb8739eeb" ns2:_="" ns3:_="">
    <xsd:import namespace="7474f317-e80e-4572-8a09-3addef527b77"/>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4f317-e80e-4572-8a09-3addef527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5FEF0D-3244-4C91-B1D2-1F20A1E29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4f317-e80e-4572-8a09-3addef527b77"/>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E801F-3A83-45FD-A615-AD8B4C030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1335</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frauser1</dc:creator>
  <cp:keywords/>
  <cp:lastModifiedBy>Hill, Angela (PHMSA)</cp:lastModifiedBy>
  <cp:revision>3</cp:revision>
  <cp:lastPrinted>2009-07-23T18:59:00Z</cp:lastPrinted>
  <dcterms:created xsi:type="dcterms:W3CDTF">2022-04-01T18:19:00Z</dcterms:created>
  <dcterms:modified xsi:type="dcterms:W3CDTF">2022-04-01T19:14:00Z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To">
    <vt:lpwstr/>
  </property>
  <property fmtid="{D5CDD505-2E9C-101B-9397-08002B2CF9AE}" pid="3" name="EmailSender">
    <vt:lpwstr/>
  </property>
  <property fmtid="{D5CDD505-2E9C-101B-9397-08002B2CF9AE}" pid="4" name="EmailFrom">
    <vt:lpwstr/>
  </property>
  <property fmtid="{D5CDD505-2E9C-101B-9397-08002B2CF9AE}" pid="5" name="EmailSubject">
    <vt:lpwstr/>
  </property>
  <property fmtid="{D5CDD505-2E9C-101B-9397-08002B2CF9AE}" pid="6" name="EmailCc">
    <vt:lpwstr/>
  </property>
</Properties>
</file>