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B1" w:rsidP="006C7FAE" w:rsidRDefault="009E13B1" w14:paraId="3FC07A61" w14:textId="77777777">
      <w:pPr>
        <w:jc w:val="center"/>
        <w:rPr>
          <w:b/>
          <w:sz w:val="24"/>
          <w:szCs w:val="24"/>
        </w:rPr>
      </w:pPr>
      <w:r w:rsidRPr="00167E53">
        <w:rPr>
          <w:b/>
          <w:sz w:val="24"/>
          <w:szCs w:val="24"/>
        </w:rPr>
        <w:t>Supporting Statement for Paperwork Reduction Act Submissions</w:t>
      </w:r>
    </w:p>
    <w:p w:rsidR="00252117" w:rsidRDefault="00252117" w14:paraId="5623AF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252117">
        <w:rPr>
          <w:b/>
          <w:sz w:val="24"/>
          <w:szCs w:val="24"/>
        </w:rPr>
        <w:t xml:space="preserve">Housing Trust Fund (HTF) </w:t>
      </w:r>
    </w:p>
    <w:p w:rsidRPr="00167E53" w:rsidR="00167E53" w:rsidRDefault="00167E53" w14:paraId="32203A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Pr="00252117" w:rsidR="00252117">
        <w:rPr>
          <w:b/>
          <w:sz w:val="24"/>
          <w:szCs w:val="24"/>
        </w:rPr>
        <w:t>2506-0215</w:t>
      </w:r>
      <w:r w:rsidRPr="00167E53">
        <w:rPr>
          <w:b/>
          <w:sz w:val="24"/>
          <w:szCs w:val="24"/>
        </w:rPr>
        <w:t>)</w:t>
      </w:r>
    </w:p>
    <w:p w:rsidRPr="00167E53" w:rsidR="009E13B1" w:rsidP="006C7FAE" w:rsidRDefault="009E13B1" w14:paraId="197EF320" w14:textId="77777777">
      <w:pPr>
        <w:rPr>
          <w:b/>
          <w:sz w:val="24"/>
          <w:szCs w:val="24"/>
        </w:rPr>
      </w:pPr>
    </w:p>
    <w:p w:rsidRPr="006C7FAE" w:rsidR="009E13B1" w:rsidRDefault="009E13B1" w14:paraId="3641C70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147C23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Default="009E13B1" w14:paraId="796D3FF9"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C7FAE" w:rsidR="00252117" w:rsidRDefault="00252117" w14:paraId="6F3C2C8A" w14:textId="77777777">
      <w:pPr>
        <w:keepLines/>
        <w:tabs>
          <w:tab w:val="left" w:pos="360"/>
        </w:tabs>
        <w:spacing w:after="80"/>
        <w:ind w:left="360" w:hanging="360"/>
        <w:rPr>
          <w:sz w:val="24"/>
          <w:szCs w:val="24"/>
        </w:rPr>
      </w:pPr>
    </w:p>
    <w:p w:rsidRPr="00252117" w:rsidR="00252117" w:rsidP="00252117" w:rsidRDefault="00252117" w14:paraId="72859859" w14:textId="7126F35C">
      <w:pPr>
        <w:tabs>
          <w:tab w:val="left" w:pos="360"/>
        </w:tabs>
        <w:ind w:left="360" w:hanging="360"/>
        <w:rPr>
          <w:sz w:val="24"/>
          <w:szCs w:val="24"/>
        </w:rPr>
      </w:pPr>
      <w:r>
        <w:rPr>
          <w:sz w:val="24"/>
          <w:szCs w:val="24"/>
        </w:rPr>
        <w:tab/>
      </w:r>
      <w:r w:rsidRPr="00252117">
        <w:rPr>
          <w:sz w:val="24"/>
          <w:szCs w:val="24"/>
        </w:rPr>
        <w:t xml:space="preserve">The Housing Trust Fund (HTF) </w:t>
      </w:r>
      <w:r w:rsidR="00193E22">
        <w:rPr>
          <w:sz w:val="24"/>
          <w:szCs w:val="24"/>
        </w:rPr>
        <w:t>p</w:t>
      </w:r>
      <w:r w:rsidRPr="00252117">
        <w:rPr>
          <w:sz w:val="24"/>
          <w:szCs w:val="24"/>
        </w:rPr>
        <w:t>rogram was established under section 1338 of the Federal Housing Enterprises Financial Safety and Soundness Act of 1992, as amended</w:t>
      </w:r>
      <w:r w:rsidR="002725FD">
        <w:rPr>
          <w:sz w:val="24"/>
          <w:szCs w:val="24"/>
        </w:rPr>
        <w:t xml:space="preserve"> (12 U.S.C. 4568)</w:t>
      </w:r>
      <w:r w:rsidR="00307F35">
        <w:rPr>
          <w:sz w:val="24"/>
          <w:szCs w:val="24"/>
        </w:rPr>
        <w:t xml:space="preserve"> (the “</w:t>
      </w:r>
      <w:r w:rsidR="00AE0A17">
        <w:rPr>
          <w:sz w:val="24"/>
          <w:szCs w:val="24"/>
        </w:rPr>
        <w:t>HTF Statute</w:t>
      </w:r>
      <w:r w:rsidR="00307F35">
        <w:rPr>
          <w:sz w:val="24"/>
          <w:szCs w:val="24"/>
        </w:rPr>
        <w:t>”)</w:t>
      </w:r>
      <w:r w:rsidRPr="00252117">
        <w:rPr>
          <w:sz w:val="24"/>
          <w:szCs w:val="24"/>
        </w:rPr>
        <w:t xml:space="preserve">. In general, under the HTF program, the U.S. Department of Housing and Urban Development (HUD) allocates funds by formula to eligible </w:t>
      </w:r>
      <w:r w:rsidR="00307F35">
        <w:rPr>
          <w:sz w:val="24"/>
          <w:szCs w:val="24"/>
        </w:rPr>
        <w:t>grantees, as defined in 24 CFR 93.2</w:t>
      </w:r>
      <w:r w:rsidR="00CD49AD">
        <w:rPr>
          <w:sz w:val="24"/>
          <w:szCs w:val="24"/>
        </w:rPr>
        <w:t>,</w:t>
      </w:r>
      <w:r w:rsidRPr="00252117" w:rsidR="00307F35">
        <w:rPr>
          <w:sz w:val="24"/>
          <w:szCs w:val="24"/>
        </w:rPr>
        <w:t xml:space="preserve"> </w:t>
      </w:r>
      <w:r w:rsidRPr="00252117">
        <w:rPr>
          <w:sz w:val="24"/>
          <w:szCs w:val="24"/>
        </w:rPr>
        <w:t>to increase and preserve the supply of decent, safe, sanitary, and affordable housing, with primary attention to rental housing for extremely low-income and very low-income households, including homeless families.</w:t>
      </w:r>
    </w:p>
    <w:p w:rsidRPr="00252117" w:rsidR="00252117" w:rsidP="00252117" w:rsidRDefault="00252117" w14:paraId="0A329608" w14:textId="77777777">
      <w:pPr>
        <w:tabs>
          <w:tab w:val="left" w:pos="360"/>
        </w:tabs>
        <w:ind w:left="360" w:hanging="360"/>
        <w:rPr>
          <w:sz w:val="24"/>
          <w:szCs w:val="24"/>
        </w:rPr>
      </w:pPr>
    </w:p>
    <w:p w:rsidRPr="00252117" w:rsidR="00252117" w:rsidP="00252117" w:rsidRDefault="00252117" w14:paraId="51B26295" w14:textId="6CC594B4">
      <w:pPr>
        <w:tabs>
          <w:tab w:val="left" w:pos="360"/>
        </w:tabs>
        <w:ind w:left="360" w:hanging="360"/>
        <w:rPr>
          <w:sz w:val="24"/>
          <w:szCs w:val="24"/>
        </w:rPr>
      </w:pPr>
      <w:r>
        <w:rPr>
          <w:sz w:val="24"/>
          <w:szCs w:val="24"/>
        </w:rPr>
        <w:tab/>
      </w:r>
      <w:r w:rsidRPr="00252117">
        <w:rPr>
          <w:sz w:val="24"/>
          <w:szCs w:val="24"/>
        </w:rPr>
        <w:t xml:space="preserve">The HTF </w:t>
      </w:r>
      <w:r w:rsidR="0086069C">
        <w:rPr>
          <w:sz w:val="24"/>
          <w:szCs w:val="24"/>
        </w:rPr>
        <w:t>S</w:t>
      </w:r>
      <w:r w:rsidRPr="00252117">
        <w:rPr>
          <w:sz w:val="24"/>
          <w:szCs w:val="24"/>
        </w:rPr>
        <w:t xml:space="preserve">tatute imposes many data collection and reporting requirements on the Department and on </w:t>
      </w:r>
      <w:r w:rsidR="002930B6">
        <w:rPr>
          <w:sz w:val="24"/>
          <w:szCs w:val="24"/>
        </w:rPr>
        <w:t xml:space="preserve">grantees and </w:t>
      </w:r>
      <w:r w:rsidRPr="00252117">
        <w:rPr>
          <w:sz w:val="24"/>
          <w:szCs w:val="24"/>
        </w:rPr>
        <w:t xml:space="preserve">program participants.  Information on assisted properties as well as on the owners or tenants of the properties is needed to fulfill the statutory requirements.  This burden includes making the information available to HUD for monitoring the performance of the </w:t>
      </w:r>
      <w:r w:rsidR="00230A11">
        <w:rPr>
          <w:sz w:val="24"/>
          <w:szCs w:val="24"/>
        </w:rPr>
        <w:t xml:space="preserve">grantees and </w:t>
      </w:r>
      <w:r w:rsidRPr="00252117">
        <w:rPr>
          <w:sz w:val="24"/>
          <w:szCs w:val="24"/>
        </w:rPr>
        <w:t xml:space="preserve">program participants and ensuring compliance with all program requirements.  </w:t>
      </w:r>
    </w:p>
    <w:p w:rsidRPr="00252117" w:rsidR="00252117" w:rsidP="00252117" w:rsidRDefault="00252117" w14:paraId="437CD861" w14:textId="77777777">
      <w:pPr>
        <w:tabs>
          <w:tab w:val="left" w:pos="360"/>
        </w:tabs>
        <w:ind w:left="360" w:hanging="360"/>
        <w:rPr>
          <w:sz w:val="24"/>
          <w:szCs w:val="24"/>
        </w:rPr>
      </w:pPr>
    </w:p>
    <w:p w:rsidR="009E13B1" w:rsidP="00252117" w:rsidRDefault="00252117" w14:paraId="2785CA72" w14:textId="23E31A31">
      <w:pPr>
        <w:tabs>
          <w:tab w:val="left" w:pos="360"/>
        </w:tabs>
        <w:ind w:left="360" w:hanging="360"/>
        <w:rPr>
          <w:sz w:val="24"/>
          <w:szCs w:val="24"/>
        </w:rPr>
      </w:pPr>
      <w:r>
        <w:rPr>
          <w:sz w:val="24"/>
          <w:szCs w:val="24"/>
        </w:rPr>
        <w:tab/>
      </w:r>
      <w:r w:rsidRPr="00252117">
        <w:rPr>
          <w:sz w:val="24"/>
          <w:szCs w:val="24"/>
        </w:rPr>
        <w:t>The data collection elements addressed in this document are from the HTF program regulations in 24 CFR part 93</w:t>
      </w:r>
      <w:r w:rsidR="00EE0EC2">
        <w:rPr>
          <w:sz w:val="24"/>
          <w:szCs w:val="24"/>
        </w:rPr>
        <w:t xml:space="preserve">, which can be found at </w:t>
      </w:r>
      <w:r w:rsidRPr="00832BFC" w:rsidR="00832BFC">
        <w:rPr>
          <w:sz w:val="24"/>
          <w:szCs w:val="24"/>
        </w:rPr>
        <w:t>https://www.ecfr.gov/current/title-24/subtitle-A/part-93</w:t>
      </w:r>
      <w:r w:rsidR="00EE0EC2">
        <w:rPr>
          <w:sz w:val="24"/>
          <w:szCs w:val="24"/>
        </w:rPr>
        <w:t>.</w:t>
      </w:r>
    </w:p>
    <w:p w:rsidRPr="006C7FAE" w:rsidR="00252117" w:rsidRDefault="00252117" w14:paraId="52B43CA6" w14:textId="77777777">
      <w:pPr>
        <w:tabs>
          <w:tab w:val="left" w:pos="360"/>
        </w:tabs>
        <w:ind w:left="360" w:hanging="360"/>
        <w:rPr>
          <w:sz w:val="24"/>
          <w:szCs w:val="24"/>
        </w:rPr>
      </w:pPr>
    </w:p>
    <w:p w:rsidRPr="006C7FAE" w:rsidR="009E13B1" w:rsidRDefault="009E13B1" w14:paraId="67877FD9"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9E13B1" w:rsidRDefault="009E13B1" w14:paraId="544095FA" w14:textId="77777777">
      <w:pPr>
        <w:keepLines/>
        <w:tabs>
          <w:tab w:val="left" w:pos="360"/>
          <w:tab w:val="left" w:pos="720"/>
        </w:tabs>
        <w:ind w:left="360"/>
        <w:rPr>
          <w:sz w:val="24"/>
          <w:szCs w:val="24"/>
        </w:rPr>
      </w:pPr>
    </w:p>
    <w:p w:rsidR="00252117" w:rsidP="00252117" w:rsidRDefault="00252117" w14:paraId="4CC6721C" w14:textId="47AD7280">
      <w:pPr>
        <w:keepLines/>
        <w:tabs>
          <w:tab w:val="left" w:pos="360"/>
          <w:tab w:val="left" w:pos="720"/>
        </w:tabs>
        <w:ind w:left="360"/>
        <w:rPr>
          <w:sz w:val="24"/>
          <w:szCs w:val="24"/>
        </w:rPr>
      </w:pPr>
      <w:r w:rsidRPr="00252117">
        <w:rPr>
          <w:sz w:val="24"/>
          <w:szCs w:val="24"/>
        </w:rPr>
        <w:t xml:space="preserve">HUD requires </w:t>
      </w:r>
      <w:r w:rsidR="00307F35">
        <w:rPr>
          <w:sz w:val="24"/>
          <w:szCs w:val="24"/>
        </w:rPr>
        <w:t>HTF</w:t>
      </w:r>
      <w:r w:rsidR="00E8512E">
        <w:rPr>
          <w:sz w:val="24"/>
          <w:szCs w:val="24"/>
        </w:rPr>
        <w:t xml:space="preserve"> grantees</w:t>
      </w:r>
      <w:r w:rsidRPr="00252117">
        <w:rPr>
          <w:sz w:val="24"/>
          <w:szCs w:val="24"/>
        </w:rPr>
        <w:t xml:space="preserve"> to collect information on the activities undertaken with HTF funds.  </w:t>
      </w:r>
    </w:p>
    <w:p w:rsidR="00E8512E" w:rsidP="00252117" w:rsidRDefault="00E8512E" w14:paraId="640E6BBE" w14:textId="7FFCAAA1">
      <w:pPr>
        <w:keepLines/>
        <w:tabs>
          <w:tab w:val="left" w:pos="360"/>
          <w:tab w:val="left" w:pos="720"/>
        </w:tabs>
        <w:ind w:left="360"/>
        <w:rPr>
          <w:sz w:val="24"/>
          <w:szCs w:val="24"/>
        </w:rPr>
      </w:pPr>
    </w:p>
    <w:p w:rsidRPr="00252117" w:rsidR="00E8512E" w:rsidP="00252117" w:rsidRDefault="00E8512E" w14:paraId="1B2AEEC2" w14:textId="04910F2A">
      <w:pPr>
        <w:keepLines/>
        <w:tabs>
          <w:tab w:val="left" w:pos="360"/>
          <w:tab w:val="left" w:pos="720"/>
        </w:tabs>
        <w:ind w:left="360"/>
        <w:rPr>
          <w:sz w:val="24"/>
          <w:szCs w:val="24"/>
        </w:rPr>
      </w:pPr>
      <w:r w:rsidRPr="00E8512E">
        <w:rPr>
          <w:sz w:val="24"/>
          <w:szCs w:val="24"/>
        </w:rPr>
        <w:t xml:space="preserve">In accordance with 12 USC 4568(e)(2), HUD requires grantees to collect information on the activities undertaken with HTF funds to be reviewed by HUD staff. Data is entered into the Integrated Disbursement and Information System (IDIS) by grantees for specific projects, </w:t>
      </w:r>
      <w:proofErr w:type="gramStart"/>
      <w:r w:rsidRPr="00E8512E">
        <w:rPr>
          <w:sz w:val="24"/>
          <w:szCs w:val="24"/>
        </w:rPr>
        <w:t>including</w:t>
      </w:r>
      <w:r w:rsidR="009067DB">
        <w:rPr>
          <w:sz w:val="24"/>
          <w:szCs w:val="24"/>
        </w:rPr>
        <w:t>:</w:t>
      </w:r>
      <w:proofErr w:type="gramEnd"/>
      <w:r w:rsidRPr="00E8512E">
        <w:rPr>
          <w:sz w:val="24"/>
          <w:szCs w:val="24"/>
        </w:rPr>
        <w:t xml:space="preserve"> address, financial management, owner/developer, and beneficiary data. HUD uses the data collection to monitor the use of HTF funds, and to make sure grantees and program participants are complying with statutory and regulatory requirements.</w:t>
      </w:r>
    </w:p>
    <w:p w:rsidRPr="00252117" w:rsidR="00252117" w:rsidP="00252117" w:rsidRDefault="00252117" w14:paraId="7414714A" w14:textId="77777777">
      <w:pPr>
        <w:keepLines/>
        <w:tabs>
          <w:tab w:val="left" w:pos="360"/>
          <w:tab w:val="left" w:pos="720"/>
        </w:tabs>
        <w:ind w:left="360"/>
        <w:rPr>
          <w:sz w:val="24"/>
          <w:szCs w:val="24"/>
        </w:rPr>
      </w:pPr>
    </w:p>
    <w:p w:rsidRPr="006C7FAE" w:rsidR="00252117" w:rsidP="00A8609E" w:rsidRDefault="00252117" w14:paraId="1D3485CF" w14:textId="77777777">
      <w:pPr>
        <w:keepLines/>
        <w:tabs>
          <w:tab w:val="left" w:pos="360"/>
          <w:tab w:val="left" w:pos="720"/>
        </w:tabs>
        <w:rPr>
          <w:sz w:val="24"/>
          <w:szCs w:val="24"/>
        </w:rPr>
      </w:pPr>
    </w:p>
    <w:p w:rsidRPr="006C7FAE" w:rsidR="009E13B1" w:rsidRDefault="009E13B1" w14:paraId="02FE2B06"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13B1" w:rsidRDefault="00252117" w14:paraId="6BC529F8" w14:textId="77777777">
      <w:pPr>
        <w:tabs>
          <w:tab w:val="left" w:pos="360"/>
        </w:tabs>
        <w:ind w:left="360" w:hanging="360"/>
        <w:rPr>
          <w:sz w:val="24"/>
          <w:szCs w:val="24"/>
        </w:rPr>
      </w:pPr>
      <w:r>
        <w:rPr>
          <w:sz w:val="24"/>
          <w:szCs w:val="24"/>
        </w:rPr>
        <w:lastRenderedPageBreak/>
        <w:tab/>
      </w:r>
    </w:p>
    <w:p w:rsidRPr="00252117" w:rsidR="00252117" w:rsidP="00252117" w:rsidRDefault="00252117" w14:paraId="05E7F00F" w14:textId="6DFE666D">
      <w:pPr>
        <w:ind w:left="360"/>
        <w:rPr>
          <w:sz w:val="24"/>
          <w:szCs w:val="24"/>
        </w:rPr>
      </w:pPr>
      <w:r w:rsidRPr="00252117">
        <w:rPr>
          <w:sz w:val="24"/>
          <w:szCs w:val="24"/>
        </w:rPr>
        <w:t xml:space="preserve">The collection of HTF program information (collection of data on funds management, project and tenant characteristics, and owner data) has been automated by IDIS.  IDIS eliminates the need for grantees to submit paper reports.  The submission of </w:t>
      </w:r>
      <w:r w:rsidR="00C45E24">
        <w:rPr>
          <w:sz w:val="24"/>
          <w:szCs w:val="24"/>
        </w:rPr>
        <w:t xml:space="preserve">the Action Plan, including the HTF Allocation Plan and </w:t>
      </w:r>
      <w:r w:rsidRPr="00252117">
        <w:rPr>
          <w:sz w:val="24"/>
          <w:szCs w:val="24"/>
        </w:rPr>
        <w:t>Action Plan</w:t>
      </w:r>
      <w:r w:rsidR="00E5634D">
        <w:rPr>
          <w:sz w:val="24"/>
          <w:szCs w:val="24"/>
        </w:rPr>
        <w:t>-</w:t>
      </w:r>
      <w:r w:rsidRPr="00252117">
        <w:rPr>
          <w:sz w:val="24"/>
          <w:szCs w:val="24"/>
        </w:rPr>
        <w:t xml:space="preserve">related documents by grantees to the Field Office is also automated.  </w:t>
      </w:r>
      <w:r w:rsidRPr="00252117" w:rsidR="00875D9B">
        <w:rPr>
          <w:sz w:val="24"/>
          <w:szCs w:val="24"/>
        </w:rPr>
        <w:t>All</w:t>
      </w:r>
      <w:r w:rsidRPr="00252117">
        <w:rPr>
          <w:sz w:val="24"/>
          <w:szCs w:val="24"/>
        </w:rPr>
        <w:t xml:space="preserve"> </w:t>
      </w:r>
      <w:r w:rsidR="00681F6F">
        <w:rPr>
          <w:sz w:val="24"/>
          <w:szCs w:val="24"/>
        </w:rPr>
        <w:t xml:space="preserve">HTF </w:t>
      </w:r>
      <w:r w:rsidRPr="00252117">
        <w:rPr>
          <w:sz w:val="24"/>
          <w:szCs w:val="24"/>
        </w:rPr>
        <w:t xml:space="preserve">data elements of the IDIS systems and Consolidated Plan are required under </w:t>
      </w:r>
      <w:r w:rsidR="00CB239F">
        <w:rPr>
          <w:sz w:val="24"/>
          <w:szCs w:val="24"/>
        </w:rPr>
        <w:t xml:space="preserve">the </w:t>
      </w:r>
      <w:r w:rsidR="006121BD">
        <w:rPr>
          <w:sz w:val="24"/>
          <w:szCs w:val="24"/>
        </w:rPr>
        <w:t>HTF Statute</w:t>
      </w:r>
      <w:r w:rsidR="00681F6F">
        <w:rPr>
          <w:sz w:val="24"/>
          <w:szCs w:val="24"/>
        </w:rPr>
        <w:t>, 24 CFR part 93,</w:t>
      </w:r>
      <w:r w:rsidR="00CB239F">
        <w:rPr>
          <w:sz w:val="24"/>
          <w:szCs w:val="24"/>
        </w:rPr>
        <w:t xml:space="preserve"> </w:t>
      </w:r>
      <w:r w:rsidR="00681F6F">
        <w:rPr>
          <w:sz w:val="24"/>
          <w:szCs w:val="24"/>
        </w:rPr>
        <w:t>and</w:t>
      </w:r>
      <w:r w:rsidRPr="00252117">
        <w:rPr>
          <w:sz w:val="24"/>
          <w:szCs w:val="24"/>
        </w:rPr>
        <w:t xml:space="preserve"> related authorities.</w:t>
      </w:r>
    </w:p>
    <w:p w:rsidRPr="006C7FAE" w:rsidR="00252117" w:rsidRDefault="00252117" w14:paraId="2DF1154A" w14:textId="77777777">
      <w:pPr>
        <w:tabs>
          <w:tab w:val="left" w:pos="360"/>
        </w:tabs>
        <w:ind w:left="360" w:hanging="360"/>
        <w:rPr>
          <w:sz w:val="24"/>
          <w:szCs w:val="24"/>
        </w:rPr>
      </w:pPr>
    </w:p>
    <w:p w:rsidRPr="006C7FAE" w:rsidR="009E13B1" w:rsidRDefault="009E13B1" w14:paraId="14CA874F"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9E13B1" w:rsidRDefault="009E13B1" w14:paraId="38B5A9DB" w14:textId="77777777">
      <w:pPr>
        <w:keepLines/>
        <w:tabs>
          <w:tab w:val="left" w:pos="360"/>
          <w:tab w:val="left" w:pos="720"/>
        </w:tabs>
        <w:ind w:left="360"/>
        <w:rPr>
          <w:sz w:val="24"/>
          <w:szCs w:val="24"/>
        </w:rPr>
      </w:pPr>
    </w:p>
    <w:p w:rsidR="00252117" w:rsidRDefault="00252117" w14:paraId="2C420D54" w14:textId="77777777">
      <w:pPr>
        <w:keepLines/>
        <w:tabs>
          <w:tab w:val="left" w:pos="360"/>
          <w:tab w:val="left" w:pos="720"/>
        </w:tabs>
        <w:ind w:left="360"/>
        <w:rPr>
          <w:sz w:val="24"/>
          <w:szCs w:val="24"/>
        </w:rPr>
      </w:pPr>
      <w:r w:rsidRPr="00252117">
        <w:rPr>
          <w:sz w:val="24"/>
          <w:szCs w:val="24"/>
        </w:rPr>
        <w:t>No similar information exists.  The information collected through IDIS is project-specific and, therefore, unique to each grantee’s HTF program.  Other recordkeeping requirements (e.g., property standards, written agreements, tenant protections) are project- or program-specific and unique to local HTF programs.  Documentation relating to nondiscrimination, displacement and relocation and lead-based paint are unique to individual program designs and do not result in duplication of effort.</w:t>
      </w:r>
    </w:p>
    <w:p w:rsidRPr="006C7FAE" w:rsidR="00252117" w:rsidRDefault="00252117" w14:paraId="7D061007" w14:textId="77777777">
      <w:pPr>
        <w:keepLines/>
        <w:tabs>
          <w:tab w:val="left" w:pos="360"/>
          <w:tab w:val="left" w:pos="720"/>
        </w:tabs>
        <w:ind w:left="360"/>
        <w:rPr>
          <w:sz w:val="24"/>
          <w:szCs w:val="24"/>
        </w:rPr>
      </w:pPr>
    </w:p>
    <w:p w:rsidRPr="006C7FAE" w:rsidR="009E13B1" w:rsidRDefault="009E13B1" w14:paraId="6CA1C571"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9E13B1" w:rsidRDefault="009E13B1" w14:paraId="15206548" w14:textId="77777777">
      <w:pPr>
        <w:tabs>
          <w:tab w:val="left" w:pos="360"/>
        </w:tabs>
        <w:ind w:left="360" w:hanging="360"/>
        <w:rPr>
          <w:sz w:val="24"/>
          <w:szCs w:val="24"/>
        </w:rPr>
      </w:pPr>
    </w:p>
    <w:p w:rsidRPr="00252117" w:rsidR="00252117" w:rsidP="00252117" w:rsidRDefault="00252117" w14:paraId="16DA3DEC" w14:textId="77777777">
      <w:pPr>
        <w:ind w:firstLine="360"/>
        <w:rPr>
          <w:sz w:val="24"/>
          <w:szCs w:val="24"/>
        </w:rPr>
      </w:pPr>
      <w:r w:rsidRPr="00252117">
        <w:rPr>
          <w:sz w:val="24"/>
          <w:szCs w:val="24"/>
        </w:rPr>
        <w:t xml:space="preserve">There is no burden to small businesses or other small entities. </w:t>
      </w:r>
    </w:p>
    <w:p w:rsidRPr="006C7FAE" w:rsidR="00252117" w:rsidRDefault="00252117" w14:paraId="4D863424" w14:textId="77777777">
      <w:pPr>
        <w:tabs>
          <w:tab w:val="left" w:pos="360"/>
        </w:tabs>
        <w:ind w:left="360" w:hanging="360"/>
        <w:rPr>
          <w:sz w:val="24"/>
          <w:szCs w:val="24"/>
        </w:rPr>
      </w:pPr>
    </w:p>
    <w:p w:rsidRPr="006C7FAE" w:rsidR="009E13B1" w:rsidRDefault="009E13B1" w14:paraId="308B25C4"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9E13B1" w:rsidRDefault="009E13B1" w14:paraId="65349E20" w14:textId="77777777">
      <w:pPr>
        <w:keepLines/>
        <w:tabs>
          <w:tab w:val="left" w:pos="360"/>
          <w:tab w:val="left" w:pos="720"/>
        </w:tabs>
        <w:ind w:left="360"/>
        <w:rPr>
          <w:sz w:val="24"/>
          <w:szCs w:val="24"/>
        </w:rPr>
      </w:pPr>
    </w:p>
    <w:p w:rsidRPr="00252117" w:rsidR="00252117" w:rsidP="00252117" w:rsidRDefault="00252117" w14:paraId="2EA32E3B" w14:textId="1F20E717">
      <w:pPr>
        <w:ind w:left="360"/>
        <w:rPr>
          <w:sz w:val="24"/>
          <w:szCs w:val="24"/>
        </w:rPr>
      </w:pPr>
      <w:r w:rsidRPr="00252117">
        <w:rPr>
          <w:sz w:val="24"/>
          <w:szCs w:val="24"/>
        </w:rPr>
        <w:t xml:space="preserve">The information is collected on a project-by-project basis to permit grantees to draw down HTF funds from the U.S. Treasury and to ensure that HTF funds are used for </w:t>
      </w:r>
      <w:r w:rsidR="00EE7550">
        <w:rPr>
          <w:sz w:val="24"/>
          <w:szCs w:val="24"/>
        </w:rPr>
        <w:t xml:space="preserve">their authorized purposes and on </w:t>
      </w:r>
      <w:r w:rsidRPr="00252117">
        <w:rPr>
          <w:sz w:val="24"/>
          <w:szCs w:val="24"/>
        </w:rPr>
        <w:t xml:space="preserve">eligible </w:t>
      </w:r>
      <w:r w:rsidR="00681F6F">
        <w:rPr>
          <w:sz w:val="24"/>
          <w:szCs w:val="24"/>
        </w:rPr>
        <w:t>activities and projects</w:t>
      </w:r>
      <w:r w:rsidRPr="00252117">
        <w:rPr>
          <w:sz w:val="24"/>
          <w:szCs w:val="24"/>
        </w:rPr>
        <w:t xml:space="preserve">. </w:t>
      </w:r>
      <w:r w:rsidRPr="00E8512E" w:rsidR="00E8512E">
        <w:rPr>
          <w:sz w:val="24"/>
          <w:szCs w:val="24"/>
        </w:rPr>
        <w:t>If the data is collected less frequently, HUD and the grantees will be potentially in violation of HTF statute and/or 2 C.F.R. Part 200, the Uniform Administrative Requirements, Cost Principles, and Audit Requirements for Federal Awards</w:t>
      </w:r>
      <w:r w:rsidRPr="00252117">
        <w:rPr>
          <w:sz w:val="24"/>
          <w:szCs w:val="24"/>
        </w:rPr>
        <w:t>.</w:t>
      </w:r>
    </w:p>
    <w:p w:rsidRPr="006C7FAE" w:rsidR="00252117" w:rsidRDefault="00252117" w14:paraId="453169E5" w14:textId="77777777">
      <w:pPr>
        <w:keepLines/>
        <w:tabs>
          <w:tab w:val="left" w:pos="360"/>
          <w:tab w:val="left" w:pos="720"/>
        </w:tabs>
        <w:ind w:left="360"/>
        <w:rPr>
          <w:sz w:val="24"/>
          <w:szCs w:val="24"/>
        </w:rPr>
      </w:pPr>
    </w:p>
    <w:p w:rsidRPr="006C7FAE" w:rsidR="009E13B1" w:rsidRDefault="009E13B1" w14:paraId="13B85594"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001278ED" w:rsidP="0087681C" w:rsidRDefault="009E13B1" w14:paraId="667CF79B" w14:textId="388A7ACF">
      <w:pPr>
        <w:numPr>
          <w:ilvl w:val="0"/>
          <w:numId w:val="14"/>
        </w:numPr>
        <w:tabs>
          <w:tab w:val="left" w:pos="600"/>
        </w:tabs>
        <w:rPr>
          <w:sz w:val="24"/>
          <w:szCs w:val="24"/>
        </w:rPr>
      </w:pPr>
      <w:r w:rsidRPr="006C7FAE">
        <w:rPr>
          <w:sz w:val="24"/>
          <w:szCs w:val="24"/>
        </w:rPr>
        <w:t xml:space="preserve">requiring respondents to report information to the agency more than </w:t>
      </w:r>
      <w:r w:rsidRPr="006C7FAE" w:rsidR="00A91712">
        <w:rPr>
          <w:sz w:val="24"/>
          <w:szCs w:val="24"/>
        </w:rPr>
        <w:t>quarterly.</w:t>
      </w:r>
      <w:r w:rsidRPr="006C7FAE">
        <w:rPr>
          <w:sz w:val="24"/>
          <w:szCs w:val="24"/>
        </w:rPr>
        <w:t xml:space="preserve"> </w:t>
      </w:r>
    </w:p>
    <w:p w:rsidR="004E1F10" w:rsidP="001278ED" w:rsidRDefault="004E1F10" w14:paraId="7E18729E" w14:textId="77777777">
      <w:pPr>
        <w:tabs>
          <w:tab w:val="left" w:pos="600"/>
        </w:tabs>
        <w:ind w:left="360"/>
        <w:rPr>
          <w:sz w:val="24"/>
          <w:szCs w:val="24"/>
        </w:rPr>
      </w:pPr>
    </w:p>
    <w:p w:rsidR="009E13B1" w:rsidP="001278ED" w:rsidRDefault="00C15787" w14:paraId="21B7CB03" w14:textId="339629B2">
      <w:pPr>
        <w:tabs>
          <w:tab w:val="left" w:pos="600"/>
        </w:tabs>
        <w:ind w:left="360"/>
        <w:rPr>
          <w:sz w:val="24"/>
          <w:szCs w:val="24"/>
        </w:rPr>
      </w:pPr>
      <w:r w:rsidRPr="0087681C">
        <w:rPr>
          <w:sz w:val="24"/>
          <w:szCs w:val="24"/>
        </w:rPr>
        <w:t xml:space="preserve">HTF regulations </w:t>
      </w:r>
      <w:r w:rsidRPr="001278ED" w:rsidR="009C4FB7">
        <w:rPr>
          <w:sz w:val="24"/>
          <w:szCs w:val="24"/>
        </w:rPr>
        <w:t xml:space="preserve">at 24 CFR 93.402 and 24 CFR 93.407 </w:t>
      </w:r>
      <w:r w:rsidRPr="001278ED">
        <w:rPr>
          <w:sz w:val="24"/>
          <w:szCs w:val="24"/>
        </w:rPr>
        <w:t xml:space="preserve">require grantees to provide </w:t>
      </w:r>
      <w:r w:rsidRPr="0087681C">
        <w:rPr>
          <w:sz w:val="24"/>
          <w:szCs w:val="24"/>
        </w:rPr>
        <w:t xml:space="preserve">financial recordkeeping and performance </w:t>
      </w:r>
      <w:r w:rsidR="00A91712">
        <w:rPr>
          <w:sz w:val="24"/>
          <w:szCs w:val="24"/>
        </w:rPr>
        <w:t>reporting in IDIS</w:t>
      </w:r>
      <w:r w:rsidRPr="0087681C" w:rsidR="00A91712">
        <w:rPr>
          <w:sz w:val="24"/>
          <w:szCs w:val="24"/>
        </w:rPr>
        <w:t xml:space="preserve"> </w:t>
      </w:r>
      <w:r w:rsidRPr="0087681C">
        <w:rPr>
          <w:sz w:val="24"/>
          <w:szCs w:val="24"/>
        </w:rPr>
        <w:t>to ensure projects are progressing and HUD funds are being used effectively.</w:t>
      </w:r>
      <w:r w:rsidRPr="0087681C" w:rsidR="009C4FB7">
        <w:rPr>
          <w:sz w:val="24"/>
          <w:szCs w:val="24"/>
        </w:rPr>
        <w:t xml:space="preserve">  These reports are </w:t>
      </w:r>
      <w:r w:rsidR="00A8609E">
        <w:rPr>
          <w:sz w:val="24"/>
          <w:szCs w:val="24"/>
        </w:rPr>
        <w:t>required</w:t>
      </w:r>
      <w:r w:rsidRPr="0087681C" w:rsidR="009C4FB7">
        <w:rPr>
          <w:sz w:val="24"/>
          <w:szCs w:val="24"/>
        </w:rPr>
        <w:t xml:space="preserve"> monthly</w:t>
      </w:r>
      <w:r w:rsidRPr="00C006C9" w:rsidR="009C4FB7">
        <w:rPr>
          <w:sz w:val="24"/>
          <w:szCs w:val="24"/>
        </w:rPr>
        <w:t>.</w:t>
      </w:r>
      <w:r w:rsidRPr="00C006C9">
        <w:rPr>
          <w:sz w:val="24"/>
          <w:szCs w:val="24"/>
        </w:rPr>
        <w:t xml:space="preserve"> </w:t>
      </w:r>
      <w:r w:rsidRPr="00866892">
        <w:rPr>
          <w:sz w:val="24"/>
          <w:szCs w:val="24"/>
        </w:rPr>
        <w:t xml:space="preserve"> </w:t>
      </w:r>
    </w:p>
    <w:p w:rsidRPr="00C006C9" w:rsidR="004E1F10" w:rsidP="00832BFC" w:rsidRDefault="004E1F10" w14:paraId="02C8748F" w14:textId="77777777">
      <w:pPr>
        <w:tabs>
          <w:tab w:val="left" w:pos="600"/>
        </w:tabs>
        <w:ind w:left="360"/>
        <w:rPr>
          <w:sz w:val="24"/>
          <w:szCs w:val="24"/>
        </w:rPr>
      </w:pPr>
    </w:p>
    <w:p w:rsidRPr="006C7FAE" w:rsidR="009E13B1" w:rsidRDefault="009E13B1" w14:paraId="22F3E711"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proofErr w:type="gramStart"/>
      <w:r w:rsidRPr="006C7FAE">
        <w:rPr>
          <w:sz w:val="24"/>
          <w:szCs w:val="24"/>
        </w:rPr>
        <w:t>it;</w:t>
      </w:r>
      <w:proofErr w:type="gramEnd"/>
      <w:r w:rsidRPr="006C7FAE">
        <w:rPr>
          <w:sz w:val="24"/>
          <w:szCs w:val="24"/>
        </w:rPr>
        <w:t xml:space="preserve"> </w:t>
      </w:r>
      <w:r w:rsidR="00C15787">
        <w:rPr>
          <w:sz w:val="24"/>
          <w:szCs w:val="24"/>
        </w:rPr>
        <w:t>N/A</w:t>
      </w:r>
    </w:p>
    <w:p w:rsidRPr="006C7FAE" w:rsidR="009E13B1" w:rsidRDefault="009E13B1" w14:paraId="01F43AC4"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w:t>
      </w:r>
      <w:proofErr w:type="gramStart"/>
      <w:r w:rsidRPr="006C7FAE">
        <w:rPr>
          <w:sz w:val="24"/>
          <w:szCs w:val="24"/>
        </w:rPr>
        <w:t>document;</w:t>
      </w:r>
      <w:proofErr w:type="gramEnd"/>
      <w:r w:rsidRPr="006C7FAE">
        <w:rPr>
          <w:sz w:val="24"/>
          <w:szCs w:val="24"/>
        </w:rPr>
        <w:t xml:space="preserve"> </w:t>
      </w:r>
      <w:r w:rsidRPr="00C15787" w:rsidR="00C15787">
        <w:rPr>
          <w:sz w:val="24"/>
          <w:szCs w:val="24"/>
        </w:rPr>
        <w:t>N/A</w:t>
      </w:r>
    </w:p>
    <w:p w:rsidRPr="006C7FAE" w:rsidR="009E13B1" w:rsidRDefault="009E13B1" w14:paraId="117F1E8A"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C15787" w:rsidR="00C15787">
        <w:rPr>
          <w:sz w:val="24"/>
          <w:szCs w:val="24"/>
        </w:rPr>
        <w:t>N/A</w:t>
      </w:r>
    </w:p>
    <w:p w:rsidRPr="006C7FAE" w:rsidR="009E13B1" w:rsidRDefault="009E13B1" w14:paraId="54C3437D"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C15787" w:rsidR="00C15787">
        <w:rPr>
          <w:sz w:val="24"/>
          <w:szCs w:val="24"/>
        </w:rPr>
        <w:t>N/A</w:t>
      </w:r>
    </w:p>
    <w:p w:rsidRPr="006C7FAE" w:rsidR="009E13B1" w:rsidRDefault="009E13B1" w14:paraId="6200FB75"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Pr="00C15787" w:rsidR="00C15787">
        <w:rPr>
          <w:sz w:val="24"/>
          <w:szCs w:val="24"/>
        </w:rPr>
        <w:t>N/A</w:t>
      </w:r>
    </w:p>
    <w:p w:rsidRPr="006C7FAE" w:rsidR="009E13B1" w:rsidRDefault="009E13B1" w14:paraId="5ABBAAAB"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C15787" w:rsidR="00C15787">
        <w:rPr>
          <w:sz w:val="24"/>
          <w:szCs w:val="24"/>
        </w:rPr>
        <w:t>N/A</w:t>
      </w:r>
    </w:p>
    <w:p w:rsidRPr="00252117" w:rsidR="009E13B1" w:rsidP="00252117" w:rsidRDefault="009E13B1" w14:paraId="6C8F42ED"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C15787">
        <w:rPr>
          <w:sz w:val="24"/>
          <w:szCs w:val="24"/>
        </w:rPr>
        <w:t xml:space="preserve"> </w:t>
      </w:r>
      <w:r w:rsidRPr="00C15787" w:rsidR="00C15787">
        <w:rPr>
          <w:sz w:val="24"/>
          <w:szCs w:val="24"/>
        </w:rPr>
        <w:t>N/A</w:t>
      </w:r>
    </w:p>
    <w:p w:rsidRPr="006C7FAE" w:rsidR="00252117" w:rsidRDefault="00252117" w14:paraId="4F077203" w14:textId="77777777">
      <w:pPr>
        <w:tabs>
          <w:tab w:val="left" w:pos="360"/>
        </w:tabs>
        <w:ind w:left="360" w:hanging="360"/>
        <w:rPr>
          <w:sz w:val="24"/>
          <w:szCs w:val="24"/>
        </w:rPr>
      </w:pPr>
    </w:p>
    <w:p w:rsidRPr="006C7FAE" w:rsidR="009E13B1" w:rsidRDefault="009E13B1" w14:paraId="6BADB6ED"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w:t>
      </w:r>
      <w:proofErr w:type="gramStart"/>
      <w:r w:rsidRPr="006C7FAE">
        <w:rPr>
          <w:sz w:val="24"/>
          <w:szCs w:val="24"/>
        </w:rPr>
        <w:t>publication</w:t>
      </w:r>
      <w:proofErr w:type="gramEnd"/>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9E13B1" w:rsidRDefault="009E13B1" w14:paraId="024F9A23"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rsidRDefault="009E13B1" w14:paraId="42D8E3E4"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C15787" w:rsidP="00C15787" w:rsidRDefault="00C15787" w14:paraId="15AB7DFF" w14:textId="77777777">
      <w:pPr>
        <w:keepLines/>
        <w:tabs>
          <w:tab w:val="left" w:pos="360"/>
        </w:tabs>
        <w:spacing w:after="80"/>
        <w:ind w:left="480"/>
        <w:rPr>
          <w:sz w:val="24"/>
          <w:szCs w:val="24"/>
        </w:rPr>
      </w:pPr>
    </w:p>
    <w:p w:rsidRPr="00AF7F52" w:rsidR="000B1FD6" w:rsidP="00A91712" w:rsidRDefault="000B1FD6" w14:paraId="66F7B198" w14:textId="4902EB19">
      <w:pPr>
        <w:pStyle w:val="CommentText"/>
        <w:ind w:left="360"/>
        <w:rPr>
          <w:sz w:val="24"/>
          <w:szCs w:val="24"/>
        </w:rPr>
      </w:pPr>
      <w:r w:rsidRPr="00AF7F52">
        <w:rPr>
          <w:sz w:val="24"/>
          <w:szCs w:val="24"/>
        </w:rPr>
        <w:t xml:space="preserve">The Federal Register announcing this collection of information was posted on </w:t>
      </w:r>
      <w:r w:rsidRPr="00AF7F52" w:rsidR="00A17797">
        <w:rPr>
          <w:sz w:val="24"/>
          <w:szCs w:val="24"/>
        </w:rPr>
        <w:t>April 20, 2022</w:t>
      </w:r>
      <w:r w:rsidRPr="00AF7F52">
        <w:rPr>
          <w:sz w:val="24"/>
          <w:szCs w:val="24"/>
        </w:rPr>
        <w:t xml:space="preserve"> (Volume </w:t>
      </w:r>
      <w:r w:rsidRPr="00AF7F52" w:rsidR="00A17797">
        <w:rPr>
          <w:sz w:val="24"/>
          <w:szCs w:val="24"/>
        </w:rPr>
        <w:t>87</w:t>
      </w:r>
      <w:r w:rsidRPr="00AF7F52">
        <w:rPr>
          <w:sz w:val="24"/>
          <w:szCs w:val="24"/>
        </w:rPr>
        <w:t xml:space="preserve">, Number </w:t>
      </w:r>
      <w:r w:rsidRPr="00AF7F52" w:rsidR="00A17797">
        <w:rPr>
          <w:sz w:val="24"/>
          <w:szCs w:val="24"/>
        </w:rPr>
        <w:t>76</w:t>
      </w:r>
      <w:r w:rsidRPr="00AF7F52">
        <w:rPr>
          <w:sz w:val="24"/>
          <w:szCs w:val="24"/>
        </w:rPr>
        <w:t xml:space="preserve">, Page </w:t>
      </w:r>
      <w:r w:rsidRPr="00AF7F52" w:rsidR="00A17797">
        <w:rPr>
          <w:sz w:val="24"/>
          <w:szCs w:val="24"/>
        </w:rPr>
        <w:t>23534</w:t>
      </w:r>
      <w:r w:rsidRPr="00AF7F52">
        <w:rPr>
          <w:sz w:val="24"/>
          <w:szCs w:val="24"/>
        </w:rPr>
        <w:t xml:space="preserve">).  </w:t>
      </w:r>
      <w:r w:rsidR="002B59F6">
        <w:rPr>
          <w:sz w:val="24"/>
          <w:szCs w:val="24"/>
        </w:rPr>
        <w:t>No com</w:t>
      </w:r>
      <w:r w:rsidRPr="00AF7F52">
        <w:rPr>
          <w:sz w:val="24"/>
          <w:szCs w:val="24"/>
        </w:rPr>
        <w:t>ments have been received.</w:t>
      </w:r>
    </w:p>
    <w:p w:rsidRPr="006C7FAE" w:rsidR="009E13B1" w:rsidRDefault="009E13B1" w14:paraId="6D54300A" w14:textId="77777777">
      <w:pPr>
        <w:tabs>
          <w:tab w:val="left" w:pos="360"/>
        </w:tabs>
        <w:ind w:left="360" w:hanging="360"/>
        <w:rPr>
          <w:sz w:val="24"/>
          <w:szCs w:val="24"/>
        </w:rPr>
      </w:pPr>
    </w:p>
    <w:p w:rsidRPr="006C7FAE" w:rsidR="009E13B1" w:rsidRDefault="009E13B1" w14:paraId="51C3F0BC" w14:textId="77777777">
      <w:pPr>
        <w:keepLines/>
        <w:tabs>
          <w:tab w:val="left" w:pos="360"/>
        </w:tabs>
        <w:spacing w:after="80"/>
        <w:ind w:left="360" w:hanging="360"/>
        <w:rPr>
          <w:sz w:val="24"/>
          <w:szCs w:val="24"/>
        </w:rPr>
      </w:pPr>
      <w:r w:rsidRPr="006C7FAE">
        <w:rPr>
          <w:sz w:val="24"/>
          <w:szCs w:val="24"/>
        </w:rPr>
        <w:t>9.</w:t>
      </w:r>
      <w:r w:rsidRPr="006C7FAE">
        <w:rPr>
          <w:sz w:val="24"/>
          <w:szCs w:val="24"/>
        </w:rPr>
        <w:tab/>
        <w:t xml:space="preserve">Explain any decision to provide any payment or gift to respondents, other than </w:t>
      </w:r>
      <w:proofErr w:type="spellStart"/>
      <w:r w:rsidRPr="006C7FAE">
        <w:rPr>
          <w:sz w:val="24"/>
          <w:szCs w:val="24"/>
        </w:rPr>
        <w:t>reenumeration</w:t>
      </w:r>
      <w:proofErr w:type="spellEnd"/>
      <w:r w:rsidRPr="006C7FAE">
        <w:rPr>
          <w:sz w:val="24"/>
          <w:szCs w:val="24"/>
        </w:rPr>
        <w:t xml:space="preserve"> of contractors or grantees.</w:t>
      </w:r>
    </w:p>
    <w:p w:rsidR="009E13B1" w:rsidRDefault="009E13B1" w14:paraId="64F734EF" w14:textId="77777777">
      <w:pPr>
        <w:tabs>
          <w:tab w:val="left" w:pos="360"/>
        </w:tabs>
        <w:ind w:left="360" w:hanging="360"/>
        <w:rPr>
          <w:sz w:val="24"/>
          <w:szCs w:val="24"/>
        </w:rPr>
      </w:pPr>
    </w:p>
    <w:p w:rsidR="00A17797" w:rsidRDefault="00252117" w14:paraId="3F1B8BDD" w14:textId="13A2B282">
      <w:pPr>
        <w:tabs>
          <w:tab w:val="left" w:pos="360"/>
        </w:tabs>
        <w:ind w:left="360" w:hanging="360"/>
        <w:rPr>
          <w:sz w:val="24"/>
          <w:szCs w:val="24"/>
        </w:rPr>
      </w:pPr>
      <w:r>
        <w:rPr>
          <w:sz w:val="24"/>
          <w:szCs w:val="24"/>
        </w:rPr>
        <w:tab/>
      </w:r>
      <w:r w:rsidR="00C006C9">
        <w:rPr>
          <w:sz w:val="24"/>
          <w:szCs w:val="24"/>
        </w:rPr>
        <w:t>N/A</w:t>
      </w:r>
      <w:r w:rsidR="00820BA3">
        <w:rPr>
          <w:sz w:val="24"/>
          <w:szCs w:val="24"/>
        </w:rPr>
        <w:t xml:space="preserve"> - </w:t>
      </w:r>
      <w:r w:rsidRPr="00566BB1" w:rsidR="00566BB1">
        <w:rPr>
          <w:sz w:val="24"/>
          <w:szCs w:val="24"/>
        </w:rPr>
        <w:t>There have been no gifts or payments in association with this program</w:t>
      </w:r>
      <w:r w:rsidR="00566BB1">
        <w:rPr>
          <w:sz w:val="24"/>
          <w:szCs w:val="24"/>
        </w:rPr>
        <w:t>.</w:t>
      </w:r>
    </w:p>
    <w:p w:rsidRPr="006C7FAE" w:rsidR="00566BB1" w:rsidRDefault="00566BB1" w14:paraId="50096634" w14:textId="77777777">
      <w:pPr>
        <w:tabs>
          <w:tab w:val="left" w:pos="360"/>
        </w:tabs>
        <w:ind w:left="360" w:hanging="360"/>
        <w:rPr>
          <w:sz w:val="24"/>
          <w:szCs w:val="24"/>
        </w:rPr>
      </w:pPr>
    </w:p>
    <w:p w:rsidRPr="006C7FAE" w:rsidR="009E13B1" w:rsidRDefault="009E13B1" w14:paraId="7F609F1C" w14:textId="77777777">
      <w:pPr>
        <w:keepLines/>
        <w:tabs>
          <w:tab w:val="left" w:pos="360"/>
        </w:tabs>
        <w:spacing w:after="80"/>
        <w:ind w:left="360" w:hanging="360"/>
        <w:rPr>
          <w:sz w:val="24"/>
          <w:szCs w:val="24"/>
        </w:rPr>
      </w:pPr>
      <w:r w:rsidRPr="006C7FAE">
        <w:rPr>
          <w:sz w:val="24"/>
          <w:szCs w:val="24"/>
        </w:rPr>
        <w:t>10.</w:t>
      </w:r>
      <w:r w:rsidRPr="006C7FAE">
        <w:rPr>
          <w:sz w:val="24"/>
          <w:szCs w:val="24"/>
        </w:rPr>
        <w:tab/>
        <w:t xml:space="preserve">Describe any assurance of confidentiality provided to respondents and the basis for assurance in statute, </w:t>
      </w:r>
      <w:proofErr w:type="gramStart"/>
      <w:r w:rsidRPr="006C7FAE">
        <w:rPr>
          <w:sz w:val="24"/>
          <w:szCs w:val="24"/>
        </w:rPr>
        <w:t>regulation</w:t>
      </w:r>
      <w:proofErr w:type="gramEnd"/>
      <w:r w:rsidRPr="006C7FAE">
        <w:rPr>
          <w:sz w:val="24"/>
          <w:szCs w:val="24"/>
        </w:rPr>
        <w:t xml:space="preserve"> or agency policy.</w:t>
      </w:r>
    </w:p>
    <w:p w:rsidR="009E13B1" w:rsidRDefault="009E13B1" w14:paraId="38C5003D" w14:textId="77777777">
      <w:pPr>
        <w:tabs>
          <w:tab w:val="left" w:pos="360"/>
        </w:tabs>
        <w:ind w:left="360" w:hanging="360"/>
        <w:rPr>
          <w:sz w:val="24"/>
          <w:szCs w:val="24"/>
        </w:rPr>
      </w:pPr>
    </w:p>
    <w:p w:rsidR="00252117" w:rsidRDefault="00252117" w14:paraId="78A702CB" w14:textId="6115557E">
      <w:pPr>
        <w:tabs>
          <w:tab w:val="left" w:pos="360"/>
        </w:tabs>
        <w:ind w:left="360" w:hanging="360"/>
        <w:rPr>
          <w:sz w:val="24"/>
          <w:szCs w:val="24"/>
        </w:rPr>
      </w:pPr>
      <w:r>
        <w:rPr>
          <w:sz w:val="24"/>
          <w:szCs w:val="24"/>
        </w:rPr>
        <w:tab/>
      </w:r>
      <w:r w:rsidR="004A2C69">
        <w:rPr>
          <w:sz w:val="24"/>
          <w:szCs w:val="24"/>
        </w:rPr>
        <w:t>Grantees</w:t>
      </w:r>
      <w:r w:rsidRPr="00252117">
        <w:rPr>
          <w:sz w:val="24"/>
          <w:szCs w:val="24"/>
        </w:rPr>
        <w:t xml:space="preserve"> will collect and maintain records of information.  Information on activities and expenditures of grant funds is public information and is generally available for disclosure.  </w:t>
      </w:r>
      <w:r w:rsidR="004A2C69">
        <w:rPr>
          <w:sz w:val="24"/>
          <w:szCs w:val="24"/>
        </w:rPr>
        <w:t xml:space="preserve">Grantees </w:t>
      </w:r>
      <w:r w:rsidRPr="00252117">
        <w:rPr>
          <w:sz w:val="24"/>
          <w:szCs w:val="24"/>
        </w:rPr>
        <w:t>are responsible for ensuring confidentiality when public disclosure is not required.</w:t>
      </w:r>
    </w:p>
    <w:p w:rsidRPr="006C7FAE" w:rsidR="00252117" w:rsidRDefault="00252117" w14:paraId="3A230F65" w14:textId="77777777">
      <w:pPr>
        <w:tabs>
          <w:tab w:val="left" w:pos="360"/>
        </w:tabs>
        <w:ind w:left="360" w:hanging="360"/>
        <w:rPr>
          <w:sz w:val="24"/>
          <w:szCs w:val="24"/>
        </w:rPr>
      </w:pPr>
    </w:p>
    <w:p w:rsidRPr="006C7FAE" w:rsidR="009E13B1" w:rsidRDefault="009E13B1" w14:paraId="6E127406"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RDefault="00252117" w14:paraId="54F9FE51" w14:textId="77777777">
      <w:pPr>
        <w:tabs>
          <w:tab w:val="left" w:pos="360"/>
        </w:tabs>
        <w:ind w:left="360" w:hanging="360"/>
        <w:rPr>
          <w:sz w:val="24"/>
          <w:szCs w:val="24"/>
        </w:rPr>
      </w:pPr>
      <w:r>
        <w:rPr>
          <w:sz w:val="24"/>
          <w:szCs w:val="24"/>
        </w:rPr>
        <w:tab/>
      </w:r>
    </w:p>
    <w:p w:rsidR="00252117" w:rsidRDefault="00252117" w14:paraId="159E583F" w14:textId="1E137ACC">
      <w:pPr>
        <w:tabs>
          <w:tab w:val="left" w:pos="360"/>
        </w:tabs>
        <w:ind w:left="360" w:hanging="360"/>
        <w:rPr>
          <w:sz w:val="24"/>
          <w:szCs w:val="24"/>
        </w:rPr>
      </w:pPr>
      <w:r>
        <w:rPr>
          <w:sz w:val="24"/>
          <w:szCs w:val="24"/>
        </w:rPr>
        <w:tab/>
      </w:r>
      <w:r w:rsidR="0065744D">
        <w:rPr>
          <w:sz w:val="24"/>
          <w:szCs w:val="24"/>
        </w:rPr>
        <w:t xml:space="preserve">N/A. </w:t>
      </w:r>
      <w:r w:rsidRPr="00252117">
        <w:rPr>
          <w:sz w:val="24"/>
          <w:szCs w:val="24"/>
        </w:rPr>
        <w:t>There are no questions of a sensitive nature in association with this program.</w:t>
      </w:r>
    </w:p>
    <w:p w:rsidRPr="006C7FAE" w:rsidR="00252117" w:rsidRDefault="00252117" w14:paraId="76AC3529" w14:textId="77777777">
      <w:pPr>
        <w:tabs>
          <w:tab w:val="left" w:pos="360"/>
        </w:tabs>
        <w:ind w:left="360" w:hanging="360"/>
        <w:rPr>
          <w:sz w:val="24"/>
          <w:szCs w:val="24"/>
        </w:rPr>
      </w:pPr>
    </w:p>
    <w:p w:rsidRPr="006C7FAE" w:rsidR="009E13B1" w:rsidRDefault="009E13B1" w14:paraId="478062A6"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Pr="006C7FAE" w:rsidR="009E13B1" w:rsidRDefault="009E13B1" w14:paraId="235564C8"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proofErr w:type="gramStart"/>
      <w:r w:rsidRPr="006C7FAE">
        <w:rPr>
          <w:sz w:val="24"/>
          <w:szCs w:val="24"/>
        </w:rPr>
        <w:t>practices;</w:t>
      </w:r>
      <w:proofErr w:type="gramEnd"/>
      <w:r w:rsidRPr="006C7FAE">
        <w:rPr>
          <w:sz w:val="24"/>
          <w:szCs w:val="24"/>
        </w:rPr>
        <w:t xml:space="preserve"> </w:t>
      </w:r>
    </w:p>
    <w:p w:rsidRPr="006C7FAE" w:rsidR="009E13B1" w:rsidRDefault="009E13B1" w14:paraId="1E080468" w14:textId="77777777">
      <w:pPr>
        <w:numPr>
          <w:ilvl w:val="0"/>
          <w:numId w:val="14"/>
        </w:numPr>
        <w:tabs>
          <w:tab w:val="left" w:pos="480"/>
        </w:tabs>
        <w:ind w:left="480"/>
        <w:rPr>
          <w:sz w:val="24"/>
          <w:szCs w:val="24"/>
        </w:rPr>
      </w:pPr>
      <w:r w:rsidRPr="006C7FAE">
        <w:rPr>
          <w:sz w:val="24"/>
          <w:szCs w:val="24"/>
        </w:rPr>
        <w:t>if this request covers more than one form, provide separate hour burden estimates for each form and aggregate the hour burdens in Item 13 of OMB Form 83-</w:t>
      </w:r>
      <w:proofErr w:type="gramStart"/>
      <w:r w:rsidRPr="006C7FAE">
        <w:rPr>
          <w:sz w:val="24"/>
          <w:szCs w:val="24"/>
        </w:rPr>
        <w:t>I;</w:t>
      </w:r>
      <w:proofErr w:type="gramEnd"/>
      <w:r w:rsidRPr="006C7FAE">
        <w:rPr>
          <w:sz w:val="24"/>
          <w:szCs w:val="24"/>
        </w:rPr>
        <w:t xml:space="preserve"> and </w:t>
      </w:r>
    </w:p>
    <w:p w:rsidR="009E13B1" w:rsidRDefault="009E13B1" w14:paraId="349DC2A7" w14:textId="79F4BE58">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6C7FAE">
        <w:rPr>
          <w:sz w:val="24"/>
          <w:szCs w:val="24"/>
        </w:rPr>
        <w:t>Instead</w:t>
      </w:r>
      <w:proofErr w:type="gramEnd"/>
      <w:r w:rsidRPr="006C7FAE">
        <w:rPr>
          <w:sz w:val="24"/>
          <w:szCs w:val="24"/>
        </w:rPr>
        <w:t xml:space="preserve"> this cost should be included in Item 13.</w:t>
      </w:r>
    </w:p>
    <w:p w:rsidR="005D30DB" w:rsidRDefault="005D30DB" w14:paraId="3D37369F" w14:textId="77777777">
      <w:pPr>
        <w:keepLines/>
        <w:numPr>
          <w:ilvl w:val="0"/>
          <w:numId w:val="14"/>
        </w:numPr>
        <w:tabs>
          <w:tab w:val="left" w:pos="480"/>
        </w:tabs>
        <w:spacing w:after="80"/>
        <w:ind w:left="480"/>
        <w:rPr>
          <w:sz w:val="24"/>
          <w:szCs w:val="24"/>
        </w:rPr>
      </w:pPr>
    </w:p>
    <w:p w:rsidR="00A9346B" w:rsidP="00A9346B" w:rsidRDefault="007E2735" w14:paraId="23415557" w14:textId="4C4B25C4">
      <w:pPr>
        <w:keepLines/>
        <w:tabs>
          <w:tab w:val="left" w:pos="480"/>
        </w:tabs>
        <w:spacing w:after="80"/>
        <w:rPr>
          <w:sz w:val="24"/>
          <w:szCs w:val="24"/>
        </w:rPr>
      </w:pPr>
      <w:r>
        <w:rPr>
          <w:sz w:val="24"/>
          <w:szCs w:val="24"/>
        </w:rPr>
        <w:t xml:space="preserve">NOTE: </w:t>
      </w:r>
      <w:r w:rsidR="005D30DB">
        <w:rPr>
          <w:sz w:val="24"/>
          <w:szCs w:val="24"/>
        </w:rPr>
        <w:t>Please see attached Burden Hours Statement and proposed location for posting Statement.</w:t>
      </w:r>
    </w:p>
    <w:p w:rsidR="007E2735" w:rsidP="00A9346B" w:rsidRDefault="007E2735" w14:paraId="1E163C05" w14:textId="77777777">
      <w:pPr>
        <w:keepLines/>
        <w:tabs>
          <w:tab w:val="left" w:pos="480"/>
        </w:tabs>
        <w:spacing w:after="80"/>
        <w:rPr>
          <w:sz w:val="24"/>
          <w:szCs w:val="24"/>
        </w:rPr>
      </w:pPr>
    </w:p>
    <w:tbl>
      <w:tblPr>
        <w:tblW w:w="1138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640"/>
        <w:gridCol w:w="1928"/>
        <w:gridCol w:w="1273"/>
        <w:gridCol w:w="1067"/>
        <w:gridCol w:w="1074"/>
        <w:gridCol w:w="996"/>
        <w:gridCol w:w="1026"/>
        <w:gridCol w:w="996"/>
        <w:gridCol w:w="1380"/>
      </w:tblGrid>
      <w:tr w:rsidRPr="00A9346B" w:rsidR="006C5B6A" w:rsidTr="00442115" w14:paraId="3424CF2B" w14:textId="77777777">
        <w:trPr>
          <w:trHeight w:val="1050"/>
          <w:tblHeader/>
          <w:jc w:val="center"/>
        </w:trPr>
        <w:tc>
          <w:tcPr>
            <w:tcW w:w="1640" w:type="dxa"/>
            <w:shd w:val="clear" w:color="auto" w:fill="A6A6A6"/>
            <w:vAlign w:val="center"/>
            <w:hideMark/>
          </w:tcPr>
          <w:p w:rsidRPr="00A9346B" w:rsidR="00A9346B" w:rsidP="00A9346B" w:rsidRDefault="00A9346B" w14:paraId="1C73A7D3" w14:textId="77777777">
            <w:pPr>
              <w:overflowPunct/>
              <w:autoSpaceDE/>
              <w:autoSpaceDN/>
              <w:adjustRightInd/>
              <w:jc w:val="center"/>
              <w:textAlignment w:val="auto"/>
              <w:rPr>
                <w:rFonts w:ascii="Calibri" w:hAnsi="Calibri" w:cs="Calibri"/>
                <w:color w:val="000000"/>
              </w:rPr>
            </w:pPr>
            <w:r w:rsidRPr="00A9346B">
              <w:rPr>
                <w:rFonts w:ascii="Calibri" w:hAnsi="Calibri" w:cs="Calibri"/>
                <w:color w:val="000000"/>
              </w:rPr>
              <w:t>Regulatory Section</w:t>
            </w:r>
          </w:p>
        </w:tc>
        <w:tc>
          <w:tcPr>
            <w:tcW w:w="1928" w:type="dxa"/>
            <w:shd w:val="clear" w:color="auto" w:fill="A6A6A6"/>
            <w:vAlign w:val="center"/>
            <w:hideMark/>
          </w:tcPr>
          <w:p w:rsidRPr="00A9346B" w:rsidR="00A9346B" w:rsidP="00A9346B" w:rsidRDefault="00A9346B" w14:paraId="1BFA0C7E" w14:textId="77777777">
            <w:pPr>
              <w:overflowPunct/>
              <w:autoSpaceDE/>
              <w:autoSpaceDN/>
              <w:adjustRightInd/>
              <w:jc w:val="center"/>
              <w:textAlignment w:val="auto"/>
              <w:rPr>
                <w:rFonts w:ascii="Calibri" w:hAnsi="Calibri" w:cs="Calibri"/>
                <w:color w:val="000000"/>
              </w:rPr>
            </w:pPr>
            <w:r w:rsidRPr="00A9346B">
              <w:rPr>
                <w:rFonts w:ascii="Calibri" w:hAnsi="Calibri" w:cs="Calibri"/>
                <w:color w:val="000000"/>
              </w:rPr>
              <w:t>Information Collection</w:t>
            </w:r>
          </w:p>
        </w:tc>
        <w:tc>
          <w:tcPr>
            <w:tcW w:w="1273" w:type="dxa"/>
            <w:shd w:val="clear" w:color="auto" w:fill="A6A6A6"/>
            <w:vAlign w:val="center"/>
            <w:hideMark/>
          </w:tcPr>
          <w:p w:rsidRPr="00A9346B" w:rsidR="00A9346B" w:rsidP="00A9346B" w:rsidRDefault="00A9346B" w14:paraId="62BDF226" w14:textId="77777777">
            <w:pPr>
              <w:overflowPunct/>
              <w:autoSpaceDE/>
              <w:autoSpaceDN/>
              <w:adjustRightInd/>
              <w:jc w:val="center"/>
              <w:textAlignment w:val="auto"/>
              <w:rPr>
                <w:rFonts w:ascii="Calibri" w:hAnsi="Calibri" w:cs="Calibri"/>
                <w:color w:val="000000"/>
              </w:rPr>
            </w:pPr>
            <w:r w:rsidRPr="00A9346B">
              <w:rPr>
                <w:rFonts w:ascii="Calibri" w:hAnsi="Calibri" w:cs="Calibri"/>
                <w:color w:val="000000"/>
              </w:rPr>
              <w:t>Number of Respondents</w:t>
            </w:r>
          </w:p>
        </w:tc>
        <w:tc>
          <w:tcPr>
            <w:tcW w:w="1067" w:type="dxa"/>
            <w:shd w:val="clear" w:color="auto" w:fill="A6A6A6"/>
            <w:vAlign w:val="center"/>
            <w:hideMark/>
          </w:tcPr>
          <w:p w:rsidRPr="00A9346B" w:rsidR="00A9346B" w:rsidP="00A9346B" w:rsidRDefault="00A9346B" w14:paraId="2BFF745F" w14:textId="77777777">
            <w:pPr>
              <w:overflowPunct/>
              <w:autoSpaceDE/>
              <w:autoSpaceDN/>
              <w:adjustRightInd/>
              <w:jc w:val="center"/>
              <w:textAlignment w:val="auto"/>
              <w:rPr>
                <w:rFonts w:ascii="Calibri" w:hAnsi="Calibri" w:cs="Calibri"/>
                <w:color w:val="000000"/>
              </w:rPr>
            </w:pPr>
            <w:r w:rsidRPr="00A9346B">
              <w:rPr>
                <w:rFonts w:ascii="Calibri" w:hAnsi="Calibri" w:cs="Calibri"/>
                <w:color w:val="000000"/>
              </w:rPr>
              <w:t>Frequency of Response</w:t>
            </w:r>
          </w:p>
        </w:tc>
        <w:tc>
          <w:tcPr>
            <w:tcW w:w="1074" w:type="dxa"/>
            <w:shd w:val="clear" w:color="auto" w:fill="A6A6A6"/>
            <w:vAlign w:val="center"/>
            <w:hideMark/>
          </w:tcPr>
          <w:p w:rsidRPr="00A9346B" w:rsidR="00A9346B" w:rsidP="00A9346B" w:rsidRDefault="00A9346B" w14:paraId="02202ED1" w14:textId="77777777">
            <w:pPr>
              <w:overflowPunct/>
              <w:autoSpaceDE/>
              <w:autoSpaceDN/>
              <w:adjustRightInd/>
              <w:jc w:val="center"/>
              <w:textAlignment w:val="auto"/>
              <w:rPr>
                <w:rFonts w:ascii="Calibri" w:hAnsi="Calibri" w:cs="Calibri"/>
                <w:color w:val="000000"/>
              </w:rPr>
            </w:pPr>
            <w:r w:rsidRPr="00A9346B">
              <w:rPr>
                <w:rFonts w:ascii="Calibri" w:hAnsi="Calibri" w:cs="Calibri"/>
                <w:color w:val="000000"/>
              </w:rPr>
              <w:t>Responses Per Annum</w:t>
            </w:r>
          </w:p>
        </w:tc>
        <w:tc>
          <w:tcPr>
            <w:tcW w:w="996" w:type="dxa"/>
            <w:shd w:val="clear" w:color="auto" w:fill="A6A6A6"/>
            <w:vAlign w:val="center"/>
            <w:hideMark/>
          </w:tcPr>
          <w:p w:rsidRPr="00A9346B" w:rsidR="00A9346B" w:rsidP="00A9346B" w:rsidRDefault="00A9346B" w14:paraId="27B0B449" w14:textId="77777777">
            <w:pPr>
              <w:overflowPunct/>
              <w:autoSpaceDE/>
              <w:autoSpaceDN/>
              <w:adjustRightInd/>
              <w:jc w:val="center"/>
              <w:textAlignment w:val="auto"/>
              <w:rPr>
                <w:rFonts w:ascii="Calibri" w:hAnsi="Calibri" w:cs="Calibri"/>
                <w:color w:val="000000"/>
              </w:rPr>
            </w:pPr>
            <w:r w:rsidRPr="00A9346B">
              <w:rPr>
                <w:rFonts w:ascii="Calibri" w:hAnsi="Calibri" w:cs="Calibri"/>
                <w:color w:val="000000"/>
              </w:rPr>
              <w:t>Burden Hour Per Response</w:t>
            </w:r>
          </w:p>
        </w:tc>
        <w:tc>
          <w:tcPr>
            <w:tcW w:w="1026" w:type="dxa"/>
            <w:shd w:val="clear" w:color="auto" w:fill="A6A6A6"/>
            <w:vAlign w:val="center"/>
            <w:hideMark/>
          </w:tcPr>
          <w:p w:rsidRPr="00A9346B" w:rsidR="00A9346B" w:rsidP="00A9346B" w:rsidRDefault="00A9346B" w14:paraId="41011C61" w14:textId="77777777">
            <w:pPr>
              <w:overflowPunct/>
              <w:autoSpaceDE/>
              <w:autoSpaceDN/>
              <w:adjustRightInd/>
              <w:jc w:val="center"/>
              <w:textAlignment w:val="auto"/>
              <w:rPr>
                <w:rFonts w:ascii="Calibri" w:hAnsi="Calibri" w:cs="Calibri"/>
                <w:color w:val="000000"/>
              </w:rPr>
            </w:pPr>
            <w:r w:rsidRPr="00A9346B">
              <w:rPr>
                <w:rFonts w:ascii="Calibri" w:hAnsi="Calibri" w:cs="Calibri"/>
                <w:color w:val="000000"/>
              </w:rPr>
              <w:t>Annual Burden Hours</w:t>
            </w:r>
          </w:p>
        </w:tc>
        <w:tc>
          <w:tcPr>
            <w:tcW w:w="996" w:type="dxa"/>
            <w:shd w:val="clear" w:color="auto" w:fill="A6A6A6"/>
            <w:vAlign w:val="center"/>
            <w:hideMark/>
          </w:tcPr>
          <w:p w:rsidRPr="00A9346B" w:rsidR="00A9346B" w:rsidP="00A9346B" w:rsidRDefault="00A9346B" w14:paraId="62AA8722" w14:textId="77777777">
            <w:pPr>
              <w:overflowPunct/>
              <w:autoSpaceDE/>
              <w:autoSpaceDN/>
              <w:adjustRightInd/>
              <w:jc w:val="center"/>
              <w:textAlignment w:val="auto"/>
              <w:rPr>
                <w:rFonts w:ascii="Calibri" w:hAnsi="Calibri" w:cs="Calibri"/>
                <w:color w:val="000000"/>
              </w:rPr>
            </w:pPr>
            <w:r w:rsidRPr="00A9346B">
              <w:rPr>
                <w:rFonts w:ascii="Calibri" w:hAnsi="Calibri" w:cs="Calibri"/>
                <w:color w:val="000000"/>
              </w:rPr>
              <w:t>Hourly Cost Per Response</w:t>
            </w:r>
          </w:p>
        </w:tc>
        <w:tc>
          <w:tcPr>
            <w:tcW w:w="1380" w:type="dxa"/>
            <w:shd w:val="clear" w:color="auto" w:fill="A6A6A6"/>
            <w:vAlign w:val="center"/>
            <w:hideMark/>
          </w:tcPr>
          <w:p w:rsidRPr="00A9346B" w:rsidR="00A9346B" w:rsidP="00A9346B" w:rsidRDefault="00A9346B" w14:paraId="430F11A5" w14:textId="77777777">
            <w:pPr>
              <w:overflowPunct/>
              <w:autoSpaceDE/>
              <w:autoSpaceDN/>
              <w:adjustRightInd/>
              <w:jc w:val="center"/>
              <w:textAlignment w:val="auto"/>
              <w:rPr>
                <w:rFonts w:ascii="Calibri" w:hAnsi="Calibri" w:cs="Calibri"/>
                <w:color w:val="000000"/>
              </w:rPr>
            </w:pPr>
            <w:r w:rsidRPr="00A9346B">
              <w:rPr>
                <w:rFonts w:ascii="Calibri" w:hAnsi="Calibri" w:cs="Calibri"/>
                <w:color w:val="000000"/>
              </w:rPr>
              <w:t>Annual Cost</w:t>
            </w:r>
          </w:p>
        </w:tc>
      </w:tr>
      <w:tr w:rsidRPr="00A9346B" w:rsidR="006C5B6A" w:rsidTr="006C5B6A" w14:paraId="11D96578" w14:textId="77777777">
        <w:trPr>
          <w:trHeight w:val="600"/>
          <w:jc w:val="center"/>
        </w:trPr>
        <w:tc>
          <w:tcPr>
            <w:tcW w:w="1640" w:type="dxa"/>
            <w:shd w:val="clear" w:color="auto" w:fill="auto"/>
            <w:vAlign w:val="center"/>
            <w:hideMark/>
          </w:tcPr>
          <w:p w:rsidRPr="00A9346B" w:rsidR="00A9346B" w:rsidP="00A9346B" w:rsidRDefault="00A9346B" w14:paraId="032C7180"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93.100(a)</w:t>
            </w:r>
          </w:p>
        </w:tc>
        <w:tc>
          <w:tcPr>
            <w:tcW w:w="1928" w:type="dxa"/>
            <w:shd w:val="clear" w:color="auto" w:fill="auto"/>
            <w:vAlign w:val="center"/>
            <w:hideMark/>
          </w:tcPr>
          <w:p w:rsidRPr="00A9346B" w:rsidR="00A9346B" w:rsidP="00A9346B" w:rsidRDefault="00A9346B" w14:paraId="5B0AFCE9"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Notification of intent to participate</w:t>
            </w:r>
          </w:p>
        </w:tc>
        <w:tc>
          <w:tcPr>
            <w:tcW w:w="1273" w:type="dxa"/>
            <w:shd w:val="clear" w:color="auto" w:fill="auto"/>
            <w:vAlign w:val="center"/>
            <w:hideMark/>
          </w:tcPr>
          <w:p w:rsidRPr="00A9346B" w:rsidR="00A9346B" w:rsidP="00A9346B" w:rsidRDefault="00A9346B" w14:paraId="4F95667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3187C7D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4109F47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35F575D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24B7954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31E761A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149ACDE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05DFD9FE" w14:textId="77777777">
        <w:trPr>
          <w:trHeight w:val="600"/>
          <w:jc w:val="center"/>
        </w:trPr>
        <w:tc>
          <w:tcPr>
            <w:tcW w:w="1640" w:type="dxa"/>
            <w:shd w:val="clear" w:color="auto" w:fill="auto"/>
            <w:vAlign w:val="center"/>
            <w:hideMark/>
          </w:tcPr>
          <w:p w:rsidRPr="00A9346B" w:rsidR="00A9346B" w:rsidP="00A9346B" w:rsidRDefault="00A9346B" w14:paraId="5C166490" w14:textId="77777777">
            <w:pPr>
              <w:overflowPunct/>
              <w:autoSpaceDE/>
              <w:autoSpaceDN/>
              <w:adjustRightInd/>
              <w:textAlignment w:val="auto"/>
              <w:rPr>
                <w:rFonts w:ascii="Calibri" w:hAnsi="Calibri" w:cs="Calibri"/>
              </w:rPr>
            </w:pPr>
            <w:r w:rsidRPr="00A9346B">
              <w:rPr>
                <w:rFonts w:ascii="Calibri" w:hAnsi="Calibri" w:cs="Calibri"/>
              </w:rPr>
              <w:t>31 USC § 3512</w:t>
            </w:r>
          </w:p>
        </w:tc>
        <w:tc>
          <w:tcPr>
            <w:tcW w:w="1928" w:type="dxa"/>
            <w:shd w:val="clear" w:color="auto" w:fill="auto"/>
            <w:vAlign w:val="center"/>
            <w:hideMark/>
          </w:tcPr>
          <w:p w:rsidRPr="00A9346B" w:rsidR="00A9346B" w:rsidP="00A9346B" w:rsidRDefault="00A9346B" w14:paraId="621CDC73" w14:textId="77777777">
            <w:pPr>
              <w:overflowPunct/>
              <w:autoSpaceDE/>
              <w:autoSpaceDN/>
              <w:adjustRightInd/>
              <w:textAlignment w:val="auto"/>
              <w:rPr>
                <w:rFonts w:ascii="Calibri" w:hAnsi="Calibri" w:cs="Calibri"/>
              </w:rPr>
            </w:pPr>
            <w:r w:rsidRPr="00A9346B">
              <w:rPr>
                <w:rFonts w:ascii="Calibri" w:hAnsi="Calibri" w:cs="Calibri"/>
              </w:rPr>
              <w:t>HUD Form 27055</w:t>
            </w:r>
          </w:p>
        </w:tc>
        <w:tc>
          <w:tcPr>
            <w:tcW w:w="1273" w:type="dxa"/>
            <w:shd w:val="clear" w:color="auto" w:fill="auto"/>
            <w:vAlign w:val="center"/>
            <w:hideMark/>
          </w:tcPr>
          <w:p w:rsidRPr="00A9346B" w:rsidR="00A9346B" w:rsidP="00A9346B" w:rsidRDefault="00A9346B" w14:paraId="0842167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6A63F81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1832758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62D3CC0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0.50</w:t>
            </w:r>
          </w:p>
        </w:tc>
        <w:tc>
          <w:tcPr>
            <w:tcW w:w="1026" w:type="dxa"/>
            <w:shd w:val="clear" w:color="auto" w:fill="auto"/>
            <w:vAlign w:val="center"/>
            <w:hideMark/>
          </w:tcPr>
          <w:p w:rsidRPr="00A9346B" w:rsidR="00A9346B" w:rsidP="00A9346B" w:rsidRDefault="00A9346B" w14:paraId="7248134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28.00</w:t>
            </w:r>
          </w:p>
        </w:tc>
        <w:tc>
          <w:tcPr>
            <w:tcW w:w="996" w:type="dxa"/>
            <w:shd w:val="clear" w:color="auto" w:fill="auto"/>
            <w:noWrap/>
            <w:vAlign w:val="center"/>
            <w:hideMark/>
          </w:tcPr>
          <w:p w:rsidRPr="00A9346B" w:rsidR="00A9346B" w:rsidP="00A9346B" w:rsidRDefault="00A9346B" w14:paraId="5218244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03343B9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$1,205.12</w:t>
            </w:r>
          </w:p>
        </w:tc>
      </w:tr>
      <w:tr w:rsidRPr="00A9346B" w:rsidR="006C5B6A" w:rsidTr="006C5B6A" w14:paraId="641AE0D3" w14:textId="77777777">
        <w:trPr>
          <w:trHeight w:val="600"/>
          <w:jc w:val="center"/>
        </w:trPr>
        <w:tc>
          <w:tcPr>
            <w:tcW w:w="1640" w:type="dxa"/>
            <w:shd w:val="clear" w:color="auto" w:fill="auto"/>
            <w:vAlign w:val="center"/>
            <w:hideMark/>
          </w:tcPr>
          <w:p w:rsidRPr="00A9346B" w:rsidR="00A9346B" w:rsidP="00A9346B" w:rsidRDefault="00A9346B" w14:paraId="77BAA496"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93.100(b)</w:t>
            </w:r>
          </w:p>
        </w:tc>
        <w:tc>
          <w:tcPr>
            <w:tcW w:w="1928" w:type="dxa"/>
            <w:shd w:val="clear" w:color="auto" w:fill="auto"/>
            <w:vAlign w:val="center"/>
            <w:hideMark/>
          </w:tcPr>
          <w:p w:rsidRPr="00A9346B" w:rsidR="00A9346B" w:rsidP="00A9346B" w:rsidRDefault="00A9346B" w14:paraId="4E4911FB"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Submission of Consolidated Plan</w:t>
            </w:r>
          </w:p>
        </w:tc>
        <w:tc>
          <w:tcPr>
            <w:tcW w:w="1273" w:type="dxa"/>
            <w:shd w:val="clear" w:color="auto" w:fill="auto"/>
            <w:vAlign w:val="center"/>
            <w:hideMark/>
          </w:tcPr>
          <w:p w:rsidRPr="00A9346B" w:rsidR="00A9346B" w:rsidP="00A9346B" w:rsidRDefault="00A9346B" w14:paraId="6443B2B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142BB28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0.20</w:t>
            </w:r>
          </w:p>
        </w:tc>
        <w:tc>
          <w:tcPr>
            <w:tcW w:w="1074" w:type="dxa"/>
            <w:shd w:val="clear" w:color="auto" w:fill="auto"/>
            <w:vAlign w:val="center"/>
            <w:hideMark/>
          </w:tcPr>
          <w:p w:rsidRPr="00A9346B" w:rsidR="00A9346B" w:rsidP="00A9346B" w:rsidRDefault="00A9346B" w14:paraId="6B6BD62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11.20</w:t>
            </w:r>
          </w:p>
        </w:tc>
        <w:tc>
          <w:tcPr>
            <w:tcW w:w="996" w:type="dxa"/>
            <w:shd w:val="clear" w:color="auto" w:fill="auto"/>
            <w:vAlign w:val="center"/>
            <w:hideMark/>
          </w:tcPr>
          <w:p w:rsidRPr="00A9346B" w:rsidR="00A9346B" w:rsidP="00A9346B" w:rsidRDefault="00A9346B" w14:paraId="2303877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40.00</w:t>
            </w:r>
          </w:p>
        </w:tc>
        <w:tc>
          <w:tcPr>
            <w:tcW w:w="1026" w:type="dxa"/>
            <w:shd w:val="clear" w:color="auto" w:fill="auto"/>
            <w:vAlign w:val="center"/>
            <w:hideMark/>
          </w:tcPr>
          <w:p w:rsidRPr="00A9346B" w:rsidR="00A9346B" w:rsidP="00A9346B" w:rsidRDefault="00A9346B" w14:paraId="597085E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448.00</w:t>
            </w:r>
          </w:p>
        </w:tc>
        <w:tc>
          <w:tcPr>
            <w:tcW w:w="996" w:type="dxa"/>
            <w:shd w:val="clear" w:color="auto" w:fill="auto"/>
            <w:noWrap/>
            <w:vAlign w:val="center"/>
            <w:hideMark/>
          </w:tcPr>
          <w:p w:rsidRPr="00A9346B" w:rsidR="00A9346B" w:rsidP="00A9346B" w:rsidRDefault="00A9346B" w14:paraId="4CCE703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26B40B1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$19,281.92</w:t>
            </w:r>
          </w:p>
        </w:tc>
      </w:tr>
      <w:tr w:rsidRPr="00A9346B" w:rsidR="006C5B6A" w:rsidTr="006C5B6A" w14:paraId="26294375" w14:textId="77777777">
        <w:trPr>
          <w:trHeight w:val="600"/>
          <w:jc w:val="center"/>
        </w:trPr>
        <w:tc>
          <w:tcPr>
            <w:tcW w:w="1640" w:type="dxa"/>
            <w:shd w:val="clear" w:color="auto" w:fill="auto"/>
            <w:vAlign w:val="center"/>
            <w:hideMark/>
          </w:tcPr>
          <w:p w:rsidRPr="00A9346B" w:rsidR="00A9346B" w:rsidP="00A9346B" w:rsidRDefault="00A9346B" w14:paraId="762FEC92"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91.220</w:t>
            </w:r>
          </w:p>
        </w:tc>
        <w:tc>
          <w:tcPr>
            <w:tcW w:w="1928" w:type="dxa"/>
            <w:shd w:val="clear" w:color="auto" w:fill="auto"/>
            <w:vAlign w:val="center"/>
            <w:hideMark/>
          </w:tcPr>
          <w:p w:rsidRPr="00A9346B" w:rsidR="00A9346B" w:rsidP="00A9346B" w:rsidRDefault="00A9346B" w14:paraId="279388CA"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Action Plan</w:t>
            </w:r>
          </w:p>
        </w:tc>
        <w:tc>
          <w:tcPr>
            <w:tcW w:w="1273" w:type="dxa"/>
            <w:shd w:val="clear" w:color="auto" w:fill="auto"/>
            <w:vAlign w:val="center"/>
            <w:hideMark/>
          </w:tcPr>
          <w:p w:rsidRPr="00A9346B" w:rsidR="00A9346B" w:rsidP="00A9346B" w:rsidRDefault="00A9346B" w14:paraId="61F368A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52029C2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492D0A3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5FEE94F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10.00</w:t>
            </w:r>
          </w:p>
        </w:tc>
        <w:tc>
          <w:tcPr>
            <w:tcW w:w="1026" w:type="dxa"/>
            <w:shd w:val="clear" w:color="auto" w:fill="auto"/>
            <w:vAlign w:val="center"/>
            <w:hideMark/>
          </w:tcPr>
          <w:p w:rsidRPr="00A9346B" w:rsidR="00A9346B" w:rsidP="00A9346B" w:rsidRDefault="00A9346B" w14:paraId="5ED664A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560.00</w:t>
            </w:r>
          </w:p>
        </w:tc>
        <w:tc>
          <w:tcPr>
            <w:tcW w:w="996" w:type="dxa"/>
            <w:shd w:val="clear" w:color="auto" w:fill="auto"/>
            <w:noWrap/>
            <w:vAlign w:val="center"/>
            <w:hideMark/>
          </w:tcPr>
          <w:p w:rsidRPr="00A9346B" w:rsidR="00A9346B" w:rsidP="00A9346B" w:rsidRDefault="00A9346B" w14:paraId="61E15EF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1E044DC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$24,102.40</w:t>
            </w:r>
          </w:p>
        </w:tc>
      </w:tr>
      <w:tr w:rsidRPr="00A9346B" w:rsidR="006C5B6A" w:rsidTr="006C5B6A" w14:paraId="07A8922B" w14:textId="77777777">
        <w:trPr>
          <w:trHeight w:val="600"/>
          <w:jc w:val="center"/>
        </w:trPr>
        <w:tc>
          <w:tcPr>
            <w:tcW w:w="1640" w:type="dxa"/>
            <w:shd w:val="clear" w:color="auto" w:fill="auto"/>
            <w:vAlign w:val="center"/>
            <w:hideMark/>
          </w:tcPr>
          <w:p w:rsidRPr="00A9346B" w:rsidR="00A9346B" w:rsidP="00A9346B" w:rsidRDefault="00A9346B" w14:paraId="180DA9C3"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 93.101</w:t>
            </w:r>
          </w:p>
        </w:tc>
        <w:tc>
          <w:tcPr>
            <w:tcW w:w="1928" w:type="dxa"/>
            <w:shd w:val="clear" w:color="auto" w:fill="auto"/>
            <w:vAlign w:val="center"/>
            <w:hideMark/>
          </w:tcPr>
          <w:p w:rsidRPr="00A9346B" w:rsidR="00A9346B" w:rsidP="00A9346B" w:rsidRDefault="00A9346B" w14:paraId="5F36518A"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Distribution of assistance</w:t>
            </w:r>
          </w:p>
        </w:tc>
        <w:tc>
          <w:tcPr>
            <w:tcW w:w="1273" w:type="dxa"/>
            <w:shd w:val="clear" w:color="auto" w:fill="auto"/>
            <w:vAlign w:val="center"/>
            <w:hideMark/>
          </w:tcPr>
          <w:p w:rsidRPr="00A9346B" w:rsidR="00A9346B" w:rsidP="00A9346B" w:rsidRDefault="00A9346B" w14:paraId="41E301B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3CC5702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7D6C0AC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34E6CEE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159D81D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568BC95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4BB8B29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61CB1B2F" w14:textId="77777777">
        <w:trPr>
          <w:trHeight w:val="600"/>
          <w:jc w:val="center"/>
        </w:trPr>
        <w:tc>
          <w:tcPr>
            <w:tcW w:w="1640" w:type="dxa"/>
            <w:shd w:val="clear" w:color="auto" w:fill="auto"/>
            <w:vAlign w:val="center"/>
            <w:hideMark/>
          </w:tcPr>
          <w:p w:rsidRPr="00A9346B" w:rsidR="00A9346B" w:rsidP="00A9346B" w:rsidRDefault="00A9346B" w14:paraId="68FC3563"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 93.150(a)</w:t>
            </w:r>
          </w:p>
        </w:tc>
        <w:tc>
          <w:tcPr>
            <w:tcW w:w="1928" w:type="dxa"/>
            <w:shd w:val="clear" w:color="auto" w:fill="auto"/>
            <w:vAlign w:val="center"/>
            <w:hideMark/>
          </w:tcPr>
          <w:p w:rsidRPr="00B30FAD" w:rsidR="00A9346B" w:rsidP="00A9346B" w:rsidRDefault="00A9346B" w14:paraId="2E9918E4" w14:textId="77777777">
            <w:pPr>
              <w:overflowPunct/>
              <w:autoSpaceDE/>
              <w:autoSpaceDN/>
              <w:adjustRightInd/>
              <w:textAlignment w:val="auto"/>
              <w:rPr>
                <w:rFonts w:ascii="Calibri" w:hAnsi="Calibri" w:cs="Calibri"/>
              </w:rPr>
            </w:pPr>
            <w:r w:rsidRPr="00B30FAD">
              <w:rPr>
                <w:rFonts w:ascii="Calibri" w:hAnsi="Calibri" w:cs="Calibri"/>
              </w:rPr>
              <w:t xml:space="preserve">Site and Neighborhood Standards </w:t>
            </w:r>
          </w:p>
        </w:tc>
        <w:tc>
          <w:tcPr>
            <w:tcW w:w="1273" w:type="dxa"/>
            <w:shd w:val="clear" w:color="auto" w:fill="auto"/>
            <w:vAlign w:val="center"/>
            <w:hideMark/>
          </w:tcPr>
          <w:p w:rsidRPr="00A9346B" w:rsidR="00A9346B" w:rsidP="00A9346B" w:rsidRDefault="00A9346B" w14:paraId="425CBB5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7A8B001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41907C1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5EF5DF5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1986DE8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6613E8E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24DA325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0255FAFC" w14:textId="77777777">
        <w:trPr>
          <w:trHeight w:val="600"/>
          <w:jc w:val="center"/>
        </w:trPr>
        <w:tc>
          <w:tcPr>
            <w:tcW w:w="1640" w:type="dxa"/>
            <w:shd w:val="clear" w:color="auto" w:fill="auto"/>
            <w:vAlign w:val="center"/>
            <w:hideMark/>
          </w:tcPr>
          <w:p w:rsidRPr="00A9346B" w:rsidR="00A9346B" w:rsidP="00A9346B" w:rsidRDefault="00A9346B" w14:paraId="47DECE83"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 93.150(b)</w:t>
            </w:r>
          </w:p>
        </w:tc>
        <w:tc>
          <w:tcPr>
            <w:tcW w:w="1928" w:type="dxa"/>
            <w:shd w:val="clear" w:color="auto" w:fill="auto"/>
            <w:vAlign w:val="center"/>
            <w:hideMark/>
          </w:tcPr>
          <w:p w:rsidRPr="00B30FAD" w:rsidR="00A9346B" w:rsidP="00A9346B" w:rsidRDefault="00A9346B" w14:paraId="49A55BC5" w14:textId="77777777">
            <w:pPr>
              <w:overflowPunct/>
              <w:autoSpaceDE/>
              <w:autoSpaceDN/>
              <w:adjustRightInd/>
              <w:textAlignment w:val="auto"/>
              <w:rPr>
                <w:rFonts w:ascii="Calibri" w:hAnsi="Calibri" w:cs="Calibri"/>
              </w:rPr>
            </w:pPr>
            <w:r w:rsidRPr="00B30FAD">
              <w:rPr>
                <w:rFonts w:ascii="Calibri" w:hAnsi="Calibri" w:cs="Calibri"/>
              </w:rPr>
              <w:t>New rental housing site and neighborhood requirements</w:t>
            </w:r>
          </w:p>
        </w:tc>
        <w:tc>
          <w:tcPr>
            <w:tcW w:w="1273" w:type="dxa"/>
            <w:shd w:val="clear" w:color="auto" w:fill="auto"/>
            <w:vAlign w:val="center"/>
            <w:hideMark/>
          </w:tcPr>
          <w:p w:rsidRPr="00A9346B" w:rsidR="00A9346B" w:rsidP="00A9346B" w:rsidRDefault="00A9346B" w14:paraId="67BE68C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0EC6C72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7AD2FEB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0B83246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5.00</w:t>
            </w:r>
          </w:p>
        </w:tc>
        <w:tc>
          <w:tcPr>
            <w:tcW w:w="1026" w:type="dxa"/>
            <w:shd w:val="clear" w:color="auto" w:fill="auto"/>
            <w:vAlign w:val="center"/>
            <w:hideMark/>
          </w:tcPr>
          <w:p w:rsidRPr="00A9346B" w:rsidR="00A9346B" w:rsidP="00A9346B" w:rsidRDefault="00A9346B" w14:paraId="4119310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280.00</w:t>
            </w:r>
          </w:p>
        </w:tc>
        <w:tc>
          <w:tcPr>
            <w:tcW w:w="996" w:type="dxa"/>
            <w:shd w:val="clear" w:color="auto" w:fill="auto"/>
            <w:noWrap/>
            <w:vAlign w:val="center"/>
            <w:hideMark/>
          </w:tcPr>
          <w:p w:rsidRPr="00A9346B" w:rsidR="00A9346B" w:rsidP="00A9346B" w:rsidRDefault="00A9346B" w14:paraId="7E79D12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225A6EB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$12,051.20</w:t>
            </w:r>
          </w:p>
        </w:tc>
      </w:tr>
      <w:tr w:rsidRPr="00A9346B" w:rsidR="006C5B6A" w:rsidTr="006C5B6A" w14:paraId="18D91082" w14:textId="77777777">
        <w:trPr>
          <w:trHeight w:val="600"/>
          <w:jc w:val="center"/>
        </w:trPr>
        <w:tc>
          <w:tcPr>
            <w:tcW w:w="1640" w:type="dxa"/>
            <w:shd w:val="clear" w:color="auto" w:fill="auto"/>
            <w:noWrap/>
            <w:vAlign w:val="center"/>
            <w:hideMark/>
          </w:tcPr>
          <w:p w:rsidRPr="00A9346B" w:rsidR="00A9346B" w:rsidP="00A9346B" w:rsidRDefault="00A9346B" w14:paraId="378A583C"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 93.200(b)</w:t>
            </w:r>
          </w:p>
        </w:tc>
        <w:tc>
          <w:tcPr>
            <w:tcW w:w="1928" w:type="dxa"/>
            <w:shd w:val="clear" w:color="auto" w:fill="auto"/>
            <w:vAlign w:val="center"/>
            <w:hideMark/>
          </w:tcPr>
          <w:p w:rsidRPr="00A9346B" w:rsidR="00A9346B" w:rsidP="00A9346B" w:rsidRDefault="00A9346B" w14:paraId="5167C29A"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Establishment of terms of assistance</w:t>
            </w:r>
          </w:p>
        </w:tc>
        <w:tc>
          <w:tcPr>
            <w:tcW w:w="1273" w:type="dxa"/>
            <w:shd w:val="clear" w:color="auto" w:fill="auto"/>
            <w:vAlign w:val="center"/>
            <w:hideMark/>
          </w:tcPr>
          <w:p w:rsidRPr="00A9346B" w:rsidR="00A9346B" w:rsidP="00A9346B" w:rsidRDefault="00A9346B" w14:paraId="14A15F6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0DD56A2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4F571AE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5BB133D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381DAF7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65E1609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1242699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0E3F6678" w14:textId="77777777">
        <w:trPr>
          <w:trHeight w:val="600"/>
          <w:jc w:val="center"/>
        </w:trPr>
        <w:tc>
          <w:tcPr>
            <w:tcW w:w="1640" w:type="dxa"/>
            <w:shd w:val="clear" w:color="auto" w:fill="auto"/>
            <w:noWrap/>
            <w:vAlign w:val="center"/>
            <w:hideMark/>
          </w:tcPr>
          <w:p w:rsidRPr="00A9346B" w:rsidR="00A9346B" w:rsidP="00A9346B" w:rsidRDefault="00A9346B" w14:paraId="5A5B187A"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 93.200(d)</w:t>
            </w:r>
          </w:p>
        </w:tc>
        <w:tc>
          <w:tcPr>
            <w:tcW w:w="1928" w:type="dxa"/>
            <w:shd w:val="clear" w:color="auto" w:fill="auto"/>
            <w:vAlign w:val="center"/>
            <w:hideMark/>
          </w:tcPr>
          <w:p w:rsidRPr="00A9346B" w:rsidR="00A9346B" w:rsidP="00A9346B" w:rsidRDefault="00A9346B" w14:paraId="73C6E492"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Terminated projects</w:t>
            </w:r>
          </w:p>
        </w:tc>
        <w:tc>
          <w:tcPr>
            <w:tcW w:w="1273" w:type="dxa"/>
            <w:shd w:val="clear" w:color="auto" w:fill="auto"/>
            <w:vAlign w:val="center"/>
            <w:hideMark/>
          </w:tcPr>
          <w:p w:rsidRPr="00A9346B" w:rsidR="00A9346B" w:rsidP="00A9346B" w:rsidRDefault="00A9346B" w14:paraId="303BB69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67" w:type="dxa"/>
            <w:shd w:val="clear" w:color="auto" w:fill="auto"/>
            <w:vAlign w:val="center"/>
            <w:hideMark/>
          </w:tcPr>
          <w:p w:rsidRPr="00A9346B" w:rsidR="00A9346B" w:rsidP="00A9346B" w:rsidRDefault="00A9346B" w14:paraId="7DD89AF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79BCF27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996" w:type="dxa"/>
            <w:shd w:val="clear" w:color="auto" w:fill="auto"/>
            <w:vAlign w:val="center"/>
            <w:hideMark/>
          </w:tcPr>
          <w:p w:rsidRPr="00A9346B" w:rsidR="00A9346B" w:rsidP="00A9346B" w:rsidRDefault="00A9346B" w14:paraId="60AE435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20.00</w:t>
            </w:r>
          </w:p>
        </w:tc>
        <w:tc>
          <w:tcPr>
            <w:tcW w:w="1026" w:type="dxa"/>
            <w:shd w:val="clear" w:color="auto" w:fill="auto"/>
            <w:vAlign w:val="center"/>
            <w:hideMark/>
          </w:tcPr>
          <w:p w:rsidRPr="00A9346B" w:rsidR="00A9346B" w:rsidP="00A9346B" w:rsidRDefault="00A9346B" w14:paraId="185AAD3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20.00</w:t>
            </w:r>
          </w:p>
        </w:tc>
        <w:tc>
          <w:tcPr>
            <w:tcW w:w="996" w:type="dxa"/>
            <w:shd w:val="clear" w:color="auto" w:fill="auto"/>
            <w:noWrap/>
            <w:vAlign w:val="center"/>
            <w:hideMark/>
          </w:tcPr>
          <w:p w:rsidRPr="00A9346B" w:rsidR="00A9346B" w:rsidP="00A9346B" w:rsidRDefault="00A9346B" w14:paraId="69B4B2F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54424AE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$860.80</w:t>
            </w:r>
          </w:p>
        </w:tc>
      </w:tr>
      <w:tr w:rsidRPr="00A9346B" w:rsidR="006C5B6A" w:rsidTr="006C5B6A" w14:paraId="7D6BC05A" w14:textId="77777777">
        <w:trPr>
          <w:trHeight w:val="600"/>
          <w:jc w:val="center"/>
        </w:trPr>
        <w:tc>
          <w:tcPr>
            <w:tcW w:w="1640" w:type="dxa"/>
            <w:shd w:val="clear" w:color="auto" w:fill="auto"/>
            <w:vAlign w:val="center"/>
            <w:hideMark/>
          </w:tcPr>
          <w:p w:rsidRPr="00A9346B" w:rsidR="00A9346B" w:rsidP="00A9346B" w:rsidRDefault="00A9346B" w14:paraId="314ABD12"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 93.201(b)(2)</w:t>
            </w:r>
          </w:p>
        </w:tc>
        <w:tc>
          <w:tcPr>
            <w:tcW w:w="1928" w:type="dxa"/>
            <w:shd w:val="clear" w:color="auto" w:fill="auto"/>
            <w:vAlign w:val="center"/>
            <w:hideMark/>
          </w:tcPr>
          <w:p w:rsidRPr="00A9346B" w:rsidR="00A9346B" w:rsidP="00A9346B" w:rsidRDefault="00A9346B" w14:paraId="1B442D37"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Establish refinancing guidelines </w:t>
            </w:r>
          </w:p>
        </w:tc>
        <w:tc>
          <w:tcPr>
            <w:tcW w:w="1273" w:type="dxa"/>
            <w:shd w:val="clear" w:color="auto" w:fill="auto"/>
            <w:vAlign w:val="center"/>
            <w:hideMark/>
          </w:tcPr>
          <w:p w:rsidRPr="00A9346B" w:rsidR="00A9346B" w:rsidP="00A9346B" w:rsidRDefault="00A9346B" w14:paraId="21874A0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5E2EFCF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4BAAE86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76A236A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48181F0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606A3DF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66D7BC9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4C1813D9" w14:textId="77777777">
        <w:trPr>
          <w:trHeight w:val="600"/>
          <w:jc w:val="center"/>
        </w:trPr>
        <w:tc>
          <w:tcPr>
            <w:tcW w:w="1640" w:type="dxa"/>
            <w:shd w:val="clear" w:color="auto" w:fill="auto"/>
            <w:vAlign w:val="center"/>
            <w:hideMark/>
          </w:tcPr>
          <w:p w:rsidRPr="00A9346B" w:rsidR="00A9346B" w:rsidP="00A9346B" w:rsidRDefault="00A9346B" w14:paraId="29BF3D6C"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93.300(a)</w:t>
            </w:r>
          </w:p>
        </w:tc>
        <w:tc>
          <w:tcPr>
            <w:tcW w:w="1928" w:type="dxa"/>
            <w:shd w:val="clear" w:color="auto" w:fill="auto"/>
            <w:vAlign w:val="center"/>
            <w:hideMark/>
          </w:tcPr>
          <w:p w:rsidRPr="00A9346B" w:rsidR="00A9346B" w:rsidP="00A9346B" w:rsidRDefault="00A9346B" w14:paraId="28A43479"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Establish maximum per-unit development subsidy amount</w:t>
            </w:r>
          </w:p>
        </w:tc>
        <w:tc>
          <w:tcPr>
            <w:tcW w:w="1273" w:type="dxa"/>
            <w:shd w:val="clear" w:color="auto" w:fill="auto"/>
            <w:vAlign w:val="center"/>
            <w:hideMark/>
          </w:tcPr>
          <w:p w:rsidRPr="00A9346B" w:rsidR="00A9346B" w:rsidP="00A9346B" w:rsidRDefault="00A9346B" w14:paraId="3E7DD07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7BB2214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7BB4147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4681C10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7AD6A1A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170540E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3F982D8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0774FB93" w14:textId="77777777">
        <w:trPr>
          <w:trHeight w:val="600"/>
          <w:jc w:val="center"/>
        </w:trPr>
        <w:tc>
          <w:tcPr>
            <w:tcW w:w="1640" w:type="dxa"/>
            <w:shd w:val="clear" w:color="auto" w:fill="auto"/>
            <w:vAlign w:val="center"/>
            <w:hideMark/>
          </w:tcPr>
          <w:p w:rsidRPr="00A9346B" w:rsidR="00A9346B" w:rsidP="00A9346B" w:rsidRDefault="00A9346B" w14:paraId="52BE4A51"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93.300(b)</w:t>
            </w:r>
          </w:p>
        </w:tc>
        <w:tc>
          <w:tcPr>
            <w:tcW w:w="1928" w:type="dxa"/>
            <w:shd w:val="clear" w:color="auto" w:fill="auto"/>
            <w:vAlign w:val="center"/>
            <w:hideMark/>
          </w:tcPr>
          <w:p w:rsidRPr="00A9346B" w:rsidR="00A9346B" w:rsidP="00A9346B" w:rsidRDefault="00A9346B" w14:paraId="6935E123"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Underwriting and subsidy layering</w:t>
            </w:r>
          </w:p>
        </w:tc>
        <w:tc>
          <w:tcPr>
            <w:tcW w:w="1273" w:type="dxa"/>
            <w:shd w:val="clear" w:color="auto" w:fill="auto"/>
            <w:vAlign w:val="center"/>
            <w:hideMark/>
          </w:tcPr>
          <w:p w:rsidRPr="00A9346B" w:rsidR="00A9346B" w:rsidP="00A9346B" w:rsidRDefault="00A9346B" w14:paraId="530AE22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1067" w:type="dxa"/>
            <w:shd w:val="clear" w:color="auto" w:fill="auto"/>
            <w:vAlign w:val="center"/>
            <w:hideMark/>
          </w:tcPr>
          <w:p w:rsidRPr="00A9346B" w:rsidR="00A9346B" w:rsidP="00A9346B" w:rsidRDefault="00A9346B" w14:paraId="6392648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02278D0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996" w:type="dxa"/>
            <w:shd w:val="clear" w:color="auto" w:fill="auto"/>
            <w:vAlign w:val="center"/>
            <w:hideMark/>
          </w:tcPr>
          <w:p w:rsidRPr="00A9346B" w:rsidR="00A9346B" w:rsidP="00A9346B" w:rsidRDefault="00A9346B" w14:paraId="4258F97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6A661F9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672.00</w:t>
            </w:r>
          </w:p>
        </w:tc>
        <w:tc>
          <w:tcPr>
            <w:tcW w:w="996" w:type="dxa"/>
            <w:shd w:val="clear" w:color="auto" w:fill="auto"/>
            <w:noWrap/>
            <w:vAlign w:val="center"/>
            <w:hideMark/>
          </w:tcPr>
          <w:p w:rsidRPr="00A9346B" w:rsidR="00A9346B" w:rsidP="00A9346B" w:rsidRDefault="00A9346B" w14:paraId="6AD7F0C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793BD55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$28,922.88</w:t>
            </w:r>
          </w:p>
        </w:tc>
      </w:tr>
      <w:tr w:rsidRPr="00A9346B" w:rsidR="006C5B6A" w:rsidTr="006C5B6A" w14:paraId="4C0D1B14" w14:textId="77777777">
        <w:trPr>
          <w:trHeight w:val="600"/>
          <w:jc w:val="center"/>
        </w:trPr>
        <w:tc>
          <w:tcPr>
            <w:tcW w:w="1640" w:type="dxa"/>
            <w:shd w:val="clear" w:color="auto" w:fill="auto"/>
            <w:vAlign w:val="center"/>
            <w:hideMark/>
          </w:tcPr>
          <w:p w:rsidRPr="00A9346B" w:rsidR="00A9346B" w:rsidP="00A9346B" w:rsidRDefault="00A9346B" w14:paraId="2DE3DF17"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93.301(a)</w:t>
            </w:r>
          </w:p>
        </w:tc>
        <w:tc>
          <w:tcPr>
            <w:tcW w:w="1928" w:type="dxa"/>
            <w:shd w:val="clear" w:color="auto" w:fill="auto"/>
            <w:vAlign w:val="center"/>
            <w:hideMark/>
          </w:tcPr>
          <w:p w:rsidRPr="00A9346B" w:rsidR="00A9346B" w:rsidP="00A9346B" w:rsidRDefault="00A9346B" w14:paraId="19F24109"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xml:space="preserve">Property standards - </w:t>
            </w:r>
            <w:proofErr w:type="gramStart"/>
            <w:r w:rsidRPr="00A9346B">
              <w:rPr>
                <w:rFonts w:ascii="Calibri" w:hAnsi="Calibri" w:cs="Calibri"/>
                <w:color w:val="000000"/>
              </w:rPr>
              <w:t>New</w:t>
            </w:r>
            <w:proofErr w:type="gramEnd"/>
            <w:r w:rsidRPr="00A9346B">
              <w:rPr>
                <w:rFonts w:ascii="Calibri" w:hAnsi="Calibri" w:cs="Calibri"/>
                <w:color w:val="000000"/>
              </w:rPr>
              <w:t xml:space="preserve"> construction </w:t>
            </w:r>
          </w:p>
        </w:tc>
        <w:tc>
          <w:tcPr>
            <w:tcW w:w="1273" w:type="dxa"/>
            <w:shd w:val="clear" w:color="auto" w:fill="auto"/>
            <w:vAlign w:val="center"/>
            <w:hideMark/>
          </w:tcPr>
          <w:p w:rsidRPr="00A9346B" w:rsidR="00A9346B" w:rsidP="00A9346B" w:rsidRDefault="00A9346B" w14:paraId="7DB5BB4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3FDE77C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54A6A14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178513C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3.00</w:t>
            </w:r>
          </w:p>
        </w:tc>
        <w:tc>
          <w:tcPr>
            <w:tcW w:w="1026" w:type="dxa"/>
            <w:shd w:val="clear" w:color="auto" w:fill="auto"/>
            <w:vAlign w:val="center"/>
            <w:hideMark/>
          </w:tcPr>
          <w:p w:rsidRPr="00A9346B" w:rsidR="00A9346B" w:rsidP="00A9346B" w:rsidRDefault="00A9346B" w14:paraId="675498F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996" w:type="dxa"/>
            <w:shd w:val="clear" w:color="auto" w:fill="auto"/>
            <w:noWrap/>
            <w:vAlign w:val="center"/>
            <w:hideMark/>
          </w:tcPr>
          <w:p w:rsidRPr="00A9346B" w:rsidR="00A9346B" w:rsidP="00A9346B" w:rsidRDefault="00A9346B" w14:paraId="337D86F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71AE700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$7,230.72</w:t>
            </w:r>
          </w:p>
        </w:tc>
      </w:tr>
      <w:tr w:rsidRPr="00A9346B" w:rsidR="006C5B6A" w:rsidTr="006C5B6A" w14:paraId="50AC55DC" w14:textId="77777777">
        <w:trPr>
          <w:trHeight w:val="600"/>
          <w:jc w:val="center"/>
        </w:trPr>
        <w:tc>
          <w:tcPr>
            <w:tcW w:w="1640" w:type="dxa"/>
            <w:shd w:val="clear" w:color="auto" w:fill="auto"/>
            <w:vAlign w:val="center"/>
            <w:hideMark/>
          </w:tcPr>
          <w:p w:rsidRPr="00A9346B" w:rsidR="00A9346B" w:rsidP="00A9346B" w:rsidRDefault="00A9346B" w14:paraId="2DD4BA63"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93.302(b)</w:t>
            </w:r>
          </w:p>
        </w:tc>
        <w:tc>
          <w:tcPr>
            <w:tcW w:w="1928" w:type="dxa"/>
            <w:shd w:val="clear" w:color="auto" w:fill="auto"/>
            <w:vAlign w:val="center"/>
            <w:hideMark/>
          </w:tcPr>
          <w:p w:rsidRPr="00A9346B" w:rsidR="00A9346B" w:rsidP="00A9346B" w:rsidRDefault="00A9346B" w14:paraId="54FF45ED"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xml:space="preserve">Establish rent limitations </w:t>
            </w:r>
          </w:p>
        </w:tc>
        <w:tc>
          <w:tcPr>
            <w:tcW w:w="1273" w:type="dxa"/>
            <w:shd w:val="clear" w:color="auto" w:fill="auto"/>
            <w:vAlign w:val="center"/>
            <w:hideMark/>
          </w:tcPr>
          <w:p w:rsidRPr="00A9346B" w:rsidR="00A9346B" w:rsidP="00A9346B" w:rsidRDefault="00A9346B" w14:paraId="602A666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55A70D9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04C1AFC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15812F2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17FB889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27B31DD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1D8D4C1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20EBF86D" w14:textId="77777777">
        <w:trPr>
          <w:trHeight w:val="600"/>
          <w:jc w:val="center"/>
        </w:trPr>
        <w:tc>
          <w:tcPr>
            <w:tcW w:w="1640" w:type="dxa"/>
            <w:shd w:val="clear" w:color="auto" w:fill="auto"/>
            <w:vAlign w:val="center"/>
            <w:hideMark/>
          </w:tcPr>
          <w:p w:rsidRPr="00A9346B" w:rsidR="00A9346B" w:rsidP="00A9346B" w:rsidRDefault="00A9346B" w14:paraId="7E66B468"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93.302(c)</w:t>
            </w:r>
          </w:p>
        </w:tc>
        <w:tc>
          <w:tcPr>
            <w:tcW w:w="1928" w:type="dxa"/>
            <w:shd w:val="clear" w:color="auto" w:fill="auto"/>
            <w:vAlign w:val="center"/>
            <w:hideMark/>
          </w:tcPr>
          <w:p w:rsidRPr="00A9346B" w:rsidR="00A9346B" w:rsidP="00A9346B" w:rsidRDefault="00A9346B" w14:paraId="4523F1AB"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Establish utility allowance</w:t>
            </w:r>
          </w:p>
        </w:tc>
        <w:tc>
          <w:tcPr>
            <w:tcW w:w="1273" w:type="dxa"/>
            <w:shd w:val="clear" w:color="auto" w:fill="auto"/>
            <w:vAlign w:val="center"/>
            <w:hideMark/>
          </w:tcPr>
          <w:p w:rsidRPr="00A9346B" w:rsidR="00A9346B" w:rsidP="00A9346B" w:rsidRDefault="00A9346B" w14:paraId="0EFAF89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4D1EF5D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37CB370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0A0A677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4C3070B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795FE0B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6E3C789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7850B526" w14:textId="77777777">
        <w:trPr>
          <w:trHeight w:val="600"/>
          <w:jc w:val="center"/>
        </w:trPr>
        <w:tc>
          <w:tcPr>
            <w:tcW w:w="1640" w:type="dxa"/>
            <w:shd w:val="clear" w:color="auto" w:fill="auto"/>
            <w:vAlign w:val="center"/>
            <w:hideMark/>
          </w:tcPr>
          <w:p w:rsidRPr="00A9346B" w:rsidR="00A9346B" w:rsidP="00A9346B" w:rsidRDefault="00A9346B" w14:paraId="17A63BE7"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93.302(d)(1)</w:t>
            </w:r>
          </w:p>
        </w:tc>
        <w:tc>
          <w:tcPr>
            <w:tcW w:w="1928" w:type="dxa"/>
            <w:shd w:val="clear" w:color="auto" w:fill="auto"/>
            <w:vAlign w:val="center"/>
            <w:hideMark/>
          </w:tcPr>
          <w:p w:rsidRPr="00A9346B" w:rsidR="00A9346B" w:rsidP="00A9346B" w:rsidRDefault="00A9346B" w14:paraId="5F54B946"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Establish affordability requirements</w:t>
            </w:r>
          </w:p>
        </w:tc>
        <w:tc>
          <w:tcPr>
            <w:tcW w:w="1273" w:type="dxa"/>
            <w:shd w:val="clear" w:color="auto" w:fill="auto"/>
            <w:vAlign w:val="center"/>
            <w:hideMark/>
          </w:tcPr>
          <w:p w:rsidRPr="00A9346B" w:rsidR="00A9346B" w:rsidP="00A9346B" w:rsidRDefault="00A9346B" w14:paraId="5054A0A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59A3E18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7F11224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4F5E181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67CF6A6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1B31937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57F1F4F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28A825BB" w14:textId="77777777">
        <w:trPr>
          <w:trHeight w:val="600"/>
          <w:jc w:val="center"/>
        </w:trPr>
        <w:tc>
          <w:tcPr>
            <w:tcW w:w="1640" w:type="dxa"/>
            <w:shd w:val="clear" w:color="auto" w:fill="auto"/>
            <w:vAlign w:val="center"/>
            <w:hideMark/>
          </w:tcPr>
          <w:p w:rsidRPr="00A9346B" w:rsidR="00A9346B" w:rsidP="00A9346B" w:rsidRDefault="00A9346B" w14:paraId="4B425CD4"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93.302(d)(3)</w:t>
            </w:r>
          </w:p>
        </w:tc>
        <w:tc>
          <w:tcPr>
            <w:tcW w:w="1928" w:type="dxa"/>
            <w:shd w:val="clear" w:color="auto" w:fill="auto"/>
            <w:vAlign w:val="center"/>
            <w:hideMark/>
          </w:tcPr>
          <w:p w:rsidRPr="00A9346B" w:rsidR="00A9346B" w:rsidP="00A9346B" w:rsidRDefault="00A9346B" w14:paraId="4BF00BC1"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xml:space="preserve">Establish preemptive procedures before foreclosure </w:t>
            </w:r>
          </w:p>
        </w:tc>
        <w:tc>
          <w:tcPr>
            <w:tcW w:w="1273" w:type="dxa"/>
            <w:shd w:val="clear" w:color="auto" w:fill="auto"/>
            <w:vAlign w:val="center"/>
            <w:hideMark/>
          </w:tcPr>
          <w:p w:rsidRPr="00A9346B" w:rsidR="00A9346B" w:rsidP="00A9346B" w:rsidRDefault="00A9346B" w14:paraId="52FFC3A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3902B88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386D4C5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541560E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5333F8A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0BD6097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2D36C17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2A0354DD" w14:textId="77777777">
        <w:trPr>
          <w:trHeight w:val="600"/>
          <w:jc w:val="center"/>
        </w:trPr>
        <w:tc>
          <w:tcPr>
            <w:tcW w:w="1640" w:type="dxa"/>
            <w:shd w:val="clear" w:color="auto" w:fill="auto"/>
            <w:vAlign w:val="center"/>
            <w:hideMark/>
          </w:tcPr>
          <w:p w:rsidRPr="00A9346B" w:rsidR="00A9346B" w:rsidP="00A9346B" w:rsidRDefault="00A9346B" w14:paraId="55BC3F50"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93.302(e)(1)</w:t>
            </w:r>
          </w:p>
        </w:tc>
        <w:tc>
          <w:tcPr>
            <w:tcW w:w="1928" w:type="dxa"/>
            <w:shd w:val="clear" w:color="auto" w:fill="auto"/>
            <w:vAlign w:val="center"/>
            <w:hideMark/>
          </w:tcPr>
          <w:p w:rsidRPr="00A9346B" w:rsidR="00A9346B" w:rsidP="00A9346B" w:rsidRDefault="00A9346B" w14:paraId="31D5CBBC"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Initial income determination</w:t>
            </w:r>
          </w:p>
        </w:tc>
        <w:tc>
          <w:tcPr>
            <w:tcW w:w="1273" w:type="dxa"/>
            <w:shd w:val="clear" w:color="auto" w:fill="auto"/>
            <w:vAlign w:val="center"/>
            <w:hideMark/>
          </w:tcPr>
          <w:p w:rsidRPr="00A9346B" w:rsidR="00A9346B" w:rsidP="00A9346B" w:rsidRDefault="00A9346B" w14:paraId="71F5C5C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1821.00</w:t>
            </w:r>
          </w:p>
        </w:tc>
        <w:tc>
          <w:tcPr>
            <w:tcW w:w="1067" w:type="dxa"/>
            <w:shd w:val="clear" w:color="auto" w:fill="auto"/>
            <w:vAlign w:val="center"/>
            <w:hideMark/>
          </w:tcPr>
          <w:p w:rsidRPr="00A9346B" w:rsidR="00A9346B" w:rsidP="00A9346B" w:rsidRDefault="00A9346B" w14:paraId="7CB2803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66EDE57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1821.00</w:t>
            </w:r>
          </w:p>
        </w:tc>
        <w:tc>
          <w:tcPr>
            <w:tcW w:w="996" w:type="dxa"/>
            <w:shd w:val="clear" w:color="auto" w:fill="auto"/>
            <w:vAlign w:val="center"/>
            <w:hideMark/>
          </w:tcPr>
          <w:p w:rsidRPr="00A9346B" w:rsidR="00A9346B" w:rsidP="00A9346B" w:rsidRDefault="00A9346B" w14:paraId="4F881F0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26" w:type="dxa"/>
            <w:shd w:val="clear" w:color="auto" w:fill="auto"/>
            <w:vAlign w:val="center"/>
            <w:hideMark/>
          </w:tcPr>
          <w:p w:rsidRPr="00A9346B" w:rsidR="00A9346B" w:rsidP="00A9346B" w:rsidRDefault="00A9346B" w14:paraId="341C315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1821.00</w:t>
            </w:r>
          </w:p>
        </w:tc>
        <w:tc>
          <w:tcPr>
            <w:tcW w:w="996" w:type="dxa"/>
            <w:shd w:val="clear" w:color="auto" w:fill="auto"/>
            <w:noWrap/>
            <w:vAlign w:val="center"/>
            <w:hideMark/>
          </w:tcPr>
          <w:p w:rsidRPr="00A9346B" w:rsidR="00A9346B" w:rsidP="00A9346B" w:rsidRDefault="00A9346B" w14:paraId="389E3EA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29D6A1A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$78,375.84</w:t>
            </w:r>
          </w:p>
        </w:tc>
      </w:tr>
      <w:tr w:rsidRPr="00A9346B" w:rsidR="006C5B6A" w:rsidTr="006C5B6A" w14:paraId="57F00977" w14:textId="77777777">
        <w:trPr>
          <w:trHeight w:val="600"/>
          <w:jc w:val="center"/>
        </w:trPr>
        <w:tc>
          <w:tcPr>
            <w:tcW w:w="1640" w:type="dxa"/>
            <w:shd w:val="clear" w:color="auto" w:fill="auto"/>
            <w:vAlign w:val="center"/>
            <w:hideMark/>
          </w:tcPr>
          <w:p w:rsidRPr="00A9346B" w:rsidR="00A9346B" w:rsidP="00A9346B" w:rsidRDefault="00A9346B" w14:paraId="5CDB5EAD"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93.302(e)(1)</w:t>
            </w:r>
          </w:p>
        </w:tc>
        <w:tc>
          <w:tcPr>
            <w:tcW w:w="1928" w:type="dxa"/>
            <w:shd w:val="clear" w:color="auto" w:fill="auto"/>
            <w:vAlign w:val="center"/>
            <w:hideMark/>
          </w:tcPr>
          <w:p w:rsidRPr="00A9346B" w:rsidR="00A9346B" w:rsidP="00A9346B" w:rsidRDefault="00A9346B" w14:paraId="66CBFC1F"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Annual income determination</w:t>
            </w:r>
          </w:p>
        </w:tc>
        <w:tc>
          <w:tcPr>
            <w:tcW w:w="1273" w:type="dxa"/>
            <w:shd w:val="clear" w:color="auto" w:fill="auto"/>
            <w:vAlign w:val="center"/>
            <w:hideMark/>
          </w:tcPr>
          <w:p w:rsidRPr="00A9346B" w:rsidR="00A9346B" w:rsidP="00A9346B" w:rsidRDefault="00A9346B" w14:paraId="3A9412F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5600.00</w:t>
            </w:r>
          </w:p>
        </w:tc>
        <w:tc>
          <w:tcPr>
            <w:tcW w:w="1067" w:type="dxa"/>
            <w:shd w:val="clear" w:color="auto" w:fill="auto"/>
            <w:vAlign w:val="center"/>
            <w:hideMark/>
          </w:tcPr>
          <w:p w:rsidRPr="00A9346B" w:rsidR="00A9346B" w:rsidP="00A9346B" w:rsidRDefault="00A9346B" w14:paraId="5DA8888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258AE4C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5600.00</w:t>
            </w:r>
          </w:p>
        </w:tc>
        <w:tc>
          <w:tcPr>
            <w:tcW w:w="996" w:type="dxa"/>
            <w:shd w:val="clear" w:color="auto" w:fill="auto"/>
            <w:vAlign w:val="center"/>
            <w:hideMark/>
          </w:tcPr>
          <w:p w:rsidRPr="00A9346B" w:rsidR="00A9346B" w:rsidP="00A9346B" w:rsidRDefault="00A9346B" w14:paraId="5C78A86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0.25</w:t>
            </w:r>
          </w:p>
        </w:tc>
        <w:tc>
          <w:tcPr>
            <w:tcW w:w="1026" w:type="dxa"/>
            <w:shd w:val="clear" w:color="auto" w:fill="auto"/>
            <w:vAlign w:val="center"/>
            <w:hideMark/>
          </w:tcPr>
          <w:p w:rsidRPr="00A9346B" w:rsidR="00A9346B" w:rsidP="00A9346B" w:rsidRDefault="00A9346B" w14:paraId="1BE12AA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1400.00</w:t>
            </w:r>
          </w:p>
        </w:tc>
        <w:tc>
          <w:tcPr>
            <w:tcW w:w="996" w:type="dxa"/>
            <w:shd w:val="clear" w:color="auto" w:fill="auto"/>
            <w:noWrap/>
            <w:vAlign w:val="center"/>
            <w:hideMark/>
          </w:tcPr>
          <w:p w:rsidRPr="00A9346B" w:rsidR="00A9346B" w:rsidP="00A9346B" w:rsidRDefault="00A9346B" w14:paraId="282EC54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25520E0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$60,256.00</w:t>
            </w:r>
          </w:p>
        </w:tc>
      </w:tr>
      <w:tr w:rsidRPr="00A9346B" w:rsidR="006C5B6A" w:rsidTr="006C5B6A" w14:paraId="1C20276F" w14:textId="77777777">
        <w:trPr>
          <w:trHeight w:val="600"/>
          <w:jc w:val="center"/>
        </w:trPr>
        <w:tc>
          <w:tcPr>
            <w:tcW w:w="1640" w:type="dxa"/>
            <w:shd w:val="clear" w:color="auto" w:fill="auto"/>
            <w:vAlign w:val="center"/>
            <w:hideMark/>
          </w:tcPr>
          <w:p w:rsidRPr="00A9346B" w:rsidR="00A9346B" w:rsidP="00A9346B" w:rsidRDefault="00A9346B" w14:paraId="2EA7F08D"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93.350(a)</w:t>
            </w:r>
          </w:p>
        </w:tc>
        <w:tc>
          <w:tcPr>
            <w:tcW w:w="1928" w:type="dxa"/>
            <w:shd w:val="clear" w:color="auto" w:fill="auto"/>
            <w:vAlign w:val="center"/>
            <w:hideMark/>
          </w:tcPr>
          <w:p w:rsidRPr="00A9346B" w:rsidR="00A9346B" w:rsidP="00A9346B" w:rsidRDefault="00A9346B" w14:paraId="7BC40E49"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xml:space="preserve">Nondiscrimination and equal opportunity </w:t>
            </w:r>
            <w:r w:rsidRPr="00A9346B" w:rsidR="006C5B6A">
              <w:rPr>
                <w:rFonts w:ascii="Calibri" w:hAnsi="Calibri" w:cs="Calibri"/>
                <w:color w:val="000000"/>
              </w:rPr>
              <w:t>procedures</w:t>
            </w:r>
          </w:p>
        </w:tc>
        <w:tc>
          <w:tcPr>
            <w:tcW w:w="1273" w:type="dxa"/>
            <w:shd w:val="clear" w:color="auto" w:fill="auto"/>
            <w:vAlign w:val="center"/>
            <w:hideMark/>
          </w:tcPr>
          <w:p w:rsidRPr="00A9346B" w:rsidR="00A9346B" w:rsidP="00A9346B" w:rsidRDefault="00A9346B" w14:paraId="2B65082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5DF6569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4E6404C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6E18ACD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8.00</w:t>
            </w:r>
          </w:p>
        </w:tc>
        <w:tc>
          <w:tcPr>
            <w:tcW w:w="1026" w:type="dxa"/>
            <w:shd w:val="clear" w:color="auto" w:fill="auto"/>
            <w:vAlign w:val="center"/>
            <w:hideMark/>
          </w:tcPr>
          <w:p w:rsidRPr="00A9346B" w:rsidR="00A9346B" w:rsidP="00A9346B" w:rsidRDefault="00A9346B" w14:paraId="43ABD72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448.00</w:t>
            </w:r>
          </w:p>
        </w:tc>
        <w:tc>
          <w:tcPr>
            <w:tcW w:w="996" w:type="dxa"/>
            <w:shd w:val="clear" w:color="auto" w:fill="auto"/>
            <w:noWrap/>
            <w:vAlign w:val="center"/>
            <w:hideMark/>
          </w:tcPr>
          <w:p w:rsidRPr="00A9346B" w:rsidR="00A9346B" w:rsidP="00A9346B" w:rsidRDefault="00A9346B" w14:paraId="3269B03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1B9AC91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$19,281.92</w:t>
            </w:r>
          </w:p>
        </w:tc>
      </w:tr>
      <w:tr w:rsidRPr="00A9346B" w:rsidR="006C5B6A" w:rsidTr="006C5B6A" w14:paraId="3B5EA2D8" w14:textId="77777777">
        <w:trPr>
          <w:trHeight w:val="600"/>
          <w:jc w:val="center"/>
        </w:trPr>
        <w:tc>
          <w:tcPr>
            <w:tcW w:w="1640" w:type="dxa"/>
            <w:shd w:val="clear" w:color="auto" w:fill="auto"/>
            <w:vAlign w:val="center"/>
            <w:hideMark/>
          </w:tcPr>
          <w:p w:rsidRPr="00A9346B" w:rsidR="00A9346B" w:rsidP="00A9346B" w:rsidRDefault="00A9346B" w14:paraId="18957EC8"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93.350(b)(1)</w:t>
            </w:r>
          </w:p>
        </w:tc>
        <w:tc>
          <w:tcPr>
            <w:tcW w:w="1928" w:type="dxa"/>
            <w:shd w:val="clear" w:color="auto" w:fill="auto"/>
            <w:vAlign w:val="center"/>
            <w:hideMark/>
          </w:tcPr>
          <w:p w:rsidRPr="00A9346B" w:rsidR="00A9346B" w:rsidP="00A9346B" w:rsidRDefault="00A9346B" w14:paraId="3A2D6DA3"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xml:space="preserve">Affirmative marketing procedures </w:t>
            </w:r>
          </w:p>
        </w:tc>
        <w:tc>
          <w:tcPr>
            <w:tcW w:w="1273" w:type="dxa"/>
            <w:shd w:val="clear" w:color="auto" w:fill="auto"/>
            <w:vAlign w:val="center"/>
            <w:hideMark/>
          </w:tcPr>
          <w:p w:rsidRPr="00A9346B" w:rsidR="00A9346B" w:rsidP="00A9346B" w:rsidRDefault="00A9346B" w14:paraId="7BD3DBC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09A3722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5E5E3A2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5FEA902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10.00</w:t>
            </w:r>
          </w:p>
        </w:tc>
        <w:tc>
          <w:tcPr>
            <w:tcW w:w="1026" w:type="dxa"/>
            <w:shd w:val="clear" w:color="auto" w:fill="auto"/>
            <w:vAlign w:val="center"/>
            <w:hideMark/>
          </w:tcPr>
          <w:p w:rsidRPr="00A9346B" w:rsidR="00A9346B" w:rsidP="00A9346B" w:rsidRDefault="00A9346B" w14:paraId="44AA51F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560.00</w:t>
            </w:r>
          </w:p>
        </w:tc>
        <w:tc>
          <w:tcPr>
            <w:tcW w:w="996" w:type="dxa"/>
            <w:shd w:val="clear" w:color="auto" w:fill="auto"/>
            <w:noWrap/>
            <w:vAlign w:val="center"/>
            <w:hideMark/>
          </w:tcPr>
          <w:p w:rsidRPr="00A9346B" w:rsidR="00A9346B" w:rsidP="00A9346B" w:rsidRDefault="00A9346B" w14:paraId="5518148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17D7582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$24,102.40</w:t>
            </w:r>
          </w:p>
        </w:tc>
      </w:tr>
      <w:tr w:rsidRPr="00A9346B" w:rsidR="006C5B6A" w:rsidTr="006C5B6A" w14:paraId="06BB910F" w14:textId="77777777">
        <w:trPr>
          <w:trHeight w:val="600"/>
          <w:jc w:val="center"/>
        </w:trPr>
        <w:tc>
          <w:tcPr>
            <w:tcW w:w="1640" w:type="dxa"/>
            <w:shd w:val="clear" w:color="auto" w:fill="auto"/>
            <w:noWrap/>
            <w:vAlign w:val="center"/>
            <w:hideMark/>
          </w:tcPr>
          <w:p w:rsidRPr="00A9346B" w:rsidR="00A9346B" w:rsidP="00A9346B" w:rsidRDefault="00A9346B" w14:paraId="389A12E8" w14:textId="77777777">
            <w:pPr>
              <w:overflowPunct/>
              <w:autoSpaceDE/>
              <w:autoSpaceDN/>
              <w:adjustRightInd/>
              <w:textAlignment w:val="auto"/>
              <w:rPr>
                <w:rFonts w:ascii="Calibri" w:hAnsi="Calibri" w:cs="Calibri"/>
                <w:color w:val="333333"/>
              </w:rPr>
            </w:pPr>
            <w:r w:rsidRPr="00A9346B">
              <w:rPr>
                <w:rFonts w:ascii="Calibri" w:hAnsi="Calibri" w:cs="Calibri"/>
                <w:color w:val="333333"/>
              </w:rPr>
              <w:t xml:space="preserve">§ 93.351 </w:t>
            </w:r>
          </w:p>
        </w:tc>
        <w:tc>
          <w:tcPr>
            <w:tcW w:w="1928" w:type="dxa"/>
            <w:shd w:val="clear" w:color="auto" w:fill="auto"/>
            <w:vAlign w:val="center"/>
            <w:hideMark/>
          </w:tcPr>
          <w:p w:rsidRPr="00A9346B" w:rsidR="00A9346B" w:rsidP="00A9346B" w:rsidRDefault="00A9346B" w14:paraId="09D43157"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Lead-based paint</w:t>
            </w:r>
          </w:p>
        </w:tc>
        <w:tc>
          <w:tcPr>
            <w:tcW w:w="1273" w:type="dxa"/>
            <w:shd w:val="clear" w:color="auto" w:fill="auto"/>
            <w:vAlign w:val="center"/>
            <w:hideMark/>
          </w:tcPr>
          <w:p w:rsidRPr="00A9346B" w:rsidR="00A9346B" w:rsidP="00A9346B" w:rsidRDefault="00A9346B" w14:paraId="2C758F0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34FCD0C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61E1C52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2D55036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26" w:type="dxa"/>
            <w:shd w:val="clear" w:color="auto" w:fill="auto"/>
            <w:vAlign w:val="center"/>
            <w:hideMark/>
          </w:tcPr>
          <w:p w:rsidRPr="00A9346B" w:rsidR="00A9346B" w:rsidP="00A9346B" w:rsidRDefault="00A9346B" w14:paraId="3170033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noWrap/>
            <w:vAlign w:val="center"/>
            <w:hideMark/>
          </w:tcPr>
          <w:p w:rsidRPr="00A9346B" w:rsidR="00A9346B" w:rsidP="00A9346B" w:rsidRDefault="00A9346B" w14:paraId="3137764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37C11E7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$2,410.24</w:t>
            </w:r>
          </w:p>
        </w:tc>
      </w:tr>
      <w:tr w:rsidRPr="00A9346B" w:rsidR="006C5B6A" w:rsidTr="006C5B6A" w14:paraId="12EA849E" w14:textId="77777777">
        <w:trPr>
          <w:trHeight w:val="600"/>
          <w:jc w:val="center"/>
        </w:trPr>
        <w:tc>
          <w:tcPr>
            <w:tcW w:w="1640" w:type="dxa"/>
            <w:shd w:val="clear" w:color="auto" w:fill="auto"/>
            <w:vAlign w:val="center"/>
            <w:hideMark/>
          </w:tcPr>
          <w:p w:rsidRPr="00A9346B" w:rsidR="00A9346B" w:rsidP="00A9346B" w:rsidRDefault="00A9346B" w14:paraId="64B89249"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xml:space="preserve">§ 93.352 </w:t>
            </w:r>
          </w:p>
        </w:tc>
        <w:tc>
          <w:tcPr>
            <w:tcW w:w="1928" w:type="dxa"/>
            <w:shd w:val="clear" w:color="auto" w:fill="auto"/>
            <w:vAlign w:val="center"/>
            <w:hideMark/>
          </w:tcPr>
          <w:p w:rsidRPr="00A9346B" w:rsidR="00A9346B" w:rsidP="00A9346B" w:rsidRDefault="00A9346B" w14:paraId="17D0F04F"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Displacement, relocation, and acquisition procedures</w:t>
            </w:r>
          </w:p>
        </w:tc>
        <w:tc>
          <w:tcPr>
            <w:tcW w:w="1273" w:type="dxa"/>
            <w:shd w:val="clear" w:color="auto" w:fill="auto"/>
            <w:vAlign w:val="center"/>
            <w:hideMark/>
          </w:tcPr>
          <w:p w:rsidRPr="00A9346B" w:rsidR="00A9346B" w:rsidP="00A9346B" w:rsidRDefault="00A9346B" w14:paraId="459FCED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1ECF7E5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192E1D0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191C7E7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752B9A4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24CA7ED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0770F16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547BB6B7" w14:textId="77777777">
        <w:trPr>
          <w:trHeight w:val="600"/>
          <w:jc w:val="center"/>
        </w:trPr>
        <w:tc>
          <w:tcPr>
            <w:tcW w:w="1640" w:type="dxa"/>
            <w:shd w:val="clear" w:color="auto" w:fill="auto"/>
            <w:vAlign w:val="center"/>
            <w:hideMark/>
          </w:tcPr>
          <w:p w:rsidRPr="00A9346B" w:rsidR="00A9346B" w:rsidP="00A9346B" w:rsidRDefault="00A9346B" w14:paraId="49EE66B5"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93.353</w:t>
            </w:r>
          </w:p>
        </w:tc>
        <w:tc>
          <w:tcPr>
            <w:tcW w:w="1928" w:type="dxa"/>
            <w:shd w:val="clear" w:color="auto" w:fill="auto"/>
            <w:vAlign w:val="center"/>
            <w:hideMark/>
          </w:tcPr>
          <w:p w:rsidRPr="00A9346B" w:rsidR="00A9346B" w:rsidP="00A9346B" w:rsidRDefault="00A9346B" w14:paraId="59E70844"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Conflict of interest adjudication</w:t>
            </w:r>
          </w:p>
        </w:tc>
        <w:tc>
          <w:tcPr>
            <w:tcW w:w="1273" w:type="dxa"/>
            <w:shd w:val="clear" w:color="auto" w:fill="auto"/>
            <w:vAlign w:val="center"/>
            <w:hideMark/>
          </w:tcPr>
          <w:p w:rsidRPr="00A9346B" w:rsidR="00A9346B" w:rsidP="00A9346B" w:rsidRDefault="00A9346B" w14:paraId="0F3502B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w:t>
            </w:r>
          </w:p>
        </w:tc>
        <w:tc>
          <w:tcPr>
            <w:tcW w:w="1067" w:type="dxa"/>
            <w:shd w:val="clear" w:color="auto" w:fill="auto"/>
            <w:vAlign w:val="center"/>
            <w:hideMark/>
          </w:tcPr>
          <w:p w:rsidRPr="00A9346B" w:rsidR="00A9346B" w:rsidP="00A9346B" w:rsidRDefault="00A9346B" w14:paraId="7FB6743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1595F36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w:t>
            </w:r>
          </w:p>
        </w:tc>
        <w:tc>
          <w:tcPr>
            <w:tcW w:w="996" w:type="dxa"/>
            <w:shd w:val="clear" w:color="auto" w:fill="auto"/>
            <w:vAlign w:val="center"/>
            <w:hideMark/>
          </w:tcPr>
          <w:p w:rsidRPr="00A9346B" w:rsidR="00A9346B" w:rsidP="00A9346B" w:rsidRDefault="00A9346B" w14:paraId="34A73C3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0EBCD6C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8.00</w:t>
            </w:r>
          </w:p>
        </w:tc>
        <w:tc>
          <w:tcPr>
            <w:tcW w:w="996" w:type="dxa"/>
            <w:shd w:val="clear" w:color="auto" w:fill="auto"/>
            <w:noWrap/>
            <w:vAlign w:val="center"/>
            <w:hideMark/>
          </w:tcPr>
          <w:p w:rsidRPr="00A9346B" w:rsidR="00A9346B" w:rsidP="00A9346B" w:rsidRDefault="00A9346B" w14:paraId="7D87715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5015196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$344.32</w:t>
            </w:r>
          </w:p>
        </w:tc>
      </w:tr>
      <w:tr w:rsidRPr="00A9346B" w:rsidR="006C5B6A" w:rsidTr="006C5B6A" w14:paraId="51D13053" w14:textId="77777777">
        <w:trPr>
          <w:trHeight w:val="600"/>
          <w:jc w:val="center"/>
        </w:trPr>
        <w:tc>
          <w:tcPr>
            <w:tcW w:w="1640" w:type="dxa"/>
            <w:shd w:val="clear" w:color="auto" w:fill="auto"/>
            <w:vAlign w:val="center"/>
            <w:hideMark/>
          </w:tcPr>
          <w:p w:rsidRPr="00A9346B" w:rsidR="00A9346B" w:rsidP="00A9346B" w:rsidRDefault="00A9346B" w14:paraId="291D7CD3"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93.354</w:t>
            </w:r>
          </w:p>
        </w:tc>
        <w:tc>
          <w:tcPr>
            <w:tcW w:w="1928" w:type="dxa"/>
            <w:shd w:val="clear" w:color="auto" w:fill="auto"/>
            <w:vAlign w:val="center"/>
            <w:hideMark/>
          </w:tcPr>
          <w:p w:rsidRPr="00A9346B" w:rsidR="00A9346B" w:rsidP="00A9346B" w:rsidRDefault="00A9346B" w14:paraId="6B4A652B"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Funding Accountability and Transparency Act</w:t>
            </w:r>
          </w:p>
        </w:tc>
        <w:tc>
          <w:tcPr>
            <w:tcW w:w="1273" w:type="dxa"/>
            <w:shd w:val="clear" w:color="auto" w:fill="auto"/>
            <w:vAlign w:val="center"/>
            <w:hideMark/>
          </w:tcPr>
          <w:p w:rsidRPr="00A9346B" w:rsidR="00A9346B" w:rsidP="00A9346B" w:rsidRDefault="00A9346B" w14:paraId="20181D8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5830B38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12.00</w:t>
            </w:r>
          </w:p>
        </w:tc>
        <w:tc>
          <w:tcPr>
            <w:tcW w:w="1074" w:type="dxa"/>
            <w:shd w:val="clear" w:color="auto" w:fill="auto"/>
            <w:vAlign w:val="center"/>
            <w:hideMark/>
          </w:tcPr>
          <w:p w:rsidRPr="00A9346B" w:rsidR="00A9346B" w:rsidP="00A9346B" w:rsidRDefault="00A9346B" w14:paraId="5F634D4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672.00</w:t>
            </w:r>
          </w:p>
        </w:tc>
        <w:tc>
          <w:tcPr>
            <w:tcW w:w="996" w:type="dxa"/>
            <w:shd w:val="clear" w:color="auto" w:fill="auto"/>
            <w:vAlign w:val="center"/>
            <w:hideMark/>
          </w:tcPr>
          <w:p w:rsidRPr="00A9346B" w:rsidR="00A9346B" w:rsidP="00A9346B" w:rsidRDefault="00A9346B" w14:paraId="7F99835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26" w:type="dxa"/>
            <w:shd w:val="clear" w:color="auto" w:fill="auto"/>
            <w:vAlign w:val="center"/>
            <w:hideMark/>
          </w:tcPr>
          <w:p w:rsidRPr="00A9346B" w:rsidR="00A9346B" w:rsidP="00A9346B" w:rsidRDefault="00A9346B" w14:paraId="3F4FE6C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672.00</w:t>
            </w:r>
          </w:p>
        </w:tc>
        <w:tc>
          <w:tcPr>
            <w:tcW w:w="996" w:type="dxa"/>
            <w:shd w:val="clear" w:color="auto" w:fill="auto"/>
            <w:noWrap/>
            <w:vAlign w:val="center"/>
            <w:hideMark/>
          </w:tcPr>
          <w:p w:rsidRPr="00A9346B" w:rsidR="00A9346B" w:rsidP="00A9346B" w:rsidRDefault="00A9346B" w14:paraId="775497F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035793E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$28,922.88</w:t>
            </w:r>
          </w:p>
        </w:tc>
      </w:tr>
      <w:tr w:rsidRPr="00A9346B" w:rsidR="006C5B6A" w:rsidTr="006C5B6A" w14:paraId="25AA16D9" w14:textId="77777777">
        <w:trPr>
          <w:trHeight w:val="600"/>
          <w:jc w:val="center"/>
        </w:trPr>
        <w:tc>
          <w:tcPr>
            <w:tcW w:w="1640" w:type="dxa"/>
            <w:shd w:val="clear" w:color="auto" w:fill="auto"/>
            <w:vAlign w:val="center"/>
            <w:hideMark/>
          </w:tcPr>
          <w:p w:rsidRPr="00A9346B" w:rsidR="00A9346B" w:rsidP="00A9346B" w:rsidRDefault="00A9346B" w14:paraId="6137B738"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93.356(b)</w:t>
            </w:r>
          </w:p>
        </w:tc>
        <w:tc>
          <w:tcPr>
            <w:tcW w:w="1928" w:type="dxa"/>
            <w:shd w:val="clear" w:color="auto" w:fill="auto"/>
            <w:vAlign w:val="center"/>
            <w:hideMark/>
          </w:tcPr>
          <w:p w:rsidRPr="00A9346B" w:rsidR="00A9346B" w:rsidP="00A9346B" w:rsidRDefault="00A9346B" w14:paraId="317CBBBB"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VAWA notification requirements</w:t>
            </w:r>
          </w:p>
        </w:tc>
        <w:tc>
          <w:tcPr>
            <w:tcW w:w="1273" w:type="dxa"/>
            <w:shd w:val="clear" w:color="auto" w:fill="auto"/>
            <w:vAlign w:val="center"/>
            <w:hideMark/>
          </w:tcPr>
          <w:p w:rsidRPr="00A9346B" w:rsidR="00A9346B" w:rsidP="00A9346B" w:rsidRDefault="00A9346B" w14:paraId="193ACD5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7FE4B60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0429386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3C6601C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305E8C1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3630A6D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037E770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6245525A" w14:textId="77777777">
        <w:trPr>
          <w:trHeight w:val="600"/>
          <w:jc w:val="center"/>
        </w:trPr>
        <w:tc>
          <w:tcPr>
            <w:tcW w:w="1640" w:type="dxa"/>
            <w:shd w:val="clear" w:color="auto" w:fill="auto"/>
            <w:vAlign w:val="center"/>
            <w:hideMark/>
          </w:tcPr>
          <w:p w:rsidRPr="00A9346B" w:rsidR="00A9346B" w:rsidP="00A9346B" w:rsidRDefault="00A9346B" w14:paraId="093B569B"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93.356(d)</w:t>
            </w:r>
          </w:p>
        </w:tc>
        <w:tc>
          <w:tcPr>
            <w:tcW w:w="1928" w:type="dxa"/>
            <w:shd w:val="clear" w:color="auto" w:fill="auto"/>
            <w:vAlign w:val="center"/>
            <w:hideMark/>
          </w:tcPr>
          <w:p w:rsidRPr="00A9346B" w:rsidR="00A9346B" w:rsidP="00A9346B" w:rsidRDefault="00A9346B" w14:paraId="44762EA2"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VAWA lease term/addendum</w:t>
            </w:r>
          </w:p>
        </w:tc>
        <w:tc>
          <w:tcPr>
            <w:tcW w:w="1273" w:type="dxa"/>
            <w:shd w:val="clear" w:color="auto" w:fill="auto"/>
            <w:vAlign w:val="center"/>
            <w:hideMark/>
          </w:tcPr>
          <w:p w:rsidRPr="00A9346B" w:rsidR="00A9346B" w:rsidP="00A9346B" w:rsidRDefault="00A9346B" w14:paraId="04E7CAC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4B5B0A8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7EB0063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41EBE4D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11B6089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0F75049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173EE0D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24BCE6DF" w14:textId="77777777">
        <w:trPr>
          <w:trHeight w:val="600"/>
          <w:jc w:val="center"/>
        </w:trPr>
        <w:tc>
          <w:tcPr>
            <w:tcW w:w="1640" w:type="dxa"/>
            <w:shd w:val="clear" w:color="auto" w:fill="auto"/>
            <w:vAlign w:val="center"/>
            <w:hideMark/>
          </w:tcPr>
          <w:p w:rsidRPr="00A9346B" w:rsidR="00A9346B" w:rsidP="00A9346B" w:rsidRDefault="00A9346B" w14:paraId="18753F42"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93.356(f)</w:t>
            </w:r>
          </w:p>
        </w:tc>
        <w:tc>
          <w:tcPr>
            <w:tcW w:w="1928" w:type="dxa"/>
            <w:shd w:val="clear" w:color="auto" w:fill="auto"/>
            <w:vAlign w:val="center"/>
            <w:hideMark/>
          </w:tcPr>
          <w:p w:rsidRPr="00A9346B" w:rsidR="00A9346B" w:rsidP="00A9346B" w:rsidRDefault="00A9346B" w14:paraId="6508846A"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VAWA Emergency transfer plan</w:t>
            </w:r>
          </w:p>
        </w:tc>
        <w:tc>
          <w:tcPr>
            <w:tcW w:w="1273" w:type="dxa"/>
            <w:shd w:val="clear" w:color="auto" w:fill="auto"/>
            <w:vAlign w:val="center"/>
            <w:hideMark/>
          </w:tcPr>
          <w:p w:rsidRPr="00A9346B" w:rsidR="00A9346B" w:rsidP="00A9346B" w:rsidRDefault="00A9346B" w14:paraId="12CCD49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5705596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0343EAD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5F94D77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6C1B44F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6D31291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1203541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6B442524" w14:textId="77777777">
        <w:trPr>
          <w:trHeight w:val="600"/>
          <w:jc w:val="center"/>
        </w:trPr>
        <w:tc>
          <w:tcPr>
            <w:tcW w:w="1640" w:type="dxa"/>
            <w:shd w:val="clear" w:color="auto" w:fill="auto"/>
            <w:vAlign w:val="center"/>
            <w:hideMark/>
          </w:tcPr>
          <w:p w:rsidRPr="00A9346B" w:rsidR="00A9346B" w:rsidP="00A9346B" w:rsidRDefault="00A9346B" w14:paraId="7DF1B28E"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93.402(b)(1)</w:t>
            </w:r>
          </w:p>
        </w:tc>
        <w:tc>
          <w:tcPr>
            <w:tcW w:w="1928" w:type="dxa"/>
            <w:shd w:val="clear" w:color="auto" w:fill="auto"/>
            <w:vAlign w:val="center"/>
            <w:hideMark/>
          </w:tcPr>
          <w:p w:rsidRPr="00A9346B" w:rsidR="00A9346B" w:rsidP="00A9346B" w:rsidRDefault="00A9346B" w14:paraId="3C5BDE9B"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IDIS - Project set-up</w:t>
            </w:r>
          </w:p>
        </w:tc>
        <w:tc>
          <w:tcPr>
            <w:tcW w:w="1273" w:type="dxa"/>
            <w:shd w:val="clear" w:color="auto" w:fill="auto"/>
            <w:vAlign w:val="center"/>
            <w:hideMark/>
          </w:tcPr>
          <w:p w:rsidRPr="00A9346B" w:rsidR="00A9346B" w:rsidP="00A9346B" w:rsidRDefault="00A9346B" w14:paraId="2B77C53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1067" w:type="dxa"/>
            <w:shd w:val="clear" w:color="auto" w:fill="auto"/>
            <w:vAlign w:val="center"/>
            <w:hideMark/>
          </w:tcPr>
          <w:p w:rsidRPr="00A9346B" w:rsidR="00A9346B" w:rsidP="00A9346B" w:rsidRDefault="00A9346B" w14:paraId="2CD6825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3C52FA8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996" w:type="dxa"/>
            <w:shd w:val="clear" w:color="auto" w:fill="auto"/>
            <w:vAlign w:val="center"/>
            <w:hideMark/>
          </w:tcPr>
          <w:p w:rsidRPr="00A9346B" w:rsidR="00A9346B" w:rsidP="00A9346B" w:rsidRDefault="00A9346B" w14:paraId="5661EC5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26" w:type="dxa"/>
            <w:shd w:val="clear" w:color="auto" w:fill="auto"/>
            <w:vAlign w:val="center"/>
            <w:hideMark/>
          </w:tcPr>
          <w:p w:rsidRPr="00A9346B" w:rsidR="00A9346B" w:rsidP="00A9346B" w:rsidRDefault="00A9346B" w14:paraId="05B5145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996" w:type="dxa"/>
            <w:shd w:val="clear" w:color="auto" w:fill="auto"/>
            <w:noWrap/>
            <w:vAlign w:val="center"/>
            <w:hideMark/>
          </w:tcPr>
          <w:p w:rsidRPr="00A9346B" w:rsidR="00A9346B" w:rsidP="00A9346B" w:rsidRDefault="00A9346B" w14:paraId="0ED9E05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57802CD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$7,230.72</w:t>
            </w:r>
          </w:p>
        </w:tc>
      </w:tr>
      <w:tr w:rsidRPr="00A9346B" w:rsidR="006C5B6A" w:rsidTr="006C5B6A" w14:paraId="021140AF" w14:textId="77777777">
        <w:trPr>
          <w:trHeight w:val="600"/>
          <w:jc w:val="center"/>
        </w:trPr>
        <w:tc>
          <w:tcPr>
            <w:tcW w:w="1640" w:type="dxa"/>
            <w:shd w:val="clear" w:color="auto" w:fill="auto"/>
            <w:vAlign w:val="center"/>
            <w:hideMark/>
          </w:tcPr>
          <w:p w:rsidRPr="00A9346B" w:rsidR="00A9346B" w:rsidP="00A9346B" w:rsidRDefault="00A9346B" w14:paraId="3051C067"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93.402(c)(1)</w:t>
            </w:r>
          </w:p>
        </w:tc>
        <w:tc>
          <w:tcPr>
            <w:tcW w:w="1928" w:type="dxa"/>
            <w:shd w:val="clear" w:color="auto" w:fill="auto"/>
            <w:vAlign w:val="center"/>
            <w:hideMark/>
          </w:tcPr>
          <w:p w:rsidRPr="00A9346B" w:rsidR="00A9346B" w:rsidP="00A9346B" w:rsidRDefault="00A9346B" w14:paraId="4B4EFFAA"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IDIS - HTF drawdowns</w:t>
            </w:r>
          </w:p>
        </w:tc>
        <w:tc>
          <w:tcPr>
            <w:tcW w:w="1273" w:type="dxa"/>
            <w:shd w:val="clear" w:color="auto" w:fill="auto"/>
            <w:vAlign w:val="center"/>
            <w:hideMark/>
          </w:tcPr>
          <w:p w:rsidRPr="00A9346B" w:rsidR="00A9346B" w:rsidP="00A9346B" w:rsidRDefault="00A9346B" w14:paraId="30B30B3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1067" w:type="dxa"/>
            <w:shd w:val="clear" w:color="auto" w:fill="auto"/>
            <w:vAlign w:val="center"/>
            <w:hideMark/>
          </w:tcPr>
          <w:p w:rsidRPr="00A9346B" w:rsidR="00A9346B" w:rsidP="00A9346B" w:rsidRDefault="00A9346B" w14:paraId="5FC199B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2131DFF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996" w:type="dxa"/>
            <w:shd w:val="clear" w:color="auto" w:fill="auto"/>
            <w:vAlign w:val="center"/>
            <w:hideMark/>
          </w:tcPr>
          <w:p w:rsidRPr="00A9346B" w:rsidR="00A9346B" w:rsidP="00A9346B" w:rsidRDefault="00A9346B" w14:paraId="1168BC5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26" w:type="dxa"/>
            <w:shd w:val="clear" w:color="auto" w:fill="auto"/>
            <w:vAlign w:val="center"/>
            <w:hideMark/>
          </w:tcPr>
          <w:p w:rsidRPr="00A9346B" w:rsidR="00A9346B" w:rsidP="00A9346B" w:rsidRDefault="00A9346B" w14:paraId="7A0E8B1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996" w:type="dxa"/>
            <w:shd w:val="clear" w:color="auto" w:fill="auto"/>
            <w:noWrap/>
            <w:vAlign w:val="center"/>
            <w:hideMark/>
          </w:tcPr>
          <w:p w:rsidRPr="00A9346B" w:rsidR="00A9346B" w:rsidP="00A9346B" w:rsidRDefault="00A9346B" w14:paraId="1AFA7BE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1670D7B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$7,230.72</w:t>
            </w:r>
          </w:p>
        </w:tc>
      </w:tr>
      <w:tr w:rsidRPr="00A9346B" w:rsidR="006C5B6A" w:rsidTr="006C5B6A" w14:paraId="5848D05D" w14:textId="77777777">
        <w:trPr>
          <w:trHeight w:val="600"/>
          <w:jc w:val="center"/>
        </w:trPr>
        <w:tc>
          <w:tcPr>
            <w:tcW w:w="1640" w:type="dxa"/>
            <w:shd w:val="clear" w:color="auto" w:fill="auto"/>
            <w:vAlign w:val="center"/>
            <w:hideMark/>
          </w:tcPr>
          <w:p w:rsidRPr="00A9346B" w:rsidR="00A9346B" w:rsidP="00A9346B" w:rsidRDefault="00A9346B" w14:paraId="6AEB36F0"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93.402(d)(1)</w:t>
            </w:r>
          </w:p>
        </w:tc>
        <w:tc>
          <w:tcPr>
            <w:tcW w:w="1928" w:type="dxa"/>
            <w:shd w:val="clear" w:color="auto" w:fill="auto"/>
            <w:vAlign w:val="center"/>
            <w:hideMark/>
          </w:tcPr>
          <w:p w:rsidRPr="00A9346B" w:rsidR="00A9346B" w:rsidP="00A9346B" w:rsidRDefault="00A9346B" w14:paraId="5CA78C53"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xml:space="preserve">IDIS - Project completion </w:t>
            </w:r>
          </w:p>
        </w:tc>
        <w:tc>
          <w:tcPr>
            <w:tcW w:w="1273" w:type="dxa"/>
            <w:shd w:val="clear" w:color="auto" w:fill="auto"/>
            <w:vAlign w:val="center"/>
            <w:hideMark/>
          </w:tcPr>
          <w:p w:rsidRPr="00A9346B" w:rsidR="00A9346B" w:rsidP="00A9346B" w:rsidRDefault="00A9346B" w14:paraId="22BF35B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1067" w:type="dxa"/>
            <w:shd w:val="clear" w:color="auto" w:fill="auto"/>
            <w:vAlign w:val="center"/>
            <w:hideMark/>
          </w:tcPr>
          <w:p w:rsidRPr="00A9346B" w:rsidR="00A9346B" w:rsidP="00A9346B" w:rsidRDefault="00A9346B" w14:paraId="1C7CF7C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013AC45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996" w:type="dxa"/>
            <w:shd w:val="clear" w:color="auto" w:fill="auto"/>
            <w:vAlign w:val="center"/>
            <w:hideMark/>
          </w:tcPr>
          <w:p w:rsidRPr="00A9346B" w:rsidR="00A9346B" w:rsidP="00A9346B" w:rsidRDefault="00A9346B" w14:paraId="468B342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26" w:type="dxa"/>
            <w:shd w:val="clear" w:color="auto" w:fill="auto"/>
            <w:vAlign w:val="center"/>
            <w:hideMark/>
          </w:tcPr>
          <w:p w:rsidRPr="00A9346B" w:rsidR="00A9346B" w:rsidP="00A9346B" w:rsidRDefault="00A9346B" w14:paraId="655C308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996" w:type="dxa"/>
            <w:shd w:val="clear" w:color="auto" w:fill="auto"/>
            <w:noWrap/>
            <w:vAlign w:val="center"/>
            <w:hideMark/>
          </w:tcPr>
          <w:p w:rsidRPr="00A9346B" w:rsidR="00A9346B" w:rsidP="00A9346B" w:rsidRDefault="00A9346B" w14:paraId="1CBF96F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7D0F8AB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$7,230.72</w:t>
            </w:r>
          </w:p>
        </w:tc>
      </w:tr>
      <w:tr w:rsidRPr="00A9346B" w:rsidR="006C5B6A" w:rsidTr="006C5B6A" w14:paraId="7EB0B826" w14:textId="77777777">
        <w:trPr>
          <w:trHeight w:val="600"/>
          <w:jc w:val="center"/>
        </w:trPr>
        <w:tc>
          <w:tcPr>
            <w:tcW w:w="1640" w:type="dxa"/>
            <w:shd w:val="clear" w:color="auto" w:fill="auto"/>
            <w:vAlign w:val="center"/>
            <w:hideMark/>
          </w:tcPr>
          <w:p w:rsidRPr="00A9346B" w:rsidR="00A9346B" w:rsidP="00A9346B" w:rsidRDefault="00A9346B" w14:paraId="7C6E69CE"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93.403(a)</w:t>
            </w:r>
          </w:p>
        </w:tc>
        <w:tc>
          <w:tcPr>
            <w:tcW w:w="1928" w:type="dxa"/>
            <w:shd w:val="clear" w:color="auto" w:fill="auto"/>
            <w:vAlign w:val="center"/>
            <w:hideMark/>
          </w:tcPr>
          <w:p w:rsidRPr="00A9346B" w:rsidR="00A9346B" w:rsidP="00A9346B" w:rsidRDefault="00A9346B" w14:paraId="32DE04DD"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Program income administration</w:t>
            </w:r>
          </w:p>
        </w:tc>
        <w:tc>
          <w:tcPr>
            <w:tcW w:w="1273" w:type="dxa"/>
            <w:shd w:val="clear" w:color="auto" w:fill="auto"/>
            <w:vAlign w:val="center"/>
            <w:hideMark/>
          </w:tcPr>
          <w:p w:rsidRPr="00A9346B" w:rsidR="00A9346B" w:rsidP="00A9346B" w:rsidRDefault="00A9346B" w14:paraId="0A6D640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21A3674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14BD65C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40F7825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724F98F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72AC54B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583B86D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5999DD4D" w14:textId="77777777">
        <w:trPr>
          <w:trHeight w:val="600"/>
          <w:jc w:val="center"/>
        </w:trPr>
        <w:tc>
          <w:tcPr>
            <w:tcW w:w="1640" w:type="dxa"/>
            <w:shd w:val="clear" w:color="auto" w:fill="auto"/>
            <w:vAlign w:val="center"/>
            <w:hideMark/>
          </w:tcPr>
          <w:p w:rsidRPr="00A9346B" w:rsidR="00A9346B" w:rsidP="00A9346B" w:rsidRDefault="00A9346B" w14:paraId="5C958609"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93.403(b)(1)</w:t>
            </w:r>
          </w:p>
        </w:tc>
        <w:tc>
          <w:tcPr>
            <w:tcW w:w="1928" w:type="dxa"/>
            <w:shd w:val="clear" w:color="auto" w:fill="auto"/>
            <w:vAlign w:val="center"/>
            <w:hideMark/>
          </w:tcPr>
          <w:p w:rsidRPr="00A9346B" w:rsidR="00A9346B" w:rsidP="00A9346B" w:rsidRDefault="00A9346B" w14:paraId="6F43E766"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Repayment for ineligible activities</w:t>
            </w:r>
          </w:p>
        </w:tc>
        <w:tc>
          <w:tcPr>
            <w:tcW w:w="1273" w:type="dxa"/>
            <w:shd w:val="clear" w:color="auto" w:fill="auto"/>
            <w:vAlign w:val="center"/>
            <w:hideMark/>
          </w:tcPr>
          <w:p w:rsidRPr="00A9346B" w:rsidR="00A9346B" w:rsidP="00A9346B" w:rsidRDefault="00A9346B" w14:paraId="1B1135F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w:t>
            </w:r>
          </w:p>
        </w:tc>
        <w:tc>
          <w:tcPr>
            <w:tcW w:w="1067" w:type="dxa"/>
            <w:shd w:val="clear" w:color="auto" w:fill="auto"/>
            <w:vAlign w:val="center"/>
            <w:hideMark/>
          </w:tcPr>
          <w:p w:rsidRPr="00A9346B" w:rsidR="00A9346B" w:rsidP="00A9346B" w:rsidRDefault="00A9346B" w14:paraId="7E50B6D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798291E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w:t>
            </w:r>
          </w:p>
        </w:tc>
        <w:tc>
          <w:tcPr>
            <w:tcW w:w="996" w:type="dxa"/>
            <w:shd w:val="clear" w:color="auto" w:fill="auto"/>
            <w:vAlign w:val="center"/>
            <w:hideMark/>
          </w:tcPr>
          <w:p w:rsidRPr="00A9346B" w:rsidR="00A9346B" w:rsidP="00A9346B" w:rsidRDefault="00A9346B" w14:paraId="2124D97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5.00</w:t>
            </w:r>
          </w:p>
        </w:tc>
        <w:tc>
          <w:tcPr>
            <w:tcW w:w="1026" w:type="dxa"/>
            <w:shd w:val="clear" w:color="auto" w:fill="auto"/>
            <w:vAlign w:val="center"/>
            <w:hideMark/>
          </w:tcPr>
          <w:p w:rsidRPr="00A9346B" w:rsidR="00A9346B" w:rsidP="00A9346B" w:rsidRDefault="00A9346B" w14:paraId="1DB8404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10.00</w:t>
            </w:r>
          </w:p>
        </w:tc>
        <w:tc>
          <w:tcPr>
            <w:tcW w:w="996" w:type="dxa"/>
            <w:shd w:val="clear" w:color="auto" w:fill="auto"/>
            <w:noWrap/>
            <w:vAlign w:val="center"/>
            <w:hideMark/>
          </w:tcPr>
          <w:p w:rsidRPr="00A9346B" w:rsidR="00A9346B" w:rsidP="00A9346B" w:rsidRDefault="00A9346B" w14:paraId="4087335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1DC9965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$430.40</w:t>
            </w:r>
          </w:p>
        </w:tc>
      </w:tr>
      <w:tr w:rsidRPr="00A9346B" w:rsidR="006C5B6A" w:rsidTr="006C5B6A" w14:paraId="42688998" w14:textId="77777777">
        <w:trPr>
          <w:trHeight w:val="600"/>
          <w:jc w:val="center"/>
        </w:trPr>
        <w:tc>
          <w:tcPr>
            <w:tcW w:w="1640" w:type="dxa"/>
            <w:shd w:val="clear" w:color="auto" w:fill="auto"/>
            <w:vAlign w:val="center"/>
            <w:hideMark/>
          </w:tcPr>
          <w:p w:rsidRPr="00A9346B" w:rsidR="00A9346B" w:rsidP="00A9346B" w:rsidRDefault="00A9346B" w14:paraId="7ECBAE4F"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93.404(b)</w:t>
            </w:r>
          </w:p>
        </w:tc>
        <w:tc>
          <w:tcPr>
            <w:tcW w:w="1928" w:type="dxa"/>
            <w:shd w:val="clear" w:color="auto" w:fill="auto"/>
            <w:vAlign w:val="center"/>
            <w:hideMark/>
          </w:tcPr>
          <w:p w:rsidRPr="00A9346B" w:rsidR="00A9346B" w:rsidP="00A9346B" w:rsidRDefault="00A9346B" w14:paraId="66EAF6A5"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Written agreement</w:t>
            </w:r>
          </w:p>
        </w:tc>
        <w:tc>
          <w:tcPr>
            <w:tcW w:w="1273" w:type="dxa"/>
            <w:shd w:val="clear" w:color="auto" w:fill="auto"/>
            <w:vAlign w:val="center"/>
            <w:hideMark/>
          </w:tcPr>
          <w:p w:rsidRPr="00A9346B" w:rsidR="00A9346B" w:rsidP="00A9346B" w:rsidRDefault="00A9346B" w14:paraId="5F05122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1067" w:type="dxa"/>
            <w:shd w:val="clear" w:color="auto" w:fill="auto"/>
            <w:vAlign w:val="center"/>
            <w:hideMark/>
          </w:tcPr>
          <w:p w:rsidRPr="00A9346B" w:rsidR="00A9346B" w:rsidP="00A9346B" w:rsidRDefault="00A9346B" w14:paraId="60961F7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7A41BBA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996" w:type="dxa"/>
            <w:shd w:val="clear" w:color="auto" w:fill="auto"/>
            <w:vAlign w:val="center"/>
            <w:hideMark/>
          </w:tcPr>
          <w:p w:rsidRPr="00A9346B" w:rsidR="00A9346B" w:rsidP="00A9346B" w:rsidRDefault="00A9346B" w14:paraId="46C98C1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w:t>
            </w:r>
          </w:p>
        </w:tc>
        <w:tc>
          <w:tcPr>
            <w:tcW w:w="1026" w:type="dxa"/>
            <w:shd w:val="clear" w:color="auto" w:fill="auto"/>
            <w:vAlign w:val="center"/>
            <w:hideMark/>
          </w:tcPr>
          <w:p w:rsidRPr="00A9346B" w:rsidR="00A9346B" w:rsidP="00A9346B" w:rsidRDefault="00A9346B" w14:paraId="3D109A6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336.00</w:t>
            </w:r>
          </w:p>
        </w:tc>
        <w:tc>
          <w:tcPr>
            <w:tcW w:w="996" w:type="dxa"/>
            <w:shd w:val="clear" w:color="auto" w:fill="auto"/>
            <w:noWrap/>
            <w:vAlign w:val="center"/>
            <w:hideMark/>
          </w:tcPr>
          <w:p w:rsidRPr="00A9346B" w:rsidR="00A9346B" w:rsidP="00A9346B" w:rsidRDefault="00A9346B" w14:paraId="40FF92B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27AD678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$14,461.44</w:t>
            </w:r>
          </w:p>
        </w:tc>
      </w:tr>
      <w:tr w:rsidRPr="00A9346B" w:rsidR="006C5B6A" w:rsidTr="006C5B6A" w14:paraId="66307158" w14:textId="77777777">
        <w:trPr>
          <w:trHeight w:val="600"/>
          <w:jc w:val="center"/>
        </w:trPr>
        <w:tc>
          <w:tcPr>
            <w:tcW w:w="1640" w:type="dxa"/>
            <w:shd w:val="clear" w:color="auto" w:fill="auto"/>
            <w:vAlign w:val="center"/>
            <w:hideMark/>
          </w:tcPr>
          <w:p w:rsidRPr="00A9346B" w:rsidR="00A9346B" w:rsidP="00A9346B" w:rsidRDefault="00A9346B" w14:paraId="3F735BDE"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93.404(d)(1)</w:t>
            </w:r>
          </w:p>
        </w:tc>
        <w:tc>
          <w:tcPr>
            <w:tcW w:w="1928" w:type="dxa"/>
            <w:shd w:val="clear" w:color="auto" w:fill="auto"/>
            <w:vAlign w:val="center"/>
            <w:hideMark/>
          </w:tcPr>
          <w:p w:rsidRPr="00A9346B" w:rsidR="00A9346B" w:rsidP="00A9346B" w:rsidRDefault="00A9346B" w14:paraId="479830B6"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xml:space="preserve">Project completion inspection </w:t>
            </w:r>
          </w:p>
        </w:tc>
        <w:tc>
          <w:tcPr>
            <w:tcW w:w="1273" w:type="dxa"/>
            <w:shd w:val="clear" w:color="auto" w:fill="auto"/>
            <w:vAlign w:val="center"/>
            <w:hideMark/>
          </w:tcPr>
          <w:p w:rsidRPr="00A9346B" w:rsidR="00A9346B" w:rsidP="00A9346B" w:rsidRDefault="00A9346B" w14:paraId="3491808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1067" w:type="dxa"/>
            <w:shd w:val="clear" w:color="auto" w:fill="auto"/>
            <w:vAlign w:val="center"/>
            <w:hideMark/>
          </w:tcPr>
          <w:p w:rsidRPr="00A9346B" w:rsidR="00A9346B" w:rsidP="00A9346B" w:rsidRDefault="00A9346B" w14:paraId="4CFC565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07883FC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996" w:type="dxa"/>
            <w:shd w:val="clear" w:color="auto" w:fill="auto"/>
            <w:vAlign w:val="center"/>
            <w:hideMark/>
          </w:tcPr>
          <w:p w:rsidRPr="00A9346B" w:rsidR="00A9346B" w:rsidP="00A9346B" w:rsidRDefault="00A9346B" w14:paraId="1102E99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w:t>
            </w:r>
          </w:p>
        </w:tc>
        <w:tc>
          <w:tcPr>
            <w:tcW w:w="1026" w:type="dxa"/>
            <w:shd w:val="clear" w:color="auto" w:fill="auto"/>
            <w:vAlign w:val="center"/>
            <w:hideMark/>
          </w:tcPr>
          <w:p w:rsidRPr="00A9346B" w:rsidR="00A9346B" w:rsidP="00A9346B" w:rsidRDefault="00A9346B" w14:paraId="37C91AB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336.00</w:t>
            </w:r>
          </w:p>
        </w:tc>
        <w:tc>
          <w:tcPr>
            <w:tcW w:w="996" w:type="dxa"/>
            <w:shd w:val="clear" w:color="auto" w:fill="auto"/>
            <w:noWrap/>
            <w:vAlign w:val="center"/>
            <w:hideMark/>
          </w:tcPr>
          <w:p w:rsidRPr="00A9346B" w:rsidR="00A9346B" w:rsidP="00A9346B" w:rsidRDefault="00A9346B" w14:paraId="3912501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0E97875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$14,461.44</w:t>
            </w:r>
          </w:p>
        </w:tc>
      </w:tr>
      <w:tr w:rsidRPr="00A9346B" w:rsidR="006C5B6A" w:rsidTr="006C5B6A" w14:paraId="5ABAB353" w14:textId="77777777">
        <w:trPr>
          <w:trHeight w:val="600"/>
          <w:jc w:val="center"/>
        </w:trPr>
        <w:tc>
          <w:tcPr>
            <w:tcW w:w="1640" w:type="dxa"/>
            <w:shd w:val="clear" w:color="auto" w:fill="auto"/>
            <w:vAlign w:val="center"/>
            <w:hideMark/>
          </w:tcPr>
          <w:p w:rsidRPr="00A9346B" w:rsidR="00A9346B" w:rsidP="00A9346B" w:rsidRDefault="00A9346B" w14:paraId="6B791B27"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93.404(d)(2)(i)</w:t>
            </w:r>
          </w:p>
        </w:tc>
        <w:tc>
          <w:tcPr>
            <w:tcW w:w="1928" w:type="dxa"/>
            <w:shd w:val="clear" w:color="auto" w:fill="auto"/>
            <w:vAlign w:val="center"/>
            <w:hideMark/>
          </w:tcPr>
          <w:p w:rsidRPr="00A9346B" w:rsidR="00A9346B" w:rsidP="00A9346B" w:rsidRDefault="00A9346B" w14:paraId="20138D5F"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Onsite inspection upon completion</w:t>
            </w:r>
          </w:p>
        </w:tc>
        <w:tc>
          <w:tcPr>
            <w:tcW w:w="1273" w:type="dxa"/>
            <w:shd w:val="clear" w:color="auto" w:fill="auto"/>
            <w:vAlign w:val="center"/>
            <w:hideMark/>
          </w:tcPr>
          <w:p w:rsidRPr="00A9346B" w:rsidR="00A9346B" w:rsidP="00A9346B" w:rsidRDefault="00A9346B" w14:paraId="2923461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560.00</w:t>
            </w:r>
          </w:p>
        </w:tc>
        <w:tc>
          <w:tcPr>
            <w:tcW w:w="1067" w:type="dxa"/>
            <w:shd w:val="clear" w:color="auto" w:fill="auto"/>
            <w:vAlign w:val="center"/>
            <w:hideMark/>
          </w:tcPr>
          <w:p w:rsidRPr="00A9346B" w:rsidR="00A9346B" w:rsidP="00A9346B" w:rsidRDefault="00A9346B" w14:paraId="4943916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402E021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560.00</w:t>
            </w:r>
          </w:p>
        </w:tc>
        <w:tc>
          <w:tcPr>
            <w:tcW w:w="996" w:type="dxa"/>
            <w:shd w:val="clear" w:color="auto" w:fill="auto"/>
            <w:vAlign w:val="center"/>
            <w:hideMark/>
          </w:tcPr>
          <w:p w:rsidRPr="00A9346B" w:rsidR="00A9346B" w:rsidP="00A9346B" w:rsidRDefault="00A9346B" w14:paraId="40133F3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w:t>
            </w:r>
          </w:p>
        </w:tc>
        <w:tc>
          <w:tcPr>
            <w:tcW w:w="1026" w:type="dxa"/>
            <w:shd w:val="clear" w:color="auto" w:fill="auto"/>
            <w:vAlign w:val="center"/>
            <w:hideMark/>
          </w:tcPr>
          <w:p w:rsidRPr="00A9346B" w:rsidR="00A9346B" w:rsidP="00A9346B" w:rsidRDefault="00A9346B" w14:paraId="3D6CFB6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1120.00</w:t>
            </w:r>
          </w:p>
        </w:tc>
        <w:tc>
          <w:tcPr>
            <w:tcW w:w="996" w:type="dxa"/>
            <w:shd w:val="clear" w:color="auto" w:fill="auto"/>
            <w:noWrap/>
            <w:vAlign w:val="center"/>
            <w:hideMark/>
          </w:tcPr>
          <w:p w:rsidRPr="00A9346B" w:rsidR="00A9346B" w:rsidP="00A9346B" w:rsidRDefault="00A9346B" w14:paraId="18F61AE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3473D4E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$48,204.80</w:t>
            </w:r>
          </w:p>
        </w:tc>
      </w:tr>
      <w:tr w:rsidRPr="00A9346B" w:rsidR="006C5B6A" w:rsidTr="006C5B6A" w14:paraId="15A727FB" w14:textId="77777777">
        <w:trPr>
          <w:trHeight w:val="600"/>
          <w:jc w:val="center"/>
        </w:trPr>
        <w:tc>
          <w:tcPr>
            <w:tcW w:w="1640" w:type="dxa"/>
            <w:shd w:val="clear" w:color="auto" w:fill="auto"/>
            <w:vAlign w:val="center"/>
            <w:hideMark/>
          </w:tcPr>
          <w:p w:rsidRPr="00A9346B" w:rsidR="00A9346B" w:rsidP="00A9346B" w:rsidRDefault="00A9346B" w14:paraId="477E4D18"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93.404(d)(2)(ii)</w:t>
            </w:r>
          </w:p>
        </w:tc>
        <w:tc>
          <w:tcPr>
            <w:tcW w:w="1928" w:type="dxa"/>
            <w:shd w:val="clear" w:color="auto" w:fill="auto"/>
            <w:vAlign w:val="center"/>
            <w:hideMark/>
          </w:tcPr>
          <w:p w:rsidRPr="00A9346B" w:rsidR="00A9346B" w:rsidP="00A9346B" w:rsidRDefault="002E343E" w14:paraId="536078AB" w14:textId="73375B05">
            <w:pPr>
              <w:overflowPunct/>
              <w:autoSpaceDE/>
              <w:autoSpaceDN/>
              <w:adjustRightInd/>
              <w:textAlignment w:val="auto"/>
              <w:rPr>
                <w:rFonts w:ascii="Calibri" w:hAnsi="Calibri" w:cs="Calibri"/>
                <w:color w:val="000000"/>
              </w:rPr>
            </w:pPr>
            <w:r>
              <w:rPr>
                <w:rFonts w:ascii="Calibri" w:hAnsi="Calibri" w:cs="Calibri"/>
                <w:color w:val="000000"/>
              </w:rPr>
              <w:t xml:space="preserve">Ongoing </w:t>
            </w:r>
            <w:r w:rsidRPr="00A9346B" w:rsidR="00A9346B">
              <w:rPr>
                <w:rFonts w:ascii="Calibri" w:hAnsi="Calibri" w:cs="Calibri"/>
                <w:color w:val="000000"/>
              </w:rPr>
              <w:t>Onsite inspections post completion</w:t>
            </w:r>
          </w:p>
        </w:tc>
        <w:tc>
          <w:tcPr>
            <w:tcW w:w="1273" w:type="dxa"/>
            <w:shd w:val="clear" w:color="auto" w:fill="auto"/>
            <w:vAlign w:val="center"/>
            <w:hideMark/>
          </w:tcPr>
          <w:p w:rsidRPr="00A9346B" w:rsidR="00A9346B" w:rsidP="00A9346B" w:rsidRDefault="00A9346B" w14:paraId="370227F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504.00</w:t>
            </w:r>
          </w:p>
        </w:tc>
        <w:tc>
          <w:tcPr>
            <w:tcW w:w="1067" w:type="dxa"/>
            <w:shd w:val="clear" w:color="auto" w:fill="auto"/>
            <w:vAlign w:val="center"/>
            <w:hideMark/>
          </w:tcPr>
          <w:p w:rsidRPr="00A9346B" w:rsidR="00A9346B" w:rsidP="00A9346B" w:rsidRDefault="00A9346B" w14:paraId="68C4F60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671EE0E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504.00</w:t>
            </w:r>
          </w:p>
        </w:tc>
        <w:tc>
          <w:tcPr>
            <w:tcW w:w="996" w:type="dxa"/>
            <w:shd w:val="clear" w:color="auto" w:fill="auto"/>
            <w:vAlign w:val="center"/>
            <w:hideMark/>
          </w:tcPr>
          <w:p w:rsidRPr="00A9346B" w:rsidR="00A9346B" w:rsidP="00A9346B" w:rsidRDefault="00A9346B" w14:paraId="26A5E10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w:t>
            </w:r>
          </w:p>
        </w:tc>
        <w:tc>
          <w:tcPr>
            <w:tcW w:w="1026" w:type="dxa"/>
            <w:shd w:val="clear" w:color="auto" w:fill="auto"/>
            <w:vAlign w:val="center"/>
            <w:hideMark/>
          </w:tcPr>
          <w:p w:rsidRPr="00A9346B" w:rsidR="00A9346B" w:rsidP="00A9346B" w:rsidRDefault="00A9346B" w14:paraId="44B6490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1008.00</w:t>
            </w:r>
          </w:p>
        </w:tc>
        <w:tc>
          <w:tcPr>
            <w:tcW w:w="996" w:type="dxa"/>
            <w:shd w:val="clear" w:color="auto" w:fill="auto"/>
            <w:noWrap/>
            <w:vAlign w:val="center"/>
            <w:hideMark/>
          </w:tcPr>
          <w:p w:rsidRPr="00A9346B" w:rsidR="00A9346B" w:rsidP="00A9346B" w:rsidRDefault="00A9346B" w14:paraId="201C143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704156A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$43,384.32</w:t>
            </w:r>
          </w:p>
        </w:tc>
      </w:tr>
      <w:tr w:rsidRPr="00A9346B" w:rsidR="006C5B6A" w:rsidTr="006C5B6A" w14:paraId="425C6206" w14:textId="77777777">
        <w:trPr>
          <w:trHeight w:val="600"/>
          <w:jc w:val="center"/>
        </w:trPr>
        <w:tc>
          <w:tcPr>
            <w:tcW w:w="1640" w:type="dxa"/>
            <w:shd w:val="clear" w:color="auto" w:fill="auto"/>
            <w:vAlign w:val="center"/>
            <w:hideMark/>
          </w:tcPr>
          <w:p w:rsidRPr="00A9346B" w:rsidR="00A9346B" w:rsidP="00A9346B" w:rsidRDefault="00A9346B" w14:paraId="48B588D9"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93.404(d)(2)(iv)</w:t>
            </w:r>
          </w:p>
        </w:tc>
        <w:tc>
          <w:tcPr>
            <w:tcW w:w="1928" w:type="dxa"/>
            <w:shd w:val="clear" w:color="auto" w:fill="auto"/>
            <w:vAlign w:val="center"/>
            <w:hideMark/>
          </w:tcPr>
          <w:p w:rsidRPr="00A9346B" w:rsidR="00A9346B" w:rsidP="00A9346B" w:rsidRDefault="00A9346B" w14:paraId="774FBD4D"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Project owner annual certification</w:t>
            </w:r>
          </w:p>
        </w:tc>
        <w:tc>
          <w:tcPr>
            <w:tcW w:w="1273" w:type="dxa"/>
            <w:shd w:val="clear" w:color="auto" w:fill="auto"/>
            <w:vAlign w:val="center"/>
            <w:hideMark/>
          </w:tcPr>
          <w:p w:rsidRPr="00A9346B" w:rsidR="00A9346B" w:rsidP="00A9346B" w:rsidRDefault="00A9346B" w14:paraId="491E365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1067" w:type="dxa"/>
            <w:shd w:val="clear" w:color="auto" w:fill="auto"/>
            <w:vAlign w:val="center"/>
            <w:hideMark/>
          </w:tcPr>
          <w:p w:rsidRPr="00A9346B" w:rsidR="00A9346B" w:rsidP="00A9346B" w:rsidRDefault="00A9346B" w14:paraId="2716D1A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3176337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996" w:type="dxa"/>
            <w:shd w:val="clear" w:color="auto" w:fill="auto"/>
            <w:vAlign w:val="center"/>
            <w:hideMark/>
          </w:tcPr>
          <w:p w:rsidRPr="00A9346B" w:rsidR="00A9346B" w:rsidP="00A9346B" w:rsidRDefault="00A9346B" w14:paraId="1EA1F5E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w:t>
            </w:r>
          </w:p>
        </w:tc>
        <w:tc>
          <w:tcPr>
            <w:tcW w:w="1026" w:type="dxa"/>
            <w:shd w:val="clear" w:color="auto" w:fill="auto"/>
            <w:vAlign w:val="center"/>
            <w:hideMark/>
          </w:tcPr>
          <w:p w:rsidRPr="00A9346B" w:rsidR="00A9346B" w:rsidP="00A9346B" w:rsidRDefault="00A9346B" w14:paraId="4662D72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336.00</w:t>
            </w:r>
          </w:p>
        </w:tc>
        <w:tc>
          <w:tcPr>
            <w:tcW w:w="996" w:type="dxa"/>
            <w:shd w:val="clear" w:color="auto" w:fill="auto"/>
            <w:noWrap/>
            <w:vAlign w:val="center"/>
            <w:hideMark/>
          </w:tcPr>
          <w:p w:rsidRPr="00A9346B" w:rsidR="00A9346B" w:rsidP="00A9346B" w:rsidRDefault="00A9346B" w14:paraId="58E4331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4589610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$14,461.44</w:t>
            </w:r>
          </w:p>
        </w:tc>
      </w:tr>
      <w:tr w:rsidRPr="00A9346B" w:rsidR="006C5B6A" w:rsidTr="006C5B6A" w14:paraId="573893FB" w14:textId="77777777">
        <w:trPr>
          <w:trHeight w:val="600"/>
          <w:jc w:val="center"/>
        </w:trPr>
        <w:tc>
          <w:tcPr>
            <w:tcW w:w="1640" w:type="dxa"/>
            <w:shd w:val="clear" w:color="auto" w:fill="auto"/>
            <w:vAlign w:val="center"/>
            <w:hideMark/>
          </w:tcPr>
          <w:p w:rsidRPr="00A9346B" w:rsidR="00A9346B" w:rsidP="00A9346B" w:rsidRDefault="00A9346B" w14:paraId="6D294C28"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93.404(e)</w:t>
            </w:r>
          </w:p>
        </w:tc>
        <w:tc>
          <w:tcPr>
            <w:tcW w:w="1928" w:type="dxa"/>
            <w:shd w:val="clear" w:color="auto" w:fill="auto"/>
            <w:vAlign w:val="center"/>
            <w:hideMark/>
          </w:tcPr>
          <w:p w:rsidRPr="00A9346B" w:rsidR="00A9346B" w:rsidP="00A9346B" w:rsidRDefault="00A9346B" w14:paraId="645B7B69"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xml:space="preserve">Annual financial oversight of 10 or more units </w:t>
            </w:r>
          </w:p>
        </w:tc>
        <w:tc>
          <w:tcPr>
            <w:tcW w:w="1273" w:type="dxa"/>
            <w:shd w:val="clear" w:color="auto" w:fill="auto"/>
            <w:vAlign w:val="center"/>
            <w:hideMark/>
          </w:tcPr>
          <w:p w:rsidRPr="00A9346B" w:rsidR="00A9346B" w:rsidP="00A9346B" w:rsidRDefault="00A9346B" w14:paraId="249A661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1067" w:type="dxa"/>
            <w:shd w:val="clear" w:color="auto" w:fill="auto"/>
            <w:vAlign w:val="center"/>
            <w:hideMark/>
          </w:tcPr>
          <w:p w:rsidRPr="00A9346B" w:rsidR="00A9346B" w:rsidP="00A9346B" w:rsidRDefault="00A9346B" w14:paraId="524BD00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4179966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w:t>
            </w:r>
          </w:p>
        </w:tc>
        <w:tc>
          <w:tcPr>
            <w:tcW w:w="996" w:type="dxa"/>
            <w:shd w:val="clear" w:color="auto" w:fill="auto"/>
            <w:vAlign w:val="center"/>
            <w:hideMark/>
          </w:tcPr>
          <w:p w:rsidRPr="00A9346B" w:rsidR="00A9346B" w:rsidP="00A9346B" w:rsidRDefault="00A9346B" w14:paraId="708BEE2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w:t>
            </w:r>
          </w:p>
        </w:tc>
        <w:tc>
          <w:tcPr>
            <w:tcW w:w="1026" w:type="dxa"/>
            <w:shd w:val="clear" w:color="auto" w:fill="auto"/>
            <w:vAlign w:val="center"/>
            <w:hideMark/>
          </w:tcPr>
          <w:p w:rsidRPr="00A9346B" w:rsidR="00A9346B" w:rsidP="00A9346B" w:rsidRDefault="00A9346B" w14:paraId="433BDD8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336.00</w:t>
            </w:r>
          </w:p>
        </w:tc>
        <w:tc>
          <w:tcPr>
            <w:tcW w:w="996" w:type="dxa"/>
            <w:shd w:val="clear" w:color="auto" w:fill="auto"/>
            <w:noWrap/>
            <w:vAlign w:val="center"/>
            <w:hideMark/>
          </w:tcPr>
          <w:p w:rsidRPr="00A9346B" w:rsidR="00A9346B" w:rsidP="00A9346B" w:rsidRDefault="00A9346B" w14:paraId="6AAE670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3FB328F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$14,461.44</w:t>
            </w:r>
          </w:p>
        </w:tc>
      </w:tr>
      <w:tr w:rsidRPr="00A9346B" w:rsidR="006C5B6A" w:rsidTr="006C5B6A" w14:paraId="69FCC681" w14:textId="77777777">
        <w:trPr>
          <w:trHeight w:val="600"/>
          <w:jc w:val="center"/>
        </w:trPr>
        <w:tc>
          <w:tcPr>
            <w:tcW w:w="1640" w:type="dxa"/>
            <w:shd w:val="clear" w:color="auto" w:fill="auto"/>
            <w:vAlign w:val="center"/>
            <w:hideMark/>
          </w:tcPr>
          <w:p w:rsidRPr="00A9346B" w:rsidR="00A9346B" w:rsidP="00A9346B" w:rsidRDefault="00A9346B" w14:paraId="3091D9C1"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93.405</w:t>
            </w:r>
          </w:p>
        </w:tc>
        <w:tc>
          <w:tcPr>
            <w:tcW w:w="1928" w:type="dxa"/>
            <w:shd w:val="clear" w:color="auto" w:fill="auto"/>
            <w:vAlign w:val="center"/>
            <w:hideMark/>
          </w:tcPr>
          <w:p w:rsidRPr="00A9346B" w:rsidR="00A9346B" w:rsidP="00A9346B" w:rsidRDefault="00A9346B" w14:paraId="665B8539"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Uniform administrative requirements</w:t>
            </w:r>
          </w:p>
        </w:tc>
        <w:tc>
          <w:tcPr>
            <w:tcW w:w="1273" w:type="dxa"/>
            <w:shd w:val="clear" w:color="auto" w:fill="auto"/>
            <w:vAlign w:val="center"/>
            <w:hideMark/>
          </w:tcPr>
          <w:p w:rsidRPr="00A9346B" w:rsidR="00A9346B" w:rsidP="00A9346B" w:rsidRDefault="00A9346B" w14:paraId="6012B9D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496F662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51AF079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42C202E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4.00</w:t>
            </w:r>
          </w:p>
        </w:tc>
        <w:tc>
          <w:tcPr>
            <w:tcW w:w="1026" w:type="dxa"/>
            <w:shd w:val="clear" w:color="auto" w:fill="auto"/>
            <w:vAlign w:val="center"/>
            <w:hideMark/>
          </w:tcPr>
          <w:p w:rsidRPr="00A9346B" w:rsidR="00A9346B" w:rsidP="00A9346B" w:rsidRDefault="00A9346B" w14:paraId="27F5CE0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224.00</w:t>
            </w:r>
          </w:p>
        </w:tc>
        <w:tc>
          <w:tcPr>
            <w:tcW w:w="996" w:type="dxa"/>
            <w:shd w:val="clear" w:color="auto" w:fill="auto"/>
            <w:noWrap/>
            <w:vAlign w:val="center"/>
            <w:hideMark/>
          </w:tcPr>
          <w:p w:rsidRPr="00A9346B" w:rsidR="00A9346B" w:rsidP="00A9346B" w:rsidRDefault="00A9346B" w14:paraId="1BEDBD4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0A834BB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$9,640.96</w:t>
            </w:r>
          </w:p>
        </w:tc>
      </w:tr>
      <w:tr w:rsidRPr="00A9346B" w:rsidR="006C5B6A" w:rsidTr="006C5B6A" w14:paraId="06F34AD1" w14:textId="77777777">
        <w:trPr>
          <w:trHeight w:val="600"/>
          <w:jc w:val="center"/>
        </w:trPr>
        <w:tc>
          <w:tcPr>
            <w:tcW w:w="1640" w:type="dxa"/>
            <w:shd w:val="clear" w:color="auto" w:fill="auto"/>
            <w:vAlign w:val="center"/>
            <w:hideMark/>
          </w:tcPr>
          <w:p w:rsidRPr="00A9346B" w:rsidR="00A9346B" w:rsidP="00A9346B" w:rsidRDefault="00A9346B" w14:paraId="21583BF3"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93.406 (a)</w:t>
            </w:r>
          </w:p>
        </w:tc>
        <w:tc>
          <w:tcPr>
            <w:tcW w:w="1928" w:type="dxa"/>
            <w:shd w:val="clear" w:color="auto" w:fill="auto"/>
            <w:vAlign w:val="center"/>
            <w:hideMark/>
          </w:tcPr>
          <w:p w:rsidRPr="00A9346B" w:rsidR="00A9346B" w:rsidP="00A9346B" w:rsidRDefault="00A9346B" w14:paraId="5100A122"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Annual CFR 200 audit</w:t>
            </w:r>
          </w:p>
        </w:tc>
        <w:tc>
          <w:tcPr>
            <w:tcW w:w="1273" w:type="dxa"/>
            <w:shd w:val="clear" w:color="auto" w:fill="auto"/>
            <w:vAlign w:val="center"/>
            <w:hideMark/>
          </w:tcPr>
          <w:p w:rsidRPr="00A9346B" w:rsidR="00A9346B" w:rsidP="00A9346B" w:rsidRDefault="00A9346B" w14:paraId="2032769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4AFD0FA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694EFA8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15EDB3A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10.00</w:t>
            </w:r>
          </w:p>
        </w:tc>
        <w:tc>
          <w:tcPr>
            <w:tcW w:w="1026" w:type="dxa"/>
            <w:shd w:val="clear" w:color="auto" w:fill="auto"/>
            <w:vAlign w:val="center"/>
            <w:hideMark/>
          </w:tcPr>
          <w:p w:rsidRPr="00A9346B" w:rsidR="00A9346B" w:rsidP="00A9346B" w:rsidRDefault="00A9346B" w14:paraId="5B11163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560.00</w:t>
            </w:r>
          </w:p>
        </w:tc>
        <w:tc>
          <w:tcPr>
            <w:tcW w:w="996" w:type="dxa"/>
            <w:shd w:val="clear" w:color="auto" w:fill="auto"/>
            <w:noWrap/>
            <w:vAlign w:val="center"/>
            <w:hideMark/>
          </w:tcPr>
          <w:p w:rsidRPr="00A9346B" w:rsidR="00A9346B" w:rsidP="00A9346B" w:rsidRDefault="00A9346B" w14:paraId="398EC11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3493035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$24,102.40</w:t>
            </w:r>
          </w:p>
        </w:tc>
      </w:tr>
      <w:tr w:rsidRPr="00A9346B" w:rsidR="006C5B6A" w:rsidTr="006C5B6A" w14:paraId="1E39F1F0" w14:textId="77777777">
        <w:trPr>
          <w:trHeight w:val="600"/>
          <w:jc w:val="center"/>
        </w:trPr>
        <w:tc>
          <w:tcPr>
            <w:tcW w:w="1640" w:type="dxa"/>
            <w:shd w:val="clear" w:color="auto" w:fill="auto"/>
            <w:vAlign w:val="center"/>
            <w:hideMark/>
          </w:tcPr>
          <w:p w:rsidRPr="00A9346B" w:rsidR="00A9346B" w:rsidP="00A9346B" w:rsidRDefault="00A9346B" w14:paraId="3E89E83A"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93.407 (a)(1)</w:t>
            </w:r>
          </w:p>
        </w:tc>
        <w:tc>
          <w:tcPr>
            <w:tcW w:w="1928" w:type="dxa"/>
            <w:shd w:val="clear" w:color="auto" w:fill="auto"/>
            <w:vAlign w:val="center"/>
            <w:hideMark/>
          </w:tcPr>
          <w:p w:rsidRPr="00A9346B" w:rsidR="00A9346B" w:rsidP="00A9346B" w:rsidRDefault="00A9346B" w14:paraId="4B9ECAAB"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Program recordkeeping</w:t>
            </w:r>
          </w:p>
        </w:tc>
        <w:tc>
          <w:tcPr>
            <w:tcW w:w="1273" w:type="dxa"/>
            <w:shd w:val="clear" w:color="auto" w:fill="auto"/>
            <w:vAlign w:val="center"/>
            <w:hideMark/>
          </w:tcPr>
          <w:p w:rsidRPr="00A9346B" w:rsidR="00A9346B" w:rsidP="00A9346B" w:rsidRDefault="00A9346B" w14:paraId="25D1D48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7DD3AAD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3C4DEBD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145DB37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8.00</w:t>
            </w:r>
          </w:p>
        </w:tc>
        <w:tc>
          <w:tcPr>
            <w:tcW w:w="1026" w:type="dxa"/>
            <w:shd w:val="clear" w:color="auto" w:fill="auto"/>
            <w:vAlign w:val="center"/>
            <w:hideMark/>
          </w:tcPr>
          <w:p w:rsidRPr="00A9346B" w:rsidR="00A9346B" w:rsidP="00A9346B" w:rsidRDefault="00A9346B" w14:paraId="69BB52B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448.00</w:t>
            </w:r>
          </w:p>
        </w:tc>
        <w:tc>
          <w:tcPr>
            <w:tcW w:w="996" w:type="dxa"/>
            <w:shd w:val="clear" w:color="auto" w:fill="auto"/>
            <w:noWrap/>
            <w:vAlign w:val="center"/>
            <w:hideMark/>
          </w:tcPr>
          <w:p w:rsidRPr="00A9346B" w:rsidR="00A9346B" w:rsidP="00A9346B" w:rsidRDefault="00A9346B" w14:paraId="526233C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1C69B46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$19,281.92</w:t>
            </w:r>
          </w:p>
        </w:tc>
      </w:tr>
      <w:tr w:rsidRPr="00A9346B" w:rsidR="006C5B6A" w:rsidTr="006C5B6A" w14:paraId="6E2E1AC1" w14:textId="77777777">
        <w:trPr>
          <w:trHeight w:val="600"/>
          <w:jc w:val="center"/>
        </w:trPr>
        <w:tc>
          <w:tcPr>
            <w:tcW w:w="1640" w:type="dxa"/>
            <w:shd w:val="clear" w:color="auto" w:fill="auto"/>
            <w:vAlign w:val="center"/>
            <w:hideMark/>
          </w:tcPr>
          <w:p w:rsidRPr="00A9346B" w:rsidR="00A9346B" w:rsidP="00A9346B" w:rsidRDefault="00A9346B" w14:paraId="300351F7"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93.407 (a)(2)</w:t>
            </w:r>
          </w:p>
        </w:tc>
        <w:tc>
          <w:tcPr>
            <w:tcW w:w="1928" w:type="dxa"/>
            <w:shd w:val="clear" w:color="auto" w:fill="auto"/>
            <w:vAlign w:val="center"/>
            <w:hideMark/>
          </w:tcPr>
          <w:p w:rsidRPr="00A9346B" w:rsidR="00A9346B" w:rsidP="00A9346B" w:rsidRDefault="00A9346B" w14:paraId="0A6C390A"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Project recordkeeping</w:t>
            </w:r>
          </w:p>
        </w:tc>
        <w:tc>
          <w:tcPr>
            <w:tcW w:w="1273" w:type="dxa"/>
            <w:shd w:val="clear" w:color="auto" w:fill="auto"/>
            <w:vAlign w:val="center"/>
            <w:hideMark/>
          </w:tcPr>
          <w:p w:rsidRPr="00A9346B" w:rsidR="00A9346B" w:rsidP="00A9346B" w:rsidRDefault="00A9346B" w14:paraId="74D4F2F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560.00</w:t>
            </w:r>
          </w:p>
        </w:tc>
        <w:tc>
          <w:tcPr>
            <w:tcW w:w="1067" w:type="dxa"/>
            <w:shd w:val="clear" w:color="auto" w:fill="auto"/>
            <w:vAlign w:val="center"/>
            <w:hideMark/>
          </w:tcPr>
          <w:p w:rsidRPr="00A9346B" w:rsidR="00A9346B" w:rsidP="00A9346B" w:rsidRDefault="00A9346B" w14:paraId="287A191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6F21711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560.00</w:t>
            </w:r>
          </w:p>
        </w:tc>
        <w:tc>
          <w:tcPr>
            <w:tcW w:w="996" w:type="dxa"/>
            <w:shd w:val="clear" w:color="auto" w:fill="auto"/>
            <w:vAlign w:val="center"/>
            <w:hideMark/>
          </w:tcPr>
          <w:p w:rsidRPr="00A9346B" w:rsidR="00A9346B" w:rsidP="00A9346B" w:rsidRDefault="00A9346B" w14:paraId="70FBF16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w:t>
            </w:r>
          </w:p>
        </w:tc>
        <w:tc>
          <w:tcPr>
            <w:tcW w:w="1026" w:type="dxa"/>
            <w:shd w:val="clear" w:color="auto" w:fill="auto"/>
            <w:vAlign w:val="center"/>
            <w:hideMark/>
          </w:tcPr>
          <w:p w:rsidRPr="00A9346B" w:rsidR="00A9346B" w:rsidP="00A9346B" w:rsidRDefault="00A9346B" w14:paraId="0C69781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1120.00</w:t>
            </w:r>
          </w:p>
        </w:tc>
        <w:tc>
          <w:tcPr>
            <w:tcW w:w="996" w:type="dxa"/>
            <w:shd w:val="clear" w:color="auto" w:fill="auto"/>
            <w:noWrap/>
            <w:vAlign w:val="center"/>
            <w:hideMark/>
          </w:tcPr>
          <w:p w:rsidRPr="00A9346B" w:rsidR="00A9346B" w:rsidP="00A9346B" w:rsidRDefault="00A9346B" w14:paraId="45315C6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11B1D46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$48,204.80</w:t>
            </w:r>
          </w:p>
        </w:tc>
      </w:tr>
      <w:tr w:rsidRPr="00A9346B" w:rsidR="006C5B6A" w:rsidTr="006C5B6A" w14:paraId="2405F7B1" w14:textId="77777777">
        <w:trPr>
          <w:trHeight w:val="600"/>
          <w:jc w:val="center"/>
        </w:trPr>
        <w:tc>
          <w:tcPr>
            <w:tcW w:w="1640" w:type="dxa"/>
            <w:shd w:val="clear" w:color="auto" w:fill="auto"/>
            <w:vAlign w:val="center"/>
            <w:hideMark/>
          </w:tcPr>
          <w:p w:rsidRPr="00A9346B" w:rsidR="00A9346B" w:rsidP="00A9346B" w:rsidRDefault="00A9346B" w14:paraId="79C545D0"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93.407 (a)(3)</w:t>
            </w:r>
          </w:p>
        </w:tc>
        <w:tc>
          <w:tcPr>
            <w:tcW w:w="1928" w:type="dxa"/>
            <w:shd w:val="clear" w:color="auto" w:fill="auto"/>
            <w:vAlign w:val="center"/>
            <w:hideMark/>
          </w:tcPr>
          <w:p w:rsidRPr="00A9346B" w:rsidR="00A9346B" w:rsidP="00A9346B" w:rsidRDefault="00A9346B" w14:paraId="20142564"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Financial recordkeeping</w:t>
            </w:r>
          </w:p>
        </w:tc>
        <w:tc>
          <w:tcPr>
            <w:tcW w:w="1273" w:type="dxa"/>
            <w:shd w:val="clear" w:color="auto" w:fill="auto"/>
            <w:vAlign w:val="center"/>
            <w:hideMark/>
          </w:tcPr>
          <w:p w:rsidRPr="00A9346B" w:rsidR="00A9346B" w:rsidP="00A9346B" w:rsidRDefault="00A9346B" w14:paraId="3FEB254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3B02C8C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12.00</w:t>
            </w:r>
          </w:p>
        </w:tc>
        <w:tc>
          <w:tcPr>
            <w:tcW w:w="1074" w:type="dxa"/>
            <w:shd w:val="clear" w:color="auto" w:fill="auto"/>
            <w:vAlign w:val="center"/>
            <w:hideMark/>
          </w:tcPr>
          <w:p w:rsidRPr="00A9346B" w:rsidR="00A9346B" w:rsidP="00A9346B" w:rsidRDefault="00A9346B" w14:paraId="74DC360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672.00</w:t>
            </w:r>
          </w:p>
        </w:tc>
        <w:tc>
          <w:tcPr>
            <w:tcW w:w="996" w:type="dxa"/>
            <w:shd w:val="clear" w:color="auto" w:fill="auto"/>
            <w:vAlign w:val="center"/>
            <w:hideMark/>
          </w:tcPr>
          <w:p w:rsidRPr="00A9346B" w:rsidR="00A9346B" w:rsidP="00A9346B" w:rsidRDefault="00A9346B" w14:paraId="3F129BC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2.00</w:t>
            </w:r>
          </w:p>
        </w:tc>
        <w:tc>
          <w:tcPr>
            <w:tcW w:w="1026" w:type="dxa"/>
            <w:shd w:val="clear" w:color="auto" w:fill="auto"/>
            <w:vAlign w:val="center"/>
            <w:hideMark/>
          </w:tcPr>
          <w:p w:rsidRPr="00A9346B" w:rsidR="00A9346B" w:rsidP="00A9346B" w:rsidRDefault="00A9346B" w14:paraId="47EF7304"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1344.00</w:t>
            </w:r>
          </w:p>
        </w:tc>
        <w:tc>
          <w:tcPr>
            <w:tcW w:w="996" w:type="dxa"/>
            <w:shd w:val="clear" w:color="auto" w:fill="auto"/>
            <w:noWrap/>
            <w:vAlign w:val="center"/>
            <w:hideMark/>
          </w:tcPr>
          <w:p w:rsidRPr="00A9346B" w:rsidR="00A9346B" w:rsidP="00A9346B" w:rsidRDefault="00A9346B" w14:paraId="481C4A1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0053A5A2"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$57,845.76</w:t>
            </w:r>
          </w:p>
        </w:tc>
      </w:tr>
      <w:tr w:rsidRPr="00A9346B" w:rsidR="006C5B6A" w:rsidTr="006C5B6A" w14:paraId="05F82DA8" w14:textId="77777777">
        <w:trPr>
          <w:trHeight w:val="600"/>
          <w:jc w:val="center"/>
        </w:trPr>
        <w:tc>
          <w:tcPr>
            <w:tcW w:w="1640" w:type="dxa"/>
            <w:shd w:val="clear" w:color="auto" w:fill="auto"/>
            <w:vAlign w:val="center"/>
            <w:hideMark/>
          </w:tcPr>
          <w:p w:rsidRPr="00A9346B" w:rsidR="00A9346B" w:rsidP="00A9346B" w:rsidRDefault="00A9346B" w14:paraId="13FC11DA"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93.407 (a)(4)</w:t>
            </w:r>
          </w:p>
        </w:tc>
        <w:tc>
          <w:tcPr>
            <w:tcW w:w="1928" w:type="dxa"/>
            <w:shd w:val="clear" w:color="auto" w:fill="auto"/>
            <w:vAlign w:val="center"/>
            <w:hideMark/>
          </w:tcPr>
          <w:p w:rsidRPr="00A9346B" w:rsidR="00A9346B" w:rsidP="00A9346B" w:rsidRDefault="00A9346B" w14:paraId="4845A42C"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Program administration records</w:t>
            </w:r>
          </w:p>
        </w:tc>
        <w:tc>
          <w:tcPr>
            <w:tcW w:w="1273" w:type="dxa"/>
            <w:shd w:val="clear" w:color="auto" w:fill="auto"/>
            <w:vAlign w:val="center"/>
            <w:hideMark/>
          </w:tcPr>
          <w:p w:rsidRPr="00A9346B" w:rsidR="00A9346B" w:rsidP="00A9346B" w:rsidRDefault="00A9346B" w14:paraId="32B80CD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59D2752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12.00</w:t>
            </w:r>
          </w:p>
        </w:tc>
        <w:tc>
          <w:tcPr>
            <w:tcW w:w="1074" w:type="dxa"/>
            <w:shd w:val="clear" w:color="auto" w:fill="auto"/>
            <w:vAlign w:val="center"/>
            <w:hideMark/>
          </w:tcPr>
          <w:p w:rsidRPr="00A9346B" w:rsidR="00A9346B" w:rsidP="00A9346B" w:rsidRDefault="00A9346B" w14:paraId="79E5C843"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672.00</w:t>
            </w:r>
          </w:p>
        </w:tc>
        <w:tc>
          <w:tcPr>
            <w:tcW w:w="996" w:type="dxa"/>
            <w:shd w:val="clear" w:color="auto" w:fill="auto"/>
            <w:vAlign w:val="center"/>
            <w:hideMark/>
          </w:tcPr>
          <w:p w:rsidRPr="00A9346B" w:rsidR="00A9346B" w:rsidP="00A9346B" w:rsidRDefault="00A9346B" w14:paraId="7F40A3C7"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8.00</w:t>
            </w:r>
          </w:p>
        </w:tc>
        <w:tc>
          <w:tcPr>
            <w:tcW w:w="1026" w:type="dxa"/>
            <w:shd w:val="clear" w:color="auto" w:fill="auto"/>
            <w:vAlign w:val="center"/>
            <w:hideMark/>
          </w:tcPr>
          <w:p w:rsidRPr="00A9346B" w:rsidR="00A9346B" w:rsidP="00A9346B" w:rsidRDefault="00A9346B" w14:paraId="6DD809C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5376.00</w:t>
            </w:r>
          </w:p>
        </w:tc>
        <w:tc>
          <w:tcPr>
            <w:tcW w:w="996" w:type="dxa"/>
            <w:shd w:val="clear" w:color="auto" w:fill="auto"/>
            <w:noWrap/>
            <w:vAlign w:val="center"/>
            <w:hideMark/>
          </w:tcPr>
          <w:p w:rsidRPr="00A9346B" w:rsidR="00A9346B" w:rsidP="00A9346B" w:rsidRDefault="00A9346B" w14:paraId="13FC9E5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5D544C1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$231,383.04</w:t>
            </w:r>
          </w:p>
        </w:tc>
      </w:tr>
      <w:tr w:rsidRPr="00A9346B" w:rsidR="006C5B6A" w:rsidTr="006C5B6A" w14:paraId="2F584A0A" w14:textId="77777777">
        <w:trPr>
          <w:trHeight w:val="600"/>
          <w:jc w:val="center"/>
        </w:trPr>
        <w:tc>
          <w:tcPr>
            <w:tcW w:w="1640" w:type="dxa"/>
            <w:shd w:val="clear" w:color="auto" w:fill="auto"/>
            <w:vAlign w:val="center"/>
            <w:hideMark/>
          </w:tcPr>
          <w:p w:rsidRPr="00A9346B" w:rsidR="00A9346B" w:rsidP="00A9346B" w:rsidRDefault="00A9346B" w14:paraId="1CFC3FF4"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93.407 (a)(5)</w:t>
            </w:r>
          </w:p>
        </w:tc>
        <w:tc>
          <w:tcPr>
            <w:tcW w:w="1928" w:type="dxa"/>
            <w:shd w:val="clear" w:color="auto" w:fill="auto"/>
            <w:vAlign w:val="center"/>
            <w:hideMark/>
          </w:tcPr>
          <w:p w:rsidRPr="00A9346B" w:rsidR="00A9346B" w:rsidP="00A9346B" w:rsidRDefault="00A9346B" w14:paraId="142E36C8"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Records concerning other Federal requirements</w:t>
            </w:r>
          </w:p>
        </w:tc>
        <w:tc>
          <w:tcPr>
            <w:tcW w:w="1273" w:type="dxa"/>
            <w:shd w:val="clear" w:color="auto" w:fill="auto"/>
            <w:vAlign w:val="center"/>
            <w:hideMark/>
          </w:tcPr>
          <w:p w:rsidRPr="00A9346B" w:rsidR="00A9346B" w:rsidP="00A9346B" w:rsidRDefault="00A9346B" w14:paraId="4BF8408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0DD0DC9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20AAE991"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57CF244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10.00</w:t>
            </w:r>
          </w:p>
        </w:tc>
        <w:tc>
          <w:tcPr>
            <w:tcW w:w="1026" w:type="dxa"/>
            <w:shd w:val="clear" w:color="auto" w:fill="auto"/>
            <w:vAlign w:val="center"/>
            <w:hideMark/>
          </w:tcPr>
          <w:p w:rsidRPr="00A9346B" w:rsidR="00A9346B" w:rsidP="00A9346B" w:rsidRDefault="00A9346B" w14:paraId="40B0D33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560.00</w:t>
            </w:r>
          </w:p>
        </w:tc>
        <w:tc>
          <w:tcPr>
            <w:tcW w:w="996" w:type="dxa"/>
            <w:shd w:val="clear" w:color="auto" w:fill="auto"/>
            <w:noWrap/>
            <w:vAlign w:val="center"/>
            <w:hideMark/>
          </w:tcPr>
          <w:p w:rsidRPr="00A9346B" w:rsidR="00A9346B" w:rsidP="00A9346B" w:rsidRDefault="00A9346B" w14:paraId="5AA41A75"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6497D1CB"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$24,102.40</w:t>
            </w:r>
          </w:p>
        </w:tc>
      </w:tr>
      <w:tr w:rsidRPr="00A9346B" w:rsidR="006C5B6A" w:rsidTr="006C5B6A" w14:paraId="3744DFB0" w14:textId="77777777">
        <w:trPr>
          <w:trHeight w:val="600"/>
          <w:jc w:val="center"/>
        </w:trPr>
        <w:tc>
          <w:tcPr>
            <w:tcW w:w="1640" w:type="dxa"/>
            <w:shd w:val="clear" w:color="auto" w:fill="auto"/>
            <w:vAlign w:val="center"/>
            <w:hideMark/>
          </w:tcPr>
          <w:p w:rsidRPr="00A9346B" w:rsidR="00A9346B" w:rsidP="00A9346B" w:rsidRDefault="00A9346B" w14:paraId="691D2DAF"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93.408</w:t>
            </w:r>
          </w:p>
        </w:tc>
        <w:tc>
          <w:tcPr>
            <w:tcW w:w="1928" w:type="dxa"/>
            <w:shd w:val="clear" w:color="auto" w:fill="auto"/>
            <w:vAlign w:val="center"/>
            <w:hideMark/>
          </w:tcPr>
          <w:p w:rsidRPr="00A9346B" w:rsidR="00A9346B" w:rsidP="00A9346B" w:rsidRDefault="00A9346B" w14:paraId="1F6E7A6D"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Performance reports</w:t>
            </w:r>
          </w:p>
        </w:tc>
        <w:tc>
          <w:tcPr>
            <w:tcW w:w="1273" w:type="dxa"/>
            <w:shd w:val="clear" w:color="auto" w:fill="auto"/>
            <w:vAlign w:val="center"/>
            <w:hideMark/>
          </w:tcPr>
          <w:p w:rsidRPr="00A9346B" w:rsidR="00A9346B" w:rsidP="00A9346B" w:rsidRDefault="00A9346B" w14:paraId="6C5B77F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0C1747A8"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12.00</w:t>
            </w:r>
          </w:p>
        </w:tc>
        <w:tc>
          <w:tcPr>
            <w:tcW w:w="1074" w:type="dxa"/>
            <w:shd w:val="clear" w:color="auto" w:fill="auto"/>
            <w:vAlign w:val="center"/>
            <w:hideMark/>
          </w:tcPr>
          <w:p w:rsidRPr="00A9346B" w:rsidR="00A9346B" w:rsidP="00A9346B" w:rsidRDefault="00A9346B" w14:paraId="7424BF9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672.00</w:t>
            </w:r>
          </w:p>
        </w:tc>
        <w:tc>
          <w:tcPr>
            <w:tcW w:w="996" w:type="dxa"/>
            <w:shd w:val="clear" w:color="auto" w:fill="auto"/>
            <w:vAlign w:val="center"/>
            <w:hideMark/>
          </w:tcPr>
          <w:p w:rsidRPr="00A9346B" w:rsidR="00A9346B" w:rsidP="00A9346B" w:rsidRDefault="00A9346B" w14:paraId="40D6C93D"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2.50</w:t>
            </w:r>
          </w:p>
        </w:tc>
        <w:tc>
          <w:tcPr>
            <w:tcW w:w="1026" w:type="dxa"/>
            <w:shd w:val="clear" w:color="auto" w:fill="auto"/>
            <w:vAlign w:val="center"/>
            <w:hideMark/>
          </w:tcPr>
          <w:p w:rsidRPr="00A9346B" w:rsidR="00A9346B" w:rsidP="00A9346B" w:rsidRDefault="00A9346B" w14:paraId="0AF30ACC"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1680.00</w:t>
            </w:r>
          </w:p>
        </w:tc>
        <w:tc>
          <w:tcPr>
            <w:tcW w:w="996" w:type="dxa"/>
            <w:shd w:val="clear" w:color="auto" w:fill="auto"/>
            <w:noWrap/>
            <w:vAlign w:val="center"/>
            <w:hideMark/>
          </w:tcPr>
          <w:p w:rsidRPr="00A9346B" w:rsidR="00A9346B" w:rsidP="00A9346B" w:rsidRDefault="00A9346B" w14:paraId="28F1DB3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6173EC80"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$72,307.20</w:t>
            </w:r>
          </w:p>
        </w:tc>
      </w:tr>
      <w:tr w:rsidRPr="00A9346B" w:rsidR="006C5B6A" w:rsidTr="006C5B6A" w14:paraId="77144EC2" w14:textId="77777777">
        <w:trPr>
          <w:trHeight w:val="600"/>
          <w:jc w:val="center"/>
        </w:trPr>
        <w:tc>
          <w:tcPr>
            <w:tcW w:w="1640" w:type="dxa"/>
            <w:shd w:val="clear" w:color="auto" w:fill="auto"/>
            <w:vAlign w:val="center"/>
            <w:hideMark/>
          </w:tcPr>
          <w:p w:rsidRPr="00A9346B" w:rsidR="00A9346B" w:rsidP="00A9346B" w:rsidRDefault="00A9346B" w14:paraId="68464012"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93.451</w:t>
            </w:r>
          </w:p>
        </w:tc>
        <w:tc>
          <w:tcPr>
            <w:tcW w:w="1928" w:type="dxa"/>
            <w:shd w:val="clear" w:color="auto" w:fill="auto"/>
            <w:vAlign w:val="center"/>
            <w:hideMark/>
          </w:tcPr>
          <w:p w:rsidRPr="00A9346B" w:rsidR="00A9346B" w:rsidP="00A9346B" w:rsidRDefault="00A9346B" w14:paraId="6A14EA46"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Annual performance reviews</w:t>
            </w:r>
          </w:p>
        </w:tc>
        <w:tc>
          <w:tcPr>
            <w:tcW w:w="1273" w:type="dxa"/>
            <w:shd w:val="clear" w:color="auto" w:fill="auto"/>
            <w:vAlign w:val="center"/>
            <w:hideMark/>
          </w:tcPr>
          <w:p w:rsidRPr="00A9346B" w:rsidR="00A9346B" w:rsidP="00A9346B" w:rsidRDefault="00A9346B" w14:paraId="3F6C634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1067" w:type="dxa"/>
            <w:shd w:val="clear" w:color="auto" w:fill="auto"/>
            <w:vAlign w:val="center"/>
            <w:hideMark/>
          </w:tcPr>
          <w:p w:rsidRPr="00A9346B" w:rsidR="00A9346B" w:rsidP="00A9346B" w:rsidRDefault="00A9346B" w14:paraId="3C2AAC6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1.00</w:t>
            </w:r>
          </w:p>
        </w:tc>
        <w:tc>
          <w:tcPr>
            <w:tcW w:w="1074" w:type="dxa"/>
            <w:shd w:val="clear" w:color="auto" w:fill="auto"/>
            <w:vAlign w:val="center"/>
            <w:hideMark/>
          </w:tcPr>
          <w:p w:rsidRPr="00A9346B" w:rsidR="00A9346B" w:rsidP="00A9346B" w:rsidRDefault="00A9346B" w14:paraId="4C25026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56.00</w:t>
            </w:r>
          </w:p>
        </w:tc>
        <w:tc>
          <w:tcPr>
            <w:tcW w:w="996" w:type="dxa"/>
            <w:shd w:val="clear" w:color="auto" w:fill="auto"/>
            <w:vAlign w:val="center"/>
            <w:hideMark/>
          </w:tcPr>
          <w:p w:rsidRPr="00A9346B" w:rsidR="00A9346B" w:rsidP="00A9346B" w:rsidRDefault="00A9346B" w14:paraId="42D9DD1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8.00</w:t>
            </w:r>
          </w:p>
        </w:tc>
        <w:tc>
          <w:tcPr>
            <w:tcW w:w="1026" w:type="dxa"/>
            <w:shd w:val="clear" w:color="auto" w:fill="auto"/>
            <w:vAlign w:val="center"/>
            <w:hideMark/>
          </w:tcPr>
          <w:p w:rsidRPr="00A9346B" w:rsidR="00A9346B" w:rsidP="00A9346B" w:rsidRDefault="00A9346B" w14:paraId="3B04AE7A"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448.00</w:t>
            </w:r>
          </w:p>
        </w:tc>
        <w:tc>
          <w:tcPr>
            <w:tcW w:w="996" w:type="dxa"/>
            <w:shd w:val="clear" w:color="auto" w:fill="auto"/>
            <w:noWrap/>
            <w:vAlign w:val="center"/>
            <w:hideMark/>
          </w:tcPr>
          <w:p w:rsidRPr="00A9346B" w:rsidR="00A9346B" w:rsidP="00A9346B" w:rsidRDefault="00A9346B" w14:paraId="3DA64B59"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 xml:space="preserve">$43.04 </w:t>
            </w:r>
          </w:p>
        </w:tc>
        <w:tc>
          <w:tcPr>
            <w:tcW w:w="1380" w:type="dxa"/>
            <w:shd w:val="clear" w:color="auto" w:fill="auto"/>
            <w:vAlign w:val="center"/>
            <w:hideMark/>
          </w:tcPr>
          <w:p w:rsidRPr="00A9346B" w:rsidR="00A9346B" w:rsidP="00A9346B" w:rsidRDefault="00A9346B" w14:paraId="2FA564A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$19,281.92</w:t>
            </w:r>
          </w:p>
        </w:tc>
      </w:tr>
      <w:tr w:rsidRPr="00A9346B" w:rsidR="006C5B6A" w:rsidTr="006C5B6A" w14:paraId="767DB608" w14:textId="77777777">
        <w:trPr>
          <w:trHeight w:val="600"/>
          <w:jc w:val="center"/>
        </w:trPr>
        <w:tc>
          <w:tcPr>
            <w:tcW w:w="1640" w:type="dxa"/>
            <w:shd w:val="clear" w:color="auto" w:fill="auto"/>
            <w:vAlign w:val="center"/>
            <w:hideMark/>
          </w:tcPr>
          <w:p w:rsidRPr="00A9346B" w:rsidR="00A9346B" w:rsidP="00A9346B" w:rsidRDefault="00A9346B" w14:paraId="611E69BA"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w:t>
            </w:r>
          </w:p>
        </w:tc>
        <w:tc>
          <w:tcPr>
            <w:tcW w:w="1928" w:type="dxa"/>
            <w:shd w:val="clear" w:color="auto" w:fill="auto"/>
            <w:vAlign w:val="center"/>
            <w:hideMark/>
          </w:tcPr>
          <w:p w:rsidRPr="00A9346B" w:rsidR="00A9346B" w:rsidP="00A9346B" w:rsidRDefault="00A9346B" w14:paraId="66CAEB25" w14:textId="77777777">
            <w:pPr>
              <w:overflowPunct/>
              <w:autoSpaceDE/>
              <w:autoSpaceDN/>
              <w:adjustRightInd/>
              <w:jc w:val="right"/>
              <w:textAlignment w:val="auto"/>
              <w:rPr>
                <w:rFonts w:ascii="Calibri" w:hAnsi="Calibri" w:cs="Calibri"/>
                <w:b/>
                <w:bCs/>
                <w:color w:val="000000"/>
              </w:rPr>
            </w:pPr>
            <w:r w:rsidRPr="00A9346B">
              <w:rPr>
                <w:rFonts w:ascii="Calibri" w:hAnsi="Calibri" w:cs="Calibri"/>
                <w:b/>
                <w:bCs/>
                <w:color w:val="000000"/>
              </w:rPr>
              <w:t>TOTAL</w:t>
            </w:r>
          </w:p>
        </w:tc>
        <w:tc>
          <w:tcPr>
            <w:tcW w:w="1273" w:type="dxa"/>
            <w:shd w:val="clear" w:color="auto" w:fill="auto"/>
            <w:vAlign w:val="center"/>
            <w:hideMark/>
          </w:tcPr>
          <w:p w:rsidRPr="00A9346B" w:rsidR="00A9346B" w:rsidP="00A9346B" w:rsidRDefault="00A9346B" w14:paraId="11ABDDD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12,186.00</w:t>
            </w:r>
          </w:p>
        </w:tc>
        <w:tc>
          <w:tcPr>
            <w:tcW w:w="1067" w:type="dxa"/>
            <w:shd w:val="clear" w:color="auto" w:fill="auto"/>
            <w:vAlign w:val="center"/>
            <w:hideMark/>
          </w:tcPr>
          <w:p w:rsidRPr="00A9346B" w:rsidR="00A9346B" w:rsidP="00A9346B" w:rsidRDefault="00A9346B" w14:paraId="096A03BB"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w:t>
            </w:r>
          </w:p>
        </w:tc>
        <w:tc>
          <w:tcPr>
            <w:tcW w:w="1074" w:type="dxa"/>
            <w:shd w:val="clear" w:color="auto" w:fill="auto"/>
            <w:vAlign w:val="center"/>
            <w:hideMark/>
          </w:tcPr>
          <w:p w:rsidRPr="00A9346B" w:rsidR="00A9346B" w:rsidP="00A9346B" w:rsidRDefault="00A9346B" w14:paraId="431DDE1F"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14,605.20</w:t>
            </w:r>
          </w:p>
        </w:tc>
        <w:tc>
          <w:tcPr>
            <w:tcW w:w="996" w:type="dxa"/>
            <w:shd w:val="clear" w:color="auto" w:fill="auto"/>
            <w:vAlign w:val="center"/>
            <w:hideMark/>
          </w:tcPr>
          <w:p w:rsidRPr="00A9346B" w:rsidR="00A9346B" w:rsidP="00A9346B" w:rsidRDefault="00A9346B" w14:paraId="6BDF2626"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w:t>
            </w:r>
          </w:p>
        </w:tc>
        <w:tc>
          <w:tcPr>
            <w:tcW w:w="1026" w:type="dxa"/>
            <w:shd w:val="clear" w:color="auto" w:fill="auto"/>
            <w:vAlign w:val="center"/>
            <w:hideMark/>
          </w:tcPr>
          <w:p w:rsidRPr="00A9346B" w:rsidR="00A9346B" w:rsidP="00A9346B" w:rsidRDefault="00A9346B" w14:paraId="6AC7664E"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26,247.00</w:t>
            </w:r>
          </w:p>
        </w:tc>
        <w:tc>
          <w:tcPr>
            <w:tcW w:w="996" w:type="dxa"/>
            <w:shd w:val="clear" w:color="auto" w:fill="auto"/>
            <w:vAlign w:val="center"/>
            <w:hideMark/>
          </w:tcPr>
          <w:p w:rsidRPr="00A9346B" w:rsidR="00A9346B" w:rsidP="00A9346B" w:rsidRDefault="00A9346B" w14:paraId="7EACAAC1"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w:t>
            </w:r>
          </w:p>
        </w:tc>
        <w:tc>
          <w:tcPr>
            <w:tcW w:w="1380" w:type="dxa"/>
            <w:shd w:val="clear" w:color="auto" w:fill="auto"/>
            <w:vAlign w:val="center"/>
            <w:hideMark/>
          </w:tcPr>
          <w:p w:rsidRPr="00A9346B" w:rsidR="00A9346B" w:rsidP="00A9346B" w:rsidRDefault="00A9346B" w14:paraId="411FA806" w14:textId="77777777">
            <w:pPr>
              <w:overflowPunct/>
              <w:autoSpaceDE/>
              <w:autoSpaceDN/>
              <w:adjustRightInd/>
              <w:jc w:val="right"/>
              <w:textAlignment w:val="auto"/>
              <w:rPr>
                <w:rFonts w:ascii="Calibri" w:hAnsi="Calibri" w:cs="Calibri"/>
                <w:color w:val="000000"/>
              </w:rPr>
            </w:pPr>
            <w:r w:rsidRPr="00A9346B">
              <w:rPr>
                <w:rFonts w:ascii="Calibri" w:hAnsi="Calibri" w:cs="Calibri"/>
                <w:color w:val="000000"/>
              </w:rPr>
              <w:t>$1,129,670.88</w:t>
            </w:r>
          </w:p>
        </w:tc>
      </w:tr>
      <w:tr w:rsidRPr="00A9346B" w:rsidR="00A9346B" w:rsidTr="006C5B6A" w14:paraId="4DD1B491" w14:textId="77777777">
        <w:trPr>
          <w:trHeight w:val="240"/>
          <w:jc w:val="center"/>
        </w:trPr>
        <w:tc>
          <w:tcPr>
            <w:tcW w:w="1640" w:type="dxa"/>
            <w:shd w:val="clear" w:color="auto" w:fill="auto"/>
            <w:vAlign w:val="center"/>
            <w:hideMark/>
          </w:tcPr>
          <w:p w:rsidRPr="00A9346B" w:rsidR="00A9346B" w:rsidP="00A9346B" w:rsidRDefault="00A9346B" w14:paraId="4FBD5887" w14:textId="77777777">
            <w:pPr>
              <w:overflowPunct/>
              <w:autoSpaceDE/>
              <w:autoSpaceDN/>
              <w:adjustRightInd/>
              <w:textAlignment w:val="auto"/>
              <w:rPr>
                <w:rFonts w:ascii="Calibri" w:hAnsi="Calibri" w:cs="Calibri"/>
                <w:color w:val="000000"/>
              </w:rPr>
            </w:pPr>
            <w:r w:rsidRPr="00A9346B">
              <w:rPr>
                <w:rFonts w:ascii="Calibri" w:hAnsi="Calibri" w:cs="Calibri"/>
                <w:color w:val="000000"/>
              </w:rPr>
              <w:t> </w:t>
            </w:r>
          </w:p>
        </w:tc>
        <w:tc>
          <w:tcPr>
            <w:tcW w:w="1928" w:type="dxa"/>
            <w:shd w:val="clear" w:color="auto" w:fill="auto"/>
            <w:vAlign w:val="center"/>
            <w:hideMark/>
          </w:tcPr>
          <w:p w:rsidRPr="00A9346B" w:rsidR="00A9346B" w:rsidP="00A9346B" w:rsidRDefault="00A9346B" w14:paraId="2DFA0431" w14:textId="77777777">
            <w:pPr>
              <w:overflowPunct/>
              <w:autoSpaceDE/>
              <w:autoSpaceDN/>
              <w:adjustRightInd/>
              <w:textAlignment w:val="auto"/>
              <w:rPr>
                <w:rFonts w:ascii="Calibri" w:hAnsi="Calibri" w:cs="Calibri"/>
                <w:color w:val="000000"/>
              </w:rPr>
            </w:pPr>
          </w:p>
        </w:tc>
        <w:tc>
          <w:tcPr>
            <w:tcW w:w="6432" w:type="dxa"/>
            <w:gridSpan w:val="6"/>
            <w:shd w:val="clear" w:color="auto" w:fill="auto"/>
            <w:vAlign w:val="bottom"/>
            <w:hideMark/>
          </w:tcPr>
          <w:p w:rsidRPr="00A9346B" w:rsidR="00A9346B" w:rsidP="00A9346B" w:rsidRDefault="00A9346B" w14:paraId="6B7F9AC6" w14:textId="77777777">
            <w:pPr>
              <w:overflowPunct/>
              <w:autoSpaceDE/>
              <w:autoSpaceDN/>
              <w:adjustRightInd/>
              <w:jc w:val="center"/>
              <w:textAlignment w:val="auto"/>
              <w:rPr>
                <w:rFonts w:ascii="Calibri" w:hAnsi="Calibri" w:cs="Calibri"/>
                <w:color w:val="000000"/>
              </w:rPr>
            </w:pPr>
            <w:r w:rsidRPr="00A9346B">
              <w:rPr>
                <w:rFonts w:ascii="Calibri" w:hAnsi="Calibri" w:cs="Calibri"/>
                <w:color w:val="000000"/>
              </w:rPr>
              <w:t>Total cost: 26,247.00 hours * $43.04 (Hourly rate for GS12)</w:t>
            </w:r>
          </w:p>
        </w:tc>
        <w:tc>
          <w:tcPr>
            <w:tcW w:w="1380" w:type="dxa"/>
            <w:shd w:val="clear" w:color="auto" w:fill="auto"/>
            <w:vAlign w:val="bottom"/>
            <w:hideMark/>
          </w:tcPr>
          <w:p w:rsidRPr="00A9346B" w:rsidR="00A9346B" w:rsidP="00A9346B" w:rsidRDefault="00A9346B" w14:paraId="19618901" w14:textId="77777777">
            <w:pPr>
              <w:overflowPunct/>
              <w:autoSpaceDE/>
              <w:autoSpaceDN/>
              <w:adjustRightInd/>
              <w:jc w:val="center"/>
              <w:textAlignment w:val="auto"/>
              <w:rPr>
                <w:rFonts w:ascii="Calibri" w:hAnsi="Calibri" w:cs="Calibri"/>
                <w:color w:val="000000"/>
              </w:rPr>
            </w:pPr>
          </w:p>
        </w:tc>
      </w:tr>
    </w:tbl>
    <w:p w:rsidRPr="006C7FAE" w:rsidR="00A9346B" w:rsidP="00A9346B" w:rsidRDefault="00A9346B" w14:paraId="01090A47" w14:textId="77777777">
      <w:pPr>
        <w:keepLines/>
        <w:tabs>
          <w:tab w:val="left" w:pos="480"/>
        </w:tabs>
        <w:spacing w:after="80"/>
        <w:rPr>
          <w:sz w:val="24"/>
          <w:szCs w:val="24"/>
        </w:rPr>
      </w:pPr>
    </w:p>
    <w:p w:rsidRPr="006C7FAE" w:rsidR="009E13B1" w:rsidRDefault="009E13B1" w14:paraId="52DBF2F9" w14:textId="77777777">
      <w:pPr>
        <w:keepLines/>
        <w:tabs>
          <w:tab w:val="left" w:pos="360"/>
          <w:tab w:val="left" w:pos="720"/>
          <w:tab w:val="center" w:pos="1680"/>
          <w:tab w:val="center" w:pos="3120"/>
          <w:tab w:val="center" w:pos="4560"/>
          <w:tab w:val="center" w:pos="6000"/>
          <w:tab w:val="center" w:pos="7440"/>
          <w:tab w:val="center" w:pos="8880"/>
        </w:tabs>
        <w:ind w:left="360"/>
      </w:pPr>
    </w:p>
    <w:p w:rsidRPr="006C7FAE" w:rsidR="00167E53" w:rsidP="00167E53" w:rsidRDefault="00167E53" w14:paraId="5B05289A"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6C7FAE" w:rsidR="009E13B1" w:rsidRDefault="009E13B1" w14:paraId="6FF381B2"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6BC37D20"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6C7FAE">
        <w:rPr>
          <w:sz w:val="24"/>
          <w:szCs w:val="24"/>
        </w:rPr>
        <w:t>take into account</w:t>
      </w:r>
      <w:proofErr w:type="gramEnd"/>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C7FAE">
        <w:rPr>
          <w:sz w:val="24"/>
          <w:szCs w:val="24"/>
        </w:rPr>
        <w:t>time period</w:t>
      </w:r>
      <w:proofErr w:type="gramEnd"/>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6C7FAE">
        <w:rPr>
          <w:sz w:val="24"/>
          <w:szCs w:val="24"/>
        </w:rPr>
        <w:t>facilities;</w:t>
      </w:r>
      <w:proofErr w:type="gramEnd"/>
      <w:r w:rsidRPr="006C7FAE">
        <w:rPr>
          <w:sz w:val="24"/>
          <w:szCs w:val="24"/>
        </w:rPr>
        <w:t xml:space="preserve"> </w:t>
      </w:r>
    </w:p>
    <w:p w:rsidRPr="006C7FAE" w:rsidR="009E13B1" w:rsidRDefault="009E13B1" w14:paraId="45A43161"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Default="009E13B1" w14:paraId="470740B6"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52117" w:rsidP="00252117" w:rsidRDefault="00252117" w14:paraId="7C4A6439" w14:textId="77777777">
      <w:pPr>
        <w:keepLines/>
        <w:tabs>
          <w:tab w:val="left" w:pos="360"/>
        </w:tabs>
        <w:spacing w:after="80"/>
        <w:rPr>
          <w:sz w:val="24"/>
          <w:szCs w:val="24"/>
        </w:rPr>
      </w:pPr>
    </w:p>
    <w:p w:rsidRPr="006C7FAE" w:rsidR="00252117" w:rsidP="00252117" w:rsidRDefault="00252117" w14:paraId="4CF3E44E" w14:textId="77777777">
      <w:pPr>
        <w:keepLines/>
        <w:tabs>
          <w:tab w:val="left" w:pos="360"/>
        </w:tabs>
        <w:spacing w:after="80"/>
        <w:rPr>
          <w:sz w:val="24"/>
          <w:szCs w:val="24"/>
        </w:rPr>
      </w:pPr>
      <w:r>
        <w:rPr>
          <w:sz w:val="24"/>
          <w:szCs w:val="24"/>
        </w:rPr>
        <w:tab/>
      </w:r>
      <w:r w:rsidRPr="00252117">
        <w:rPr>
          <w:sz w:val="24"/>
          <w:szCs w:val="24"/>
        </w:rPr>
        <w:t>There are no additional costs to the respondents (other than the cost shown in item 12 above)</w:t>
      </w:r>
    </w:p>
    <w:p w:rsidRPr="006C7FAE" w:rsidR="009E13B1" w:rsidRDefault="009E13B1" w14:paraId="438A5914" w14:textId="77777777">
      <w:pPr>
        <w:keepLines/>
        <w:tabs>
          <w:tab w:val="left" w:pos="360"/>
          <w:tab w:val="left" w:pos="720"/>
        </w:tabs>
        <w:ind w:left="360"/>
        <w:rPr>
          <w:sz w:val="24"/>
          <w:szCs w:val="24"/>
        </w:rPr>
      </w:pPr>
    </w:p>
    <w:p w:rsidR="005F267E" w:rsidRDefault="009E13B1" w14:paraId="2D883ED1"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7FAE" w:rsidR="005F267E" w:rsidP="005F267E" w:rsidRDefault="005F267E" w14:paraId="5EDE96A4" w14:textId="417F386F">
      <w:pPr>
        <w:keepLines/>
        <w:tabs>
          <w:tab w:val="left" w:pos="360"/>
        </w:tabs>
        <w:spacing w:after="80"/>
        <w:ind w:left="360" w:right="-540" w:hanging="360"/>
        <w:rPr>
          <w:sz w:val="24"/>
          <w:szCs w:val="24"/>
        </w:rPr>
      </w:pPr>
    </w:p>
    <w:tbl>
      <w:tblPr>
        <w:tblW w:w="11217" w:type="dxa"/>
        <w:tblInd w:w="-522" w:type="dxa"/>
        <w:tblLayout w:type="fixed"/>
        <w:tblLook w:val="04A0" w:firstRow="1" w:lastRow="0" w:firstColumn="1" w:lastColumn="0" w:noHBand="0" w:noVBand="1"/>
      </w:tblPr>
      <w:tblGrid>
        <w:gridCol w:w="1170"/>
        <w:gridCol w:w="2160"/>
        <w:gridCol w:w="1317"/>
        <w:gridCol w:w="1080"/>
        <w:gridCol w:w="1080"/>
        <w:gridCol w:w="1194"/>
        <w:gridCol w:w="1026"/>
        <w:gridCol w:w="1110"/>
        <w:gridCol w:w="1080"/>
      </w:tblGrid>
      <w:tr w:rsidRPr="005F267E" w:rsidR="00FE1835" w:rsidTr="007717C0" w14:paraId="65CD73F2" w14:textId="77777777">
        <w:trPr>
          <w:trHeight w:val="600"/>
        </w:trPr>
        <w:tc>
          <w:tcPr>
            <w:tcW w:w="1170" w:type="dxa"/>
            <w:tcBorders>
              <w:top w:val="single" w:color="auto" w:sz="12" w:space="0"/>
              <w:left w:val="single" w:color="auto" w:sz="12" w:space="0"/>
              <w:bottom w:val="single" w:color="auto" w:sz="12" w:space="0"/>
              <w:right w:val="single" w:color="auto" w:sz="12" w:space="0"/>
            </w:tcBorders>
            <w:shd w:val="clear" w:color="auto" w:fill="A6A6A6"/>
            <w:vAlign w:val="center"/>
            <w:hideMark/>
          </w:tcPr>
          <w:p w:rsidRPr="005F267E" w:rsidR="005F267E" w:rsidP="005F267E" w:rsidRDefault="005F267E" w14:paraId="1C45ECB2" w14:textId="77777777">
            <w:pPr>
              <w:overflowPunct/>
              <w:autoSpaceDE/>
              <w:autoSpaceDN/>
              <w:adjustRightInd/>
              <w:jc w:val="center"/>
              <w:textAlignment w:val="auto"/>
              <w:rPr>
                <w:rFonts w:ascii="Calibri" w:hAnsi="Calibri" w:cs="Calibri"/>
                <w:color w:val="000000"/>
              </w:rPr>
            </w:pPr>
            <w:r w:rsidRPr="005F267E">
              <w:rPr>
                <w:rFonts w:ascii="Calibri" w:hAnsi="Calibri" w:cs="Calibri"/>
                <w:color w:val="000000"/>
              </w:rPr>
              <w:t>Regulatory Section</w:t>
            </w:r>
          </w:p>
        </w:tc>
        <w:tc>
          <w:tcPr>
            <w:tcW w:w="2160" w:type="dxa"/>
            <w:tcBorders>
              <w:top w:val="single" w:color="auto" w:sz="12" w:space="0"/>
              <w:left w:val="nil"/>
              <w:bottom w:val="single" w:color="auto" w:sz="12" w:space="0"/>
              <w:right w:val="single" w:color="auto" w:sz="12" w:space="0"/>
            </w:tcBorders>
            <w:shd w:val="clear" w:color="auto" w:fill="A6A6A6"/>
            <w:vAlign w:val="center"/>
            <w:hideMark/>
          </w:tcPr>
          <w:p w:rsidRPr="005F267E" w:rsidR="005F267E" w:rsidP="005F267E" w:rsidRDefault="005F267E" w14:paraId="41961758" w14:textId="77777777">
            <w:pPr>
              <w:overflowPunct/>
              <w:autoSpaceDE/>
              <w:autoSpaceDN/>
              <w:adjustRightInd/>
              <w:jc w:val="center"/>
              <w:textAlignment w:val="auto"/>
              <w:rPr>
                <w:rFonts w:ascii="Calibri" w:hAnsi="Calibri" w:cs="Calibri"/>
                <w:color w:val="000000"/>
              </w:rPr>
            </w:pPr>
            <w:r w:rsidRPr="005F267E">
              <w:rPr>
                <w:rFonts w:ascii="Calibri" w:hAnsi="Calibri" w:cs="Calibri"/>
                <w:color w:val="000000"/>
              </w:rPr>
              <w:t>Information Collection</w:t>
            </w:r>
          </w:p>
        </w:tc>
        <w:tc>
          <w:tcPr>
            <w:tcW w:w="1317" w:type="dxa"/>
            <w:tcBorders>
              <w:top w:val="single" w:color="auto" w:sz="12" w:space="0"/>
              <w:left w:val="nil"/>
              <w:bottom w:val="single" w:color="auto" w:sz="12" w:space="0"/>
              <w:right w:val="single" w:color="auto" w:sz="12" w:space="0"/>
            </w:tcBorders>
            <w:shd w:val="clear" w:color="auto" w:fill="A6A6A6"/>
            <w:vAlign w:val="center"/>
            <w:hideMark/>
          </w:tcPr>
          <w:p w:rsidRPr="005F267E" w:rsidR="005F267E" w:rsidP="005F267E" w:rsidRDefault="005F267E" w14:paraId="360A6B07" w14:textId="77777777">
            <w:pPr>
              <w:overflowPunct/>
              <w:autoSpaceDE/>
              <w:autoSpaceDN/>
              <w:adjustRightInd/>
              <w:jc w:val="center"/>
              <w:textAlignment w:val="auto"/>
              <w:rPr>
                <w:rFonts w:ascii="Calibri" w:hAnsi="Calibri" w:cs="Calibri"/>
                <w:color w:val="000000"/>
              </w:rPr>
            </w:pPr>
            <w:r w:rsidRPr="005F267E">
              <w:rPr>
                <w:rFonts w:ascii="Calibri" w:hAnsi="Calibri" w:cs="Calibri"/>
                <w:color w:val="000000"/>
              </w:rPr>
              <w:t>Number of Respondents</w:t>
            </w:r>
          </w:p>
        </w:tc>
        <w:tc>
          <w:tcPr>
            <w:tcW w:w="1080" w:type="dxa"/>
            <w:tcBorders>
              <w:top w:val="single" w:color="auto" w:sz="12" w:space="0"/>
              <w:left w:val="nil"/>
              <w:bottom w:val="single" w:color="auto" w:sz="12" w:space="0"/>
              <w:right w:val="single" w:color="auto" w:sz="12" w:space="0"/>
            </w:tcBorders>
            <w:shd w:val="clear" w:color="auto" w:fill="A6A6A6"/>
            <w:vAlign w:val="center"/>
            <w:hideMark/>
          </w:tcPr>
          <w:p w:rsidRPr="005F267E" w:rsidR="005F267E" w:rsidP="005F267E" w:rsidRDefault="005F267E" w14:paraId="48B8C023" w14:textId="77777777">
            <w:pPr>
              <w:overflowPunct/>
              <w:autoSpaceDE/>
              <w:autoSpaceDN/>
              <w:adjustRightInd/>
              <w:jc w:val="center"/>
              <w:textAlignment w:val="auto"/>
              <w:rPr>
                <w:rFonts w:ascii="Calibri" w:hAnsi="Calibri" w:cs="Calibri"/>
                <w:color w:val="000000"/>
              </w:rPr>
            </w:pPr>
            <w:r w:rsidRPr="005F267E">
              <w:rPr>
                <w:rFonts w:ascii="Calibri" w:hAnsi="Calibri" w:cs="Calibri"/>
                <w:color w:val="000000"/>
              </w:rPr>
              <w:t>Frequency of Response</w:t>
            </w:r>
          </w:p>
        </w:tc>
        <w:tc>
          <w:tcPr>
            <w:tcW w:w="1080" w:type="dxa"/>
            <w:tcBorders>
              <w:top w:val="single" w:color="auto" w:sz="12" w:space="0"/>
              <w:left w:val="nil"/>
              <w:bottom w:val="single" w:color="auto" w:sz="12" w:space="0"/>
              <w:right w:val="single" w:color="auto" w:sz="12" w:space="0"/>
            </w:tcBorders>
            <w:shd w:val="clear" w:color="auto" w:fill="A6A6A6"/>
            <w:vAlign w:val="center"/>
            <w:hideMark/>
          </w:tcPr>
          <w:p w:rsidRPr="005F267E" w:rsidR="005F267E" w:rsidP="005F267E" w:rsidRDefault="005F267E" w14:paraId="72AFDB53" w14:textId="77777777">
            <w:pPr>
              <w:overflowPunct/>
              <w:autoSpaceDE/>
              <w:autoSpaceDN/>
              <w:adjustRightInd/>
              <w:jc w:val="center"/>
              <w:textAlignment w:val="auto"/>
              <w:rPr>
                <w:rFonts w:ascii="Calibri" w:hAnsi="Calibri" w:cs="Calibri"/>
                <w:color w:val="000000"/>
              </w:rPr>
            </w:pPr>
            <w:r w:rsidRPr="005F267E">
              <w:rPr>
                <w:rFonts w:ascii="Calibri" w:hAnsi="Calibri" w:cs="Calibri"/>
                <w:color w:val="000000"/>
              </w:rPr>
              <w:t>Responses Per Annum</w:t>
            </w:r>
          </w:p>
        </w:tc>
        <w:tc>
          <w:tcPr>
            <w:tcW w:w="1194" w:type="dxa"/>
            <w:tcBorders>
              <w:top w:val="single" w:color="auto" w:sz="12" w:space="0"/>
              <w:left w:val="nil"/>
              <w:bottom w:val="single" w:color="auto" w:sz="12" w:space="0"/>
              <w:right w:val="single" w:color="auto" w:sz="12" w:space="0"/>
            </w:tcBorders>
            <w:shd w:val="clear" w:color="auto" w:fill="A6A6A6"/>
            <w:vAlign w:val="center"/>
            <w:hideMark/>
          </w:tcPr>
          <w:p w:rsidRPr="005F267E" w:rsidR="005F267E" w:rsidP="005F267E" w:rsidRDefault="005F267E" w14:paraId="5F7DEC79" w14:textId="77777777">
            <w:pPr>
              <w:overflowPunct/>
              <w:autoSpaceDE/>
              <w:autoSpaceDN/>
              <w:adjustRightInd/>
              <w:jc w:val="center"/>
              <w:textAlignment w:val="auto"/>
              <w:rPr>
                <w:rFonts w:ascii="Calibri" w:hAnsi="Calibri" w:cs="Calibri"/>
                <w:color w:val="000000"/>
              </w:rPr>
            </w:pPr>
            <w:r w:rsidRPr="005F267E">
              <w:rPr>
                <w:rFonts w:ascii="Calibri" w:hAnsi="Calibri" w:cs="Calibri"/>
                <w:color w:val="000000"/>
              </w:rPr>
              <w:t>Burden Hour Per Response</w:t>
            </w:r>
          </w:p>
        </w:tc>
        <w:tc>
          <w:tcPr>
            <w:tcW w:w="1026" w:type="dxa"/>
            <w:tcBorders>
              <w:top w:val="single" w:color="auto" w:sz="12" w:space="0"/>
              <w:left w:val="nil"/>
              <w:bottom w:val="single" w:color="auto" w:sz="12" w:space="0"/>
              <w:right w:val="single" w:color="auto" w:sz="12" w:space="0"/>
            </w:tcBorders>
            <w:shd w:val="clear" w:color="auto" w:fill="A6A6A6"/>
            <w:vAlign w:val="center"/>
            <w:hideMark/>
          </w:tcPr>
          <w:p w:rsidRPr="005F267E" w:rsidR="005F267E" w:rsidP="005F267E" w:rsidRDefault="005F267E" w14:paraId="7CE5B864" w14:textId="77777777">
            <w:pPr>
              <w:overflowPunct/>
              <w:autoSpaceDE/>
              <w:autoSpaceDN/>
              <w:adjustRightInd/>
              <w:jc w:val="center"/>
              <w:textAlignment w:val="auto"/>
              <w:rPr>
                <w:rFonts w:ascii="Calibri" w:hAnsi="Calibri" w:cs="Calibri"/>
                <w:color w:val="000000"/>
              </w:rPr>
            </w:pPr>
            <w:r w:rsidRPr="005F267E">
              <w:rPr>
                <w:rFonts w:ascii="Calibri" w:hAnsi="Calibri" w:cs="Calibri"/>
                <w:color w:val="000000"/>
              </w:rPr>
              <w:t>Annual Burden Hours</w:t>
            </w:r>
          </w:p>
        </w:tc>
        <w:tc>
          <w:tcPr>
            <w:tcW w:w="1110" w:type="dxa"/>
            <w:tcBorders>
              <w:top w:val="single" w:color="auto" w:sz="12" w:space="0"/>
              <w:left w:val="nil"/>
              <w:bottom w:val="single" w:color="auto" w:sz="12" w:space="0"/>
              <w:right w:val="single" w:color="auto" w:sz="12" w:space="0"/>
            </w:tcBorders>
            <w:shd w:val="clear" w:color="auto" w:fill="A6A6A6"/>
            <w:vAlign w:val="center"/>
            <w:hideMark/>
          </w:tcPr>
          <w:p w:rsidRPr="005F267E" w:rsidR="005F267E" w:rsidP="005F267E" w:rsidRDefault="005F267E" w14:paraId="13DFDDC0" w14:textId="77777777">
            <w:pPr>
              <w:overflowPunct/>
              <w:autoSpaceDE/>
              <w:autoSpaceDN/>
              <w:adjustRightInd/>
              <w:jc w:val="center"/>
              <w:textAlignment w:val="auto"/>
              <w:rPr>
                <w:rFonts w:ascii="Calibri" w:hAnsi="Calibri" w:cs="Calibri"/>
                <w:color w:val="000000"/>
              </w:rPr>
            </w:pPr>
            <w:r w:rsidRPr="005F267E">
              <w:rPr>
                <w:rFonts w:ascii="Calibri" w:hAnsi="Calibri" w:cs="Calibri"/>
                <w:color w:val="000000"/>
              </w:rPr>
              <w:t>Hourly Cost Per Response</w:t>
            </w:r>
          </w:p>
        </w:tc>
        <w:tc>
          <w:tcPr>
            <w:tcW w:w="1080" w:type="dxa"/>
            <w:tcBorders>
              <w:top w:val="single" w:color="auto" w:sz="12" w:space="0"/>
              <w:left w:val="nil"/>
              <w:bottom w:val="single" w:color="auto" w:sz="12" w:space="0"/>
              <w:right w:val="single" w:color="auto" w:sz="12" w:space="0"/>
            </w:tcBorders>
            <w:shd w:val="clear" w:color="auto" w:fill="A6A6A6"/>
            <w:vAlign w:val="center"/>
            <w:hideMark/>
          </w:tcPr>
          <w:p w:rsidRPr="005F267E" w:rsidR="005F267E" w:rsidP="005F267E" w:rsidRDefault="005F267E" w14:paraId="0E4AC753" w14:textId="77777777">
            <w:pPr>
              <w:overflowPunct/>
              <w:autoSpaceDE/>
              <w:autoSpaceDN/>
              <w:adjustRightInd/>
              <w:jc w:val="center"/>
              <w:textAlignment w:val="auto"/>
              <w:rPr>
                <w:rFonts w:ascii="Calibri" w:hAnsi="Calibri" w:cs="Calibri"/>
                <w:color w:val="000000"/>
              </w:rPr>
            </w:pPr>
            <w:r w:rsidRPr="005F267E">
              <w:rPr>
                <w:rFonts w:ascii="Calibri" w:hAnsi="Calibri" w:cs="Calibri"/>
                <w:color w:val="000000"/>
              </w:rPr>
              <w:t>Annual Cost</w:t>
            </w:r>
          </w:p>
        </w:tc>
      </w:tr>
      <w:tr w:rsidRPr="005F267E" w:rsidR="002F5B65" w:rsidTr="007717C0" w14:paraId="37B85E6C" w14:textId="77777777">
        <w:trPr>
          <w:trHeight w:val="308"/>
        </w:trPr>
        <w:tc>
          <w:tcPr>
            <w:tcW w:w="1170" w:type="dxa"/>
            <w:tcBorders>
              <w:top w:val="nil"/>
              <w:left w:val="single" w:color="auto" w:sz="12" w:space="0"/>
              <w:bottom w:val="single" w:color="auto" w:sz="12" w:space="0"/>
              <w:right w:val="single" w:color="auto" w:sz="12" w:space="0"/>
            </w:tcBorders>
            <w:shd w:val="clear" w:color="auto" w:fill="auto"/>
            <w:vAlign w:val="center"/>
            <w:hideMark/>
          </w:tcPr>
          <w:p w:rsidRPr="005F267E" w:rsidR="005F267E" w:rsidP="005F267E" w:rsidRDefault="005F267E" w14:paraId="15E5FEFB"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 xml:space="preserve">§ 93.100(b) </w:t>
            </w:r>
          </w:p>
        </w:tc>
        <w:tc>
          <w:tcPr>
            <w:tcW w:w="2160" w:type="dxa"/>
            <w:tcBorders>
              <w:top w:val="nil"/>
              <w:left w:val="nil"/>
              <w:bottom w:val="single" w:color="auto" w:sz="12" w:space="0"/>
              <w:right w:val="single" w:color="auto" w:sz="12" w:space="0"/>
            </w:tcBorders>
            <w:shd w:val="clear" w:color="auto" w:fill="auto"/>
            <w:vAlign w:val="center"/>
            <w:hideMark/>
          </w:tcPr>
          <w:p w:rsidRPr="005F267E" w:rsidR="005F267E" w:rsidP="005F267E" w:rsidRDefault="005F267E" w14:paraId="3373A486"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Consolidated Plan and Action Plan Review</w:t>
            </w:r>
          </w:p>
        </w:tc>
        <w:tc>
          <w:tcPr>
            <w:tcW w:w="1317"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767B6B23"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56.00</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77CA2256"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1.00</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20942A91"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56.00</w:t>
            </w:r>
          </w:p>
        </w:tc>
        <w:tc>
          <w:tcPr>
            <w:tcW w:w="1194"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6F31B0C0"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2.00</w:t>
            </w:r>
          </w:p>
        </w:tc>
        <w:tc>
          <w:tcPr>
            <w:tcW w:w="1026"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605698CE"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112.00</w:t>
            </w:r>
          </w:p>
        </w:tc>
        <w:tc>
          <w:tcPr>
            <w:tcW w:w="1110" w:type="dxa"/>
            <w:tcBorders>
              <w:top w:val="nil"/>
              <w:left w:val="nil"/>
              <w:bottom w:val="single" w:color="auto" w:sz="12" w:space="0"/>
              <w:right w:val="single" w:color="auto" w:sz="12" w:space="0"/>
            </w:tcBorders>
            <w:shd w:val="clear" w:color="auto" w:fill="auto"/>
            <w:noWrap/>
            <w:vAlign w:val="bottom"/>
            <w:hideMark/>
          </w:tcPr>
          <w:p w:rsidRPr="005F267E" w:rsidR="005F267E" w:rsidP="005F267E" w:rsidRDefault="005F267E" w14:paraId="7530F5C4"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$51.18</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725165B9"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$5,732.16</w:t>
            </w:r>
          </w:p>
        </w:tc>
      </w:tr>
      <w:tr w:rsidRPr="005F267E" w:rsidR="002F5B65" w:rsidTr="007717C0" w14:paraId="2564C666" w14:textId="77777777">
        <w:trPr>
          <w:trHeight w:val="188"/>
        </w:trPr>
        <w:tc>
          <w:tcPr>
            <w:tcW w:w="1170" w:type="dxa"/>
            <w:tcBorders>
              <w:top w:val="nil"/>
              <w:left w:val="single" w:color="auto" w:sz="12" w:space="0"/>
              <w:bottom w:val="single" w:color="auto" w:sz="12" w:space="0"/>
              <w:right w:val="single" w:color="auto" w:sz="12" w:space="0"/>
            </w:tcBorders>
            <w:shd w:val="clear" w:color="auto" w:fill="auto"/>
            <w:vAlign w:val="center"/>
            <w:hideMark/>
          </w:tcPr>
          <w:p w:rsidRPr="005F267E" w:rsidR="005F267E" w:rsidP="005F267E" w:rsidRDefault="005F267E" w14:paraId="370B2496"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§93.401</w:t>
            </w:r>
          </w:p>
        </w:tc>
        <w:tc>
          <w:tcPr>
            <w:tcW w:w="2160" w:type="dxa"/>
            <w:tcBorders>
              <w:top w:val="nil"/>
              <w:left w:val="nil"/>
              <w:bottom w:val="single" w:color="auto" w:sz="12" w:space="0"/>
              <w:right w:val="single" w:color="auto" w:sz="12" w:space="0"/>
            </w:tcBorders>
            <w:shd w:val="clear" w:color="auto" w:fill="auto"/>
            <w:vAlign w:val="center"/>
            <w:hideMark/>
          </w:tcPr>
          <w:p w:rsidRPr="005F267E" w:rsidR="005F267E" w:rsidP="005F267E" w:rsidRDefault="005F267E" w14:paraId="41874FAE"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HTF Grant Agreement</w:t>
            </w:r>
          </w:p>
        </w:tc>
        <w:tc>
          <w:tcPr>
            <w:tcW w:w="1317"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7F08A118"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56.00</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09192296"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1.00</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24509A8D"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56.00</w:t>
            </w:r>
          </w:p>
        </w:tc>
        <w:tc>
          <w:tcPr>
            <w:tcW w:w="1194"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4345E6B1"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1.00</w:t>
            </w:r>
          </w:p>
        </w:tc>
        <w:tc>
          <w:tcPr>
            <w:tcW w:w="1026" w:type="dxa"/>
            <w:tcBorders>
              <w:top w:val="nil"/>
              <w:left w:val="nil"/>
              <w:bottom w:val="single" w:color="auto" w:sz="12" w:space="0"/>
              <w:right w:val="single" w:color="auto" w:sz="12" w:space="0"/>
            </w:tcBorders>
            <w:shd w:val="clear" w:color="auto" w:fill="auto"/>
            <w:vAlign w:val="center"/>
            <w:hideMark/>
          </w:tcPr>
          <w:p w:rsidRPr="00442115" w:rsidR="005F267E" w:rsidP="008C0B51" w:rsidRDefault="002F5B65" w14:paraId="6BAFFB7A" w14:textId="77777777">
            <w:pPr>
              <w:jc w:val="right"/>
              <w:rPr>
                <w:rFonts w:ascii="Calibri" w:hAnsi="Calibri" w:cs="Calibri"/>
              </w:rPr>
            </w:pPr>
            <w:r w:rsidRPr="00442115">
              <w:rPr>
                <w:rFonts w:ascii="Calibri" w:hAnsi="Calibri" w:cs="Calibri"/>
              </w:rPr>
              <w:t>5</w:t>
            </w:r>
            <w:r w:rsidRPr="00442115" w:rsidR="005F267E">
              <w:rPr>
                <w:rFonts w:ascii="Calibri" w:hAnsi="Calibri" w:cs="Calibri"/>
              </w:rPr>
              <w:t>6.00</w:t>
            </w:r>
          </w:p>
        </w:tc>
        <w:tc>
          <w:tcPr>
            <w:tcW w:w="1110" w:type="dxa"/>
            <w:tcBorders>
              <w:top w:val="nil"/>
              <w:left w:val="nil"/>
              <w:bottom w:val="single" w:color="auto" w:sz="12" w:space="0"/>
              <w:right w:val="single" w:color="auto" w:sz="12" w:space="0"/>
            </w:tcBorders>
            <w:shd w:val="clear" w:color="auto" w:fill="auto"/>
            <w:noWrap/>
            <w:vAlign w:val="bottom"/>
            <w:hideMark/>
          </w:tcPr>
          <w:p w:rsidRPr="005F267E" w:rsidR="005F267E" w:rsidP="005F267E" w:rsidRDefault="005F267E" w14:paraId="594F55BB"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$51.18</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5398BBAD"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$2,866.08</w:t>
            </w:r>
          </w:p>
        </w:tc>
      </w:tr>
      <w:tr w:rsidRPr="005F267E" w:rsidR="002F5B65" w:rsidTr="007717C0" w14:paraId="5F5587E1" w14:textId="77777777">
        <w:trPr>
          <w:trHeight w:val="308"/>
        </w:trPr>
        <w:tc>
          <w:tcPr>
            <w:tcW w:w="1170" w:type="dxa"/>
            <w:tcBorders>
              <w:top w:val="nil"/>
              <w:left w:val="single" w:color="auto" w:sz="12" w:space="0"/>
              <w:bottom w:val="single" w:color="auto" w:sz="12" w:space="0"/>
              <w:right w:val="single" w:color="auto" w:sz="12" w:space="0"/>
            </w:tcBorders>
            <w:shd w:val="clear" w:color="auto" w:fill="auto"/>
            <w:vAlign w:val="center"/>
            <w:hideMark/>
          </w:tcPr>
          <w:p w:rsidRPr="005F267E" w:rsidR="005F267E" w:rsidP="005F267E" w:rsidRDefault="005F267E" w14:paraId="261BF5C6"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 93.408</w:t>
            </w:r>
          </w:p>
        </w:tc>
        <w:tc>
          <w:tcPr>
            <w:tcW w:w="2160" w:type="dxa"/>
            <w:tcBorders>
              <w:top w:val="nil"/>
              <w:left w:val="nil"/>
              <w:bottom w:val="single" w:color="auto" w:sz="12" w:space="0"/>
              <w:right w:val="single" w:color="auto" w:sz="12" w:space="0"/>
            </w:tcBorders>
            <w:shd w:val="clear" w:color="auto" w:fill="auto"/>
            <w:vAlign w:val="center"/>
            <w:hideMark/>
          </w:tcPr>
          <w:p w:rsidRPr="005F267E" w:rsidR="005F267E" w:rsidP="005F267E" w:rsidRDefault="005F267E" w14:paraId="19B061AF"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IDIS Program Management Reports - Field Office</w:t>
            </w:r>
          </w:p>
        </w:tc>
        <w:tc>
          <w:tcPr>
            <w:tcW w:w="1317"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1EA02542"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56.00</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00C20EAD"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12.00</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2FB9B114"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672.00</w:t>
            </w:r>
          </w:p>
        </w:tc>
        <w:tc>
          <w:tcPr>
            <w:tcW w:w="1194"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01CB28E2"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14.00</w:t>
            </w:r>
          </w:p>
        </w:tc>
        <w:tc>
          <w:tcPr>
            <w:tcW w:w="1026"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69EC1232"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9408.00</w:t>
            </w:r>
          </w:p>
        </w:tc>
        <w:tc>
          <w:tcPr>
            <w:tcW w:w="1110" w:type="dxa"/>
            <w:tcBorders>
              <w:top w:val="nil"/>
              <w:left w:val="nil"/>
              <w:bottom w:val="single" w:color="auto" w:sz="12" w:space="0"/>
              <w:right w:val="single" w:color="auto" w:sz="12" w:space="0"/>
            </w:tcBorders>
            <w:shd w:val="clear" w:color="auto" w:fill="auto"/>
            <w:noWrap/>
            <w:vAlign w:val="bottom"/>
            <w:hideMark/>
          </w:tcPr>
          <w:p w:rsidRPr="005F267E" w:rsidR="005F267E" w:rsidP="005F267E" w:rsidRDefault="005F267E" w14:paraId="2082F12E"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$51.18</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5A6B3ED0"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$481,501.44</w:t>
            </w:r>
          </w:p>
        </w:tc>
      </w:tr>
      <w:tr w:rsidRPr="005F267E" w:rsidR="002F5B65" w:rsidTr="007717C0" w14:paraId="7A871702" w14:textId="77777777">
        <w:trPr>
          <w:trHeight w:val="308"/>
        </w:trPr>
        <w:tc>
          <w:tcPr>
            <w:tcW w:w="1170" w:type="dxa"/>
            <w:tcBorders>
              <w:top w:val="nil"/>
              <w:left w:val="single" w:color="auto" w:sz="12" w:space="0"/>
              <w:bottom w:val="single" w:color="auto" w:sz="12" w:space="0"/>
              <w:right w:val="single" w:color="auto" w:sz="12" w:space="0"/>
            </w:tcBorders>
            <w:shd w:val="clear" w:color="auto" w:fill="auto"/>
            <w:vAlign w:val="center"/>
            <w:hideMark/>
          </w:tcPr>
          <w:p w:rsidRPr="005F267E" w:rsidR="005F267E" w:rsidP="005F267E" w:rsidRDefault="005F267E" w14:paraId="6F4AA62A"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 93.408</w:t>
            </w:r>
          </w:p>
        </w:tc>
        <w:tc>
          <w:tcPr>
            <w:tcW w:w="2160" w:type="dxa"/>
            <w:tcBorders>
              <w:top w:val="nil"/>
              <w:left w:val="nil"/>
              <w:bottom w:val="single" w:color="auto" w:sz="12" w:space="0"/>
              <w:right w:val="single" w:color="auto" w:sz="12" w:space="0"/>
            </w:tcBorders>
            <w:shd w:val="clear" w:color="auto" w:fill="auto"/>
            <w:vAlign w:val="center"/>
            <w:hideMark/>
          </w:tcPr>
          <w:p w:rsidRPr="005F267E" w:rsidR="005F267E" w:rsidP="005F267E" w:rsidRDefault="005F267E" w14:paraId="1DD59AE3"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IDIS Program Management Reports - Headquarters</w:t>
            </w:r>
          </w:p>
        </w:tc>
        <w:tc>
          <w:tcPr>
            <w:tcW w:w="1317"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26A3B33C"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1.00</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711FC42F"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12.00</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6AB63289"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12.00</w:t>
            </w:r>
          </w:p>
        </w:tc>
        <w:tc>
          <w:tcPr>
            <w:tcW w:w="1194"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6ABDAE86"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40.00</w:t>
            </w:r>
          </w:p>
        </w:tc>
        <w:tc>
          <w:tcPr>
            <w:tcW w:w="1026"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09DD3515"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480.00</w:t>
            </w:r>
          </w:p>
        </w:tc>
        <w:tc>
          <w:tcPr>
            <w:tcW w:w="1110" w:type="dxa"/>
            <w:tcBorders>
              <w:top w:val="nil"/>
              <w:left w:val="nil"/>
              <w:bottom w:val="single" w:color="auto" w:sz="12" w:space="0"/>
              <w:right w:val="single" w:color="auto" w:sz="12" w:space="0"/>
            </w:tcBorders>
            <w:shd w:val="clear" w:color="auto" w:fill="auto"/>
            <w:noWrap/>
            <w:vAlign w:val="bottom"/>
            <w:hideMark/>
          </w:tcPr>
          <w:p w:rsidRPr="005F267E" w:rsidR="005F267E" w:rsidP="005F267E" w:rsidRDefault="005F267E" w14:paraId="064A1769"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$51.18</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6370D422"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$24,566.40</w:t>
            </w:r>
          </w:p>
        </w:tc>
      </w:tr>
      <w:tr w:rsidRPr="005F267E" w:rsidR="002F5B65" w:rsidTr="007717C0" w14:paraId="75CD70CD" w14:textId="77777777">
        <w:trPr>
          <w:trHeight w:val="454"/>
        </w:trPr>
        <w:tc>
          <w:tcPr>
            <w:tcW w:w="1170" w:type="dxa"/>
            <w:tcBorders>
              <w:top w:val="nil"/>
              <w:left w:val="single" w:color="auto" w:sz="12" w:space="0"/>
              <w:bottom w:val="single" w:color="auto" w:sz="12" w:space="0"/>
              <w:right w:val="single" w:color="auto" w:sz="12" w:space="0"/>
            </w:tcBorders>
            <w:shd w:val="clear" w:color="auto" w:fill="auto"/>
            <w:vAlign w:val="center"/>
            <w:hideMark/>
          </w:tcPr>
          <w:p w:rsidRPr="005F267E" w:rsidR="005F267E" w:rsidP="005F267E" w:rsidRDefault="005F267E" w14:paraId="2B8A8ED4"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 93.451</w:t>
            </w:r>
          </w:p>
        </w:tc>
        <w:tc>
          <w:tcPr>
            <w:tcW w:w="2160" w:type="dxa"/>
            <w:tcBorders>
              <w:top w:val="nil"/>
              <w:left w:val="nil"/>
              <w:bottom w:val="single" w:color="auto" w:sz="12" w:space="0"/>
              <w:right w:val="single" w:color="auto" w:sz="12" w:space="0"/>
            </w:tcBorders>
            <w:shd w:val="clear" w:color="auto" w:fill="auto"/>
            <w:vAlign w:val="center"/>
            <w:hideMark/>
          </w:tcPr>
          <w:p w:rsidRPr="005F267E" w:rsidR="005F267E" w:rsidP="005F267E" w:rsidRDefault="005F267E" w14:paraId="7D963274" w14:textId="77777777">
            <w:pPr>
              <w:overflowPunct/>
              <w:autoSpaceDE/>
              <w:autoSpaceDN/>
              <w:adjustRightInd/>
              <w:textAlignment w:val="auto"/>
              <w:rPr>
                <w:color w:val="000000"/>
              </w:rPr>
            </w:pPr>
            <w:r w:rsidRPr="005F267E">
              <w:rPr>
                <w:color w:val="000000"/>
              </w:rPr>
              <w:t>Consolidated Annual Performance and Evaluation Report - Field Office</w:t>
            </w:r>
          </w:p>
        </w:tc>
        <w:tc>
          <w:tcPr>
            <w:tcW w:w="1317"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061A8B5F"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56.00</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43617F79"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1.00</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0E641522"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56.00</w:t>
            </w:r>
          </w:p>
        </w:tc>
        <w:tc>
          <w:tcPr>
            <w:tcW w:w="1194"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308B7A77"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2.00</w:t>
            </w:r>
          </w:p>
        </w:tc>
        <w:tc>
          <w:tcPr>
            <w:tcW w:w="1026"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71E5FB26"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112.00</w:t>
            </w:r>
          </w:p>
        </w:tc>
        <w:tc>
          <w:tcPr>
            <w:tcW w:w="1110" w:type="dxa"/>
            <w:tcBorders>
              <w:top w:val="nil"/>
              <w:left w:val="nil"/>
              <w:bottom w:val="single" w:color="auto" w:sz="12" w:space="0"/>
              <w:right w:val="single" w:color="auto" w:sz="12" w:space="0"/>
            </w:tcBorders>
            <w:shd w:val="clear" w:color="auto" w:fill="auto"/>
            <w:noWrap/>
            <w:vAlign w:val="bottom"/>
            <w:hideMark/>
          </w:tcPr>
          <w:p w:rsidRPr="005F267E" w:rsidR="005F267E" w:rsidP="005F267E" w:rsidRDefault="005F267E" w14:paraId="1EE0CB6E"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$51.18</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30E900B8"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$5,732.16</w:t>
            </w:r>
          </w:p>
        </w:tc>
      </w:tr>
      <w:tr w:rsidRPr="005F267E" w:rsidR="002F5B65" w:rsidTr="007717C0" w14:paraId="515C00C0" w14:textId="77777777">
        <w:trPr>
          <w:trHeight w:val="454"/>
        </w:trPr>
        <w:tc>
          <w:tcPr>
            <w:tcW w:w="1170" w:type="dxa"/>
            <w:tcBorders>
              <w:top w:val="nil"/>
              <w:left w:val="single" w:color="auto" w:sz="12" w:space="0"/>
              <w:bottom w:val="single" w:color="auto" w:sz="12" w:space="0"/>
              <w:right w:val="single" w:color="auto" w:sz="12" w:space="0"/>
            </w:tcBorders>
            <w:shd w:val="clear" w:color="auto" w:fill="auto"/>
            <w:vAlign w:val="center"/>
            <w:hideMark/>
          </w:tcPr>
          <w:p w:rsidRPr="005F267E" w:rsidR="005F267E" w:rsidP="005F267E" w:rsidRDefault="005F267E" w14:paraId="656D6022"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 93.451</w:t>
            </w:r>
          </w:p>
        </w:tc>
        <w:tc>
          <w:tcPr>
            <w:tcW w:w="2160" w:type="dxa"/>
            <w:tcBorders>
              <w:top w:val="nil"/>
              <w:left w:val="nil"/>
              <w:bottom w:val="single" w:color="auto" w:sz="12" w:space="0"/>
              <w:right w:val="single" w:color="auto" w:sz="12" w:space="0"/>
            </w:tcBorders>
            <w:shd w:val="clear" w:color="auto" w:fill="auto"/>
            <w:vAlign w:val="center"/>
            <w:hideMark/>
          </w:tcPr>
          <w:p w:rsidRPr="005F267E" w:rsidR="005F267E" w:rsidP="005F267E" w:rsidRDefault="005F267E" w14:paraId="300DD557" w14:textId="77777777">
            <w:pPr>
              <w:overflowPunct/>
              <w:autoSpaceDE/>
              <w:autoSpaceDN/>
              <w:adjustRightInd/>
              <w:textAlignment w:val="auto"/>
              <w:rPr>
                <w:color w:val="000000"/>
              </w:rPr>
            </w:pPr>
            <w:r w:rsidRPr="005F267E">
              <w:rPr>
                <w:color w:val="000000"/>
              </w:rPr>
              <w:t>Consolidated Annual Performance and Evaluation Report - Headquarters</w:t>
            </w:r>
          </w:p>
        </w:tc>
        <w:tc>
          <w:tcPr>
            <w:tcW w:w="1317"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1DBE2E0B"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56.00</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23F921C2"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1.00</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2790C713"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56.00</w:t>
            </w:r>
          </w:p>
        </w:tc>
        <w:tc>
          <w:tcPr>
            <w:tcW w:w="1194"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7831F532"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1.00</w:t>
            </w:r>
          </w:p>
        </w:tc>
        <w:tc>
          <w:tcPr>
            <w:tcW w:w="1026"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2F988271"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56.00</w:t>
            </w:r>
          </w:p>
        </w:tc>
        <w:tc>
          <w:tcPr>
            <w:tcW w:w="1110" w:type="dxa"/>
            <w:tcBorders>
              <w:top w:val="nil"/>
              <w:left w:val="nil"/>
              <w:bottom w:val="single" w:color="auto" w:sz="12" w:space="0"/>
              <w:right w:val="single" w:color="auto" w:sz="12" w:space="0"/>
            </w:tcBorders>
            <w:shd w:val="clear" w:color="auto" w:fill="auto"/>
            <w:noWrap/>
            <w:vAlign w:val="bottom"/>
            <w:hideMark/>
          </w:tcPr>
          <w:p w:rsidRPr="005F267E" w:rsidR="005F267E" w:rsidP="005F267E" w:rsidRDefault="005F267E" w14:paraId="08D0E586"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$51.18</w:t>
            </w:r>
          </w:p>
        </w:tc>
        <w:tc>
          <w:tcPr>
            <w:tcW w:w="1080" w:type="dxa"/>
            <w:tcBorders>
              <w:top w:val="nil"/>
              <w:left w:val="nil"/>
              <w:bottom w:val="single" w:color="auto" w:sz="12" w:space="0"/>
              <w:right w:val="single" w:color="auto" w:sz="12" w:space="0"/>
            </w:tcBorders>
            <w:shd w:val="clear" w:color="auto" w:fill="auto"/>
            <w:vAlign w:val="bottom"/>
            <w:hideMark/>
          </w:tcPr>
          <w:p w:rsidRPr="005F267E" w:rsidR="005F267E" w:rsidP="005F267E" w:rsidRDefault="005F267E" w14:paraId="5101E932"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$2,866.08</w:t>
            </w:r>
          </w:p>
        </w:tc>
      </w:tr>
      <w:tr w:rsidRPr="005F267E" w:rsidR="002F5B65" w:rsidTr="007717C0" w14:paraId="1A4EE5DE" w14:textId="77777777">
        <w:trPr>
          <w:trHeight w:val="188"/>
        </w:trPr>
        <w:tc>
          <w:tcPr>
            <w:tcW w:w="1170" w:type="dxa"/>
            <w:tcBorders>
              <w:top w:val="nil"/>
              <w:left w:val="single" w:color="auto" w:sz="12" w:space="0"/>
              <w:bottom w:val="single" w:color="auto" w:sz="4" w:space="0"/>
              <w:right w:val="single" w:color="auto" w:sz="12" w:space="0"/>
            </w:tcBorders>
            <w:shd w:val="clear" w:color="auto" w:fill="auto"/>
            <w:vAlign w:val="center"/>
            <w:hideMark/>
          </w:tcPr>
          <w:p w:rsidRPr="005F267E" w:rsidR="005F267E" w:rsidP="005F267E" w:rsidRDefault="005F267E" w14:paraId="51959A91"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 </w:t>
            </w:r>
          </w:p>
        </w:tc>
        <w:tc>
          <w:tcPr>
            <w:tcW w:w="2160" w:type="dxa"/>
            <w:tcBorders>
              <w:top w:val="nil"/>
              <w:left w:val="nil"/>
              <w:bottom w:val="single" w:color="auto" w:sz="4" w:space="0"/>
              <w:right w:val="single" w:color="auto" w:sz="12" w:space="0"/>
            </w:tcBorders>
            <w:shd w:val="clear" w:color="auto" w:fill="auto"/>
            <w:vAlign w:val="center"/>
            <w:hideMark/>
          </w:tcPr>
          <w:p w:rsidRPr="005F267E" w:rsidR="005F267E" w:rsidP="005F267E" w:rsidRDefault="005F267E" w14:paraId="73579E30" w14:textId="77777777">
            <w:pPr>
              <w:overflowPunct/>
              <w:autoSpaceDE/>
              <w:autoSpaceDN/>
              <w:adjustRightInd/>
              <w:jc w:val="right"/>
              <w:textAlignment w:val="auto"/>
              <w:rPr>
                <w:rFonts w:ascii="Calibri" w:hAnsi="Calibri" w:cs="Calibri"/>
                <w:b/>
                <w:bCs/>
                <w:color w:val="000000"/>
              </w:rPr>
            </w:pPr>
            <w:r w:rsidRPr="005F267E">
              <w:rPr>
                <w:rFonts w:ascii="Calibri" w:hAnsi="Calibri" w:cs="Calibri"/>
                <w:b/>
                <w:bCs/>
                <w:color w:val="000000"/>
              </w:rPr>
              <w:t>TOTAL</w:t>
            </w:r>
          </w:p>
        </w:tc>
        <w:tc>
          <w:tcPr>
            <w:tcW w:w="1317" w:type="dxa"/>
            <w:tcBorders>
              <w:top w:val="nil"/>
              <w:left w:val="nil"/>
              <w:bottom w:val="single" w:color="auto" w:sz="4" w:space="0"/>
              <w:right w:val="single" w:color="auto" w:sz="12" w:space="0"/>
            </w:tcBorders>
            <w:shd w:val="clear" w:color="auto" w:fill="auto"/>
            <w:vAlign w:val="bottom"/>
            <w:hideMark/>
          </w:tcPr>
          <w:p w:rsidRPr="005F267E" w:rsidR="005F267E" w:rsidP="005F267E" w:rsidRDefault="005F267E" w14:paraId="035C9EC3"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281.00</w:t>
            </w:r>
          </w:p>
        </w:tc>
        <w:tc>
          <w:tcPr>
            <w:tcW w:w="1080" w:type="dxa"/>
            <w:tcBorders>
              <w:top w:val="nil"/>
              <w:left w:val="nil"/>
              <w:bottom w:val="single" w:color="auto" w:sz="4" w:space="0"/>
              <w:right w:val="single" w:color="auto" w:sz="12" w:space="0"/>
            </w:tcBorders>
            <w:shd w:val="clear" w:color="auto" w:fill="auto"/>
            <w:vAlign w:val="bottom"/>
            <w:hideMark/>
          </w:tcPr>
          <w:p w:rsidRPr="005F267E" w:rsidR="005F267E" w:rsidP="005F267E" w:rsidRDefault="005F267E" w14:paraId="1343541E"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 </w:t>
            </w:r>
          </w:p>
        </w:tc>
        <w:tc>
          <w:tcPr>
            <w:tcW w:w="1080" w:type="dxa"/>
            <w:tcBorders>
              <w:top w:val="nil"/>
              <w:left w:val="nil"/>
              <w:bottom w:val="single" w:color="auto" w:sz="4" w:space="0"/>
              <w:right w:val="single" w:color="auto" w:sz="12" w:space="0"/>
            </w:tcBorders>
            <w:shd w:val="clear" w:color="auto" w:fill="auto"/>
            <w:vAlign w:val="bottom"/>
            <w:hideMark/>
          </w:tcPr>
          <w:p w:rsidRPr="005F267E" w:rsidR="005F267E" w:rsidP="005F267E" w:rsidRDefault="005F267E" w14:paraId="18FEBBFF"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908.00</w:t>
            </w:r>
          </w:p>
        </w:tc>
        <w:tc>
          <w:tcPr>
            <w:tcW w:w="1194" w:type="dxa"/>
            <w:tcBorders>
              <w:top w:val="nil"/>
              <w:left w:val="nil"/>
              <w:bottom w:val="single" w:color="auto" w:sz="4" w:space="0"/>
              <w:right w:val="single" w:color="auto" w:sz="12" w:space="0"/>
            </w:tcBorders>
            <w:shd w:val="clear" w:color="auto" w:fill="auto"/>
            <w:vAlign w:val="bottom"/>
            <w:hideMark/>
          </w:tcPr>
          <w:p w:rsidRPr="005F267E" w:rsidR="005F267E" w:rsidP="005F267E" w:rsidRDefault="005F267E" w14:paraId="7F7EE8D8"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 </w:t>
            </w:r>
          </w:p>
        </w:tc>
        <w:tc>
          <w:tcPr>
            <w:tcW w:w="1026" w:type="dxa"/>
            <w:tcBorders>
              <w:top w:val="nil"/>
              <w:left w:val="nil"/>
              <w:bottom w:val="single" w:color="auto" w:sz="4" w:space="0"/>
              <w:right w:val="single" w:color="auto" w:sz="12" w:space="0"/>
            </w:tcBorders>
            <w:shd w:val="clear" w:color="auto" w:fill="auto"/>
            <w:vAlign w:val="bottom"/>
            <w:hideMark/>
          </w:tcPr>
          <w:p w:rsidRPr="005F267E" w:rsidR="005F267E" w:rsidP="005F267E" w:rsidRDefault="005F267E" w14:paraId="42B7A40C"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 xml:space="preserve">    10,224.00 </w:t>
            </w:r>
          </w:p>
        </w:tc>
        <w:tc>
          <w:tcPr>
            <w:tcW w:w="1110" w:type="dxa"/>
            <w:tcBorders>
              <w:top w:val="nil"/>
              <w:left w:val="nil"/>
              <w:bottom w:val="single" w:color="auto" w:sz="4" w:space="0"/>
              <w:right w:val="single" w:color="auto" w:sz="12" w:space="0"/>
            </w:tcBorders>
            <w:shd w:val="clear" w:color="auto" w:fill="auto"/>
            <w:vAlign w:val="bottom"/>
            <w:hideMark/>
          </w:tcPr>
          <w:p w:rsidRPr="005F267E" w:rsidR="005F267E" w:rsidP="005F267E" w:rsidRDefault="005F267E" w14:paraId="1A1D4AAF" w14:textId="77777777">
            <w:pPr>
              <w:overflowPunct/>
              <w:autoSpaceDE/>
              <w:autoSpaceDN/>
              <w:adjustRightInd/>
              <w:textAlignment w:val="auto"/>
              <w:rPr>
                <w:rFonts w:ascii="Calibri" w:hAnsi="Calibri" w:cs="Calibri"/>
                <w:color w:val="000000"/>
              </w:rPr>
            </w:pPr>
            <w:r w:rsidRPr="005F267E">
              <w:rPr>
                <w:rFonts w:ascii="Calibri" w:hAnsi="Calibri" w:cs="Calibri"/>
                <w:color w:val="000000"/>
              </w:rPr>
              <w:t> </w:t>
            </w:r>
          </w:p>
        </w:tc>
        <w:tc>
          <w:tcPr>
            <w:tcW w:w="1080" w:type="dxa"/>
            <w:tcBorders>
              <w:top w:val="nil"/>
              <w:left w:val="nil"/>
              <w:bottom w:val="single" w:color="auto" w:sz="4" w:space="0"/>
              <w:right w:val="single" w:color="auto" w:sz="12" w:space="0"/>
            </w:tcBorders>
            <w:shd w:val="clear" w:color="auto" w:fill="auto"/>
            <w:vAlign w:val="bottom"/>
            <w:hideMark/>
          </w:tcPr>
          <w:p w:rsidRPr="005F267E" w:rsidR="005F267E" w:rsidP="005F267E" w:rsidRDefault="005F267E" w14:paraId="70C6EBBF" w14:textId="77777777">
            <w:pPr>
              <w:overflowPunct/>
              <w:autoSpaceDE/>
              <w:autoSpaceDN/>
              <w:adjustRightInd/>
              <w:jc w:val="right"/>
              <w:textAlignment w:val="auto"/>
              <w:rPr>
                <w:rFonts w:ascii="Calibri" w:hAnsi="Calibri" w:cs="Calibri"/>
                <w:color w:val="000000"/>
              </w:rPr>
            </w:pPr>
            <w:r w:rsidRPr="005F267E">
              <w:rPr>
                <w:rFonts w:ascii="Calibri" w:hAnsi="Calibri" w:cs="Calibri"/>
                <w:color w:val="000000"/>
              </w:rPr>
              <w:t>$523,264.32</w:t>
            </w:r>
          </w:p>
        </w:tc>
      </w:tr>
      <w:tr w:rsidRPr="005F267E" w:rsidR="005F267E" w:rsidTr="007717C0" w14:paraId="0EB74C63" w14:textId="77777777">
        <w:trPr>
          <w:trHeight w:val="171"/>
        </w:trPr>
        <w:tc>
          <w:tcPr>
            <w:tcW w:w="11217" w:type="dxa"/>
            <w:gridSpan w:val="9"/>
            <w:tcBorders>
              <w:top w:val="single" w:color="auto" w:sz="4" w:space="0"/>
              <w:left w:val="single" w:color="auto" w:sz="4" w:space="0"/>
              <w:bottom w:val="single" w:color="auto" w:sz="4" w:space="0"/>
              <w:right w:val="single" w:color="auto" w:sz="4" w:space="0"/>
            </w:tcBorders>
            <w:shd w:val="clear" w:color="auto" w:fill="auto"/>
            <w:vAlign w:val="bottom"/>
            <w:hideMark/>
          </w:tcPr>
          <w:p w:rsidRPr="005F267E" w:rsidR="005F267E" w:rsidP="005F267E" w:rsidRDefault="005F267E" w14:paraId="5FD52347" w14:textId="77777777">
            <w:pPr>
              <w:overflowPunct/>
              <w:autoSpaceDE/>
              <w:autoSpaceDN/>
              <w:adjustRightInd/>
              <w:jc w:val="center"/>
              <w:textAlignment w:val="auto"/>
              <w:rPr>
                <w:rFonts w:ascii="Calibri" w:hAnsi="Calibri" w:cs="Calibri"/>
                <w:color w:val="000000"/>
              </w:rPr>
            </w:pPr>
            <w:r w:rsidRPr="005F267E">
              <w:rPr>
                <w:rFonts w:ascii="Calibri" w:hAnsi="Calibri" w:cs="Calibri"/>
                <w:color w:val="000000"/>
              </w:rPr>
              <w:t>Total cost: 10,224.00 hours * $51.18 (Hourly rate for GS13)</w:t>
            </w:r>
          </w:p>
        </w:tc>
      </w:tr>
    </w:tbl>
    <w:p w:rsidRPr="006C7FAE" w:rsidR="009E13B1" w:rsidRDefault="009E13B1" w14:paraId="28FA3387" w14:textId="77777777">
      <w:pPr>
        <w:keepLines/>
        <w:tabs>
          <w:tab w:val="left" w:pos="360"/>
        </w:tabs>
        <w:spacing w:after="80"/>
        <w:ind w:left="360" w:hanging="360"/>
        <w:rPr>
          <w:sz w:val="24"/>
          <w:szCs w:val="24"/>
        </w:rPr>
      </w:pPr>
    </w:p>
    <w:p w:rsidRPr="006C7FAE" w:rsidR="006C7FAE" w:rsidRDefault="006C7FAE" w14:paraId="21979969" w14:textId="77777777">
      <w:pPr>
        <w:tabs>
          <w:tab w:val="left" w:pos="360"/>
        </w:tabs>
        <w:ind w:left="360" w:hanging="360"/>
        <w:rPr>
          <w:sz w:val="24"/>
          <w:szCs w:val="24"/>
        </w:rPr>
      </w:pPr>
    </w:p>
    <w:p w:rsidR="009E13B1" w:rsidRDefault="009E13B1" w14:paraId="4FE5230A" w14:textId="38C85221">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Pr="002B59F6" w:rsidR="002B59F6" w:rsidP="002B59F6" w:rsidRDefault="002B59F6" w14:paraId="1964E30F" w14:textId="77777777">
      <w:pPr>
        <w:pStyle w:val="pf0"/>
      </w:pPr>
      <w:r w:rsidRPr="002B59F6">
        <w:rPr>
          <w:rStyle w:val="cf01"/>
          <w:rFonts w:ascii="Times New Roman" w:hAnsi="Times New Roman" w:cs="Times New Roman"/>
          <w:sz w:val="24"/>
          <w:szCs w:val="24"/>
        </w:rPr>
        <w:t>Extension of a previously approved collection.</w:t>
      </w:r>
    </w:p>
    <w:p w:rsidRPr="002B59F6" w:rsidR="002B59F6" w:rsidP="002B59F6" w:rsidRDefault="002B59F6" w14:paraId="4E6788B8" w14:textId="77777777">
      <w:pPr>
        <w:pStyle w:val="NormalWeb"/>
      </w:pPr>
      <w:r w:rsidRPr="002B59F6">
        <w:rPr>
          <w:rStyle w:val="cf01"/>
          <w:rFonts w:ascii="Times New Roman" w:hAnsi="Times New Roman" w:cs="Times New Roman"/>
          <w:sz w:val="24"/>
          <w:szCs w:val="24"/>
        </w:rPr>
        <w:t>The SF-424 and -425 forms have been integrated into IDIS and are no longer required as a separate form. We have SF-1199A on the i83 form because it is a required for to have IDIS access, but it is not program specific to HTF and is only done once when given IDIS access (which covers 5 different programs)</w:t>
      </w:r>
    </w:p>
    <w:p w:rsidRPr="002B59F6" w:rsidR="008F4531" w:rsidRDefault="008F4531" w14:paraId="78038E55" w14:textId="19DB4D44">
      <w:pPr>
        <w:keepLines/>
        <w:tabs>
          <w:tab w:val="left" w:pos="360"/>
        </w:tabs>
        <w:spacing w:after="80"/>
        <w:ind w:left="360" w:hanging="360"/>
        <w:rPr>
          <w:sz w:val="24"/>
          <w:szCs w:val="24"/>
        </w:rPr>
      </w:pPr>
    </w:p>
    <w:p w:rsidR="009E13B1" w:rsidRDefault="009E13B1" w14:paraId="165B8053"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52117" w:rsidRDefault="00252117" w14:paraId="4F56BD07" w14:textId="77777777">
      <w:pPr>
        <w:keepLines/>
        <w:tabs>
          <w:tab w:val="left" w:pos="360"/>
        </w:tabs>
        <w:spacing w:after="80"/>
        <w:ind w:left="360" w:hanging="360"/>
        <w:rPr>
          <w:sz w:val="24"/>
          <w:szCs w:val="24"/>
        </w:rPr>
      </w:pPr>
    </w:p>
    <w:p w:rsidRPr="006C7FAE" w:rsidR="00252117" w:rsidRDefault="00252117" w14:paraId="4D9E9D51" w14:textId="7C0922E1">
      <w:pPr>
        <w:keepLines/>
        <w:tabs>
          <w:tab w:val="left" w:pos="360"/>
        </w:tabs>
        <w:spacing w:after="80"/>
        <w:ind w:left="360" w:hanging="360"/>
        <w:rPr>
          <w:sz w:val="24"/>
          <w:szCs w:val="24"/>
        </w:rPr>
      </w:pPr>
      <w:r>
        <w:rPr>
          <w:sz w:val="24"/>
          <w:szCs w:val="24"/>
        </w:rPr>
        <w:tab/>
      </w:r>
      <w:r w:rsidRPr="00252117">
        <w:rPr>
          <w:sz w:val="24"/>
          <w:szCs w:val="24"/>
        </w:rPr>
        <w:t>HUD publishes each grantee’s 5 Year Consolidated Plan, Annual Action Plan</w:t>
      </w:r>
      <w:r w:rsidR="00866892">
        <w:rPr>
          <w:sz w:val="24"/>
          <w:szCs w:val="24"/>
        </w:rPr>
        <w:t xml:space="preserve"> which includes the HTF Allocation Plan</w:t>
      </w:r>
      <w:r w:rsidRPr="00252117">
        <w:rPr>
          <w:sz w:val="24"/>
          <w:szCs w:val="24"/>
        </w:rPr>
        <w:t>, and Consolidated Annual Performance and Evaluation Report on its website.</w:t>
      </w:r>
      <w:r w:rsidR="0018275F">
        <w:rPr>
          <w:sz w:val="24"/>
          <w:szCs w:val="24"/>
        </w:rPr>
        <w:t xml:space="preserve"> Much of the data for this collection will be summarized and presented for review and planning purposes in these documents.</w:t>
      </w:r>
    </w:p>
    <w:p w:rsidRPr="006C7FAE" w:rsidR="009E13B1" w:rsidRDefault="009E13B1" w14:paraId="59061C38" w14:textId="77777777">
      <w:pPr>
        <w:tabs>
          <w:tab w:val="left" w:pos="360"/>
        </w:tabs>
        <w:ind w:left="360" w:hanging="360"/>
        <w:rPr>
          <w:sz w:val="24"/>
          <w:szCs w:val="24"/>
        </w:rPr>
      </w:pPr>
    </w:p>
    <w:p w:rsidR="009E13B1" w:rsidRDefault="009E13B1" w14:paraId="5A756A7B"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252117" w:rsidRDefault="00252117" w14:paraId="6582DE3A" w14:textId="77777777">
      <w:pPr>
        <w:keepLines/>
        <w:tabs>
          <w:tab w:val="left" w:pos="360"/>
        </w:tabs>
        <w:spacing w:after="80"/>
        <w:ind w:left="360" w:hanging="360"/>
        <w:rPr>
          <w:sz w:val="24"/>
          <w:szCs w:val="24"/>
        </w:rPr>
      </w:pPr>
    </w:p>
    <w:p w:rsidRPr="006C7FAE" w:rsidR="00252117" w:rsidRDefault="00252117" w14:paraId="68944656" w14:textId="77777777">
      <w:pPr>
        <w:keepLines/>
        <w:tabs>
          <w:tab w:val="left" w:pos="360"/>
        </w:tabs>
        <w:spacing w:after="80"/>
        <w:ind w:left="360" w:hanging="360"/>
        <w:rPr>
          <w:sz w:val="24"/>
          <w:szCs w:val="24"/>
        </w:rPr>
      </w:pPr>
      <w:r>
        <w:rPr>
          <w:sz w:val="24"/>
          <w:szCs w:val="24"/>
        </w:rPr>
        <w:tab/>
      </w:r>
      <w:r w:rsidRPr="00252117">
        <w:rPr>
          <w:sz w:val="24"/>
          <w:szCs w:val="24"/>
        </w:rPr>
        <w:t>There is no request to not display the expiration date.</w:t>
      </w:r>
    </w:p>
    <w:p w:rsidRPr="006C7FAE" w:rsidR="009E13B1" w:rsidRDefault="009E13B1" w14:paraId="1B5B4755" w14:textId="77777777">
      <w:pPr>
        <w:keepLines/>
        <w:tabs>
          <w:tab w:val="left" w:pos="360"/>
          <w:tab w:val="left" w:pos="720"/>
        </w:tabs>
        <w:ind w:left="360"/>
        <w:rPr>
          <w:sz w:val="24"/>
          <w:szCs w:val="24"/>
        </w:rPr>
      </w:pPr>
    </w:p>
    <w:p w:rsidRPr="006C7FAE" w:rsidR="009E13B1" w:rsidRDefault="009E13B1" w14:paraId="17CC458C"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9E13B1" w:rsidRDefault="009E13B1" w14:paraId="1294D225" w14:textId="77777777">
      <w:pPr>
        <w:keepLines/>
        <w:tabs>
          <w:tab w:val="left" w:pos="360"/>
          <w:tab w:val="left" w:pos="720"/>
        </w:tabs>
        <w:ind w:left="360"/>
        <w:rPr>
          <w:sz w:val="24"/>
          <w:szCs w:val="24"/>
        </w:rPr>
      </w:pPr>
    </w:p>
    <w:p w:rsidRPr="006C7FAE" w:rsidR="00252117" w:rsidRDefault="00252117" w14:paraId="724E9773" w14:textId="77777777">
      <w:pPr>
        <w:keepLines/>
        <w:tabs>
          <w:tab w:val="left" w:pos="360"/>
          <w:tab w:val="left" w:pos="720"/>
        </w:tabs>
        <w:ind w:left="360"/>
        <w:rPr>
          <w:sz w:val="24"/>
          <w:szCs w:val="24"/>
        </w:rPr>
      </w:pPr>
      <w:r w:rsidRPr="00252117">
        <w:rPr>
          <w:sz w:val="24"/>
          <w:szCs w:val="24"/>
        </w:rPr>
        <w:t>There are no exceptions being requested for the certification statements.</w:t>
      </w:r>
    </w:p>
    <w:p w:rsidRPr="006C7FAE" w:rsidR="009E13B1" w:rsidRDefault="009E13B1" w14:paraId="4C1517F4" w14:textId="77777777">
      <w:pPr>
        <w:tabs>
          <w:tab w:val="left" w:pos="360"/>
          <w:tab w:val="left" w:pos="720"/>
        </w:tabs>
        <w:rPr>
          <w:sz w:val="24"/>
          <w:szCs w:val="24"/>
        </w:rPr>
      </w:pPr>
    </w:p>
    <w:p w:rsidR="009E13B1" w:rsidP="00167E53" w:rsidRDefault="009E13B1" w14:paraId="6044CB2C" w14:textId="5E76C3E5">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651BAD" w:rsidP="00167E53" w:rsidRDefault="00651BAD" w14:paraId="0D46070E" w14:textId="528955EA">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p>
    <w:p w:rsidRPr="0021028B" w:rsidR="00651BAD" w:rsidP="00651BAD" w:rsidRDefault="00651BAD" w14:paraId="3810232E"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sz w:val="24"/>
          <w:szCs w:val="24"/>
        </w:rPr>
      </w:pPr>
      <w:r w:rsidRPr="0021028B">
        <w:rPr>
          <w:bCs/>
          <w:sz w:val="24"/>
          <w:szCs w:val="24"/>
        </w:rPr>
        <w:t>Not Applicable</w:t>
      </w:r>
    </w:p>
    <w:p w:rsidRPr="006C7FAE" w:rsidR="00651BAD" w:rsidP="00167E53" w:rsidRDefault="00651BAD" w14:paraId="79B1C3D4"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sectPr w:rsidRPr="006C7FAE" w:rsidR="00651BAD" w:rsidSect="006C5B6A">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DECC3" w14:textId="77777777" w:rsidR="005E2A54" w:rsidRDefault="005E2A54">
      <w:r>
        <w:separator/>
      </w:r>
    </w:p>
  </w:endnote>
  <w:endnote w:type="continuationSeparator" w:id="0">
    <w:p w14:paraId="591CC000" w14:textId="77777777" w:rsidR="005E2A54" w:rsidRDefault="005E2A54">
      <w:r>
        <w:continuationSeparator/>
      </w:r>
    </w:p>
  </w:endnote>
  <w:endnote w:type="continuationNotice" w:id="1">
    <w:p w14:paraId="47554ACE" w14:textId="77777777" w:rsidR="005E2A54" w:rsidRDefault="005E2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5E04" w14:textId="77777777" w:rsidR="005E2A54" w:rsidRDefault="005E2A54">
      <w:r>
        <w:separator/>
      </w:r>
    </w:p>
  </w:footnote>
  <w:footnote w:type="continuationSeparator" w:id="0">
    <w:p w14:paraId="6D16A7E2" w14:textId="77777777" w:rsidR="005E2A54" w:rsidRDefault="005E2A54">
      <w:r>
        <w:continuationSeparator/>
      </w:r>
    </w:p>
  </w:footnote>
  <w:footnote w:type="continuationNotice" w:id="1">
    <w:p w14:paraId="694CA553" w14:textId="77777777" w:rsidR="005E2A54" w:rsidRDefault="005E2A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342D663A"/>
    <w:multiLevelType w:val="hybridMultilevel"/>
    <w:tmpl w:val="2A289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208104320">
    <w:abstractNumId w:val="4"/>
  </w:num>
  <w:num w:numId="2" w16cid:durableId="451482229">
    <w:abstractNumId w:val="2"/>
  </w:num>
  <w:num w:numId="3" w16cid:durableId="759452451">
    <w:abstractNumId w:val="9"/>
  </w:num>
  <w:num w:numId="4" w16cid:durableId="946698553">
    <w:abstractNumId w:val="6"/>
  </w:num>
  <w:num w:numId="5" w16cid:durableId="66999005">
    <w:abstractNumId w:val="7"/>
  </w:num>
  <w:num w:numId="6" w16cid:durableId="1786190974">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751540666">
    <w:abstractNumId w:val="3"/>
  </w:num>
  <w:num w:numId="8" w16cid:durableId="2007316122">
    <w:abstractNumId w:val="12"/>
  </w:num>
  <w:num w:numId="9" w16cid:durableId="1871216542">
    <w:abstractNumId w:val="1"/>
  </w:num>
  <w:num w:numId="10" w16cid:durableId="1494295169">
    <w:abstractNumId w:val="11"/>
  </w:num>
  <w:num w:numId="11" w16cid:durableId="1241864240">
    <w:abstractNumId w:val="10"/>
  </w:num>
  <w:num w:numId="12" w16cid:durableId="1671441740">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650674999">
    <w:abstractNumId w:val="8"/>
  </w:num>
  <w:num w:numId="14" w16cid:durableId="956063780">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16cid:durableId="1320117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12104"/>
    <w:rsid w:val="00013C3B"/>
    <w:rsid w:val="00025ECA"/>
    <w:rsid w:val="00040ED0"/>
    <w:rsid w:val="00077267"/>
    <w:rsid w:val="000922B6"/>
    <w:rsid w:val="000971EB"/>
    <w:rsid w:val="000A1639"/>
    <w:rsid w:val="000A7FF6"/>
    <w:rsid w:val="000B1FD6"/>
    <w:rsid w:val="000B4A3B"/>
    <w:rsid w:val="000B6985"/>
    <w:rsid w:val="000C2A51"/>
    <w:rsid w:val="000D1931"/>
    <w:rsid w:val="000E00A8"/>
    <w:rsid w:val="000E2A89"/>
    <w:rsid w:val="000E2C6D"/>
    <w:rsid w:val="000E4CFB"/>
    <w:rsid w:val="001106F2"/>
    <w:rsid w:val="00113203"/>
    <w:rsid w:val="0011670A"/>
    <w:rsid w:val="00117DC6"/>
    <w:rsid w:val="001278ED"/>
    <w:rsid w:val="00136388"/>
    <w:rsid w:val="00143AD3"/>
    <w:rsid w:val="00154FAA"/>
    <w:rsid w:val="00165296"/>
    <w:rsid w:val="00167E53"/>
    <w:rsid w:val="0018275F"/>
    <w:rsid w:val="00182B74"/>
    <w:rsid w:val="001936BC"/>
    <w:rsid w:val="00193E22"/>
    <w:rsid w:val="001B2F6D"/>
    <w:rsid w:val="001F5258"/>
    <w:rsid w:val="002042CB"/>
    <w:rsid w:val="0021466D"/>
    <w:rsid w:val="0021629D"/>
    <w:rsid w:val="002237A6"/>
    <w:rsid w:val="00230A11"/>
    <w:rsid w:val="002335D6"/>
    <w:rsid w:val="0024280F"/>
    <w:rsid w:val="00252117"/>
    <w:rsid w:val="002725FD"/>
    <w:rsid w:val="00285142"/>
    <w:rsid w:val="002930B6"/>
    <w:rsid w:val="002A3EC2"/>
    <w:rsid w:val="002B59F6"/>
    <w:rsid w:val="002C6CF5"/>
    <w:rsid w:val="002E343E"/>
    <w:rsid w:val="002F1EC2"/>
    <w:rsid w:val="002F509A"/>
    <w:rsid w:val="002F5B65"/>
    <w:rsid w:val="002F6CE8"/>
    <w:rsid w:val="003035B1"/>
    <w:rsid w:val="00307F35"/>
    <w:rsid w:val="0031519B"/>
    <w:rsid w:val="00360090"/>
    <w:rsid w:val="00360B54"/>
    <w:rsid w:val="00371EA1"/>
    <w:rsid w:val="0037639E"/>
    <w:rsid w:val="00377394"/>
    <w:rsid w:val="003801B0"/>
    <w:rsid w:val="003C115D"/>
    <w:rsid w:val="003C1E55"/>
    <w:rsid w:val="003D5449"/>
    <w:rsid w:val="003E6FC5"/>
    <w:rsid w:val="003F65EA"/>
    <w:rsid w:val="00410A3D"/>
    <w:rsid w:val="00434713"/>
    <w:rsid w:val="00442115"/>
    <w:rsid w:val="00442BE1"/>
    <w:rsid w:val="00450591"/>
    <w:rsid w:val="00450A5A"/>
    <w:rsid w:val="00466690"/>
    <w:rsid w:val="00495D11"/>
    <w:rsid w:val="004A03AF"/>
    <w:rsid w:val="004A2C69"/>
    <w:rsid w:val="004B65E0"/>
    <w:rsid w:val="004C193D"/>
    <w:rsid w:val="004D4997"/>
    <w:rsid w:val="004E1F10"/>
    <w:rsid w:val="0050491D"/>
    <w:rsid w:val="00564E29"/>
    <w:rsid w:val="00566BB1"/>
    <w:rsid w:val="005722A0"/>
    <w:rsid w:val="00577C1D"/>
    <w:rsid w:val="00585155"/>
    <w:rsid w:val="005944A2"/>
    <w:rsid w:val="005A04EB"/>
    <w:rsid w:val="005A44BC"/>
    <w:rsid w:val="005A5ADF"/>
    <w:rsid w:val="005C12A0"/>
    <w:rsid w:val="005D30DB"/>
    <w:rsid w:val="005E2A54"/>
    <w:rsid w:val="005F267E"/>
    <w:rsid w:val="005F2EEE"/>
    <w:rsid w:val="006121BD"/>
    <w:rsid w:val="0061245A"/>
    <w:rsid w:val="0063517B"/>
    <w:rsid w:val="00651BAD"/>
    <w:rsid w:val="00654C1A"/>
    <w:rsid w:val="0065744D"/>
    <w:rsid w:val="00662A62"/>
    <w:rsid w:val="006736F6"/>
    <w:rsid w:val="006768AE"/>
    <w:rsid w:val="00681F6F"/>
    <w:rsid w:val="00683309"/>
    <w:rsid w:val="00685EF3"/>
    <w:rsid w:val="00697349"/>
    <w:rsid w:val="006975B0"/>
    <w:rsid w:val="006B3036"/>
    <w:rsid w:val="006B7674"/>
    <w:rsid w:val="006C15BA"/>
    <w:rsid w:val="006C5B6A"/>
    <w:rsid w:val="006C7FAE"/>
    <w:rsid w:val="006E4E41"/>
    <w:rsid w:val="006E5F4B"/>
    <w:rsid w:val="006F3929"/>
    <w:rsid w:val="007042F7"/>
    <w:rsid w:val="007148E7"/>
    <w:rsid w:val="00714D90"/>
    <w:rsid w:val="007233EF"/>
    <w:rsid w:val="00746F14"/>
    <w:rsid w:val="0075159E"/>
    <w:rsid w:val="00770814"/>
    <w:rsid w:val="00770840"/>
    <w:rsid w:val="007717C0"/>
    <w:rsid w:val="007906FE"/>
    <w:rsid w:val="007B0390"/>
    <w:rsid w:val="007E2735"/>
    <w:rsid w:val="008073AC"/>
    <w:rsid w:val="00820BA3"/>
    <w:rsid w:val="00832BFC"/>
    <w:rsid w:val="00833CFB"/>
    <w:rsid w:val="00834742"/>
    <w:rsid w:val="00834D50"/>
    <w:rsid w:val="00847022"/>
    <w:rsid w:val="0086069C"/>
    <w:rsid w:val="00866892"/>
    <w:rsid w:val="00875D9B"/>
    <w:rsid w:val="0087681C"/>
    <w:rsid w:val="008A32F4"/>
    <w:rsid w:val="008B0219"/>
    <w:rsid w:val="008B09E2"/>
    <w:rsid w:val="008C0B51"/>
    <w:rsid w:val="008C249D"/>
    <w:rsid w:val="008C3899"/>
    <w:rsid w:val="008D2456"/>
    <w:rsid w:val="008E0154"/>
    <w:rsid w:val="008E371C"/>
    <w:rsid w:val="008E4EA9"/>
    <w:rsid w:val="008F4531"/>
    <w:rsid w:val="008F560F"/>
    <w:rsid w:val="009067DB"/>
    <w:rsid w:val="0091156B"/>
    <w:rsid w:val="009122F3"/>
    <w:rsid w:val="00914FE3"/>
    <w:rsid w:val="009344AE"/>
    <w:rsid w:val="009369B5"/>
    <w:rsid w:val="00937301"/>
    <w:rsid w:val="00960859"/>
    <w:rsid w:val="0097734C"/>
    <w:rsid w:val="00980150"/>
    <w:rsid w:val="009805BC"/>
    <w:rsid w:val="00997D2E"/>
    <w:rsid w:val="009B1237"/>
    <w:rsid w:val="009C4FB7"/>
    <w:rsid w:val="009C55D6"/>
    <w:rsid w:val="009E0C3E"/>
    <w:rsid w:val="009E13B1"/>
    <w:rsid w:val="009E55B7"/>
    <w:rsid w:val="00A04F55"/>
    <w:rsid w:val="00A06322"/>
    <w:rsid w:val="00A130AC"/>
    <w:rsid w:val="00A169A8"/>
    <w:rsid w:val="00A16C06"/>
    <w:rsid w:val="00A17526"/>
    <w:rsid w:val="00A17797"/>
    <w:rsid w:val="00A35620"/>
    <w:rsid w:val="00A57B72"/>
    <w:rsid w:val="00A61906"/>
    <w:rsid w:val="00A75CDF"/>
    <w:rsid w:val="00A8609E"/>
    <w:rsid w:val="00A91712"/>
    <w:rsid w:val="00A9346B"/>
    <w:rsid w:val="00A97D41"/>
    <w:rsid w:val="00AB0AB6"/>
    <w:rsid w:val="00AD0CCC"/>
    <w:rsid w:val="00AD1865"/>
    <w:rsid w:val="00AE0A17"/>
    <w:rsid w:val="00AF6B95"/>
    <w:rsid w:val="00AF7F52"/>
    <w:rsid w:val="00B01940"/>
    <w:rsid w:val="00B04BA6"/>
    <w:rsid w:val="00B11C49"/>
    <w:rsid w:val="00B14C07"/>
    <w:rsid w:val="00B30FAD"/>
    <w:rsid w:val="00B34C97"/>
    <w:rsid w:val="00B37FBF"/>
    <w:rsid w:val="00B73D51"/>
    <w:rsid w:val="00B84DC1"/>
    <w:rsid w:val="00BB25A6"/>
    <w:rsid w:val="00BB267C"/>
    <w:rsid w:val="00BC10AF"/>
    <w:rsid w:val="00BC5099"/>
    <w:rsid w:val="00BD19C5"/>
    <w:rsid w:val="00BD2769"/>
    <w:rsid w:val="00C006C9"/>
    <w:rsid w:val="00C053A3"/>
    <w:rsid w:val="00C079AD"/>
    <w:rsid w:val="00C15787"/>
    <w:rsid w:val="00C2369F"/>
    <w:rsid w:val="00C45E24"/>
    <w:rsid w:val="00C71CDE"/>
    <w:rsid w:val="00CA66CF"/>
    <w:rsid w:val="00CA712E"/>
    <w:rsid w:val="00CB239F"/>
    <w:rsid w:val="00CC6053"/>
    <w:rsid w:val="00CD4627"/>
    <w:rsid w:val="00CD49AD"/>
    <w:rsid w:val="00CD69C3"/>
    <w:rsid w:val="00CE1567"/>
    <w:rsid w:val="00D03744"/>
    <w:rsid w:val="00D11F86"/>
    <w:rsid w:val="00D27318"/>
    <w:rsid w:val="00D509BD"/>
    <w:rsid w:val="00D64484"/>
    <w:rsid w:val="00D658FB"/>
    <w:rsid w:val="00D857CF"/>
    <w:rsid w:val="00D87569"/>
    <w:rsid w:val="00D97E07"/>
    <w:rsid w:val="00DA4266"/>
    <w:rsid w:val="00DC40C1"/>
    <w:rsid w:val="00DD39EC"/>
    <w:rsid w:val="00DE6977"/>
    <w:rsid w:val="00DF43EF"/>
    <w:rsid w:val="00DF6256"/>
    <w:rsid w:val="00E12269"/>
    <w:rsid w:val="00E13391"/>
    <w:rsid w:val="00E442C6"/>
    <w:rsid w:val="00E5634D"/>
    <w:rsid w:val="00E7374A"/>
    <w:rsid w:val="00E83A0E"/>
    <w:rsid w:val="00E8512E"/>
    <w:rsid w:val="00EC0BEC"/>
    <w:rsid w:val="00EC6B12"/>
    <w:rsid w:val="00EE0EC2"/>
    <w:rsid w:val="00EE7550"/>
    <w:rsid w:val="00F02D07"/>
    <w:rsid w:val="00F07D70"/>
    <w:rsid w:val="00F27C8F"/>
    <w:rsid w:val="00F42315"/>
    <w:rsid w:val="00F42994"/>
    <w:rsid w:val="00F714C6"/>
    <w:rsid w:val="00F81B61"/>
    <w:rsid w:val="00F86D4D"/>
    <w:rsid w:val="00F93722"/>
    <w:rsid w:val="00F9515D"/>
    <w:rsid w:val="00FA2910"/>
    <w:rsid w:val="00FB0DE4"/>
    <w:rsid w:val="00FE18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7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uiPriority w:val="99"/>
    <w:semiHidden/>
    <w:unhideWhenUsed/>
    <w:rsid w:val="00C15787"/>
    <w:rPr>
      <w:sz w:val="16"/>
      <w:szCs w:val="16"/>
    </w:rPr>
  </w:style>
  <w:style w:type="paragraph" w:styleId="CommentText">
    <w:name w:val="annotation text"/>
    <w:basedOn w:val="Normal"/>
    <w:link w:val="CommentTextChar"/>
    <w:unhideWhenUsed/>
    <w:rsid w:val="00C15787"/>
  </w:style>
  <w:style w:type="character" w:customStyle="1" w:styleId="CommentTextChar">
    <w:name w:val="Comment Text Char"/>
    <w:basedOn w:val="DefaultParagraphFont"/>
    <w:link w:val="CommentText"/>
    <w:rsid w:val="00C15787"/>
  </w:style>
  <w:style w:type="paragraph" w:styleId="CommentSubject">
    <w:name w:val="annotation subject"/>
    <w:basedOn w:val="CommentText"/>
    <w:next w:val="CommentText"/>
    <w:link w:val="CommentSubjectChar"/>
    <w:uiPriority w:val="99"/>
    <w:semiHidden/>
    <w:unhideWhenUsed/>
    <w:rsid w:val="00C15787"/>
    <w:rPr>
      <w:b/>
      <w:bCs/>
    </w:rPr>
  </w:style>
  <w:style w:type="character" w:customStyle="1" w:styleId="CommentSubjectChar">
    <w:name w:val="Comment Subject Char"/>
    <w:link w:val="CommentSubject"/>
    <w:uiPriority w:val="99"/>
    <w:semiHidden/>
    <w:rsid w:val="00C15787"/>
    <w:rPr>
      <w:b/>
      <w:bCs/>
    </w:rPr>
  </w:style>
  <w:style w:type="character" w:styleId="Hyperlink">
    <w:name w:val="Hyperlink"/>
    <w:basedOn w:val="DefaultParagraphFont"/>
    <w:uiPriority w:val="99"/>
    <w:semiHidden/>
    <w:unhideWhenUsed/>
    <w:rsid w:val="00DF6256"/>
    <w:rPr>
      <w:color w:val="0000FF"/>
      <w:u w:val="single"/>
    </w:rPr>
  </w:style>
  <w:style w:type="character" w:styleId="UnresolvedMention">
    <w:name w:val="Unresolved Mention"/>
    <w:basedOn w:val="DefaultParagraphFont"/>
    <w:uiPriority w:val="99"/>
    <w:unhideWhenUsed/>
    <w:rsid w:val="006768AE"/>
    <w:rPr>
      <w:color w:val="605E5C"/>
      <w:shd w:val="clear" w:color="auto" w:fill="E1DFDD"/>
    </w:rPr>
  </w:style>
  <w:style w:type="character" w:styleId="Mention">
    <w:name w:val="Mention"/>
    <w:basedOn w:val="DefaultParagraphFont"/>
    <w:uiPriority w:val="99"/>
    <w:unhideWhenUsed/>
    <w:rsid w:val="006768AE"/>
    <w:rPr>
      <w:color w:val="2B579A"/>
      <w:shd w:val="clear" w:color="auto" w:fill="E1DFDD"/>
    </w:rPr>
  </w:style>
  <w:style w:type="paragraph" w:styleId="ListParagraph">
    <w:name w:val="List Paragraph"/>
    <w:basedOn w:val="Normal"/>
    <w:uiPriority w:val="34"/>
    <w:qFormat/>
    <w:rsid w:val="000971EB"/>
    <w:pPr>
      <w:ind w:left="720"/>
      <w:contextualSpacing/>
    </w:pPr>
  </w:style>
  <w:style w:type="paragraph" w:styleId="Revision">
    <w:name w:val="Revision"/>
    <w:hidden/>
    <w:uiPriority w:val="99"/>
    <w:semiHidden/>
    <w:rsid w:val="00D11F86"/>
  </w:style>
  <w:style w:type="paragraph" w:customStyle="1" w:styleId="pf0">
    <w:name w:val="pf0"/>
    <w:basedOn w:val="Normal"/>
    <w:rsid w:val="002B59F6"/>
    <w:pPr>
      <w:overflowPunct/>
      <w:autoSpaceDE/>
      <w:autoSpaceDN/>
      <w:adjustRightInd/>
      <w:spacing w:before="100" w:beforeAutospacing="1" w:after="100" w:afterAutospacing="1"/>
      <w:textAlignment w:val="auto"/>
    </w:pPr>
    <w:rPr>
      <w:sz w:val="24"/>
      <w:szCs w:val="24"/>
    </w:rPr>
  </w:style>
  <w:style w:type="character" w:customStyle="1" w:styleId="cf01">
    <w:name w:val="cf01"/>
    <w:basedOn w:val="DefaultParagraphFont"/>
    <w:rsid w:val="002B59F6"/>
    <w:rPr>
      <w:rFonts w:ascii="Segoe UI" w:hAnsi="Segoe UI" w:cs="Segoe UI" w:hint="default"/>
      <w:sz w:val="18"/>
      <w:szCs w:val="18"/>
    </w:rPr>
  </w:style>
  <w:style w:type="paragraph" w:styleId="NormalWeb">
    <w:name w:val="Normal (Web)"/>
    <w:basedOn w:val="Normal"/>
    <w:uiPriority w:val="99"/>
    <w:semiHidden/>
    <w:unhideWhenUsed/>
    <w:rsid w:val="002B59F6"/>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509299817">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 w:id="1739285261">
      <w:bodyDiv w:val="1"/>
      <w:marLeft w:val="0"/>
      <w:marRight w:val="0"/>
      <w:marTop w:val="0"/>
      <w:marBottom w:val="0"/>
      <w:divBdr>
        <w:top w:val="none" w:sz="0" w:space="0" w:color="auto"/>
        <w:left w:val="none" w:sz="0" w:space="0" w:color="auto"/>
        <w:bottom w:val="none" w:sz="0" w:space="0" w:color="auto"/>
        <w:right w:val="none" w:sz="0" w:space="0" w:color="auto"/>
      </w:divBdr>
    </w:div>
    <w:div w:id="19340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3030</Words>
  <Characters>17274</Characters>
  <Application>Microsoft Office Word</Application>
  <DocSecurity>2</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20264</CharactersWithSpaces>
  <SharedDoc>false</SharedDoc>
  <HLinks>
    <vt:vector size="6" baseType="variant">
      <vt:variant>
        <vt:i4>5636167</vt:i4>
      </vt:variant>
      <vt:variant>
        <vt:i4>0</vt:i4>
      </vt:variant>
      <vt:variant>
        <vt:i4>0</vt:i4>
      </vt:variant>
      <vt:variant>
        <vt:i4>5</vt:i4>
      </vt:variant>
      <vt:variant>
        <vt:lpwstr>https://www.ecfr.gov/current/title-24/section-93.305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2022-07-18T18:40:00Z</dcterms:created>
  <dcterms:modified xsi:type="dcterms:W3CDTF">2022-07-18T18:40:00Z</dcterms:modified>
</cp:coreProperties>
</file>