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3121634F" w14:textId="77F3CCB5">
      <w:pPr>
        <w:jc w:val="center"/>
        <w:rPr>
          <w:b/>
          <w:sz w:val="24"/>
          <w:szCs w:val="24"/>
        </w:rPr>
      </w:pPr>
      <w:r w:rsidRPr="00167E53">
        <w:rPr>
          <w:b/>
          <w:sz w:val="24"/>
          <w:szCs w:val="24"/>
        </w:rPr>
        <w:t>Supporting Statement for Paperwork Reduction Act Submissions</w:t>
      </w:r>
    </w:p>
    <w:p w:rsidRPr="00167E53" w:rsidR="00167E53" w:rsidRDefault="00167E53" w14:paraId="68EBABF5" w14:textId="33C1C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w:t>
      </w:r>
      <w:r w:rsidR="00C87C57">
        <w:rPr>
          <w:b/>
          <w:sz w:val="24"/>
          <w:szCs w:val="24"/>
        </w:rPr>
        <w:t>Stepped and Tiered Rent Demonstration</w:t>
      </w:r>
      <w:r w:rsidR="00D43792">
        <w:rPr>
          <w:b/>
          <w:sz w:val="24"/>
          <w:szCs w:val="24"/>
        </w:rPr>
        <w:t xml:space="preserve"> Evaluation</w:t>
      </w:r>
      <w:r>
        <w:rPr>
          <w:b/>
          <w:sz w:val="24"/>
          <w:szCs w:val="24"/>
        </w:rPr>
        <w:t>)</w:t>
      </w:r>
    </w:p>
    <w:p w:rsidRPr="00167E53" w:rsidR="00167E53" w:rsidRDefault="00167E53" w14:paraId="3430C32D" w14:textId="21874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9A5BFF">
        <w:rPr>
          <w:b/>
          <w:sz w:val="24"/>
          <w:szCs w:val="24"/>
        </w:rPr>
        <w:t xml:space="preserve"> 2528</w:t>
      </w:r>
      <w:r w:rsidR="006C7FAE">
        <w:rPr>
          <w:b/>
          <w:sz w:val="24"/>
          <w:szCs w:val="24"/>
        </w:rPr>
        <w:t>-xxxx</w:t>
      </w:r>
      <w:r w:rsidRPr="00167E53">
        <w:rPr>
          <w:b/>
          <w:sz w:val="24"/>
          <w:szCs w:val="24"/>
        </w:rPr>
        <w:t>)</w:t>
      </w:r>
    </w:p>
    <w:p w:rsidRPr="00E1722C" w:rsidR="009E13B1" w:rsidP="006C7FAE" w:rsidRDefault="009E13B1" w14:paraId="4DBC61C6" w14:textId="77777777">
      <w:pPr>
        <w:rPr>
          <w:b/>
          <w:sz w:val="24"/>
          <w:szCs w:val="24"/>
        </w:rPr>
      </w:pPr>
    </w:p>
    <w:p w:rsidRPr="00E1722C" w:rsidR="009E13B1" w:rsidRDefault="009E13B1" w14:paraId="4EFFCD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E1722C">
        <w:rPr>
          <w:b/>
          <w:sz w:val="24"/>
          <w:szCs w:val="24"/>
        </w:rPr>
        <w:t xml:space="preserve">A. </w:t>
      </w:r>
      <w:r w:rsidRPr="00E1722C">
        <w:rPr>
          <w:b/>
          <w:sz w:val="24"/>
          <w:szCs w:val="24"/>
        </w:rPr>
        <w:tab/>
        <w:t>Justification</w:t>
      </w:r>
    </w:p>
    <w:p w:rsidRPr="006C7FAE" w:rsidR="009E13B1" w:rsidRDefault="009E13B1" w14:paraId="46723F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E1722C" w:rsidR="009E13B1" w:rsidRDefault="009E13B1" w14:paraId="27ECD33F" w14:textId="77777777">
      <w:pPr>
        <w:keepLines/>
        <w:tabs>
          <w:tab w:val="left" w:pos="360"/>
        </w:tabs>
        <w:spacing w:after="80"/>
        <w:ind w:left="360" w:hanging="360"/>
        <w:rPr>
          <w:b/>
          <w:bCs/>
          <w:sz w:val="24"/>
          <w:szCs w:val="24"/>
        </w:rPr>
      </w:pPr>
      <w:r w:rsidRPr="00E1722C">
        <w:rPr>
          <w:b/>
          <w:bCs/>
          <w:sz w:val="24"/>
          <w:szCs w:val="24"/>
        </w:rPr>
        <w:t>1.</w:t>
      </w:r>
      <w:r w:rsidRPr="00E1722C">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41CF3" w:rsidRDefault="00041CF3" w14:paraId="4370CDD6" w14:textId="77777777">
      <w:pPr>
        <w:keepLines/>
        <w:tabs>
          <w:tab w:val="left" w:pos="360"/>
        </w:tabs>
        <w:spacing w:after="80"/>
        <w:ind w:left="360" w:hanging="360"/>
        <w:rPr>
          <w:sz w:val="24"/>
          <w:szCs w:val="24"/>
        </w:rPr>
      </w:pPr>
    </w:p>
    <w:p w:rsidRPr="00EE727C" w:rsidR="00E21E06" w:rsidP="00E21E06" w:rsidRDefault="00041CF3" w14:paraId="725B2BE8" w14:textId="03703E18">
      <w:pPr>
        <w:spacing w:line="276" w:lineRule="auto"/>
        <w:ind w:left="360"/>
        <w:rPr>
          <w:color w:val="000000"/>
          <w:sz w:val="24"/>
          <w:szCs w:val="24"/>
        </w:rPr>
      </w:pPr>
      <w:r w:rsidRPr="00041CF3">
        <w:rPr>
          <w:sz w:val="24"/>
          <w:szCs w:val="24"/>
        </w:rPr>
        <w:t xml:space="preserve">Section 239 of the Fiscal Year 2016 Appropriations Act, P.L. 114-113 (2016 MTW Expansion Statute), authorizes HUD to expand the </w:t>
      </w:r>
      <w:r>
        <w:rPr>
          <w:sz w:val="24"/>
          <w:szCs w:val="24"/>
        </w:rPr>
        <w:t>Moving to Work (</w:t>
      </w:r>
      <w:r w:rsidRPr="00041CF3">
        <w:rPr>
          <w:sz w:val="24"/>
          <w:szCs w:val="24"/>
        </w:rPr>
        <w:t>MTW</w:t>
      </w:r>
      <w:r>
        <w:rPr>
          <w:sz w:val="24"/>
          <w:szCs w:val="24"/>
        </w:rPr>
        <w:t>)</w:t>
      </w:r>
      <w:r w:rsidRPr="00041CF3">
        <w:rPr>
          <w:sz w:val="24"/>
          <w:szCs w:val="24"/>
        </w:rPr>
        <w:t xml:space="preserve"> demonstration program from the current size of 39 </w:t>
      </w:r>
      <w:r>
        <w:rPr>
          <w:sz w:val="24"/>
          <w:szCs w:val="24"/>
        </w:rPr>
        <w:t>Public Housing A</w:t>
      </w:r>
      <w:r w:rsidRPr="00041CF3">
        <w:rPr>
          <w:sz w:val="24"/>
          <w:szCs w:val="24"/>
        </w:rPr>
        <w:t>gencies</w:t>
      </w:r>
      <w:r>
        <w:rPr>
          <w:sz w:val="24"/>
          <w:szCs w:val="24"/>
        </w:rPr>
        <w:t xml:space="preserve"> (PHAs)</w:t>
      </w:r>
      <w:r w:rsidRPr="00041CF3">
        <w:rPr>
          <w:sz w:val="24"/>
          <w:szCs w:val="24"/>
        </w:rPr>
        <w:t xml:space="preserve"> to an additional 100 agencies over a period of 7 years.</w:t>
      </w:r>
      <w:r>
        <w:rPr>
          <w:sz w:val="24"/>
          <w:szCs w:val="24"/>
        </w:rPr>
        <w:t xml:space="preserve"> The Statute directs HUD to add new MTW PHAs in cohorts, with each cohort testing a specific policy change so that HUD can conduct a rigorous evaluation of that policy’s effects.</w:t>
      </w:r>
      <w:r w:rsidR="0069262B">
        <w:rPr>
          <w:sz w:val="24"/>
          <w:szCs w:val="24"/>
        </w:rPr>
        <w:t xml:space="preserve"> </w:t>
      </w:r>
      <w:r w:rsidR="00E21E06">
        <w:rPr>
          <w:color w:val="000000"/>
          <w:sz w:val="24"/>
          <w:szCs w:val="24"/>
        </w:rPr>
        <w:t>A</w:t>
      </w:r>
      <w:r w:rsidRPr="00D9122F" w:rsidR="00E21E06">
        <w:rPr>
          <w:color w:val="000000"/>
          <w:sz w:val="24"/>
          <w:szCs w:val="24"/>
        </w:rPr>
        <w:t xml:space="preserve"> copy of the </w:t>
      </w:r>
      <w:r w:rsidR="00E21E06">
        <w:rPr>
          <w:color w:val="000000"/>
          <w:sz w:val="24"/>
          <w:szCs w:val="24"/>
        </w:rPr>
        <w:t>relevant s</w:t>
      </w:r>
      <w:r w:rsidRPr="00D9122F" w:rsidR="00E21E06">
        <w:rPr>
          <w:color w:val="000000"/>
          <w:sz w:val="24"/>
          <w:szCs w:val="24"/>
        </w:rPr>
        <w:t xml:space="preserve">ection </w:t>
      </w:r>
      <w:r w:rsidR="00E21E06">
        <w:rPr>
          <w:color w:val="000000"/>
          <w:sz w:val="24"/>
          <w:szCs w:val="24"/>
        </w:rPr>
        <w:t xml:space="preserve">of law </w:t>
      </w:r>
      <w:r w:rsidRPr="00D9122F" w:rsidR="00E21E06">
        <w:rPr>
          <w:color w:val="000000"/>
          <w:sz w:val="24"/>
          <w:szCs w:val="24"/>
        </w:rPr>
        <w:t>authoriz</w:t>
      </w:r>
      <w:r w:rsidR="00E21E06">
        <w:rPr>
          <w:color w:val="000000"/>
          <w:sz w:val="24"/>
          <w:szCs w:val="24"/>
        </w:rPr>
        <w:t xml:space="preserve">ing the Department to undertake “such programs of research, studies, testing, and demonstration relating to the mission and programs of the Department” (12 USC 1701z-1 et seq.) is included as Appendix </w:t>
      </w:r>
      <w:r w:rsidR="00BA44EC">
        <w:rPr>
          <w:color w:val="000000"/>
          <w:sz w:val="24"/>
          <w:szCs w:val="24"/>
        </w:rPr>
        <w:t>H</w:t>
      </w:r>
      <w:r w:rsidR="00E21E06">
        <w:rPr>
          <w:color w:val="000000"/>
          <w:sz w:val="24"/>
          <w:szCs w:val="24"/>
        </w:rPr>
        <w:t>.</w:t>
      </w:r>
    </w:p>
    <w:p w:rsidR="00041CF3" w:rsidP="00041CF3" w:rsidRDefault="00041CF3" w14:paraId="51FE8849" w14:textId="77777777">
      <w:pPr>
        <w:tabs>
          <w:tab w:val="left" w:pos="360"/>
        </w:tabs>
        <w:ind w:left="360"/>
        <w:rPr>
          <w:sz w:val="24"/>
          <w:szCs w:val="24"/>
        </w:rPr>
      </w:pPr>
    </w:p>
    <w:p w:rsidR="00041CF3" w:rsidP="00041CF3" w:rsidRDefault="00041CF3" w14:paraId="2CBF331C" w14:textId="77777777">
      <w:pPr>
        <w:tabs>
          <w:tab w:val="left" w:pos="360"/>
        </w:tabs>
        <w:ind w:left="360"/>
        <w:rPr>
          <w:sz w:val="24"/>
          <w:szCs w:val="24"/>
        </w:rPr>
      </w:pPr>
      <w:r>
        <w:rPr>
          <w:sz w:val="24"/>
          <w:szCs w:val="24"/>
        </w:rPr>
        <w:t>The second cohort of MTW Expansion PHAs will test alternative ways of setting rents in the public housing and housing choice voucher programs.</w:t>
      </w:r>
      <w:r w:rsidR="00885CCE">
        <w:rPr>
          <w:sz w:val="24"/>
          <w:szCs w:val="24"/>
        </w:rPr>
        <w:t xml:space="preserve"> The traditional rent policy (the Brooke rent) typically sets each household’s rent at 30 percent of their adjusted monthly income. This rent policy is administratively complex and burdensome for PHAs and assisted households. The Brooke rent is hypothesized to be a disincentive for households to increase their earnings, as $100 dollars of increased income would result in $30 of increased rent.</w:t>
      </w:r>
    </w:p>
    <w:p w:rsidR="00885CCE" w:rsidP="00041CF3" w:rsidRDefault="00885CCE" w14:paraId="3E1883CD" w14:textId="77777777">
      <w:pPr>
        <w:tabs>
          <w:tab w:val="left" w:pos="360"/>
        </w:tabs>
        <w:ind w:left="360"/>
        <w:rPr>
          <w:sz w:val="24"/>
          <w:szCs w:val="24"/>
        </w:rPr>
      </w:pPr>
    </w:p>
    <w:p w:rsidR="00885CCE" w:rsidP="00041CF3" w:rsidRDefault="00885CCE" w14:paraId="4D852604" w14:textId="77777777">
      <w:pPr>
        <w:tabs>
          <w:tab w:val="left" w:pos="360"/>
        </w:tabs>
        <w:ind w:left="360"/>
        <w:rPr>
          <w:sz w:val="24"/>
          <w:szCs w:val="24"/>
        </w:rPr>
      </w:pPr>
      <w:r>
        <w:rPr>
          <w:sz w:val="24"/>
          <w:szCs w:val="24"/>
        </w:rPr>
        <w:t>In this project—the Stepped and Tiered Rent Demonstration (STRD)—PHAs will implement alternative rents that might be easier to administer and might incentivize assisted households to increase their earnings. Five PHAs will implement a stepped rent, under which a household’s rent will increase modestly each year regardless of their income. Five PHAs will implement a tiered rent, under which households are assigned to income-based tiers and rents are set based on the tier. Both policies will enable households to increase their income without causing an immediate rent increase. Both policies include hardship provisions to prevent high rent burdens. And both policies include less frequent income reexaminations, to reduce the amount of PHA staff time required to administer the program.</w:t>
      </w:r>
    </w:p>
    <w:p w:rsidR="00885CCE" w:rsidP="00041CF3" w:rsidRDefault="00885CCE" w14:paraId="0810396E" w14:textId="77777777">
      <w:pPr>
        <w:tabs>
          <w:tab w:val="left" w:pos="360"/>
        </w:tabs>
        <w:ind w:left="360"/>
        <w:rPr>
          <w:sz w:val="24"/>
          <w:szCs w:val="24"/>
        </w:rPr>
      </w:pPr>
    </w:p>
    <w:p w:rsidR="00885CCE" w:rsidP="00041CF3" w:rsidRDefault="00885CCE" w14:paraId="7177D97F" w14:textId="17FF85D6">
      <w:pPr>
        <w:tabs>
          <w:tab w:val="left" w:pos="360"/>
        </w:tabs>
        <w:ind w:left="360"/>
        <w:rPr>
          <w:sz w:val="24"/>
          <w:szCs w:val="24"/>
        </w:rPr>
      </w:pPr>
      <w:r>
        <w:rPr>
          <w:sz w:val="24"/>
          <w:szCs w:val="24"/>
        </w:rPr>
        <w:t>The STRD will be implemented as a randomized controlled trial (RCT); eligible households (limited to non-elderly, non-disabled households) will be randomly assigned to the new rent policy, or to remain on the traditional rent policy.</w:t>
      </w:r>
      <w:r w:rsidR="00C87C57">
        <w:rPr>
          <w:sz w:val="24"/>
          <w:szCs w:val="24"/>
        </w:rPr>
        <w:t xml:space="preserve"> This design is the gold standard for program evaluation and will enable HUD to conclude whether the new rent policies caused any differences observed between the two groups over time. HUD’s evaluation is expected to last 6 years.</w:t>
      </w:r>
    </w:p>
    <w:p w:rsidR="00C87C57" w:rsidP="00041CF3" w:rsidRDefault="00C87C57" w14:paraId="1DDFC13E" w14:textId="77777777">
      <w:pPr>
        <w:tabs>
          <w:tab w:val="left" w:pos="360"/>
        </w:tabs>
        <w:ind w:left="360"/>
        <w:rPr>
          <w:sz w:val="24"/>
          <w:szCs w:val="24"/>
        </w:rPr>
      </w:pPr>
    </w:p>
    <w:p w:rsidR="00056C7A" w:rsidP="00041CF3" w:rsidRDefault="00C87C57" w14:paraId="54231752" w14:textId="3027E3FE">
      <w:pPr>
        <w:tabs>
          <w:tab w:val="left" w:pos="360"/>
        </w:tabs>
        <w:ind w:left="360"/>
        <w:rPr>
          <w:sz w:val="24"/>
          <w:szCs w:val="24"/>
        </w:rPr>
      </w:pPr>
      <w:r>
        <w:rPr>
          <w:sz w:val="24"/>
          <w:szCs w:val="24"/>
        </w:rPr>
        <w:t xml:space="preserve">HUD has contracted with MDRC to carry out the first phase of HUD’s evaluation, to launch the STRD and lay the foundation for a long-term evaluation. </w:t>
      </w:r>
      <w:r w:rsidR="00A46CCA">
        <w:rPr>
          <w:sz w:val="24"/>
          <w:szCs w:val="24"/>
        </w:rPr>
        <w:t xml:space="preserve">HUD has also allocated resources to </w:t>
      </w:r>
      <w:r w:rsidR="00A46CCA">
        <w:rPr>
          <w:sz w:val="24"/>
          <w:szCs w:val="24"/>
        </w:rPr>
        <w:lastRenderedPageBreak/>
        <w:t>support software modifications required by the PHAs to implement the S</w:t>
      </w:r>
      <w:r w:rsidR="009D7264">
        <w:rPr>
          <w:sz w:val="24"/>
          <w:szCs w:val="24"/>
        </w:rPr>
        <w:t xml:space="preserve">TRD </w:t>
      </w:r>
      <w:r w:rsidR="004479E4">
        <w:rPr>
          <w:sz w:val="24"/>
          <w:szCs w:val="24"/>
        </w:rPr>
        <w:t>D</w:t>
      </w:r>
      <w:r w:rsidR="00A46CCA">
        <w:rPr>
          <w:sz w:val="24"/>
          <w:szCs w:val="24"/>
        </w:rPr>
        <w:t xml:space="preserve">emonstration.  </w:t>
      </w:r>
      <w:r w:rsidRPr="000A67CC">
        <w:rPr>
          <w:sz w:val="24"/>
          <w:szCs w:val="24"/>
        </w:rPr>
        <w:t xml:space="preserve">This new </w:t>
      </w:r>
      <w:r w:rsidRPr="002B0A98">
        <w:rPr>
          <w:sz w:val="24"/>
          <w:szCs w:val="24"/>
        </w:rPr>
        <w:t>information collection</w:t>
      </w:r>
      <w:r w:rsidRPr="002B0A98" w:rsidR="00F96022">
        <w:rPr>
          <w:sz w:val="24"/>
          <w:szCs w:val="24"/>
        </w:rPr>
        <w:t xml:space="preserve"> has </w:t>
      </w:r>
      <w:r w:rsidR="008824E1">
        <w:rPr>
          <w:sz w:val="24"/>
          <w:szCs w:val="24"/>
        </w:rPr>
        <w:t xml:space="preserve">the following </w:t>
      </w:r>
      <w:r w:rsidRPr="002B0A98" w:rsidR="00F96022">
        <w:rPr>
          <w:sz w:val="24"/>
          <w:szCs w:val="24"/>
        </w:rPr>
        <w:t xml:space="preserve">components, </w:t>
      </w:r>
      <w:r w:rsidRPr="002B0A98" w:rsidR="00E66650">
        <w:rPr>
          <w:sz w:val="24"/>
          <w:szCs w:val="24"/>
        </w:rPr>
        <w:t xml:space="preserve">all </w:t>
      </w:r>
      <w:r w:rsidRPr="002B0A98" w:rsidR="00F96022">
        <w:rPr>
          <w:sz w:val="24"/>
          <w:szCs w:val="24"/>
        </w:rPr>
        <w:t>of which are</w:t>
      </w:r>
      <w:r w:rsidRPr="002B0A98">
        <w:rPr>
          <w:sz w:val="24"/>
          <w:szCs w:val="24"/>
        </w:rPr>
        <w:t xml:space="preserve"> necessary for the evaluation to succeed</w:t>
      </w:r>
      <w:r w:rsidR="00732D70">
        <w:rPr>
          <w:sz w:val="24"/>
          <w:szCs w:val="24"/>
        </w:rPr>
        <w:t>:</w:t>
      </w:r>
      <w:r>
        <w:rPr>
          <w:sz w:val="24"/>
          <w:szCs w:val="24"/>
        </w:rPr>
        <w:t xml:space="preserve"> </w:t>
      </w:r>
    </w:p>
    <w:p w:rsidRPr="00732D70" w:rsidR="00056C7A" w:rsidP="00056C7A" w:rsidRDefault="00F96022" w14:paraId="034C2121" w14:textId="432D0555">
      <w:pPr>
        <w:pStyle w:val="ListParagraph"/>
        <w:numPr>
          <w:ilvl w:val="0"/>
          <w:numId w:val="16"/>
        </w:numPr>
        <w:tabs>
          <w:tab w:val="left" w:pos="360"/>
        </w:tabs>
        <w:rPr>
          <w:sz w:val="24"/>
          <w:szCs w:val="24"/>
        </w:rPr>
      </w:pPr>
      <w:r w:rsidRPr="00732D70">
        <w:rPr>
          <w:sz w:val="24"/>
          <w:szCs w:val="24"/>
        </w:rPr>
        <w:t xml:space="preserve">The </w:t>
      </w:r>
      <w:r w:rsidRPr="00863928">
        <w:rPr>
          <w:b/>
          <w:bCs/>
          <w:sz w:val="24"/>
          <w:szCs w:val="24"/>
        </w:rPr>
        <w:t xml:space="preserve">Baseline Information Form </w:t>
      </w:r>
      <w:r w:rsidRPr="00732D70">
        <w:rPr>
          <w:sz w:val="24"/>
          <w:szCs w:val="24"/>
        </w:rPr>
        <w:t>(BIF</w:t>
      </w:r>
      <w:r w:rsidRPr="00732D70" w:rsidR="0000388C">
        <w:rPr>
          <w:sz w:val="24"/>
          <w:szCs w:val="24"/>
        </w:rPr>
        <w:t xml:space="preserve">, </w:t>
      </w:r>
      <w:r w:rsidR="004479E4">
        <w:rPr>
          <w:sz w:val="24"/>
          <w:szCs w:val="24"/>
        </w:rPr>
        <w:t xml:space="preserve">see </w:t>
      </w:r>
      <w:r w:rsidRPr="00732D70" w:rsidR="002A6C61">
        <w:rPr>
          <w:sz w:val="24"/>
          <w:szCs w:val="24"/>
        </w:rPr>
        <w:t>Attachment A</w:t>
      </w:r>
      <w:r w:rsidRPr="00732D70">
        <w:rPr>
          <w:sz w:val="24"/>
          <w:szCs w:val="24"/>
        </w:rPr>
        <w:t xml:space="preserve">) </w:t>
      </w:r>
      <w:r w:rsidRPr="00732D70" w:rsidR="008824E1">
        <w:rPr>
          <w:sz w:val="24"/>
          <w:szCs w:val="24"/>
        </w:rPr>
        <w:t xml:space="preserve">is </w:t>
      </w:r>
      <w:r w:rsidRPr="00732D70">
        <w:rPr>
          <w:sz w:val="24"/>
          <w:szCs w:val="24"/>
        </w:rPr>
        <w:t xml:space="preserve">a brief (approximately </w:t>
      </w:r>
      <w:r w:rsidRPr="00732D70" w:rsidR="00D43792">
        <w:rPr>
          <w:sz w:val="24"/>
          <w:szCs w:val="24"/>
        </w:rPr>
        <w:t>7</w:t>
      </w:r>
      <w:r w:rsidRPr="00732D70">
        <w:rPr>
          <w:sz w:val="24"/>
          <w:szCs w:val="24"/>
        </w:rPr>
        <w:t xml:space="preserve"> minutes) survey administered to each household that is randomly assigned and consents to participate in the study.</w:t>
      </w:r>
      <w:r w:rsidRPr="55053C1A" w:rsidR="02296B82">
        <w:rPr>
          <w:sz w:val="24"/>
          <w:szCs w:val="24"/>
        </w:rPr>
        <w:t xml:space="preserve"> The </w:t>
      </w:r>
      <w:r w:rsidR="004479E4">
        <w:rPr>
          <w:sz w:val="24"/>
          <w:szCs w:val="24"/>
        </w:rPr>
        <w:t xml:space="preserve">administration of the </w:t>
      </w:r>
      <w:r w:rsidRPr="55053C1A" w:rsidR="02296B82">
        <w:rPr>
          <w:sz w:val="24"/>
          <w:szCs w:val="24"/>
        </w:rPr>
        <w:t>BIF</w:t>
      </w:r>
      <w:r w:rsidR="00023F98">
        <w:rPr>
          <w:sz w:val="24"/>
          <w:szCs w:val="24"/>
        </w:rPr>
        <w:t>, and as is shown in Attachment A,</w:t>
      </w:r>
      <w:r w:rsidRPr="55053C1A" w:rsidR="02296B82">
        <w:rPr>
          <w:sz w:val="24"/>
          <w:szCs w:val="24"/>
        </w:rPr>
        <w:t xml:space="preserve"> is preceded by </w:t>
      </w:r>
      <w:r w:rsidR="00023F98">
        <w:rPr>
          <w:sz w:val="24"/>
          <w:szCs w:val="24"/>
        </w:rPr>
        <w:t xml:space="preserve">an </w:t>
      </w:r>
      <w:r w:rsidRPr="55053C1A" w:rsidR="02296B82">
        <w:rPr>
          <w:sz w:val="24"/>
          <w:szCs w:val="24"/>
        </w:rPr>
        <w:t>introductory script</w:t>
      </w:r>
      <w:r w:rsidR="00002007">
        <w:rPr>
          <w:sz w:val="24"/>
          <w:szCs w:val="24"/>
        </w:rPr>
        <w:t xml:space="preserve"> tailored </w:t>
      </w:r>
      <w:r w:rsidR="00D8217A">
        <w:rPr>
          <w:sz w:val="24"/>
          <w:szCs w:val="24"/>
        </w:rPr>
        <w:t xml:space="preserve">to the person </w:t>
      </w:r>
      <w:r w:rsidR="003577B2">
        <w:rPr>
          <w:sz w:val="24"/>
          <w:szCs w:val="24"/>
        </w:rPr>
        <w:t xml:space="preserve">gathering this data. </w:t>
      </w:r>
      <w:r w:rsidR="00002007">
        <w:rPr>
          <w:sz w:val="24"/>
          <w:szCs w:val="24"/>
        </w:rPr>
        <w:t>O</w:t>
      </w:r>
      <w:r w:rsidRPr="55053C1A" w:rsidR="02296B82">
        <w:rPr>
          <w:sz w:val="24"/>
          <w:szCs w:val="24"/>
        </w:rPr>
        <w:t xml:space="preserve">ne </w:t>
      </w:r>
      <w:r w:rsidR="00002007">
        <w:rPr>
          <w:sz w:val="24"/>
          <w:szCs w:val="24"/>
        </w:rPr>
        <w:t xml:space="preserve">script </w:t>
      </w:r>
      <w:r w:rsidR="003577B2">
        <w:rPr>
          <w:sz w:val="24"/>
          <w:szCs w:val="24"/>
        </w:rPr>
        <w:t xml:space="preserve">is for </w:t>
      </w:r>
      <w:r w:rsidRPr="55053C1A" w:rsidR="02296B82">
        <w:rPr>
          <w:sz w:val="24"/>
          <w:szCs w:val="24"/>
        </w:rPr>
        <w:t xml:space="preserve">PHA staff </w:t>
      </w:r>
      <w:r w:rsidR="003577B2">
        <w:rPr>
          <w:sz w:val="24"/>
          <w:szCs w:val="24"/>
        </w:rPr>
        <w:t xml:space="preserve">and the other for the </w:t>
      </w:r>
      <w:r w:rsidRPr="55053C1A" w:rsidR="31B28E9B">
        <w:rPr>
          <w:sz w:val="24"/>
          <w:szCs w:val="24"/>
        </w:rPr>
        <w:t>survey firm, Decision Information Resources, Inc. (DIR)</w:t>
      </w:r>
      <w:r w:rsidR="00002007">
        <w:rPr>
          <w:sz w:val="24"/>
          <w:szCs w:val="24"/>
        </w:rPr>
        <w:t>.</w:t>
      </w:r>
    </w:p>
    <w:p w:rsidRPr="00732D70" w:rsidR="00056C7A" w:rsidP="00056C7A" w:rsidRDefault="00F96022" w14:paraId="5E4C2920" w14:textId="76F216B6">
      <w:pPr>
        <w:pStyle w:val="ListParagraph"/>
        <w:numPr>
          <w:ilvl w:val="0"/>
          <w:numId w:val="16"/>
        </w:numPr>
        <w:tabs>
          <w:tab w:val="left" w:pos="360"/>
        </w:tabs>
        <w:rPr>
          <w:sz w:val="24"/>
          <w:szCs w:val="24"/>
        </w:rPr>
      </w:pPr>
      <w:r w:rsidRPr="00732D70">
        <w:rPr>
          <w:sz w:val="24"/>
          <w:szCs w:val="24"/>
        </w:rPr>
        <w:t xml:space="preserve">The </w:t>
      </w:r>
      <w:r w:rsidRPr="00EB7818" w:rsidR="008824E1">
        <w:rPr>
          <w:b/>
          <w:bCs/>
          <w:sz w:val="24"/>
          <w:szCs w:val="24"/>
        </w:rPr>
        <w:t>Informed C</w:t>
      </w:r>
      <w:r w:rsidRPr="00EB7818">
        <w:rPr>
          <w:b/>
          <w:bCs/>
          <w:sz w:val="24"/>
          <w:szCs w:val="24"/>
        </w:rPr>
        <w:t xml:space="preserve">onsent </w:t>
      </w:r>
      <w:r w:rsidRPr="00EB7818" w:rsidR="008824E1">
        <w:rPr>
          <w:b/>
          <w:bCs/>
          <w:sz w:val="24"/>
          <w:szCs w:val="24"/>
        </w:rPr>
        <w:t>Form</w:t>
      </w:r>
      <w:r w:rsidRPr="00732D70" w:rsidR="008824E1">
        <w:rPr>
          <w:sz w:val="24"/>
          <w:szCs w:val="24"/>
        </w:rPr>
        <w:t xml:space="preserve"> </w:t>
      </w:r>
      <w:r w:rsidRPr="00732D70" w:rsidR="00CC06BF">
        <w:rPr>
          <w:sz w:val="24"/>
          <w:szCs w:val="24"/>
        </w:rPr>
        <w:t>(see Attachments B</w:t>
      </w:r>
      <w:r w:rsidR="00DD217A">
        <w:rPr>
          <w:sz w:val="24"/>
          <w:szCs w:val="24"/>
        </w:rPr>
        <w:t>.</w:t>
      </w:r>
      <w:r w:rsidR="003C3EE3">
        <w:rPr>
          <w:sz w:val="24"/>
          <w:szCs w:val="24"/>
        </w:rPr>
        <w:t>1 and B.2</w:t>
      </w:r>
      <w:r w:rsidR="00D41FEF">
        <w:rPr>
          <w:sz w:val="24"/>
          <w:szCs w:val="24"/>
        </w:rPr>
        <w:t>, one for each rent policy</w:t>
      </w:r>
      <w:r w:rsidRPr="00732D70" w:rsidR="0001710B">
        <w:rPr>
          <w:sz w:val="24"/>
          <w:szCs w:val="24"/>
        </w:rPr>
        <w:t>)</w:t>
      </w:r>
      <w:r w:rsidRPr="00732D70" w:rsidR="00807459">
        <w:rPr>
          <w:sz w:val="24"/>
          <w:szCs w:val="24"/>
        </w:rPr>
        <w:t xml:space="preserve"> </w:t>
      </w:r>
      <w:r w:rsidRPr="00732D70">
        <w:rPr>
          <w:sz w:val="24"/>
          <w:szCs w:val="24"/>
        </w:rPr>
        <w:t xml:space="preserve">will </w:t>
      </w:r>
      <w:r w:rsidRPr="00732D70" w:rsidR="008824E1">
        <w:rPr>
          <w:sz w:val="24"/>
          <w:szCs w:val="24"/>
        </w:rPr>
        <w:t xml:space="preserve">be reviewed with </w:t>
      </w:r>
      <w:r w:rsidRPr="00732D70" w:rsidR="00056C7A">
        <w:rPr>
          <w:sz w:val="24"/>
          <w:szCs w:val="24"/>
        </w:rPr>
        <w:t xml:space="preserve">the head of household </w:t>
      </w:r>
      <w:r w:rsidRPr="00732D70" w:rsidR="008824E1">
        <w:rPr>
          <w:sz w:val="24"/>
          <w:szCs w:val="24"/>
        </w:rPr>
        <w:t xml:space="preserve">during the study enrollment process and will be used to obtain </w:t>
      </w:r>
      <w:r w:rsidRPr="00732D70" w:rsidR="00056C7A">
        <w:rPr>
          <w:sz w:val="24"/>
          <w:szCs w:val="24"/>
        </w:rPr>
        <w:t xml:space="preserve">their consent to engage in the study’s data collection activities. </w:t>
      </w:r>
    </w:p>
    <w:p w:rsidRPr="00732D70" w:rsidR="00732D70" w:rsidP="00056C7A" w:rsidRDefault="00F96022" w14:paraId="38802F5F" w14:textId="1917AF89">
      <w:pPr>
        <w:pStyle w:val="ListParagraph"/>
        <w:numPr>
          <w:ilvl w:val="0"/>
          <w:numId w:val="16"/>
        </w:numPr>
        <w:tabs>
          <w:tab w:val="left" w:pos="360"/>
        </w:tabs>
        <w:rPr>
          <w:sz w:val="24"/>
          <w:szCs w:val="24"/>
        </w:rPr>
      </w:pPr>
      <w:r w:rsidRPr="00732D70">
        <w:rPr>
          <w:sz w:val="24"/>
          <w:szCs w:val="24"/>
        </w:rPr>
        <w:t xml:space="preserve">The </w:t>
      </w:r>
      <w:r w:rsidRPr="00EB7818" w:rsidR="00311756">
        <w:rPr>
          <w:b/>
          <w:bCs/>
          <w:sz w:val="24"/>
          <w:szCs w:val="24"/>
        </w:rPr>
        <w:t>field research data collect</w:t>
      </w:r>
      <w:r w:rsidRPr="00EB7818" w:rsidR="00C076DC">
        <w:rPr>
          <w:b/>
          <w:bCs/>
          <w:sz w:val="24"/>
          <w:szCs w:val="24"/>
        </w:rPr>
        <w:t xml:space="preserve">ion </w:t>
      </w:r>
      <w:r w:rsidRPr="00EB7818" w:rsidR="00056C7A">
        <w:rPr>
          <w:b/>
          <w:bCs/>
          <w:sz w:val="24"/>
          <w:szCs w:val="24"/>
        </w:rPr>
        <w:t>guides</w:t>
      </w:r>
      <w:r w:rsidRPr="00732D70" w:rsidR="00056C7A">
        <w:rPr>
          <w:sz w:val="24"/>
          <w:szCs w:val="24"/>
        </w:rPr>
        <w:t xml:space="preserve"> for the </w:t>
      </w:r>
      <w:r w:rsidRPr="00732D70">
        <w:rPr>
          <w:sz w:val="24"/>
          <w:szCs w:val="24"/>
        </w:rPr>
        <w:t>interviews with PHA staff responsible for implementing the new rent policies</w:t>
      </w:r>
      <w:r w:rsidRPr="00732D70" w:rsidR="00DC4F3C">
        <w:rPr>
          <w:sz w:val="24"/>
          <w:szCs w:val="24"/>
        </w:rPr>
        <w:t xml:space="preserve"> </w:t>
      </w:r>
      <w:r w:rsidRPr="00732D70" w:rsidR="00056C7A">
        <w:rPr>
          <w:sz w:val="24"/>
          <w:szCs w:val="24"/>
        </w:rPr>
        <w:t>are in</w:t>
      </w:r>
      <w:r w:rsidR="00A941A1">
        <w:rPr>
          <w:sz w:val="24"/>
          <w:szCs w:val="24"/>
        </w:rPr>
        <w:t>cluded as</w:t>
      </w:r>
      <w:r w:rsidRPr="00732D70" w:rsidR="00056C7A">
        <w:rPr>
          <w:sz w:val="24"/>
          <w:szCs w:val="24"/>
        </w:rPr>
        <w:t xml:space="preserve"> </w:t>
      </w:r>
      <w:r w:rsidRPr="00732D70" w:rsidR="00DC4F3C">
        <w:rPr>
          <w:sz w:val="24"/>
          <w:szCs w:val="24"/>
        </w:rPr>
        <w:t>Attachments C-F</w:t>
      </w:r>
      <w:r w:rsidRPr="00732D70">
        <w:rPr>
          <w:sz w:val="24"/>
          <w:szCs w:val="24"/>
        </w:rPr>
        <w:t xml:space="preserve">. </w:t>
      </w:r>
      <w:r w:rsidR="005B1872">
        <w:rPr>
          <w:sz w:val="24"/>
          <w:szCs w:val="24"/>
        </w:rPr>
        <w:t xml:space="preserve">Each of the interview guides includes slightly different questions, reflecting the different roles played by different staff in the implementation of the rent policies. These interview guides include: </w:t>
      </w:r>
      <w:r w:rsidRPr="002F1C04" w:rsidR="005B1872">
        <w:rPr>
          <w:sz w:val="24"/>
          <w:szCs w:val="24"/>
        </w:rPr>
        <w:t xml:space="preserve">PHA </w:t>
      </w:r>
      <w:r w:rsidRPr="004D5869" w:rsidR="005B1872">
        <w:rPr>
          <w:sz w:val="24"/>
          <w:szCs w:val="24"/>
        </w:rPr>
        <w:t>Executive Director-Senior Leader Interview Guide</w:t>
      </w:r>
      <w:r w:rsidR="005B1872">
        <w:rPr>
          <w:sz w:val="24"/>
          <w:szCs w:val="24"/>
        </w:rPr>
        <w:t xml:space="preserve"> (</w:t>
      </w:r>
      <w:r w:rsidR="00B4201B">
        <w:rPr>
          <w:sz w:val="24"/>
          <w:szCs w:val="24"/>
        </w:rPr>
        <w:t>Attachment</w:t>
      </w:r>
      <w:r w:rsidR="007D638E">
        <w:rPr>
          <w:sz w:val="24"/>
          <w:szCs w:val="24"/>
        </w:rPr>
        <w:t xml:space="preserve"> C), </w:t>
      </w:r>
      <w:r w:rsidRPr="002F1C04" w:rsidR="005B1872">
        <w:rPr>
          <w:sz w:val="24"/>
          <w:szCs w:val="24"/>
        </w:rPr>
        <w:t>PHA Program Director Interview Guide</w:t>
      </w:r>
      <w:r w:rsidR="005B1872">
        <w:rPr>
          <w:sz w:val="24"/>
          <w:szCs w:val="24"/>
        </w:rPr>
        <w:t xml:space="preserve"> (</w:t>
      </w:r>
      <w:r w:rsidRPr="002F1C04" w:rsidR="005B1872">
        <w:rPr>
          <w:sz w:val="24"/>
          <w:szCs w:val="24"/>
        </w:rPr>
        <w:t>A</w:t>
      </w:r>
      <w:r w:rsidR="009C5BE3">
        <w:rPr>
          <w:sz w:val="24"/>
          <w:szCs w:val="24"/>
        </w:rPr>
        <w:t>ttachment</w:t>
      </w:r>
      <w:r w:rsidRPr="002F1C04" w:rsidR="005B1872">
        <w:rPr>
          <w:sz w:val="24"/>
          <w:szCs w:val="24"/>
        </w:rPr>
        <w:t xml:space="preserve"> </w:t>
      </w:r>
      <w:r w:rsidR="007D638E">
        <w:rPr>
          <w:sz w:val="24"/>
          <w:szCs w:val="24"/>
        </w:rPr>
        <w:t>D</w:t>
      </w:r>
      <w:r w:rsidR="005B1872">
        <w:rPr>
          <w:sz w:val="24"/>
          <w:szCs w:val="24"/>
        </w:rPr>
        <w:t xml:space="preserve">), </w:t>
      </w:r>
      <w:r w:rsidRPr="004D5869" w:rsidR="005B1872">
        <w:rPr>
          <w:sz w:val="24"/>
          <w:szCs w:val="24"/>
        </w:rPr>
        <w:t>PHA MTW Coordinator Interview Guide</w:t>
      </w:r>
      <w:r w:rsidRPr="002F1C04" w:rsidR="005B1872">
        <w:rPr>
          <w:sz w:val="24"/>
          <w:szCs w:val="24"/>
        </w:rPr>
        <w:t xml:space="preserve"> </w:t>
      </w:r>
      <w:r w:rsidR="005B1872">
        <w:rPr>
          <w:sz w:val="24"/>
          <w:szCs w:val="24"/>
        </w:rPr>
        <w:t>(</w:t>
      </w:r>
      <w:r w:rsidR="00405B39">
        <w:rPr>
          <w:sz w:val="24"/>
          <w:szCs w:val="24"/>
        </w:rPr>
        <w:t>A</w:t>
      </w:r>
      <w:r w:rsidR="009C5BE3">
        <w:rPr>
          <w:sz w:val="24"/>
          <w:szCs w:val="24"/>
        </w:rPr>
        <w:t>ttachment</w:t>
      </w:r>
      <w:r w:rsidR="00405B39">
        <w:rPr>
          <w:sz w:val="24"/>
          <w:szCs w:val="24"/>
        </w:rPr>
        <w:t xml:space="preserve"> E), and </w:t>
      </w:r>
      <w:r w:rsidRPr="004D5869" w:rsidR="005B1872">
        <w:rPr>
          <w:sz w:val="24"/>
          <w:szCs w:val="24"/>
        </w:rPr>
        <w:t>PHA Housing Specialist Interview Guide</w:t>
      </w:r>
      <w:r w:rsidR="005B1872">
        <w:rPr>
          <w:sz w:val="24"/>
          <w:szCs w:val="24"/>
        </w:rPr>
        <w:t xml:space="preserve"> (A</w:t>
      </w:r>
      <w:r w:rsidR="009C5BE3">
        <w:rPr>
          <w:sz w:val="24"/>
          <w:szCs w:val="24"/>
        </w:rPr>
        <w:t xml:space="preserve">ttachment </w:t>
      </w:r>
      <w:r w:rsidR="007D638E">
        <w:rPr>
          <w:sz w:val="24"/>
          <w:szCs w:val="24"/>
        </w:rPr>
        <w:t>F</w:t>
      </w:r>
      <w:r w:rsidR="005B1872">
        <w:rPr>
          <w:sz w:val="24"/>
          <w:szCs w:val="24"/>
        </w:rPr>
        <w:t xml:space="preserve">). </w:t>
      </w:r>
      <w:r w:rsidRPr="00732D70">
        <w:rPr>
          <w:sz w:val="24"/>
          <w:szCs w:val="24"/>
        </w:rPr>
        <w:t>These interviews</w:t>
      </w:r>
      <w:r w:rsidRPr="00732D70" w:rsidR="00C54EE3">
        <w:rPr>
          <w:sz w:val="24"/>
          <w:szCs w:val="24"/>
        </w:rPr>
        <w:t>, occurring roughly six months after study enrollment begins,</w:t>
      </w:r>
      <w:r w:rsidRPr="00732D70">
        <w:rPr>
          <w:sz w:val="24"/>
          <w:szCs w:val="24"/>
        </w:rPr>
        <w:t xml:space="preserve"> will help HUD and MDRC to determine whether each PHA is implementing the new policy with fidelity to the </w:t>
      </w:r>
      <w:r w:rsidR="00BF6D4C">
        <w:rPr>
          <w:sz w:val="24"/>
          <w:szCs w:val="24"/>
        </w:rPr>
        <w:t xml:space="preserve">study </w:t>
      </w:r>
      <w:r w:rsidRPr="00732D70">
        <w:rPr>
          <w:sz w:val="24"/>
          <w:szCs w:val="24"/>
        </w:rPr>
        <w:t>design. The interviews will also provide important information about how the new rent policies affect PHA administrative burden.</w:t>
      </w:r>
      <w:r w:rsidRPr="00732D70" w:rsidR="003660D2">
        <w:rPr>
          <w:sz w:val="24"/>
          <w:szCs w:val="24"/>
        </w:rPr>
        <w:t xml:space="preserve"> </w:t>
      </w:r>
    </w:p>
    <w:p w:rsidRPr="00732D70" w:rsidR="00C87C57" w:rsidP="00732D70" w:rsidRDefault="00732D70" w14:paraId="2C0534C7" w14:textId="39A63F63">
      <w:pPr>
        <w:pStyle w:val="ListParagraph"/>
        <w:numPr>
          <w:ilvl w:val="0"/>
          <w:numId w:val="16"/>
        </w:numPr>
        <w:tabs>
          <w:tab w:val="left" w:pos="360"/>
        </w:tabs>
        <w:rPr>
          <w:sz w:val="24"/>
          <w:szCs w:val="24"/>
        </w:rPr>
      </w:pPr>
      <w:r>
        <w:rPr>
          <w:sz w:val="24"/>
          <w:szCs w:val="24"/>
        </w:rPr>
        <w:t>A</w:t>
      </w:r>
      <w:r w:rsidRPr="00732D70" w:rsidR="00527A2D">
        <w:rPr>
          <w:sz w:val="24"/>
          <w:szCs w:val="24"/>
        </w:rPr>
        <w:t xml:space="preserve"> </w:t>
      </w:r>
      <w:r w:rsidRPr="00524061" w:rsidR="00056C7A">
        <w:rPr>
          <w:b/>
          <w:bCs/>
          <w:sz w:val="24"/>
          <w:szCs w:val="24"/>
        </w:rPr>
        <w:t xml:space="preserve">data extract </w:t>
      </w:r>
      <w:r w:rsidRPr="00732D70" w:rsidR="00B960CA">
        <w:rPr>
          <w:sz w:val="24"/>
          <w:szCs w:val="24"/>
        </w:rPr>
        <w:t xml:space="preserve">that is based on </w:t>
      </w:r>
      <w:r w:rsidRPr="00732D70" w:rsidR="00A97D1C">
        <w:rPr>
          <w:sz w:val="24"/>
          <w:szCs w:val="24"/>
        </w:rPr>
        <w:t xml:space="preserve">a small subset of data elements captured by the PHAs exclusively for the </w:t>
      </w:r>
      <w:r w:rsidRPr="00732D70" w:rsidR="002A7F1C">
        <w:rPr>
          <w:sz w:val="24"/>
          <w:szCs w:val="24"/>
        </w:rPr>
        <w:t>demonstration</w:t>
      </w:r>
      <w:r w:rsidRPr="00732D70" w:rsidR="00420F44">
        <w:rPr>
          <w:sz w:val="24"/>
          <w:szCs w:val="24"/>
        </w:rPr>
        <w:t>, called the “Rent Policy Implementation Data Tracking Tool”</w:t>
      </w:r>
      <w:r w:rsidRPr="00732D70" w:rsidR="002A7F1C">
        <w:rPr>
          <w:sz w:val="24"/>
          <w:szCs w:val="24"/>
        </w:rPr>
        <w:t xml:space="preserve"> (</w:t>
      </w:r>
      <w:r w:rsidRPr="00732D70" w:rsidR="001005C8">
        <w:rPr>
          <w:sz w:val="24"/>
          <w:szCs w:val="24"/>
        </w:rPr>
        <w:t xml:space="preserve">Attachment </w:t>
      </w:r>
      <w:r w:rsidRPr="00732D70" w:rsidR="00950A4B">
        <w:rPr>
          <w:sz w:val="24"/>
          <w:szCs w:val="24"/>
        </w:rPr>
        <w:t>G</w:t>
      </w:r>
      <w:r w:rsidRPr="00732D70" w:rsidR="00CD6C85">
        <w:rPr>
          <w:sz w:val="24"/>
          <w:szCs w:val="24"/>
        </w:rPr>
        <w:t xml:space="preserve"> list</w:t>
      </w:r>
      <w:r>
        <w:rPr>
          <w:sz w:val="24"/>
          <w:szCs w:val="24"/>
        </w:rPr>
        <w:t>s</w:t>
      </w:r>
      <w:r w:rsidRPr="00732D70" w:rsidR="00CD6C85">
        <w:rPr>
          <w:sz w:val="24"/>
          <w:szCs w:val="24"/>
        </w:rPr>
        <w:t xml:space="preserve"> </w:t>
      </w:r>
      <w:r>
        <w:rPr>
          <w:sz w:val="24"/>
          <w:szCs w:val="24"/>
        </w:rPr>
        <w:t xml:space="preserve">the </w:t>
      </w:r>
      <w:r w:rsidRPr="00732D70" w:rsidR="00CD6C85">
        <w:rPr>
          <w:sz w:val="24"/>
          <w:szCs w:val="24"/>
        </w:rPr>
        <w:t>items</w:t>
      </w:r>
      <w:r w:rsidRPr="00732D70" w:rsidR="008C37C9">
        <w:rPr>
          <w:sz w:val="24"/>
          <w:szCs w:val="24"/>
        </w:rPr>
        <w:t xml:space="preserve"> and </w:t>
      </w:r>
      <w:r w:rsidRPr="00732D70" w:rsidR="008919C2">
        <w:rPr>
          <w:sz w:val="24"/>
          <w:szCs w:val="24"/>
        </w:rPr>
        <w:t>the information they provide</w:t>
      </w:r>
      <w:r w:rsidRPr="00732D70" w:rsidR="001005C8">
        <w:rPr>
          <w:sz w:val="24"/>
          <w:szCs w:val="24"/>
        </w:rPr>
        <w:t>).</w:t>
      </w:r>
      <w:r w:rsidRPr="00732D70" w:rsidR="003660D2">
        <w:rPr>
          <w:sz w:val="24"/>
          <w:szCs w:val="24"/>
        </w:rPr>
        <w:t xml:space="preserve"> </w:t>
      </w:r>
      <w:r w:rsidRPr="00732D70" w:rsidR="007856CE">
        <w:rPr>
          <w:sz w:val="24"/>
          <w:szCs w:val="24"/>
        </w:rPr>
        <w:t>MDRC will collect these data fi</w:t>
      </w:r>
      <w:r w:rsidRPr="00732D70" w:rsidR="005E2F4F">
        <w:rPr>
          <w:sz w:val="24"/>
          <w:szCs w:val="24"/>
        </w:rPr>
        <w:t xml:space="preserve">elds </w:t>
      </w:r>
      <w:r w:rsidRPr="00732D70" w:rsidR="00D15D4E">
        <w:rPr>
          <w:sz w:val="24"/>
          <w:szCs w:val="24"/>
        </w:rPr>
        <w:t xml:space="preserve">along with </w:t>
      </w:r>
      <w:r w:rsidRPr="00732D70" w:rsidR="00393707">
        <w:rPr>
          <w:sz w:val="24"/>
          <w:szCs w:val="24"/>
        </w:rPr>
        <w:t xml:space="preserve">MTW Expansion </w:t>
      </w:r>
      <w:r w:rsidRPr="00732D70" w:rsidR="00D15D4E">
        <w:rPr>
          <w:sz w:val="24"/>
          <w:szCs w:val="24"/>
        </w:rPr>
        <w:t>50058</w:t>
      </w:r>
      <w:r w:rsidRPr="00732D70" w:rsidR="00082516">
        <w:rPr>
          <w:sz w:val="24"/>
          <w:szCs w:val="24"/>
        </w:rPr>
        <w:t xml:space="preserve"> data</w:t>
      </w:r>
      <w:r w:rsidR="000E0F06">
        <w:rPr>
          <w:sz w:val="24"/>
          <w:szCs w:val="24"/>
        </w:rPr>
        <w:t>, which is collected under OMB control number 2577-0083,</w:t>
      </w:r>
      <w:r w:rsidRPr="00732D70" w:rsidR="00A05DF3">
        <w:rPr>
          <w:sz w:val="24"/>
          <w:szCs w:val="24"/>
        </w:rPr>
        <w:t xml:space="preserve"> directly from PHAs</w:t>
      </w:r>
      <w:r w:rsidRPr="00732D70" w:rsidR="00301DEE">
        <w:rPr>
          <w:sz w:val="24"/>
          <w:szCs w:val="24"/>
        </w:rPr>
        <w:t xml:space="preserve"> </w:t>
      </w:r>
      <w:r w:rsidRPr="00732D70" w:rsidR="002531B7">
        <w:rPr>
          <w:sz w:val="24"/>
          <w:szCs w:val="24"/>
        </w:rPr>
        <w:t xml:space="preserve">during the early implementation period to ensure that the new rent rules are being </w:t>
      </w:r>
      <w:r w:rsidRPr="00732D70" w:rsidR="00F57AA5">
        <w:rPr>
          <w:sz w:val="24"/>
          <w:szCs w:val="24"/>
        </w:rPr>
        <w:t>implemented</w:t>
      </w:r>
      <w:r w:rsidRPr="00732D70" w:rsidR="002531B7">
        <w:rPr>
          <w:sz w:val="24"/>
          <w:szCs w:val="24"/>
        </w:rPr>
        <w:t xml:space="preserve"> correctly</w:t>
      </w:r>
      <w:r w:rsidR="003D54C9">
        <w:rPr>
          <w:sz w:val="24"/>
          <w:szCs w:val="24"/>
        </w:rPr>
        <w:t xml:space="preserve"> and throughout the demonstration to track hardship requests and collect updated contact information for ongoing communications and reminders about the demonstration and for potential follow-up surveys</w:t>
      </w:r>
      <w:r w:rsidRPr="00732D70" w:rsidR="002531B7">
        <w:rPr>
          <w:sz w:val="24"/>
          <w:szCs w:val="24"/>
        </w:rPr>
        <w:t>.</w:t>
      </w:r>
    </w:p>
    <w:p w:rsidR="00041CF3" w:rsidRDefault="00041CF3" w14:paraId="5EC6742F" w14:textId="28F95F9A">
      <w:pPr>
        <w:tabs>
          <w:tab w:val="left" w:pos="360"/>
        </w:tabs>
        <w:ind w:left="360" w:hanging="360"/>
        <w:rPr>
          <w:sz w:val="24"/>
          <w:szCs w:val="24"/>
        </w:rPr>
      </w:pPr>
    </w:p>
    <w:p w:rsidRPr="009120C0" w:rsidR="00BB31C8" w:rsidP="00BB31C8" w:rsidRDefault="00BB31C8" w14:paraId="7CB76DC8" w14:textId="77777777">
      <w:pPr>
        <w:ind w:left="360"/>
        <w:rPr>
          <w:sz w:val="24"/>
          <w:szCs w:val="24"/>
        </w:rPr>
      </w:pPr>
      <w:r w:rsidRPr="009120C0">
        <w:rPr>
          <w:sz w:val="24"/>
          <w:szCs w:val="24"/>
        </w:rPr>
        <w:t xml:space="preserve">This new information collection request includes the following data collection instruments and attachments:  </w:t>
      </w:r>
    </w:p>
    <w:p w:rsidR="0047222F" w:rsidP="0047222F" w:rsidRDefault="0047222F" w14:paraId="41645B28" w14:textId="77777777">
      <w:pPr>
        <w:pStyle w:val="CommentText"/>
        <w:rPr>
          <w:sz w:val="24"/>
          <w:szCs w:val="24"/>
        </w:rPr>
      </w:pPr>
    </w:p>
    <w:p w:rsidR="00BB31C8" w:rsidP="00BB31C8" w:rsidRDefault="00BB31C8" w14:paraId="37599A62" w14:textId="77777777">
      <w:pPr>
        <w:pStyle w:val="CommentText"/>
        <w:numPr>
          <w:ilvl w:val="0"/>
          <w:numId w:val="17"/>
        </w:numPr>
        <w:textAlignment w:val="auto"/>
        <w:rPr>
          <w:sz w:val="24"/>
          <w:szCs w:val="24"/>
        </w:rPr>
      </w:pPr>
      <w:r>
        <w:rPr>
          <w:sz w:val="24"/>
          <w:szCs w:val="24"/>
        </w:rPr>
        <w:t xml:space="preserve">Attachment A: Baseline Information Form </w:t>
      </w:r>
    </w:p>
    <w:p w:rsidR="00BB31C8" w:rsidP="00BB31C8" w:rsidRDefault="00BB31C8" w14:paraId="038479A5" w14:textId="6660186A">
      <w:pPr>
        <w:pStyle w:val="CommentText"/>
        <w:numPr>
          <w:ilvl w:val="0"/>
          <w:numId w:val="17"/>
        </w:numPr>
        <w:textAlignment w:val="auto"/>
        <w:rPr>
          <w:sz w:val="24"/>
          <w:szCs w:val="24"/>
        </w:rPr>
      </w:pPr>
      <w:r>
        <w:rPr>
          <w:sz w:val="24"/>
          <w:szCs w:val="24"/>
        </w:rPr>
        <w:t>Attachment B.1: Informed Consent Form- Stepped Rent</w:t>
      </w:r>
    </w:p>
    <w:p w:rsidR="00BB31C8" w:rsidP="00BB31C8" w:rsidRDefault="00BB31C8" w14:paraId="0C3B72D4" w14:textId="75A5D12C">
      <w:pPr>
        <w:pStyle w:val="CommentText"/>
        <w:numPr>
          <w:ilvl w:val="0"/>
          <w:numId w:val="17"/>
        </w:numPr>
        <w:textAlignment w:val="auto"/>
        <w:rPr>
          <w:sz w:val="24"/>
          <w:szCs w:val="24"/>
        </w:rPr>
      </w:pPr>
      <w:r>
        <w:rPr>
          <w:sz w:val="24"/>
          <w:szCs w:val="24"/>
        </w:rPr>
        <w:t>Attachment B.2: Informed Consent Form- Tiered Rent</w:t>
      </w:r>
    </w:p>
    <w:p w:rsidR="00BB31C8" w:rsidP="00BB31C8" w:rsidRDefault="00BB31C8" w14:paraId="5FB0F838" w14:textId="77777777">
      <w:pPr>
        <w:pStyle w:val="CommentText"/>
        <w:numPr>
          <w:ilvl w:val="0"/>
          <w:numId w:val="17"/>
        </w:numPr>
        <w:textAlignment w:val="auto"/>
        <w:rPr>
          <w:sz w:val="24"/>
          <w:szCs w:val="24"/>
        </w:rPr>
      </w:pPr>
      <w:r>
        <w:rPr>
          <w:sz w:val="24"/>
          <w:szCs w:val="24"/>
        </w:rPr>
        <w:t>Attachment C: Executive Director Interview Guide</w:t>
      </w:r>
    </w:p>
    <w:p w:rsidR="00BB31C8" w:rsidP="00BB31C8" w:rsidRDefault="00BB31C8" w14:paraId="232F67F1" w14:textId="77777777">
      <w:pPr>
        <w:pStyle w:val="CommentText"/>
        <w:numPr>
          <w:ilvl w:val="0"/>
          <w:numId w:val="17"/>
        </w:numPr>
        <w:textAlignment w:val="auto"/>
        <w:rPr>
          <w:sz w:val="24"/>
          <w:szCs w:val="24"/>
        </w:rPr>
      </w:pPr>
      <w:r>
        <w:rPr>
          <w:sz w:val="24"/>
          <w:szCs w:val="24"/>
        </w:rPr>
        <w:t>Attachment D: Program Director Interview Guide</w:t>
      </w:r>
    </w:p>
    <w:p w:rsidR="00BB31C8" w:rsidP="00BB31C8" w:rsidRDefault="00BB31C8" w14:paraId="6CB35C18" w14:textId="77777777">
      <w:pPr>
        <w:pStyle w:val="CommentText"/>
        <w:numPr>
          <w:ilvl w:val="0"/>
          <w:numId w:val="17"/>
        </w:numPr>
        <w:textAlignment w:val="auto"/>
        <w:rPr>
          <w:sz w:val="24"/>
          <w:szCs w:val="24"/>
        </w:rPr>
      </w:pPr>
      <w:r>
        <w:rPr>
          <w:sz w:val="24"/>
          <w:szCs w:val="24"/>
        </w:rPr>
        <w:t>Attachment E: MTW Coordinator Interview Guide</w:t>
      </w:r>
    </w:p>
    <w:p w:rsidR="00BB31C8" w:rsidP="00BB31C8" w:rsidRDefault="00BB31C8" w14:paraId="37E0F2DD" w14:textId="77777777">
      <w:pPr>
        <w:pStyle w:val="CommentText"/>
        <w:numPr>
          <w:ilvl w:val="0"/>
          <w:numId w:val="17"/>
        </w:numPr>
        <w:textAlignment w:val="auto"/>
        <w:rPr>
          <w:sz w:val="24"/>
          <w:szCs w:val="24"/>
        </w:rPr>
      </w:pPr>
      <w:r>
        <w:rPr>
          <w:sz w:val="24"/>
          <w:szCs w:val="24"/>
        </w:rPr>
        <w:t xml:space="preserve">Attachment F: Housing Specialist Interview Guide </w:t>
      </w:r>
    </w:p>
    <w:p w:rsidR="00BB31C8" w:rsidP="00BB31C8" w:rsidRDefault="00BB31C8" w14:paraId="4BD1E2B9" w14:textId="77777777">
      <w:pPr>
        <w:pStyle w:val="ListParagraph"/>
        <w:numPr>
          <w:ilvl w:val="0"/>
          <w:numId w:val="17"/>
        </w:numPr>
        <w:overflowPunct/>
        <w:autoSpaceDE/>
        <w:adjustRightInd/>
        <w:contextualSpacing w:val="0"/>
        <w:textAlignment w:val="auto"/>
        <w:rPr>
          <w:b/>
          <w:sz w:val="24"/>
          <w:szCs w:val="24"/>
        </w:rPr>
      </w:pPr>
      <w:r>
        <w:rPr>
          <w:sz w:val="24"/>
          <w:szCs w:val="24"/>
        </w:rPr>
        <w:t>Attachment G: Rent Policy Implementation Data Tracking Tool</w:t>
      </w:r>
    </w:p>
    <w:p w:rsidRPr="00AC1633" w:rsidR="00BB31C8" w:rsidP="00AC1633" w:rsidRDefault="00BB31C8" w14:paraId="19A40720" w14:textId="0839377A">
      <w:pPr>
        <w:pStyle w:val="ListParagraph"/>
        <w:numPr>
          <w:ilvl w:val="0"/>
          <w:numId w:val="17"/>
        </w:numPr>
        <w:overflowPunct/>
        <w:autoSpaceDE/>
        <w:adjustRightInd/>
        <w:contextualSpacing w:val="0"/>
        <w:textAlignment w:val="auto"/>
        <w:rPr>
          <w:b/>
          <w:sz w:val="24"/>
          <w:szCs w:val="24"/>
        </w:rPr>
      </w:pPr>
      <w:r>
        <w:rPr>
          <w:sz w:val="24"/>
          <w:szCs w:val="24"/>
        </w:rPr>
        <w:t>Attachment H: HUD Statutory Authority to Collect Information</w:t>
      </w:r>
    </w:p>
    <w:p w:rsidR="0047222F" w:rsidRDefault="0047222F" w14:paraId="01D55C42" w14:textId="71410420">
      <w:pPr>
        <w:tabs>
          <w:tab w:val="left" w:pos="360"/>
        </w:tabs>
        <w:ind w:left="360" w:hanging="360"/>
        <w:rPr>
          <w:sz w:val="24"/>
          <w:szCs w:val="24"/>
        </w:rPr>
      </w:pPr>
    </w:p>
    <w:p w:rsidRPr="006C7FAE" w:rsidR="0047222F" w:rsidRDefault="0047222F" w14:paraId="664829A6" w14:textId="77777777">
      <w:pPr>
        <w:tabs>
          <w:tab w:val="left" w:pos="360"/>
        </w:tabs>
        <w:ind w:left="360" w:hanging="360"/>
        <w:rPr>
          <w:sz w:val="24"/>
          <w:szCs w:val="24"/>
        </w:rPr>
      </w:pPr>
    </w:p>
    <w:p w:rsidRPr="00447048" w:rsidR="00F96022" w:rsidP="00447048" w:rsidRDefault="009E13B1" w14:paraId="5EEA885A" w14:textId="18D8E8C3">
      <w:pPr>
        <w:keepLines/>
        <w:tabs>
          <w:tab w:val="left" w:pos="360"/>
        </w:tabs>
        <w:spacing w:after="80"/>
        <w:ind w:left="360" w:hanging="360"/>
        <w:rPr>
          <w:b/>
          <w:bCs/>
          <w:sz w:val="24"/>
          <w:szCs w:val="24"/>
        </w:rPr>
      </w:pPr>
      <w:r w:rsidRPr="00E1722C">
        <w:rPr>
          <w:b/>
          <w:bCs/>
          <w:sz w:val="24"/>
          <w:szCs w:val="24"/>
        </w:rPr>
        <w:lastRenderedPageBreak/>
        <w:t>2.</w:t>
      </w:r>
      <w:r w:rsidRPr="00E1722C">
        <w:rPr>
          <w:b/>
          <w:bCs/>
          <w:sz w:val="24"/>
          <w:szCs w:val="24"/>
        </w:rPr>
        <w:tab/>
        <w:t>Indicate how, by whom and for what purpose the information is to be used.  Except for a new collection, indicate the actual use the agency has made of the information received from the current collection.</w:t>
      </w:r>
    </w:p>
    <w:p w:rsidR="00C87C57" w:rsidP="00F96022" w:rsidRDefault="00C87C57" w14:paraId="667DC0A1" w14:textId="4ECFD74E">
      <w:pPr>
        <w:tabs>
          <w:tab w:val="left" w:pos="360"/>
        </w:tabs>
        <w:ind w:left="360"/>
        <w:rPr>
          <w:sz w:val="24"/>
          <w:szCs w:val="24"/>
        </w:rPr>
      </w:pPr>
      <w:r>
        <w:rPr>
          <w:sz w:val="24"/>
          <w:szCs w:val="24"/>
        </w:rPr>
        <w:t xml:space="preserve">This is a new information collection. The information will be used by HUD, HUD’s contractor MDRC, and any other </w:t>
      </w:r>
      <w:r w:rsidR="00F96022">
        <w:rPr>
          <w:sz w:val="24"/>
          <w:szCs w:val="24"/>
        </w:rPr>
        <w:t xml:space="preserve">HUD </w:t>
      </w:r>
      <w:r>
        <w:rPr>
          <w:sz w:val="24"/>
          <w:szCs w:val="24"/>
        </w:rPr>
        <w:t>contractor that may be tasked with supporting the long-term evaluation of the STRD.</w:t>
      </w:r>
      <w:r w:rsidR="00E1722C">
        <w:rPr>
          <w:sz w:val="24"/>
          <w:szCs w:val="24"/>
        </w:rPr>
        <w:t xml:space="preserve"> The information will be used to</w:t>
      </w:r>
      <w:r w:rsidR="002D154E">
        <w:rPr>
          <w:sz w:val="24"/>
          <w:szCs w:val="24"/>
        </w:rPr>
        <w:t>:</w:t>
      </w:r>
      <w:r w:rsidR="00E1722C">
        <w:rPr>
          <w:sz w:val="24"/>
          <w:szCs w:val="24"/>
        </w:rPr>
        <w:t xml:space="preserve"> </w:t>
      </w:r>
      <w:r w:rsidR="00E31DC5">
        <w:rPr>
          <w:sz w:val="24"/>
          <w:szCs w:val="24"/>
        </w:rPr>
        <w:t>monitor that the new rent rule</w:t>
      </w:r>
      <w:r w:rsidR="00236303">
        <w:rPr>
          <w:sz w:val="24"/>
          <w:szCs w:val="24"/>
        </w:rPr>
        <w:t>s</w:t>
      </w:r>
      <w:r w:rsidR="00E31DC5">
        <w:rPr>
          <w:sz w:val="24"/>
          <w:szCs w:val="24"/>
        </w:rPr>
        <w:t xml:space="preserve"> are </w:t>
      </w:r>
      <w:r w:rsidR="002D154E">
        <w:rPr>
          <w:sz w:val="24"/>
          <w:szCs w:val="24"/>
        </w:rPr>
        <w:t>implemented</w:t>
      </w:r>
      <w:r w:rsidR="008F14C1">
        <w:rPr>
          <w:sz w:val="24"/>
          <w:szCs w:val="24"/>
        </w:rPr>
        <w:t xml:space="preserve"> </w:t>
      </w:r>
      <w:r w:rsidR="00AA63CB">
        <w:rPr>
          <w:sz w:val="24"/>
          <w:szCs w:val="24"/>
        </w:rPr>
        <w:t>correctly,</w:t>
      </w:r>
      <w:r w:rsidR="002D154E">
        <w:rPr>
          <w:sz w:val="24"/>
          <w:szCs w:val="24"/>
        </w:rPr>
        <w:t xml:space="preserve"> </w:t>
      </w:r>
      <w:r w:rsidR="00E1722C">
        <w:rPr>
          <w:sz w:val="24"/>
          <w:szCs w:val="24"/>
        </w:rPr>
        <w:t>document baseline conditions prior to implementation of the new rent policies, assess PHA implementation of the new policies, to lay a foundation for the long-term evaluation of the policies’ impacts</w:t>
      </w:r>
      <w:r w:rsidR="00575C77">
        <w:rPr>
          <w:sz w:val="24"/>
          <w:szCs w:val="24"/>
        </w:rPr>
        <w:t xml:space="preserve">, and to communicate </w:t>
      </w:r>
      <w:r w:rsidR="00D5708C">
        <w:rPr>
          <w:sz w:val="24"/>
          <w:szCs w:val="24"/>
        </w:rPr>
        <w:t xml:space="preserve">information </w:t>
      </w:r>
      <w:r w:rsidR="004327B6">
        <w:rPr>
          <w:sz w:val="24"/>
          <w:szCs w:val="24"/>
        </w:rPr>
        <w:t xml:space="preserve">and reminders </w:t>
      </w:r>
      <w:r w:rsidR="00D5708C">
        <w:rPr>
          <w:sz w:val="24"/>
          <w:szCs w:val="24"/>
        </w:rPr>
        <w:t xml:space="preserve">about the </w:t>
      </w:r>
      <w:r w:rsidR="004327B6">
        <w:rPr>
          <w:sz w:val="24"/>
          <w:szCs w:val="24"/>
        </w:rPr>
        <w:t>new</w:t>
      </w:r>
      <w:r w:rsidR="00D14122">
        <w:rPr>
          <w:sz w:val="24"/>
          <w:szCs w:val="24"/>
        </w:rPr>
        <w:t xml:space="preserve"> rent rules to</w:t>
      </w:r>
      <w:r w:rsidR="00575C77">
        <w:rPr>
          <w:sz w:val="24"/>
          <w:szCs w:val="24"/>
        </w:rPr>
        <w:t xml:space="preserve"> the</w:t>
      </w:r>
      <w:r w:rsidR="00D14122">
        <w:rPr>
          <w:sz w:val="24"/>
          <w:szCs w:val="24"/>
        </w:rPr>
        <w:t xml:space="preserve"> households</w:t>
      </w:r>
      <w:r w:rsidR="00E1722C">
        <w:rPr>
          <w:sz w:val="24"/>
          <w:szCs w:val="24"/>
        </w:rPr>
        <w:t>.</w:t>
      </w:r>
    </w:p>
    <w:p w:rsidRPr="006C7FAE" w:rsidR="009E13B1" w:rsidP="00C87C57" w:rsidRDefault="009E13B1" w14:paraId="0153DBD3" w14:textId="77777777">
      <w:pPr>
        <w:keepLines/>
        <w:tabs>
          <w:tab w:val="left" w:pos="360"/>
          <w:tab w:val="left" w:pos="720"/>
        </w:tabs>
        <w:rPr>
          <w:sz w:val="24"/>
          <w:szCs w:val="24"/>
        </w:rPr>
      </w:pPr>
    </w:p>
    <w:p w:rsidRPr="00E1722C" w:rsidR="009E13B1" w:rsidRDefault="009E13B1" w14:paraId="0924E062" w14:textId="77777777">
      <w:pPr>
        <w:keepLines/>
        <w:tabs>
          <w:tab w:val="left" w:pos="360"/>
        </w:tabs>
        <w:spacing w:after="80"/>
        <w:ind w:left="360" w:hanging="360"/>
        <w:rPr>
          <w:b/>
          <w:bCs/>
          <w:sz w:val="24"/>
          <w:szCs w:val="24"/>
        </w:rPr>
      </w:pPr>
      <w:r w:rsidRPr="00E1722C">
        <w:rPr>
          <w:b/>
          <w:bCs/>
          <w:sz w:val="24"/>
          <w:szCs w:val="24"/>
        </w:rPr>
        <w:t>3.</w:t>
      </w:r>
      <w:r w:rsidRPr="00E1722C">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C17D3" w:rsidR="00EC17D3" w:rsidP="00EC17D3" w:rsidRDefault="00EC17D3" w14:paraId="0BDD9562" w14:textId="1683B044">
      <w:pPr>
        <w:keepLines/>
        <w:tabs>
          <w:tab w:val="left" w:pos="360"/>
        </w:tabs>
        <w:spacing w:after="80"/>
        <w:ind w:left="360" w:hanging="360"/>
        <w:rPr>
          <w:sz w:val="24"/>
          <w:szCs w:val="24"/>
        </w:rPr>
      </w:pPr>
      <w:r>
        <w:rPr>
          <w:sz w:val="24"/>
          <w:szCs w:val="24"/>
          <w:lang w:val="x-none"/>
        </w:rPr>
        <w:tab/>
      </w:r>
      <w:r w:rsidRPr="00EC17D3">
        <w:rPr>
          <w:sz w:val="24"/>
          <w:szCs w:val="24"/>
          <w:lang w:val="x-none"/>
        </w:rPr>
        <w:t xml:space="preserve">Wherever possible, advanced technology will be used in data collection efforts to reduce burden on study participants and on site staff. </w:t>
      </w:r>
      <w:r w:rsidRPr="00EC17D3">
        <w:rPr>
          <w:sz w:val="24"/>
          <w:szCs w:val="24"/>
        </w:rPr>
        <w:t>For the Baseline Information Form</w:t>
      </w:r>
      <w:r w:rsidR="00727257">
        <w:rPr>
          <w:sz w:val="24"/>
          <w:szCs w:val="24"/>
        </w:rPr>
        <w:t xml:space="preserve">, </w:t>
      </w:r>
      <w:r w:rsidRPr="00EC17D3">
        <w:rPr>
          <w:sz w:val="24"/>
          <w:szCs w:val="24"/>
        </w:rPr>
        <w:t xml:space="preserve">PHA staff or a third-party survey contractor will administer the survey verbally to study participants. The survey will seek to gather data that are not available in agency administrative records. Verbal responses to the survey will be recorded online using a secure, </w:t>
      </w:r>
      <w:r w:rsidR="00917101">
        <w:rPr>
          <w:sz w:val="24"/>
          <w:szCs w:val="24"/>
        </w:rPr>
        <w:t xml:space="preserve">MDRC-developed web-based data collection tool. </w:t>
      </w:r>
      <w:r w:rsidRPr="00EC17D3">
        <w:rPr>
          <w:sz w:val="24"/>
          <w:szCs w:val="24"/>
        </w:rPr>
        <w:t>As back up,</w:t>
      </w:r>
      <w:r w:rsidR="00053448">
        <w:rPr>
          <w:sz w:val="24"/>
          <w:szCs w:val="24"/>
        </w:rPr>
        <w:t xml:space="preserve"> if a participant is not able to complete a survey with the PHA staff or with DIR, then DIR will send </w:t>
      </w:r>
      <w:r w:rsidR="00B77317">
        <w:rPr>
          <w:sz w:val="24"/>
          <w:szCs w:val="24"/>
        </w:rPr>
        <w:t xml:space="preserve">the participant </w:t>
      </w:r>
      <w:r w:rsidR="00053448">
        <w:rPr>
          <w:sz w:val="24"/>
          <w:szCs w:val="24"/>
        </w:rPr>
        <w:t xml:space="preserve">an electronic link to the </w:t>
      </w:r>
      <w:r w:rsidR="00B77317">
        <w:rPr>
          <w:sz w:val="24"/>
          <w:szCs w:val="24"/>
        </w:rPr>
        <w:t>web-based data collection tool and the participant can self-administer the survey using the tool. B</w:t>
      </w:r>
      <w:r w:rsidRPr="00EC17D3">
        <w:rPr>
          <w:sz w:val="24"/>
          <w:szCs w:val="24"/>
        </w:rPr>
        <w:t xml:space="preserve">ut the primary mode of data collection </w:t>
      </w:r>
      <w:r w:rsidR="007138C2">
        <w:rPr>
          <w:sz w:val="24"/>
          <w:szCs w:val="24"/>
        </w:rPr>
        <w:t xml:space="preserve">is expected to be </w:t>
      </w:r>
      <w:r w:rsidRPr="00EC17D3">
        <w:rPr>
          <w:sz w:val="24"/>
          <w:szCs w:val="24"/>
        </w:rPr>
        <w:t>verbal responses recorded by survey facilitators online.</w:t>
      </w:r>
    </w:p>
    <w:p w:rsidRPr="00EC17D3" w:rsidR="00EC17D3" w:rsidP="00EC17D3" w:rsidRDefault="00EC17D3" w14:paraId="4EB88367" w14:textId="77777777">
      <w:pPr>
        <w:keepLines/>
        <w:tabs>
          <w:tab w:val="left" w:pos="360"/>
        </w:tabs>
        <w:spacing w:after="80"/>
        <w:ind w:left="360" w:hanging="360"/>
        <w:rPr>
          <w:sz w:val="24"/>
          <w:szCs w:val="24"/>
        </w:rPr>
      </w:pPr>
    </w:p>
    <w:p w:rsidRPr="006C7FAE" w:rsidR="00C87C57" w:rsidP="00447048" w:rsidRDefault="00EC17D3" w14:paraId="6CA94B8F" w14:textId="058DF513">
      <w:pPr>
        <w:keepLines/>
        <w:tabs>
          <w:tab w:val="left" w:pos="360"/>
        </w:tabs>
        <w:spacing w:after="80"/>
        <w:ind w:left="360" w:hanging="360"/>
        <w:rPr>
          <w:sz w:val="24"/>
          <w:szCs w:val="24"/>
        </w:rPr>
      </w:pPr>
      <w:r>
        <w:rPr>
          <w:sz w:val="24"/>
          <w:szCs w:val="24"/>
        </w:rPr>
        <w:tab/>
      </w:r>
      <w:r w:rsidRPr="00EC17D3">
        <w:rPr>
          <w:sz w:val="24"/>
          <w:szCs w:val="24"/>
        </w:rPr>
        <w:t xml:space="preserve">For the </w:t>
      </w:r>
      <w:r w:rsidR="007138C2">
        <w:rPr>
          <w:sz w:val="24"/>
          <w:szCs w:val="24"/>
        </w:rPr>
        <w:t xml:space="preserve">interviews with </w:t>
      </w:r>
      <w:r w:rsidRPr="00EC17D3">
        <w:rPr>
          <w:sz w:val="24"/>
          <w:szCs w:val="24"/>
        </w:rPr>
        <w:t xml:space="preserve">PHA </w:t>
      </w:r>
      <w:r w:rsidR="007138C2">
        <w:rPr>
          <w:sz w:val="24"/>
          <w:szCs w:val="24"/>
        </w:rPr>
        <w:t xml:space="preserve">staff, </w:t>
      </w:r>
      <w:r w:rsidRPr="00EC17D3">
        <w:rPr>
          <w:sz w:val="24"/>
          <w:szCs w:val="24"/>
        </w:rPr>
        <w:t xml:space="preserve">the research team will first seek to conduct data collection in person, recording </w:t>
      </w:r>
      <w:r w:rsidR="00D73635">
        <w:rPr>
          <w:sz w:val="24"/>
          <w:szCs w:val="24"/>
        </w:rPr>
        <w:t xml:space="preserve">the </w:t>
      </w:r>
      <w:r w:rsidRPr="00EC17D3">
        <w:rPr>
          <w:sz w:val="24"/>
          <w:szCs w:val="24"/>
        </w:rPr>
        <w:t>interview</w:t>
      </w:r>
      <w:r w:rsidR="00D73635">
        <w:rPr>
          <w:sz w:val="24"/>
          <w:szCs w:val="24"/>
        </w:rPr>
        <w:t xml:space="preserve">s </w:t>
      </w:r>
      <w:r w:rsidRPr="00EC17D3">
        <w:rPr>
          <w:sz w:val="24"/>
          <w:szCs w:val="24"/>
        </w:rPr>
        <w:t>for later transcription and analysis. The research team will seek to collect certain information via phone or secure electronic videoconference software (e.g., Zoom for Government), if PHA staff are unavailable for in-person interviews.</w:t>
      </w:r>
    </w:p>
    <w:p w:rsidRPr="006C7FAE" w:rsidR="00C87C57" w:rsidP="00447048" w:rsidRDefault="00C87C57" w14:paraId="6B20C090" w14:textId="77777777">
      <w:pPr>
        <w:tabs>
          <w:tab w:val="left" w:pos="360"/>
        </w:tabs>
        <w:rPr>
          <w:sz w:val="24"/>
          <w:szCs w:val="24"/>
        </w:rPr>
      </w:pPr>
    </w:p>
    <w:p w:rsidRPr="006C7FAE" w:rsidR="00923B16" w:rsidP="000A67CC" w:rsidRDefault="00405EF4" w14:paraId="079E99D7" w14:textId="4FE0ABA3">
      <w:pPr>
        <w:tabs>
          <w:tab w:val="left" w:pos="360"/>
        </w:tabs>
        <w:ind w:left="360"/>
        <w:rPr>
          <w:sz w:val="24"/>
          <w:szCs w:val="24"/>
        </w:rPr>
      </w:pPr>
      <w:r>
        <w:rPr>
          <w:sz w:val="24"/>
          <w:szCs w:val="24"/>
        </w:rPr>
        <w:t>F</w:t>
      </w:r>
      <w:r w:rsidR="0088158A">
        <w:rPr>
          <w:sz w:val="24"/>
          <w:szCs w:val="24"/>
        </w:rPr>
        <w:t>o</w:t>
      </w:r>
      <w:r w:rsidR="00D73635">
        <w:rPr>
          <w:sz w:val="24"/>
          <w:szCs w:val="24"/>
        </w:rPr>
        <w:t>llowing the launch of the demonstration, fo</w:t>
      </w:r>
      <w:r w:rsidR="0088158A">
        <w:rPr>
          <w:sz w:val="24"/>
          <w:szCs w:val="24"/>
        </w:rPr>
        <w:t xml:space="preserve">r </w:t>
      </w:r>
      <w:r w:rsidR="007B7AED">
        <w:rPr>
          <w:sz w:val="24"/>
          <w:szCs w:val="24"/>
        </w:rPr>
        <w:t>monitoring</w:t>
      </w:r>
      <w:r w:rsidR="0088158A">
        <w:rPr>
          <w:sz w:val="24"/>
          <w:szCs w:val="24"/>
        </w:rPr>
        <w:t xml:space="preserve"> the implementation of the rent rules by PHA staff</w:t>
      </w:r>
      <w:r w:rsidR="00E77B40">
        <w:rPr>
          <w:sz w:val="24"/>
          <w:szCs w:val="24"/>
        </w:rPr>
        <w:t xml:space="preserve">, </w:t>
      </w:r>
      <w:r w:rsidR="0021084A">
        <w:rPr>
          <w:sz w:val="24"/>
          <w:szCs w:val="24"/>
        </w:rPr>
        <w:t>conduct</w:t>
      </w:r>
      <w:r w:rsidR="00E77B40">
        <w:rPr>
          <w:sz w:val="24"/>
          <w:szCs w:val="24"/>
        </w:rPr>
        <w:t>ing</w:t>
      </w:r>
      <w:r w:rsidR="0021084A">
        <w:rPr>
          <w:sz w:val="24"/>
          <w:szCs w:val="24"/>
        </w:rPr>
        <w:t xml:space="preserve"> quality checks on the </w:t>
      </w:r>
      <w:r w:rsidR="00D009CD">
        <w:rPr>
          <w:sz w:val="24"/>
          <w:szCs w:val="24"/>
        </w:rPr>
        <w:t xml:space="preserve">software vendor modifications, </w:t>
      </w:r>
      <w:r w:rsidR="00E77B40">
        <w:rPr>
          <w:sz w:val="24"/>
          <w:szCs w:val="24"/>
        </w:rPr>
        <w:t>and for contacting household for interviews,</w:t>
      </w:r>
      <w:r w:rsidR="00D009CD">
        <w:rPr>
          <w:sz w:val="24"/>
          <w:szCs w:val="24"/>
        </w:rPr>
        <w:t xml:space="preserve"> MDRC will rely on </w:t>
      </w:r>
      <w:r w:rsidR="00AF641C">
        <w:rPr>
          <w:sz w:val="24"/>
          <w:szCs w:val="24"/>
        </w:rPr>
        <w:t xml:space="preserve">50058 </w:t>
      </w:r>
      <w:r w:rsidR="00F0075A">
        <w:rPr>
          <w:sz w:val="24"/>
          <w:szCs w:val="24"/>
        </w:rPr>
        <w:t xml:space="preserve">data collected from all 10 PHAs in the study.  </w:t>
      </w:r>
      <w:r w:rsidR="00AF641C">
        <w:rPr>
          <w:sz w:val="24"/>
          <w:szCs w:val="24"/>
        </w:rPr>
        <w:t xml:space="preserve">In addition, </w:t>
      </w:r>
      <w:r w:rsidR="00F0075A">
        <w:rPr>
          <w:sz w:val="24"/>
          <w:szCs w:val="24"/>
        </w:rPr>
        <w:t xml:space="preserve">MDRC will work with PHA staff and software vendors </w:t>
      </w:r>
      <w:r w:rsidR="00D935CD">
        <w:rPr>
          <w:sz w:val="24"/>
          <w:szCs w:val="24"/>
        </w:rPr>
        <w:t xml:space="preserve">to include study-specific fields </w:t>
      </w:r>
      <w:r w:rsidR="009F0181">
        <w:rPr>
          <w:sz w:val="24"/>
          <w:szCs w:val="24"/>
        </w:rPr>
        <w:t>in the software systems</w:t>
      </w:r>
      <w:r w:rsidR="00AF641C">
        <w:rPr>
          <w:sz w:val="24"/>
          <w:szCs w:val="24"/>
        </w:rPr>
        <w:t xml:space="preserve"> (see </w:t>
      </w:r>
      <w:r w:rsidR="000328F1">
        <w:rPr>
          <w:sz w:val="24"/>
          <w:szCs w:val="24"/>
        </w:rPr>
        <w:t>Attachment</w:t>
      </w:r>
      <w:r w:rsidR="00C65EEB">
        <w:rPr>
          <w:sz w:val="24"/>
          <w:szCs w:val="24"/>
        </w:rPr>
        <w:t xml:space="preserve"> G</w:t>
      </w:r>
      <w:r w:rsidR="00AF641C">
        <w:rPr>
          <w:sz w:val="24"/>
          <w:szCs w:val="24"/>
        </w:rPr>
        <w:t>)</w:t>
      </w:r>
      <w:r w:rsidR="009F0181">
        <w:rPr>
          <w:sz w:val="24"/>
          <w:szCs w:val="24"/>
        </w:rPr>
        <w:t xml:space="preserve">, which will be then extracted by PHA staff </w:t>
      </w:r>
      <w:r w:rsidR="00193BCC">
        <w:rPr>
          <w:sz w:val="24"/>
          <w:szCs w:val="24"/>
        </w:rPr>
        <w:t xml:space="preserve">along with other 50058 data </w:t>
      </w:r>
      <w:r w:rsidR="009F0181">
        <w:rPr>
          <w:sz w:val="24"/>
          <w:szCs w:val="24"/>
        </w:rPr>
        <w:t xml:space="preserve">and </w:t>
      </w:r>
      <w:r w:rsidR="00AB0E1A">
        <w:rPr>
          <w:sz w:val="24"/>
          <w:szCs w:val="24"/>
        </w:rPr>
        <w:t xml:space="preserve">securely </w:t>
      </w:r>
      <w:r w:rsidR="009F0181">
        <w:rPr>
          <w:sz w:val="24"/>
          <w:szCs w:val="24"/>
        </w:rPr>
        <w:t>transfer</w:t>
      </w:r>
      <w:r w:rsidR="00AB0E1A">
        <w:rPr>
          <w:sz w:val="24"/>
          <w:szCs w:val="24"/>
        </w:rPr>
        <w:t xml:space="preserve">red to MDRC. </w:t>
      </w:r>
      <w:r w:rsidRPr="637DFF00" w:rsidR="402BE8F9">
        <w:rPr>
          <w:sz w:val="24"/>
          <w:szCs w:val="24"/>
        </w:rPr>
        <w:t xml:space="preserve">All </w:t>
      </w:r>
      <w:r w:rsidRPr="637DFF00" w:rsidR="009B3DB3">
        <w:rPr>
          <w:sz w:val="24"/>
          <w:szCs w:val="24"/>
        </w:rPr>
        <w:t>of</w:t>
      </w:r>
      <w:r w:rsidR="009B3DB3">
        <w:rPr>
          <w:sz w:val="24"/>
          <w:szCs w:val="24"/>
        </w:rPr>
        <w:t xml:space="preserve"> the research-</w:t>
      </w:r>
      <w:r w:rsidRPr="00CA2803" w:rsidR="009B3DB3">
        <w:rPr>
          <w:sz w:val="24"/>
          <w:szCs w:val="24"/>
        </w:rPr>
        <w:t>specific items</w:t>
      </w:r>
      <w:r w:rsidRPr="00CA2803" w:rsidR="00B762E1">
        <w:rPr>
          <w:sz w:val="24"/>
          <w:szCs w:val="24"/>
        </w:rPr>
        <w:t xml:space="preserve"> shown in </w:t>
      </w:r>
      <w:r w:rsidRPr="00CA2803" w:rsidR="000328F1">
        <w:rPr>
          <w:sz w:val="24"/>
          <w:szCs w:val="24"/>
        </w:rPr>
        <w:t>Attachment</w:t>
      </w:r>
      <w:r w:rsidRPr="00CA2803" w:rsidR="00325BC3">
        <w:rPr>
          <w:sz w:val="24"/>
          <w:szCs w:val="24"/>
        </w:rPr>
        <w:t xml:space="preserve"> G </w:t>
      </w:r>
      <w:r w:rsidRPr="00CA2803" w:rsidR="009B3DB3">
        <w:rPr>
          <w:sz w:val="24"/>
          <w:szCs w:val="24"/>
        </w:rPr>
        <w:t>will only be entered once, thus PHA staff burden should be minimal</w:t>
      </w:r>
      <w:r w:rsidR="009B3DB3">
        <w:rPr>
          <w:sz w:val="24"/>
          <w:szCs w:val="24"/>
        </w:rPr>
        <w:t xml:space="preserve">. </w:t>
      </w:r>
      <w:r w:rsidR="009E21B8">
        <w:rPr>
          <w:sz w:val="24"/>
          <w:szCs w:val="24"/>
        </w:rPr>
        <w:t>Running the extracts by PHA staff will be set up so that minimal user intervention is needed. Further, w</w:t>
      </w:r>
      <w:r w:rsidR="004C011C">
        <w:rPr>
          <w:sz w:val="24"/>
          <w:szCs w:val="24"/>
        </w:rPr>
        <w:t xml:space="preserve">orking with the PHAs and software vendors, MDRC will </w:t>
      </w:r>
      <w:r w:rsidR="00553D55">
        <w:rPr>
          <w:sz w:val="24"/>
          <w:szCs w:val="24"/>
        </w:rPr>
        <w:t xml:space="preserve">specify the data </w:t>
      </w:r>
      <w:r w:rsidR="004713B9">
        <w:rPr>
          <w:sz w:val="24"/>
          <w:szCs w:val="24"/>
        </w:rPr>
        <w:t>we</w:t>
      </w:r>
      <w:r w:rsidR="00553D55">
        <w:rPr>
          <w:sz w:val="24"/>
          <w:szCs w:val="24"/>
        </w:rPr>
        <w:t xml:space="preserve"> will need and the process</w:t>
      </w:r>
      <w:r w:rsidR="00927587">
        <w:rPr>
          <w:sz w:val="24"/>
          <w:szCs w:val="24"/>
        </w:rPr>
        <w:t xml:space="preserve"> by which MDRC will request the data.</w:t>
      </w:r>
      <w:r w:rsidR="00DD31B0">
        <w:rPr>
          <w:sz w:val="24"/>
          <w:szCs w:val="24"/>
        </w:rPr>
        <w:t xml:space="preserve"> </w:t>
      </w:r>
      <w:r w:rsidR="00445BDA">
        <w:rPr>
          <w:sz w:val="24"/>
          <w:szCs w:val="24"/>
        </w:rPr>
        <w:t>To minim</w:t>
      </w:r>
      <w:r w:rsidR="00996796">
        <w:rPr>
          <w:sz w:val="24"/>
          <w:szCs w:val="24"/>
        </w:rPr>
        <w:t xml:space="preserve">ize the burden on PHA staff generating the files for MDRC, </w:t>
      </w:r>
      <w:r w:rsidR="00234640">
        <w:rPr>
          <w:sz w:val="24"/>
          <w:szCs w:val="24"/>
        </w:rPr>
        <w:t>file formats that match the files gene</w:t>
      </w:r>
      <w:r w:rsidR="00D809FC">
        <w:rPr>
          <w:sz w:val="24"/>
          <w:szCs w:val="24"/>
        </w:rPr>
        <w:t xml:space="preserve">rated for </w:t>
      </w:r>
      <w:r w:rsidR="00FD5C96">
        <w:rPr>
          <w:sz w:val="24"/>
          <w:szCs w:val="24"/>
        </w:rPr>
        <w:t xml:space="preserve">IMS/PIC </w:t>
      </w:r>
      <w:r w:rsidR="000002F0">
        <w:rPr>
          <w:sz w:val="24"/>
          <w:szCs w:val="24"/>
        </w:rPr>
        <w:t>M</w:t>
      </w:r>
      <w:r w:rsidR="00770157">
        <w:rPr>
          <w:sz w:val="24"/>
          <w:szCs w:val="24"/>
        </w:rPr>
        <w:t>odernization</w:t>
      </w:r>
      <w:r w:rsidR="00FD5C96">
        <w:rPr>
          <w:sz w:val="24"/>
          <w:szCs w:val="24"/>
        </w:rPr>
        <w:t xml:space="preserve"> reporting will be used.  </w:t>
      </w:r>
    </w:p>
    <w:p w:rsidRPr="006C7FAE" w:rsidR="00AF641C" w:rsidP="00447048" w:rsidRDefault="00AF641C" w14:paraId="16565D2D" w14:textId="77777777">
      <w:pPr>
        <w:tabs>
          <w:tab w:val="left" w:pos="360"/>
        </w:tabs>
        <w:rPr>
          <w:sz w:val="24"/>
          <w:szCs w:val="24"/>
        </w:rPr>
      </w:pPr>
    </w:p>
    <w:p w:rsidRPr="00E1722C" w:rsidR="009E13B1" w:rsidRDefault="009E13B1" w14:paraId="35C49E2B" w14:textId="77777777">
      <w:pPr>
        <w:keepLines/>
        <w:tabs>
          <w:tab w:val="left" w:pos="360"/>
        </w:tabs>
        <w:spacing w:after="80"/>
        <w:ind w:left="360" w:hanging="360"/>
        <w:rPr>
          <w:b/>
          <w:bCs/>
          <w:sz w:val="24"/>
          <w:szCs w:val="24"/>
        </w:rPr>
      </w:pPr>
      <w:r w:rsidRPr="00E1722C">
        <w:rPr>
          <w:b/>
          <w:bCs/>
          <w:sz w:val="24"/>
          <w:szCs w:val="24"/>
        </w:rPr>
        <w:t>4.</w:t>
      </w:r>
      <w:r w:rsidRPr="00E1722C">
        <w:rPr>
          <w:b/>
          <w:bCs/>
          <w:sz w:val="24"/>
          <w:szCs w:val="24"/>
        </w:rPr>
        <w:tab/>
        <w:t>Describe efforts to identify duplication.  Show specifically why any similar information already available cannot be used or modified for use for the purposes described in Item 2 above.</w:t>
      </w:r>
    </w:p>
    <w:p w:rsidR="00C87C57" w:rsidRDefault="00C87C57" w14:paraId="52F49CC7" w14:textId="77777777">
      <w:pPr>
        <w:keepLines/>
        <w:tabs>
          <w:tab w:val="left" w:pos="360"/>
          <w:tab w:val="left" w:pos="720"/>
        </w:tabs>
        <w:ind w:left="360"/>
        <w:rPr>
          <w:sz w:val="24"/>
          <w:szCs w:val="24"/>
        </w:rPr>
      </w:pPr>
    </w:p>
    <w:p w:rsidR="009E13B1" w:rsidP="00E1722C" w:rsidRDefault="00C87C57" w14:paraId="0D2F713D" w14:textId="3A4AAA47">
      <w:pPr>
        <w:keepLines/>
        <w:tabs>
          <w:tab w:val="left" w:pos="360"/>
          <w:tab w:val="left" w:pos="720"/>
        </w:tabs>
        <w:ind w:left="360"/>
        <w:rPr>
          <w:sz w:val="24"/>
          <w:szCs w:val="24"/>
        </w:rPr>
      </w:pPr>
      <w:r>
        <w:rPr>
          <w:sz w:val="24"/>
          <w:szCs w:val="24"/>
        </w:rPr>
        <w:t xml:space="preserve">HUD’s evaluation of the STRD will rely heavily on existing administrative data, </w:t>
      </w:r>
      <w:proofErr w:type="gramStart"/>
      <w:r>
        <w:rPr>
          <w:sz w:val="24"/>
          <w:szCs w:val="24"/>
        </w:rPr>
        <w:t>including:</w:t>
      </w:r>
      <w:proofErr w:type="gramEnd"/>
      <w:r>
        <w:rPr>
          <w:sz w:val="24"/>
          <w:szCs w:val="24"/>
        </w:rPr>
        <w:t xml:space="preserve"> data from HUD’s Inventory Management System/Public and Indian Housing Information Center (IMS/PIC), </w:t>
      </w:r>
      <w:r w:rsidR="00556AE6">
        <w:rPr>
          <w:sz w:val="24"/>
          <w:szCs w:val="24"/>
        </w:rPr>
        <w:t xml:space="preserve">PHA 50058 data, </w:t>
      </w:r>
      <w:r w:rsidR="00F96022">
        <w:rPr>
          <w:sz w:val="24"/>
          <w:szCs w:val="24"/>
        </w:rPr>
        <w:t>the National Directory of New Hires (NDNH), local Continuum of Care (CoC), and state TANF</w:t>
      </w:r>
      <w:r w:rsidR="00266157">
        <w:rPr>
          <w:sz w:val="24"/>
          <w:szCs w:val="24"/>
        </w:rPr>
        <w:t xml:space="preserve"> and SNAP</w:t>
      </w:r>
      <w:r w:rsidR="00F96022">
        <w:rPr>
          <w:sz w:val="24"/>
          <w:szCs w:val="24"/>
        </w:rPr>
        <w:t xml:space="preserve"> data. MDRC will seek informed consent from study participants to authorize long-term data matching to these administrative data sources.</w:t>
      </w:r>
      <w:r>
        <w:rPr>
          <w:sz w:val="24"/>
          <w:szCs w:val="24"/>
        </w:rPr>
        <w:t xml:space="preserve"> </w:t>
      </w:r>
      <w:r w:rsidR="00F96022">
        <w:rPr>
          <w:sz w:val="24"/>
          <w:szCs w:val="24"/>
        </w:rPr>
        <w:t>The Baseline Information Form</w:t>
      </w:r>
      <w:r w:rsidR="0095494C">
        <w:rPr>
          <w:sz w:val="24"/>
          <w:szCs w:val="24"/>
        </w:rPr>
        <w:t xml:space="preserve"> </w:t>
      </w:r>
      <w:r w:rsidR="00F96022">
        <w:rPr>
          <w:sz w:val="24"/>
          <w:szCs w:val="24"/>
        </w:rPr>
        <w:t>proposed in this information collection would be a brief survey focused on collecting information not otherwise available in administrative data</w:t>
      </w:r>
      <w:r w:rsidR="006A6492">
        <w:rPr>
          <w:sz w:val="24"/>
          <w:szCs w:val="24"/>
        </w:rPr>
        <w:t xml:space="preserve"> (f</w:t>
      </w:r>
      <w:r w:rsidR="00F96022">
        <w:rPr>
          <w:sz w:val="24"/>
          <w:szCs w:val="24"/>
        </w:rPr>
        <w:t xml:space="preserve">or example, </w:t>
      </w:r>
      <w:r w:rsidR="00E1722C">
        <w:rPr>
          <w:sz w:val="24"/>
          <w:szCs w:val="24"/>
        </w:rPr>
        <w:t xml:space="preserve">participants </w:t>
      </w:r>
      <w:r w:rsidR="00EC17D3">
        <w:rPr>
          <w:sz w:val="24"/>
          <w:szCs w:val="24"/>
        </w:rPr>
        <w:t xml:space="preserve">job characteristics and </w:t>
      </w:r>
      <w:r w:rsidR="00E1722C">
        <w:rPr>
          <w:sz w:val="24"/>
          <w:szCs w:val="24"/>
        </w:rPr>
        <w:t>potential barriers to employment</w:t>
      </w:r>
      <w:r w:rsidR="00642B24">
        <w:rPr>
          <w:sz w:val="24"/>
          <w:szCs w:val="24"/>
        </w:rPr>
        <w:t>)</w:t>
      </w:r>
      <w:r w:rsidR="00E1722C">
        <w:rPr>
          <w:sz w:val="24"/>
          <w:szCs w:val="24"/>
        </w:rPr>
        <w:t>.</w:t>
      </w:r>
      <w:r w:rsidR="00F96022">
        <w:rPr>
          <w:sz w:val="24"/>
          <w:szCs w:val="24"/>
        </w:rPr>
        <w:t xml:space="preserve"> </w:t>
      </w:r>
    </w:p>
    <w:p w:rsidR="00E1722C" w:rsidP="00E1722C" w:rsidRDefault="00E1722C" w14:paraId="7017D6B2" w14:textId="77777777">
      <w:pPr>
        <w:keepLines/>
        <w:tabs>
          <w:tab w:val="left" w:pos="360"/>
          <w:tab w:val="left" w:pos="720"/>
        </w:tabs>
        <w:ind w:left="360"/>
        <w:rPr>
          <w:sz w:val="24"/>
          <w:szCs w:val="24"/>
        </w:rPr>
      </w:pPr>
    </w:p>
    <w:p w:rsidR="00E1722C" w:rsidP="00E1722C" w:rsidRDefault="00E1722C" w14:paraId="5D946AF1" w14:textId="77777777">
      <w:pPr>
        <w:keepLines/>
        <w:tabs>
          <w:tab w:val="left" w:pos="360"/>
          <w:tab w:val="left" w:pos="720"/>
        </w:tabs>
        <w:ind w:left="360"/>
        <w:rPr>
          <w:sz w:val="24"/>
          <w:szCs w:val="24"/>
        </w:rPr>
      </w:pPr>
      <w:r>
        <w:rPr>
          <w:sz w:val="24"/>
          <w:szCs w:val="24"/>
        </w:rPr>
        <w:t>HUD and MDRC will also utilize available information about the experience of the PHAs implementing the new rent policies. The MTW Supplement to the PHA Plan is a reporting tool HUD has developed to track the activities of PHAs in the MTW Expansion. Information from the MTW Supplement will be used for HUD’s evaluation of the STRD. But other important qualitative information can only be obtained directly from PHA staff through semi-structured interviews, as proposed in this information collection. These interviews will, for example, help MDRC assess whether each PHA has implemented the new rent policies correctly with fidelity to the RCT design.</w:t>
      </w:r>
    </w:p>
    <w:p w:rsidRPr="006C7FAE" w:rsidR="00C87C57" w:rsidRDefault="00C87C57" w14:paraId="21D77831" w14:textId="4CFF5EC2">
      <w:pPr>
        <w:keepLines/>
        <w:tabs>
          <w:tab w:val="left" w:pos="360"/>
          <w:tab w:val="left" w:pos="720"/>
        </w:tabs>
        <w:ind w:left="360"/>
        <w:rPr>
          <w:sz w:val="24"/>
          <w:szCs w:val="24"/>
        </w:rPr>
      </w:pPr>
    </w:p>
    <w:p w:rsidRPr="000500D5" w:rsidR="00C266F6" w:rsidRDefault="00E0181E" w14:paraId="2458CC9D" w14:textId="23C77C66">
      <w:pPr>
        <w:keepLines/>
        <w:tabs>
          <w:tab w:val="left" w:pos="360"/>
          <w:tab w:val="left" w:pos="720"/>
        </w:tabs>
        <w:ind w:left="360"/>
        <w:rPr>
          <w:sz w:val="24"/>
          <w:szCs w:val="24"/>
        </w:rPr>
      </w:pPr>
      <w:r>
        <w:rPr>
          <w:sz w:val="24"/>
          <w:szCs w:val="24"/>
        </w:rPr>
        <w:t xml:space="preserve">The additional </w:t>
      </w:r>
      <w:r w:rsidR="00EB28D7">
        <w:rPr>
          <w:sz w:val="24"/>
          <w:szCs w:val="24"/>
        </w:rPr>
        <w:t xml:space="preserve">data elements listed in </w:t>
      </w:r>
      <w:r w:rsidR="00466DAB">
        <w:rPr>
          <w:sz w:val="24"/>
          <w:szCs w:val="24"/>
        </w:rPr>
        <w:t xml:space="preserve">Attachment G </w:t>
      </w:r>
      <w:r w:rsidR="00657DAF">
        <w:rPr>
          <w:sz w:val="24"/>
          <w:szCs w:val="24"/>
        </w:rPr>
        <w:t>that will be</w:t>
      </w:r>
      <w:r w:rsidR="00853CC0">
        <w:rPr>
          <w:sz w:val="24"/>
          <w:szCs w:val="24"/>
        </w:rPr>
        <w:t xml:space="preserve"> collected f</w:t>
      </w:r>
      <w:r w:rsidR="006C05B9">
        <w:rPr>
          <w:sz w:val="24"/>
          <w:szCs w:val="24"/>
        </w:rPr>
        <w:t xml:space="preserve">rom the PHAs </w:t>
      </w:r>
      <w:r w:rsidR="00BF5809">
        <w:rPr>
          <w:sz w:val="24"/>
          <w:szCs w:val="24"/>
        </w:rPr>
        <w:t xml:space="preserve">to monitor implementation of the rent rules </w:t>
      </w:r>
      <w:r w:rsidR="00657DAF">
        <w:rPr>
          <w:sz w:val="24"/>
          <w:szCs w:val="24"/>
        </w:rPr>
        <w:t>are</w:t>
      </w:r>
      <w:r w:rsidR="00BF5809">
        <w:rPr>
          <w:sz w:val="24"/>
          <w:szCs w:val="24"/>
        </w:rPr>
        <w:t xml:space="preserve"> not available in any other form in a consistent</w:t>
      </w:r>
      <w:r w:rsidDel="003875A7" w:rsidR="00BF5809">
        <w:rPr>
          <w:sz w:val="24"/>
          <w:szCs w:val="24"/>
        </w:rPr>
        <w:t xml:space="preserve"> manner</w:t>
      </w:r>
      <w:r w:rsidR="00BF5809">
        <w:rPr>
          <w:sz w:val="24"/>
          <w:szCs w:val="24"/>
        </w:rPr>
        <w:t xml:space="preserve">. </w:t>
      </w:r>
      <w:r w:rsidR="008031D3">
        <w:rPr>
          <w:sz w:val="24"/>
          <w:szCs w:val="24"/>
        </w:rPr>
        <w:t xml:space="preserve">Although most fields needed </w:t>
      </w:r>
      <w:r w:rsidR="00AD0E5D">
        <w:rPr>
          <w:sz w:val="24"/>
          <w:szCs w:val="24"/>
        </w:rPr>
        <w:t xml:space="preserve">for the research </w:t>
      </w:r>
      <w:r w:rsidR="00876BB2">
        <w:rPr>
          <w:sz w:val="24"/>
          <w:szCs w:val="24"/>
        </w:rPr>
        <w:t xml:space="preserve">are included in the IMS/PIC </w:t>
      </w:r>
      <w:r w:rsidR="00243972">
        <w:rPr>
          <w:sz w:val="24"/>
          <w:szCs w:val="24"/>
        </w:rPr>
        <w:t xml:space="preserve">Modernization </w:t>
      </w:r>
      <w:r w:rsidR="00876BB2">
        <w:rPr>
          <w:sz w:val="24"/>
          <w:szCs w:val="24"/>
        </w:rPr>
        <w:t xml:space="preserve">data, </w:t>
      </w:r>
      <w:r w:rsidR="004D4FAF">
        <w:rPr>
          <w:sz w:val="24"/>
          <w:szCs w:val="24"/>
        </w:rPr>
        <w:t xml:space="preserve">other fields such as </w:t>
      </w:r>
      <w:r w:rsidR="00696A2B">
        <w:rPr>
          <w:sz w:val="24"/>
          <w:szCs w:val="24"/>
        </w:rPr>
        <w:t>Research Status, Opt-Out flag,</w:t>
      </w:r>
      <w:r w:rsidR="004D4FAF">
        <w:rPr>
          <w:sz w:val="24"/>
          <w:szCs w:val="24"/>
        </w:rPr>
        <w:t xml:space="preserve"> </w:t>
      </w:r>
      <w:r w:rsidR="00696A2B">
        <w:rPr>
          <w:sz w:val="24"/>
          <w:szCs w:val="24"/>
        </w:rPr>
        <w:t xml:space="preserve">Rent Rule Type, </w:t>
      </w:r>
      <w:r w:rsidR="00243972">
        <w:rPr>
          <w:sz w:val="24"/>
          <w:szCs w:val="24"/>
        </w:rPr>
        <w:t>phone number</w:t>
      </w:r>
      <w:r w:rsidR="0004725F">
        <w:rPr>
          <w:sz w:val="24"/>
          <w:szCs w:val="24"/>
        </w:rPr>
        <w:t xml:space="preserve">, and hardship </w:t>
      </w:r>
      <w:r w:rsidR="00350D62">
        <w:rPr>
          <w:sz w:val="24"/>
          <w:szCs w:val="24"/>
        </w:rPr>
        <w:t xml:space="preserve">requests </w:t>
      </w:r>
      <w:r w:rsidR="00696A2B">
        <w:rPr>
          <w:sz w:val="24"/>
          <w:szCs w:val="24"/>
        </w:rPr>
        <w:t xml:space="preserve">are not reported to HUD and not available in </w:t>
      </w:r>
      <w:r w:rsidR="00350D62">
        <w:rPr>
          <w:sz w:val="24"/>
          <w:szCs w:val="24"/>
        </w:rPr>
        <w:t xml:space="preserve">the </w:t>
      </w:r>
      <w:r w:rsidR="00696A2B">
        <w:rPr>
          <w:sz w:val="24"/>
          <w:szCs w:val="24"/>
        </w:rPr>
        <w:t xml:space="preserve">IMS/PIC </w:t>
      </w:r>
      <w:r w:rsidR="00350D62">
        <w:rPr>
          <w:sz w:val="24"/>
          <w:szCs w:val="24"/>
        </w:rPr>
        <w:t xml:space="preserve">modernization </w:t>
      </w:r>
      <w:r w:rsidR="00696A2B">
        <w:rPr>
          <w:sz w:val="24"/>
          <w:szCs w:val="24"/>
        </w:rPr>
        <w:t xml:space="preserve">extracts. Without these fields, MDRC would not be able to </w:t>
      </w:r>
      <w:r w:rsidR="00AD0E5D">
        <w:rPr>
          <w:sz w:val="24"/>
          <w:szCs w:val="24"/>
        </w:rPr>
        <w:t>determine if</w:t>
      </w:r>
      <w:r w:rsidR="00696A2B">
        <w:rPr>
          <w:sz w:val="24"/>
          <w:szCs w:val="24"/>
        </w:rPr>
        <w:t xml:space="preserve"> PHA staff are assigning the correct rent calculation to each study household</w:t>
      </w:r>
      <w:r w:rsidR="00DA2A50">
        <w:rPr>
          <w:sz w:val="24"/>
          <w:szCs w:val="24"/>
        </w:rPr>
        <w:t xml:space="preserve"> </w:t>
      </w:r>
      <w:r w:rsidR="00186015">
        <w:rPr>
          <w:sz w:val="24"/>
          <w:szCs w:val="24"/>
        </w:rPr>
        <w:t>or implementing</w:t>
      </w:r>
      <w:r w:rsidR="00DA2A50">
        <w:rPr>
          <w:sz w:val="24"/>
          <w:szCs w:val="24"/>
        </w:rPr>
        <w:t xml:space="preserve"> the new rent rules correctly</w:t>
      </w:r>
      <w:r w:rsidR="00350D62">
        <w:rPr>
          <w:sz w:val="24"/>
          <w:szCs w:val="24"/>
        </w:rPr>
        <w:t xml:space="preserve">, </w:t>
      </w:r>
      <w:r w:rsidR="00186015">
        <w:rPr>
          <w:sz w:val="24"/>
          <w:szCs w:val="24"/>
        </w:rPr>
        <w:t xml:space="preserve">and MDRC would not be able to </w:t>
      </w:r>
      <w:r w:rsidRPr="000500D5" w:rsidR="00350D62">
        <w:rPr>
          <w:sz w:val="24"/>
          <w:szCs w:val="24"/>
        </w:rPr>
        <w:t xml:space="preserve">contact </w:t>
      </w:r>
      <w:r w:rsidRPr="000500D5" w:rsidR="00CB6147">
        <w:rPr>
          <w:sz w:val="24"/>
          <w:szCs w:val="24"/>
        </w:rPr>
        <w:t xml:space="preserve">program group </w:t>
      </w:r>
      <w:r w:rsidRPr="000500D5" w:rsidR="00350D62">
        <w:rPr>
          <w:sz w:val="24"/>
          <w:szCs w:val="24"/>
        </w:rPr>
        <w:t xml:space="preserve">household </w:t>
      </w:r>
      <w:r w:rsidRPr="000500D5" w:rsidR="004C29AF">
        <w:rPr>
          <w:sz w:val="24"/>
          <w:szCs w:val="24"/>
        </w:rPr>
        <w:t xml:space="preserve">(for </w:t>
      </w:r>
      <w:r w:rsidRPr="000500D5" w:rsidR="003F5639">
        <w:rPr>
          <w:sz w:val="24"/>
          <w:szCs w:val="24"/>
        </w:rPr>
        <w:t xml:space="preserve">follow-up surveys, for example) </w:t>
      </w:r>
      <w:r w:rsidRPr="000500D5" w:rsidR="00264418">
        <w:rPr>
          <w:sz w:val="24"/>
          <w:szCs w:val="24"/>
        </w:rPr>
        <w:t>throughout the</w:t>
      </w:r>
      <w:r w:rsidRPr="000500D5" w:rsidR="00793FB2">
        <w:rPr>
          <w:sz w:val="24"/>
          <w:szCs w:val="24"/>
        </w:rPr>
        <w:t xml:space="preserve"> study period.</w:t>
      </w:r>
      <w:r w:rsidRPr="000500D5" w:rsidR="00350D62">
        <w:rPr>
          <w:sz w:val="24"/>
          <w:szCs w:val="24"/>
        </w:rPr>
        <w:t xml:space="preserve"> </w:t>
      </w:r>
      <w:r w:rsidRPr="000500D5" w:rsidR="006B68D3">
        <w:rPr>
          <w:sz w:val="24"/>
          <w:szCs w:val="24"/>
        </w:rPr>
        <w:t xml:space="preserve"> </w:t>
      </w:r>
    </w:p>
    <w:p w:rsidRPr="000500D5" w:rsidR="00C266F6" w:rsidRDefault="00C266F6" w14:paraId="30270281" w14:textId="5923C13E">
      <w:pPr>
        <w:keepLines/>
        <w:tabs>
          <w:tab w:val="left" w:pos="360"/>
          <w:tab w:val="left" w:pos="720"/>
        </w:tabs>
        <w:ind w:left="360"/>
        <w:rPr>
          <w:sz w:val="24"/>
          <w:szCs w:val="24"/>
        </w:rPr>
      </w:pPr>
    </w:p>
    <w:p w:rsidR="00C266F6" w:rsidRDefault="00A643BC" w14:paraId="59BFDACD" w14:textId="0AB83250">
      <w:pPr>
        <w:keepLines/>
        <w:tabs>
          <w:tab w:val="left" w:pos="360"/>
          <w:tab w:val="left" w:pos="720"/>
        </w:tabs>
        <w:ind w:left="360"/>
        <w:rPr>
          <w:sz w:val="24"/>
          <w:szCs w:val="24"/>
        </w:rPr>
      </w:pPr>
      <w:r w:rsidRPr="000500D5">
        <w:rPr>
          <w:sz w:val="24"/>
          <w:szCs w:val="24"/>
        </w:rPr>
        <w:t>In addition, f</w:t>
      </w:r>
      <w:r w:rsidRPr="000500D5" w:rsidR="002C3433">
        <w:rPr>
          <w:sz w:val="24"/>
          <w:szCs w:val="24"/>
        </w:rPr>
        <w:t xml:space="preserve">or the monitoring of the new rent policies, </w:t>
      </w:r>
      <w:r w:rsidRPr="000500D5" w:rsidR="006B68D3">
        <w:rPr>
          <w:sz w:val="24"/>
          <w:szCs w:val="24"/>
        </w:rPr>
        <w:t>MDRC is</w:t>
      </w:r>
      <w:r w:rsidRPr="000500D5" w:rsidR="002C3433">
        <w:rPr>
          <w:sz w:val="24"/>
          <w:szCs w:val="24"/>
        </w:rPr>
        <w:t xml:space="preserve"> also</w:t>
      </w:r>
      <w:r w:rsidRPr="000500D5" w:rsidR="006B68D3">
        <w:rPr>
          <w:sz w:val="24"/>
          <w:szCs w:val="24"/>
        </w:rPr>
        <w:t xml:space="preserve"> requesting</w:t>
      </w:r>
      <w:r w:rsidRPr="000500D5" w:rsidR="002C3433">
        <w:rPr>
          <w:sz w:val="24"/>
          <w:szCs w:val="24"/>
        </w:rPr>
        <w:t xml:space="preserve"> from PHAs the</w:t>
      </w:r>
      <w:r w:rsidRPr="000500D5" w:rsidR="006B68D3">
        <w:rPr>
          <w:sz w:val="24"/>
          <w:szCs w:val="24"/>
        </w:rPr>
        <w:t xml:space="preserve"> 50058 fields </w:t>
      </w:r>
      <w:r w:rsidRPr="000500D5" w:rsidR="007B6A56">
        <w:rPr>
          <w:sz w:val="24"/>
          <w:szCs w:val="24"/>
        </w:rPr>
        <w:t>that</w:t>
      </w:r>
      <w:r w:rsidRPr="000500D5" w:rsidR="002C3433">
        <w:rPr>
          <w:sz w:val="24"/>
          <w:szCs w:val="24"/>
        </w:rPr>
        <w:t xml:space="preserve"> the</w:t>
      </w:r>
      <w:r w:rsidRPr="000500D5" w:rsidR="007B6A56">
        <w:rPr>
          <w:sz w:val="24"/>
          <w:szCs w:val="24"/>
        </w:rPr>
        <w:t xml:space="preserve"> PHAs</w:t>
      </w:r>
      <w:r w:rsidRPr="000500D5" w:rsidR="00B93702">
        <w:rPr>
          <w:sz w:val="24"/>
          <w:szCs w:val="24"/>
        </w:rPr>
        <w:t xml:space="preserve"> regularly submit to</w:t>
      </w:r>
      <w:r w:rsidRPr="000500D5" w:rsidR="002C3433">
        <w:rPr>
          <w:sz w:val="24"/>
          <w:szCs w:val="24"/>
        </w:rPr>
        <w:t xml:space="preserve"> HUD</w:t>
      </w:r>
      <w:r w:rsidRPr="000500D5" w:rsidR="00B93702">
        <w:rPr>
          <w:sz w:val="24"/>
          <w:szCs w:val="24"/>
        </w:rPr>
        <w:t xml:space="preserve"> IMS/PIC</w:t>
      </w:r>
      <w:r w:rsidRPr="000500D5" w:rsidR="009036A0">
        <w:rPr>
          <w:sz w:val="24"/>
          <w:szCs w:val="24"/>
        </w:rPr>
        <w:t xml:space="preserve"> Modernization</w:t>
      </w:r>
      <w:r w:rsidRPr="000500D5" w:rsidR="008F6852">
        <w:rPr>
          <w:sz w:val="24"/>
          <w:szCs w:val="24"/>
        </w:rPr>
        <w:t xml:space="preserve">. </w:t>
      </w:r>
      <w:r w:rsidRPr="000500D5" w:rsidR="00DB29EE">
        <w:rPr>
          <w:sz w:val="24"/>
          <w:szCs w:val="24"/>
        </w:rPr>
        <w:t>These data are needed directly from PHAs b</w:t>
      </w:r>
      <w:r w:rsidRPr="000500D5" w:rsidR="00A4187E">
        <w:rPr>
          <w:sz w:val="24"/>
          <w:szCs w:val="24"/>
        </w:rPr>
        <w:t>ecause t</w:t>
      </w:r>
      <w:r w:rsidRPr="000500D5" w:rsidR="006C3407">
        <w:rPr>
          <w:sz w:val="24"/>
          <w:szCs w:val="24"/>
        </w:rPr>
        <w:t xml:space="preserve">he lag between the data being available in the PHA software systems and </w:t>
      </w:r>
      <w:r w:rsidRPr="000500D5" w:rsidR="0016640B">
        <w:rPr>
          <w:sz w:val="24"/>
          <w:szCs w:val="24"/>
        </w:rPr>
        <w:t xml:space="preserve">the </w:t>
      </w:r>
      <w:r w:rsidRPr="000500D5" w:rsidR="000671B6">
        <w:rPr>
          <w:sz w:val="24"/>
          <w:szCs w:val="24"/>
        </w:rPr>
        <w:t xml:space="preserve">data being available to MDRC </w:t>
      </w:r>
      <w:r w:rsidRPr="000500D5" w:rsidR="00D9509C">
        <w:rPr>
          <w:sz w:val="24"/>
          <w:szCs w:val="24"/>
        </w:rPr>
        <w:t xml:space="preserve">from HUD </w:t>
      </w:r>
      <w:r w:rsidRPr="000500D5" w:rsidR="005E4E95">
        <w:rPr>
          <w:sz w:val="24"/>
          <w:szCs w:val="24"/>
        </w:rPr>
        <w:t>can be up to</w:t>
      </w:r>
      <w:r w:rsidRPr="000500D5" w:rsidR="00A75404">
        <w:rPr>
          <w:sz w:val="24"/>
          <w:szCs w:val="24"/>
        </w:rPr>
        <w:t xml:space="preserve"> about</w:t>
      </w:r>
      <w:r w:rsidRPr="000500D5" w:rsidR="000F5372">
        <w:rPr>
          <w:sz w:val="24"/>
          <w:szCs w:val="24"/>
        </w:rPr>
        <w:t xml:space="preserve"> five months</w:t>
      </w:r>
      <w:r w:rsidRPr="000500D5" w:rsidR="00EA18F9">
        <w:rPr>
          <w:sz w:val="24"/>
          <w:szCs w:val="24"/>
        </w:rPr>
        <w:t xml:space="preserve">, which </w:t>
      </w:r>
      <w:r w:rsidRPr="000500D5" w:rsidR="0087177F">
        <w:rPr>
          <w:sz w:val="24"/>
          <w:szCs w:val="24"/>
        </w:rPr>
        <w:t>does not allow for quality check</w:t>
      </w:r>
      <w:r w:rsidRPr="000500D5" w:rsidR="00292F71">
        <w:rPr>
          <w:sz w:val="24"/>
          <w:szCs w:val="24"/>
        </w:rPr>
        <w:t>ing</w:t>
      </w:r>
      <w:r w:rsidRPr="000500D5" w:rsidR="0087177F">
        <w:rPr>
          <w:sz w:val="24"/>
          <w:szCs w:val="24"/>
        </w:rPr>
        <w:t xml:space="preserve"> and </w:t>
      </w:r>
      <w:r w:rsidRPr="000500D5" w:rsidR="00D00CED">
        <w:rPr>
          <w:sz w:val="24"/>
          <w:szCs w:val="24"/>
        </w:rPr>
        <w:t>monitoring of the new rent policies in a timely manner.</w:t>
      </w:r>
      <w:r w:rsidRPr="000500D5" w:rsidR="005E4E95">
        <w:rPr>
          <w:sz w:val="24"/>
          <w:szCs w:val="24"/>
        </w:rPr>
        <w:t xml:space="preserve"> </w:t>
      </w:r>
      <w:r w:rsidRPr="000500D5" w:rsidR="00E83700">
        <w:rPr>
          <w:sz w:val="24"/>
          <w:szCs w:val="24"/>
        </w:rPr>
        <w:t xml:space="preserve">Further, </w:t>
      </w:r>
      <w:r w:rsidRPr="000500D5" w:rsidR="005C7897">
        <w:rPr>
          <w:sz w:val="24"/>
          <w:szCs w:val="24"/>
        </w:rPr>
        <w:t>collecting information</w:t>
      </w:r>
      <w:r w:rsidRPr="000500D5" w:rsidR="0030258B">
        <w:rPr>
          <w:sz w:val="24"/>
          <w:szCs w:val="24"/>
        </w:rPr>
        <w:t xml:space="preserve"> needed for monitoring implementation from two different data sources (IMS/PIC </w:t>
      </w:r>
      <w:r w:rsidRPr="000500D5" w:rsidR="00903F01">
        <w:rPr>
          <w:sz w:val="24"/>
          <w:szCs w:val="24"/>
        </w:rPr>
        <w:t xml:space="preserve">Modernization </w:t>
      </w:r>
      <w:r w:rsidRPr="000500D5" w:rsidR="0030258B">
        <w:rPr>
          <w:sz w:val="24"/>
          <w:szCs w:val="24"/>
        </w:rPr>
        <w:t xml:space="preserve">and directly from PHAs) would require </w:t>
      </w:r>
      <w:r w:rsidRPr="000500D5" w:rsidR="00297456">
        <w:rPr>
          <w:sz w:val="24"/>
          <w:szCs w:val="24"/>
        </w:rPr>
        <w:t>merging multiple data files and reconciling inconsistencies between sources</w:t>
      </w:r>
      <w:r w:rsidRPr="000500D5" w:rsidR="00C266F6">
        <w:rPr>
          <w:sz w:val="24"/>
          <w:szCs w:val="24"/>
        </w:rPr>
        <w:t xml:space="preserve"> before performing the quality checks</w:t>
      </w:r>
      <w:r w:rsidRPr="000500D5" w:rsidR="00297456">
        <w:rPr>
          <w:sz w:val="24"/>
          <w:szCs w:val="24"/>
        </w:rPr>
        <w:t xml:space="preserve">, which can make it more difficult to </w:t>
      </w:r>
      <w:r w:rsidRPr="000500D5" w:rsidR="007F4BF8">
        <w:rPr>
          <w:sz w:val="24"/>
          <w:szCs w:val="24"/>
        </w:rPr>
        <w:t xml:space="preserve">conduct </w:t>
      </w:r>
      <w:r w:rsidRPr="000500D5" w:rsidR="00C266F6">
        <w:rPr>
          <w:sz w:val="24"/>
          <w:szCs w:val="24"/>
        </w:rPr>
        <w:t>these checks in a consistent and timely manner</w:t>
      </w:r>
      <w:r w:rsidRPr="000500D5" w:rsidR="0005658C">
        <w:rPr>
          <w:sz w:val="24"/>
          <w:szCs w:val="24"/>
        </w:rPr>
        <w:t xml:space="preserve">, and can add burden to housing agency staff </w:t>
      </w:r>
      <w:r w:rsidRPr="000500D5" w:rsidR="005A76E3">
        <w:rPr>
          <w:sz w:val="24"/>
          <w:szCs w:val="24"/>
        </w:rPr>
        <w:t>for providing additional information to MDRC to help resolve these discrepancies.</w:t>
      </w:r>
    </w:p>
    <w:p w:rsidR="0030258B" w:rsidRDefault="007F4BF8" w14:paraId="2598197B" w14:textId="0DBE5497">
      <w:pPr>
        <w:keepLines/>
        <w:tabs>
          <w:tab w:val="left" w:pos="360"/>
          <w:tab w:val="left" w:pos="720"/>
        </w:tabs>
        <w:ind w:left="360"/>
        <w:rPr>
          <w:sz w:val="24"/>
          <w:szCs w:val="24"/>
        </w:rPr>
      </w:pPr>
      <w:r>
        <w:rPr>
          <w:sz w:val="24"/>
          <w:szCs w:val="24"/>
        </w:rPr>
        <w:t xml:space="preserve"> </w:t>
      </w:r>
    </w:p>
    <w:p w:rsidR="00560B3D" w:rsidRDefault="00296021" w14:paraId="0C1B097F" w14:textId="36FC1605">
      <w:pPr>
        <w:keepLines/>
        <w:tabs>
          <w:tab w:val="left" w:pos="360"/>
          <w:tab w:val="left" w:pos="720"/>
        </w:tabs>
        <w:ind w:left="360"/>
        <w:rPr>
          <w:sz w:val="24"/>
          <w:szCs w:val="24"/>
        </w:rPr>
      </w:pPr>
      <w:r>
        <w:rPr>
          <w:sz w:val="24"/>
          <w:szCs w:val="24"/>
        </w:rPr>
        <w:t xml:space="preserve">After the quality checks and monitoring is complete, MDRC plans to transition </w:t>
      </w:r>
      <w:proofErr w:type="gramStart"/>
      <w:r>
        <w:rPr>
          <w:sz w:val="24"/>
          <w:szCs w:val="24"/>
        </w:rPr>
        <w:t>to collecting</w:t>
      </w:r>
      <w:proofErr w:type="gramEnd"/>
      <w:r>
        <w:rPr>
          <w:sz w:val="24"/>
          <w:szCs w:val="24"/>
        </w:rPr>
        <w:t xml:space="preserve"> </w:t>
      </w:r>
      <w:r w:rsidR="00304A8B">
        <w:rPr>
          <w:sz w:val="24"/>
          <w:szCs w:val="24"/>
        </w:rPr>
        <w:t xml:space="preserve">all 50058 data that is available on the </w:t>
      </w:r>
      <w:r w:rsidR="0014435A">
        <w:rPr>
          <w:sz w:val="24"/>
          <w:szCs w:val="24"/>
        </w:rPr>
        <w:t xml:space="preserve">50058 </w:t>
      </w:r>
      <w:r w:rsidR="00FD7946">
        <w:rPr>
          <w:sz w:val="24"/>
          <w:szCs w:val="24"/>
        </w:rPr>
        <w:t xml:space="preserve">IMS/PIC </w:t>
      </w:r>
      <w:r w:rsidRPr="007B1DC9" w:rsidR="00FD7946">
        <w:rPr>
          <w:sz w:val="24"/>
          <w:szCs w:val="24"/>
        </w:rPr>
        <w:t>Mode</w:t>
      </w:r>
      <w:r w:rsidRPr="007B1DC9" w:rsidR="00F91159">
        <w:rPr>
          <w:sz w:val="24"/>
          <w:szCs w:val="24"/>
        </w:rPr>
        <w:t>rnization</w:t>
      </w:r>
      <w:r w:rsidR="00F91159">
        <w:rPr>
          <w:sz w:val="24"/>
          <w:szCs w:val="24"/>
        </w:rPr>
        <w:t xml:space="preserve"> data</w:t>
      </w:r>
      <w:r w:rsidR="0014435A">
        <w:rPr>
          <w:sz w:val="24"/>
          <w:szCs w:val="24"/>
        </w:rPr>
        <w:t xml:space="preserve"> </w:t>
      </w:r>
      <w:r w:rsidR="00FD49F1">
        <w:rPr>
          <w:sz w:val="24"/>
          <w:szCs w:val="24"/>
        </w:rPr>
        <w:t xml:space="preserve">that will be used for the evaluation </w:t>
      </w:r>
      <w:r w:rsidR="0014435A">
        <w:rPr>
          <w:sz w:val="24"/>
          <w:szCs w:val="24"/>
        </w:rPr>
        <w:t>directly from HUD</w:t>
      </w:r>
      <w:r w:rsidR="00FD49F1">
        <w:rPr>
          <w:sz w:val="24"/>
          <w:szCs w:val="24"/>
        </w:rPr>
        <w:t xml:space="preserve"> instead of the PHAs</w:t>
      </w:r>
      <w:r w:rsidR="00BB291C">
        <w:rPr>
          <w:sz w:val="24"/>
          <w:szCs w:val="24"/>
        </w:rPr>
        <w:t xml:space="preserve">, with the exception of hardship request </w:t>
      </w:r>
      <w:r w:rsidR="00D93810">
        <w:rPr>
          <w:sz w:val="24"/>
          <w:szCs w:val="24"/>
        </w:rPr>
        <w:t xml:space="preserve">and contact </w:t>
      </w:r>
      <w:r w:rsidR="00BB291C">
        <w:rPr>
          <w:sz w:val="24"/>
          <w:szCs w:val="24"/>
        </w:rPr>
        <w:t>data, which will be collected separately from 50058 submissions and will not be submitted to HUD</w:t>
      </w:r>
      <w:r w:rsidR="00FD49F1">
        <w:rPr>
          <w:sz w:val="24"/>
          <w:szCs w:val="24"/>
        </w:rPr>
        <w:t>.</w:t>
      </w:r>
      <w:r w:rsidR="00A41DA9">
        <w:rPr>
          <w:sz w:val="24"/>
          <w:szCs w:val="24"/>
        </w:rPr>
        <w:t xml:space="preserve"> </w:t>
      </w:r>
    </w:p>
    <w:p w:rsidRPr="006C7FAE" w:rsidR="00696A2B" w:rsidRDefault="00696A2B" w14:paraId="334134E1" w14:textId="77777777">
      <w:pPr>
        <w:keepLines/>
        <w:tabs>
          <w:tab w:val="left" w:pos="360"/>
          <w:tab w:val="left" w:pos="720"/>
        </w:tabs>
        <w:ind w:left="360"/>
        <w:rPr>
          <w:sz w:val="24"/>
          <w:szCs w:val="24"/>
        </w:rPr>
      </w:pPr>
    </w:p>
    <w:p w:rsidRPr="00447048" w:rsidR="009E13B1" w:rsidP="00447048" w:rsidRDefault="009E13B1" w14:paraId="1DD71224" w14:textId="5466488C">
      <w:pPr>
        <w:keepLines/>
        <w:tabs>
          <w:tab w:val="left" w:pos="360"/>
        </w:tabs>
        <w:spacing w:after="80"/>
        <w:ind w:left="360" w:hanging="360"/>
        <w:rPr>
          <w:b/>
          <w:bCs/>
          <w:sz w:val="24"/>
          <w:szCs w:val="24"/>
        </w:rPr>
      </w:pPr>
      <w:r w:rsidRPr="00E1722C">
        <w:rPr>
          <w:b/>
          <w:bCs/>
          <w:sz w:val="24"/>
          <w:szCs w:val="24"/>
        </w:rPr>
        <w:t>5.</w:t>
      </w:r>
      <w:r w:rsidRPr="00E1722C">
        <w:rPr>
          <w:b/>
          <w:bCs/>
          <w:sz w:val="24"/>
          <w:szCs w:val="24"/>
        </w:rPr>
        <w:tab/>
        <w:t>If the collection of information impacts small businesses or other small entities (Item 5 of OMB Form 83-I) describe any methods used to minimize burden.</w:t>
      </w:r>
    </w:p>
    <w:p w:rsidR="00F96022" w:rsidP="00F96022" w:rsidRDefault="00F96022" w14:paraId="5EDFB74F" w14:textId="77777777">
      <w:pPr>
        <w:tabs>
          <w:tab w:val="left" w:pos="360"/>
        </w:tabs>
        <w:ind w:left="360"/>
        <w:rPr>
          <w:sz w:val="24"/>
          <w:szCs w:val="24"/>
        </w:rPr>
      </w:pPr>
      <w:r>
        <w:rPr>
          <w:sz w:val="24"/>
          <w:szCs w:val="24"/>
        </w:rPr>
        <w:t xml:space="preserve">This information collection will not affect small businesses. It will only affect PHA staff and individual recipients of HUD housing assistance. </w:t>
      </w:r>
    </w:p>
    <w:p w:rsidRPr="006C7FAE" w:rsidR="00F96022" w:rsidRDefault="00F96022" w14:paraId="47882F6F" w14:textId="77777777">
      <w:pPr>
        <w:tabs>
          <w:tab w:val="left" w:pos="360"/>
        </w:tabs>
        <w:ind w:left="360" w:hanging="360"/>
        <w:rPr>
          <w:sz w:val="24"/>
          <w:szCs w:val="24"/>
        </w:rPr>
      </w:pPr>
    </w:p>
    <w:p w:rsidRPr="00447048" w:rsidR="00FD3933" w:rsidP="00447048" w:rsidRDefault="009E13B1" w14:paraId="1C27208B" w14:textId="72F9F62D">
      <w:pPr>
        <w:keepLines/>
        <w:tabs>
          <w:tab w:val="left" w:pos="360"/>
        </w:tabs>
        <w:spacing w:after="80"/>
        <w:ind w:left="360" w:hanging="360"/>
        <w:rPr>
          <w:b/>
          <w:bCs/>
          <w:sz w:val="24"/>
          <w:szCs w:val="24"/>
        </w:rPr>
      </w:pPr>
      <w:r w:rsidRPr="00E1722C">
        <w:rPr>
          <w:b/>
          <w:bCs/>
          <w:sz w:val="24"/>
          <w:szCs w:val="24"/>
        </w:rPr>
        <w:t>6.</w:t>
      </w:r>
      <w:r w:rsidRPr="00E1722C">
        <w:rPr>
          <w:b/>
          <w:bCs/>
          <w:sz w:val="24"/>
          <w:szCs w:val="24"/>
        </w:rPr>
        <w:tab/>
        <w:t>Describe the consequence to Federal program or policy activities if the collection is not conducted or is conducted less frequently, as well as any technical or legal obstacles to reducing burden.</w:t>
      </w:r>
    </w:p>
    <w:p w:rsidR="00B2504D" w:rsidRDefault="00D40E07" w14:paraId="3837B51F" w14:textId="7FE583CC">
      <w:pPr>
        <w:keepLines/>
        <w:tabs>
          <w:tab w:val="left" w:pos="360"/>
          <w:tab w:val="left" w:pos="720"/>
        </w:tabs>
        <w:ind w:left="360"/>
        <w:rPr>
          <w:sz w:val="24"/>
          <w:szCs w:val="24"/>
        </w:rPr>
      </w:pPr>
      <w:r>
        <w:rPr>
          <w:sz w:val="24"/>
          <w:szCs w:val="24"/>
        </w:rPr>
        <w:t xml:space="preserve">The </w:t>
      </w:r>
      <w:r w:rsidR="00270B45">
        <w:rPr>
          <w:sz w:val="24"/>
          <w:szCs w:val="24"/>
        </w:rPr>
        <w:t xml:space="preserve">STRD data collection aims to collect information only as frequently as needed to achieve the aims of the study.  </w:t>
      </w:r>
      <w:r w:rsidR="00CC754D">
        <w:rPr>
          <w:sz w:val="24"/>
          <w:szCs w:val="24"/>
        </w:rPr>
        <w:t xml:space="preserve">Eliminating any proposed data collection items would compromise </w:t>
      </w:r>
      <w:r w:rsidR="00906C29">
        <w:rPr>
          <w:sz w:val="24"/>
          <w:szCs w:val="24"/>
        </w:rPr>
        <w:t xml:space="preserve">the evaluation’s </w:t>
      </w:r>
      <w:r w:rsidR="00CC754D">
        <w:rPr>
          <w:sz w:val="24"/>
          <w:szCs w:val="24"/>
        </w:rPr>
        <w:t xml:space="preserve">ability to address key research questions and monitor the implementation of the rent rules.  </w:t>
      </w:r>
    </w:p>
    <w:p w:rsidR="00F835E7" w:rsidRDefault="00F835E7" w14:paraId="41ABA40E" w14:textId="77777777">
      <w:pPr>
        <w:keepLines/>
        <w:tabs>
          <w:tab w:val="left" w:pos="360"/>
          <w:tab w:val="left" w:pos="720"/>
        </w:tabs>
        <w:ind w:left="360"/>
        <w:rPr>
          <w:sz w:val="24"/>
          <w:szCs w:val="24"/>
        </w:rPr>
      </w:pPr>
    </w:p>
    <w:p w:rsidR="009E13B1" w:rsidRDefault="00B2504D" w14:paraId="24182FD7" w14:textId="09840AD5">
      <w:pPr>
        <w:keepLines/>
        <w:tabs>
          <w:tab w:val="left" w:pos="360"/>
          <w:tab w:val="left" w:pos="720"/>
        </w:tabs>
        <w:ind w:left="360"/>
        <w:rPr>
          <w:sz w:val="24"/>
          <w:szCs w:val="24"/>
        </w:rPr>
      </w:pPr>
      <w:r>
        <w:rPr>
          <w:b/>
          <w:bCs/>
          <w:sz w:val="24"/>
          <w:szCs w:val="24"/>
        </w:rPr>
        <w:t xml:space="preserve">Baseline </w:t>
      </w:r>
      <w:r w:rsidR="00EA3825">
        <w:rPr>
          <w:b/>
          <w:bCs/>
          <w:sz w:val="24"/>
          <w:szCs w:val="24"/>
        </w:rPr>
        <w:t>Information Form</w:t>
      </w:r>
      <w:r w:rsidR="008F04A0">
        <w:rPr>
          <w:b/>
          <w:bCs/>
          <w:sz w:val="24"/>
          <w:szCs w:val="24"/>
        </w:rPr>
        <w:t xml:space="preserve"> (Attachment </w:t>
      </w:r>
      <w:r w:rsidR="009B5D93">
        <w:rPr>
          <w:b/>
          <w:bCs/>
          <w:sz w:val="24"/>
          <w:szCs w:val="24"/>
        </w:rPr>
        <w:t>A</w:t>
      </w:r>
      <w:r w:rsidR="008F04A0">
        <w:rPr>
          <w:b/>
          <w:bCs/>
          <w:sz w:val="24"/>
          <w:szCs w:val="24"/>
        </w:rPr>
        <w:t>)</w:t>
      </w:r>
      <w:r>
        <w:rPr>
          <w:b/>
          <w:bCs/>
          <w:sz w:val="24"/>
          <w:szCs w:val="24"/>
        </w:rPr>
        <w:t xml:space="preserve">. </w:t>
      </w:r>
      <w:r w:rsidR="00FD3933">
        <w:rPr>
          <w:sz w:val="24"/>
          <w:szCs w:val="24"/>
        </w:rPr>
        <w:t>The BIF will be conducted only once</w:t>
      </w:r>
      <w:r w:rsidR="00B22912">
        <w:rPr>
          <w:sz w:val="24"/>
          <w:szCs w:val="24"/>
        </w:rPr>
        <w:t>.</w:t>
      </w:r>
      <w:r w:rsidR="0085281D">
        <w:rPr>
          <w:sz w:val="24"/>
          <w:szCs w:val="24"/>
        </w:rPr>
        <w:t xml:space="preserve"> These data will be used to describe the sample and to create variables that will be used in the analysis.</w:t>
      </w:r>
      <w:r w:rsidR="00B22912">
        <w:rPr>
          <w:sz w:val="24"/>
          <w:szCs w:val="24"/>
        </w:rPr>
        <w:t xml:space="preserve"> </w:t>
      </w:r>
      <w:r w:rsidR="00FD3933">
        <w:rPr>
          <w:sz w:val="24"/>
          <w:szCs w:val="24"/>
        </w:rPr>
        <w:t xml:space="preserve">It </w:t>
      </w:r>
      <w:r w:rsidR="00CC21DC">
        <w:rPr>
          <w:sz w:val="24"/>
          <w:szCs w:val="24"/>
        </w:rPr>
        <w:t xml:space="preserve">is not possible to eliminate this </w:t>
      </w:r>
      <w:r w:rsidR="008F04A0">
        <w:rPr>
          <w:sz w:val="24"/>
          <w:szCs w:val="24"/>
        </w:rPr>
        <w:t xml:space="preserve">data </w:t>
      </w:r>
      <w:r w:rsidR="00FD3933">
        <w:rPr>
          <w:sz w:val="24"/>
          <w:szCs w:val="24"/>
        </w:rPr>
        <w:t>collection.</w:t>
      </w:r>
    </w:p>
    <w:p w:rsidR="00636CCB" w:rsidRDefault="00636CCB" w14:paraId="1A45EB7D" w14:textId="77777777">
      <w:pPr>
        <w:keepLines/>
        <w:tabs>
          <w:tab w:val="left" w:pos="360"/>
          <w:tab w:val="left" w:pos="720"/>
        </w:tabs>
        <w:ind w:left="360"/>
        <w:rPr>
          <w:sz w:val="24"/>
          <w:szCs w:val="24"/>
        </w:rPr>
      </w:pPr>
    </w:p>
    <w:p w:rsidR="00A61922" w:rsidP="00A61922" w:rsidRDefault="00A61922" w14:paraId="4208F967" w14:textId="29A04C05">
      <w:pPr>
        <w:keepLines/>
        <w:tabs>
          <w:tab w:val="left" w:pos="360"/>
          <w:tab w:val="left" w:pos="720"/>
        </w:tabs>
        <w:ind w:left="360"/>
        <w:rPr>
          <w:sz w:val="24"/>
          <w:szCs w:val="24"/>
        </w:rPr>
      </w:pPr>
      <w:r w:rsidRPr="0089288E">
        <w:rPr>
          <w:b/>
          <w:bCs/>
          <w:sz w:val="24"/>
          <w:szCs w:val="24"/>
        </w:rPr>
        <w:t>Informed Consent Form (Attachment</w:t>
      </w:r>
      <w:r w:rsidR="009676BF">
        <w:rPr>
          <w:b/>
          <w:bCs/>
          <w:sz w:val="24"/>
          <w:szCs w:val="24"/>
        </w:rPr>
        <w:t>s</w:t>
      </w:r>
      <w:r w:rsidRPr="0089288E">
        <w:rPr>
          <w:b/>
          <w:bCs/>
          <w:sz w:val="24"/>
          <w:szCs w:val="24"/>
        </w:rPr>
        <w:t xml:space="preserve"> B</w:t>
      </w:r>
      <w:r w:rsidR="009676BF">
        <w:rPr>
          <w:b/>
          <w:bCs/>
          <w:sz w:val="24"/>
          <w:szCs w:val="24"/>
        </w:rPr>
        <w:t>.1 and B.2</w:t>
      </w:r>
      <w:r w:rsidRPr="0089288E">
        <w:rPr>
          <w:b/>
          <w:bCs/>
          <w:sz w:val="24"/>
          <w:szCs w:val="24"/>
        </w:rPr>
        <w:t xml:space="preserve">). </w:t>
      </w:r>
      <w:r w:rsidRPr="0089288E">
        <w:rPr>
          <w:sz w:val="24"/>
          <w:szCs w:val="24"/>
        </w:rPr>
        <w:t>The Informed Consent Form will be</w:t>
      </w:r>
      <w:r>
        <w:rPr>
          <w:b/>
          <w:bCs/>
          <w:sz w:val="24"/>
          <w:szCs w:val="24"/>
        </w:rPr>
        <w:t xml:space="preserve"> </w:t>
      </w:r>
      <w:r w:rsidRPr="0089288E">
        <w:rPr>
          <w:sz w:val="24"/>
          <w:szCs w:val="24"/>
        </w:rPr>
        <w:t xml:space="preserve">reviewed with the head of household during the study enrollment process </w:t>
      </w:r>
      <w:r>
        <w:rPr>
          <w:sz w:val="24"/>
          <w:szCs w:val="24"/>
        </w:rPr>
        <w:t xml:space="preserve">a single time </w:t>
      </w:r>
      <w:r w:rsidRPr="0089288E">
        <w:rPr>
          <w:sz w:val="24"/>
          <w:szCs w:val="24"/>
        </w:rPr>
        <w:t>and will be used to obtain their consent to engage in the study’s data collection activities.</w:t>
      </w:r>
    </w:p>
    <w:p w:rsidR="006A4794" w:rsidP="00A61922" w:rsidRDefault="006A4794" w14:paraId="771F5BC2" w14:textId="77777777">
      <w:pPr>
        <w:keepLines/>
        <w:tabs>
          <w:tab w:val="left" w:pos="360"/>
          <w:tab w:val="left" w:pos="720"/>
        </w:tabs>
        <w:ind w:left="360"/>
        <w:rPr>
          <w:sz w:val="24"/>
          <w:szCs w:val="24"/>
        </w:rPr>
      </w:pPr>
    </w:p>
    <w:p w:rsidRPr="00B22912" w:rsidR="002958A0" w:rsidP="002958A0" w:rsidRDefault="002958A0" w14:paraId="1AD47EB2" w14:textId="4F416CD5">
      <w:pPr>
        <w:keepLines/>
        <w:tabs>
          <w:tab w:val="left" w:pos="360"/>
          <w:tab w:val="left" w:pos="720"/>
        </w:tabs>
        <w:ind w:left="360"/>
        <w:rPr>
          <w:sz w:val="24"/>
          <w:szCs w:val="24"/>
        </w:rPr>
      </w:pPr>
      <w:r w:rsidRPr="0089288E">
        <w:rPr>
          <w:b/>
          <w:bCs/>
          <w:sz w:val="24"/>
          <w:szCs w:val="24"/>
        </w:rPr>
        <w:t xml:space="preserve">Interview guides for the interviews with PHA staff responsible for implementing the new rent policies (Attachments </w:t>
      </w:r>
      <w:r>
        <w:rPr>
          <w:b/>
          <w:bCs/>
          <w:sz w:val="24"/>
          <w:szCs w:val="24"/>
        </w:rPr>
        <w:t>C-F</w:t>
      </w:r>
      <w:r w:rsidRPr="0089288E">
        <w:rPr>
          <w:b/>
          <w:bCs/>
          <w:sz w:val="24"/>
          <w:szCs w:val="24"/>
        </w:rPr>
        <w:t>)</w:t>
      </w:r>
      <w:r w:rsidRPr="00185C71">
        <w:rPr>
          <w:b/>
          <w:bCs/>
          <w:sz w:val="24"/>
          <w:szCs w:val="24"/>
        </w:rPr>
        <w:t>.</w:t>
      </w:r>
      <w:r>
        <w:rPr>
          <w:b/>
          <w:bCs/>
          <w:sz w:val="24"/>
          <w:szCs w:val="24"/>
        </w:rPr>
        <w:t xml:space="preserve"> </w:t>
      </w:r>
      <w:r w:rsidRPr="00B22912">
        <w:rPr>
          <w:sz w:val="24"/>
          <w:szCs w:val="24"/>
        </w:rPr>
        <w:t>Semi-structured interviews will be conducted with program staff</w:t>
      </w:r>
      <w:r>
        <w:rPr>
          <w:sz w:val="24"/>
          <w:szCs w:val="24"/>
        </w:rPr>
        <w:t xml:space="preserve"> </w:t>
      </w:r>
      <w:r w:rsidR="00EE4F97">
        <w:rPr>
          <w:sz w:val="24"/>
          <w:szCs w:val="24"/>
        </w:rPr>
        <w:t xml:space="preserve">at two points </w:t>
      </w:r>
      <w:r>
        <w:rPr>
          <w:sz w:val="24"/>
          <w:szCs w:val="24"/>
        </w:rPr>
        <w:t>during the three-year period</w:t>
      </w:r>
      <w:r w:rsidR="00BF3F83">
        <w:rPr>
          <w:sz w:val="24"/>
          <w:szCs w:val="24"/>
        </w:rPr>
        <w:t xml:space="preserve"> (2022 to 2024)</w:t>
      </w:r>
      <w:r>
        <w:rPr>
          <w:sz w:val="24"/>
          <w:szCs w:val="24"/>
        </w:rPr>
        <w:t xml:space="preserve">. These interviews will be critical to understand the implementation of each program and its context. </w:t>
      </w:r>
    </w:p>
    <w:p w:rsidRPr="00B12E08" w:rsidR="002958A0" w:rsidP="00A61922" w:rsidRDefault="002958A0" w14:paraId="1C9E09BC" w14:textId="77777777">
      <w:pPr>
        <w:keepLines/>
        <w:tabs>
          <w:tab w:val="left" w:pos="360"/>
          <w:tab w:val="left" w:pos="720"/>
        </w:tabs>
        <w:ind w:left="360"/>
        <w:rPr>
          <w:sz w:val="24"/>
          <w:szCs w:val="24"/>
        </w:rPr>
      </w:pPr>
    </w:p>
    <w:p w:rsidR="00B66579" w:rsidRDefault="00926F31" w14:paraId="1DF548E5" w14:textId="762EC648">
      <w:pPr>
        <w:keepLines/>
        <w:tabs>
          <w:tab w:val="left" w:pos="360"/>
          <w:tab w:val="left" w:pos="720"/>
        </w:tabs>
        <w:ind w:left="360"/>
        <w:rPr>
          <w:sz w:val="24"/>
          <w:szCs w:val="24"/>
        </w:rPr>
      </w:pPr>
      <w:r>
        <w:rPr>
          <w:b/>
          <w:bCs/>
          <w:sz w:val="24"/>
          <w:szCs w:val="24"/>
        </w:rPr>
        <w:t>Rent Policy Implementation Data Tracking Tool</w:t>
      </w:r>
      <w:r w:rsidRPr="6A071761" w:rsidR="00FA420C">
        <w:rPr>
          <w:b/>
          <w:bCs/>
          <w:sz w:val="24"/>
          <w:szCs w:val="24"/>
        </w:rPr>
        <w:t xml:space="preserve"> (Attachment</w:t>
      </w:r>
      <w:r w:rsidR="0018644E">
        <w:rPr>
          <w:b/>
          <w:bCs/>
          <w:sz w:val="24"/>
          <w:szCs w:val="24"/>
        </w:rPr>
        <w:t xml:space="preserve"> </w:t>
      </w:r>
      <w:r w:rsidR="00B22912">
        <w:rPr>
          <w:b/>
          <w:bCs/>
          <w:sz w:val="24"/>
          <w:szCs w:val="24"/>
        </w:rPr>
        <w:t>G</w:t>
      </w:r>
      <w:r w:rsidR="00FA420C">
        <w:rPr>
          <w:b/>
          <w:bCs/>
          <w:sz w:val="24"/>
          <w:szCs w:val="24"/>
        </w:rPr>
        <w:t>)</w:t>
      </w:r>
      <w:r w:rsidR="00B22912">
        <w:rPr>
          <w:b/>
          <w:bCs/>
          <w:sz w:val="24"/>
          <w:szCs w:val="24"/>
        </w:rPr>
        <w:t>.</w:t>
      </w:r>
      <w:r w:rsidR="00DB4395">
        <w:rPr>
          <w:b/>
          <w:bCs/>
          <w:sz w:val="24"/>
          <w:szCs w:val="24"/>
        </w:rPr>
        <w:t xml:space="preserve"> </w:t>
      </w:r>
      <w:r w:rsidRPr="4437FB74" w:rsidR="53D3A6CA">
        <w:rPr>
          <w:sz w:val="24"/>
          <w:szCs w:val="24"/>
        </w:rPr>
        <w:t>MDRC</w:t>
      </w:r>
      <w:r w:rsidRPr="785DAC6A" w:rsidR="477E4757">
        <w:rPr>
          <w:sz w:val="24"/>
          <w:szCs w:val="24"/>
        </w:rPr>
        <w:t xml:space="preserve"> will </w:t>
      </w:r>
      <w:r w:rsidR="00B22912">
        <w:rPr>
          <w:sz w:val="24"/>
          <w:szCs w:val="24"/>
        </w:rPr>
        <w:t xml:space="preserve">request three </w:t>
      </w:r>
      <w:r w:rsidRPr="4437FB74" w:rsidR="73A9BC98">
        <w:rPr>
          <w:sz w:val="24"/>
          <w:szCs w:val="24"/>
        </w:rPr>
        <w:t>data</w:t>
      </w:r>
      <w:r w:rsidR="00B22912">
        <w:rPr>
          <w:sz w:val="24"/>
          <w:szCs w:val="24"/>
        </w:rPr>
        <w:t xml:space="preserve"> deliveries</w:t>
      </w:r>
      <w:r w:rsidRPr="4437FB74" w:rsidR="73A9BC98">
        <w:rPr>
          <w:sz w:val="24"/>
          <w:szCs w:val="24"/>
        </w:rPr>
        <w:t xml:space="preserve"> from the PHAs</w:t>
      </w:r>
      <w:r w:rsidR="00042ECF">
        <w:rPr>
          <w:sz w:val="24"/>
          <w:szCs w:val="24"/>
        </w:rPr>
        <w:t xml:space="preserve"> </w:t>
      </w:r>
      <w:r w:rsidRPr="785DAC6A" w:rsidR="477E4757">
        <w:rPr>
          <w:sz w:val="24"/>
          <w:szCs w:val="24"/>
        </w:rPr>
        <w:t xml:space="preserve">during the </w:t>
      </w:r>
      <w:r w:rsidR="006961F9">
        <w:rPr>
          <w:sz w:val="24"/>
          <w:szCs w:val="24"/>
        </w:rPr>
        <w:t xml:space="preserve">study </w:t>
      </w:r>
      <w:r w:rsidRPr="785DAC6A" w:rsidR="477E4757">
        <w:rPr>
          <w:sz w:val="24"/>
          <w:szCs w:val="24"/>
        </w:rPr>
        <w:t xml:space="preserve">enrollment </w:t>
      </w:r>
      <w:r w:rsidRPr="57B8B1CF" w:rsidR="477E4757">
        <w:rPr>
          <w:sz w:val="24"/>
          <w:szCs w:val="24"/>
        </w:rPr>
        <w:t xml:space="preserve">period, which is </w:t>
      </w:r>
      <w:r w:rsidR="00042ECF">
        <w:rPr>
          <w:sz w:val="24"/>
          <w:szCs w:val="24"/>
        </w:rPr>
        <w:t>expected to last one year</w:t>
      </w:r>
      <w:r w:rsidRPr="786E1DF3" w:rsidR="477E4757">
        <w:rPr>
          <w:sz w:val="24"/>
          <w:szCs w:val="24"/>
        </w:rPr>
        <w:t xml:space="preserve">, </w:t>
      </w:r>
      <w:r w:rsidRPr="544D231F" w:rsidR="477E4757">
        <w:rPr>
          <w:sz w:val="24"/>
          <w:szCs w:val="24"/>
        </w:rPr>
        <w:t>as well as</w:t>
      </w:r>
      <w:r w:rsidR="00B22912">
        <w:rPr>
          <w:sz w:val="24"/>
          <w:szCs w:val="24"/>
        </w:rPr>
        <w:t xml:space="preserve"> two data deliveries</w:t>
      </w:r>
      <w:r w:rsidRPr="544D231F" w:rsidR="477E4757">
        <w:rPr>
          <w:sz w:val="24"/>
          <w:szCs w:val="24"/>
        </w:rPr>
        <w:t xml:space="preserve"> in the months </w:t>
      </w:r>
      <w:r w:rsidRPr="595E034D" w:rsidR="477E4757">
        <w:rPr>
          <w:sz w:val="24"/>
          <w:szCs w:val="24"/>
        </w:rPr>
        <w:t xml:space="preserve">immediately </w:t>
      </w:r>
      <w:r w:rsidRPr="595E034D" w:rsidR="779F3926">
        <w:rPr>
          <w:sz w:val="24"/>
          <w:szCs w:val="24"/>
        </w:rPr>
        <w:t xml:space="preserve">following the end of </w:t>
      </w:r>
      <w:r w:rsidRPr="1CCB2612" w:rsidR="779F3926">
        <w:rPr>
          <w:sz w:val="24"/>
          <w:szCs w:val="24"/>
        </w:rPr>
        <w:t>enrollment</w:t>
      </w:r>
      <w:r w:rsidRPr="1CCB2612" w:rsidR="54A817DC">
        <w:rPr>
          <w:sz w:val="24"/>
          <w:szCs w:val="24"/>
        </w:rPr>
        <w:t>.</w:t>
      </w:r>
      <w:r w:rsidRPr="6A071761" w:rsidR="00122E4D">
        <w:rPr>
          <w:sz w:val="24"/>
          <w:szCs w:val="24"/>
        </w:rPr>
        <w:t xml:space="preserve"> </w:t>
      </w:r>
      <w:r w:rsidRPr="6A071761" w:rsidR="003274B1">
        <w:rPr>
          <w:sz w:val="24"/>
          <w:szCs w:val="24"/>
        </w:rPr>
        <w:t>Th</w:t>
      </w:r>
      <w:r w:rsidRPr="6A071761" w:rsidR="00246435">
        <w:rPr>
          <w:sz w:val="24"/>
          <w:szCs w:val="24"/>
        </w:rPr>
        <w:t xml:space="preserve">ese data are essential for the study to </w:t>
      </w:r>
      <w:r w:rsidRPr="6A071761" w:rsidR="00135E3A">
        <w:rPr>
          <w:sz w:val="24"/>
          <w:szCs w:val="24"/>
        </w:rPr>
        <w:t xml:space="preserve">confirm that the rent rules </w:t>
      </w:r>
      <w:r w:rsidRPr="6A071761" w:rsidR="00BF7982">
        <w:rPr>
          <w:sz w:val="24"/>
          <w:szCs w:val="24"/>
        </w:rPr>
        <w:t xml:space="preserve">were </w:t>
      </w:r>
      <w:r w:rsidR="0018644E">
        <w:rPr>
          <w:sz w:val="24"/>
          <w:szCs w:val="24"/>
        </w:rPr>
        <w:t>implemented</w:t>
      </w:r>
      <w:r w:rsidRPr="6A071761" w:rsidR="003A0447">
        <w:rPr>
          <w:sz w:val="24"/>
          <w:szCs w:val="24"/>
        </w:rPr>
        <w:t xml:space="preserve"> correctly.</w:t>
      </w:r>
      <w:r w:rsidR="00B22912">
        <w:rPr>
          <w:sz w:val="24"/>
          <w:szCs w:val="24"/>
        </w:rPr>
        <w:t xml:space="preserve"> </w:t>
      </w:r>
      <w:r w:rsidR="006B0806">
        <w:rPr>
          <w:sz w:val="24"/>
          <w:szCs w:val="24"/>
        </w:rPr>
        <w:t>After the 50058 PHA data described above is collected for quality checks and monitoring the implementation of the new rent rules, MDRC will transition to collecting 50058 IMS/PIC data from HUD biannually</w:t>
      </w:r>
      <w:r w:rsidR="00435B2A">
        <w:rPr>
          <w:sz w:val="24"/>
          <w:szCs w:val="24"/>
        </w:rPr>
        <w:t>.</w:t>
      </w:r>
      <w:r w:rsidR="00E53694">
        <w:rPr>
          <w:sz w:val="24"/>
          <w:szCs w:val="24"/>
        </w:rPr>
        <w:t xml:space="preserve"> </w:t>
      </w:r>
    </w:p>
    <w:p w:rsidR="00B66579" w:rsidRDefault="00B66579" w14:paraId="1E4A2D9A" w14:textId="77777777">
      <w:pPr>
        <w:keepLines/>
        <w:tabs>
          <w:tab w:val="left" w:pos="360"/>
          <w:tab w:val="left" w:pos="720"/>
        </w:tabs>
        <w:ind w:left="360"/>
        <w:rPr>
          <w:sz w:val="24"/>
          <w:szCs w:val="24"/>
        </w:rPr>
      </w:pPr>
    </w:p>
    <w:p w:rsidR="00FD3933" w:rsidP="0099155A" w:rsidRDefault="00B66579" w14:paraId="4EF01F8D" w14:textId="562581D3">
      <w:pPr>
        <w:keepLines/>
        <w:tabs>
          <w:tab w:val="left" w:pos="360"/>
          <w:tab w:val="left" w:pos="720"/>
        </w:tabs>
        <w:rPr>
          <w:sz w:val="24"/>
          <w:szCs w:val="24"/>
        </w:rPr>
      </w:pPr>
      <w:r>
        <w:rPr>
          <w:sz w:val="24"/>
          <w:szCs w:val="24"/>
        </w:rPr>
        <w:t xml:space="preserve">In addition, </w:t>
      </w:r>
      <w:r w:rsidR="00E53694">
        <w:rPr>
          <w:sz w:val="24"/>
          <w:szCs w:val="24"/>
        </w:rPr>
        <w:t xml:space="preserve">MDRC will continue </w:t>
      </w:r>
      <w:r w:rsidR="00854BCB">
        <w:rPr>
          <w:sz w:val="24"/>
          <w:szCs w:val="24"/>
        </w:rPr>
        <w:t xml:space="preserve">collecting limited </w:t>
      </w:r>
      <w:r w:rsidR="009B52AF">
        <w:rPr>
          <w:sz w:val="24"/>
          <w:szCs w:val="24"/>
        </w:rPr>
        <w:t xml:space="preserve">data from the PHAs, including hardship requests and contact information, which </w:t>
      </w:r>
      <w:r w:rsidR="00D356B2">
        <w:rPr>
          <w:sz w:val="24"/>
          <w:szCs w:val="24"/>
        </w:rPr>
        <w:t xml:space="preserve">as noted above, </w:t>
      </w:r>
      <w:r w:rsidR="002E067E">
        <w:rPr>
          <w:sz w:val="24"/>
          <w:szCs w:val="24"/>
        </w:rPr>
        <w:t xml:space="preserve">are not available in the 50058 IMS/PIC Modernization data.  </w:t>
      </w:r>
      <w:r w:rsidR="009E701E">
        <w:rPr>
          <w:sz w:val="24"/>
          <w:szCs w:val="24"/>
        </w:rPr>
        <w:t>Hardship request data will be requested biannually</w:t>
      </w:r>
      <w:r w:rsidR="00FE1795">
        <w:rPr>
          <w:sz w:val="24"/>
          <w:szCs w:val="24"/>
        </w:rPr>
        <w:t xml:space="preserve"> beginning during the enrollment period, and the contact data will be requested biannually </w:t>
      </w:r>
      <w:r w:rsidR="00EC52D8">
        <w:rPr>
          <w:sz w:val="24"/>
          <w:szCs w:val="24"/>
        </w:rPr>
        <w:t xml:space="preserve">starting </w:t>
      </w:r>
      <w:r w:rsidR="00394B02">
        <w:rPr>
          <w:sz w:val="24"/>
          <w:szCs w:val="24"/>
        </w:rPr>
        <w:t xml:space="preserve">with </w:t>
      </w:r>
      <w:r w:rsidR="00EC52D8">
        <w:rPr>
          <w:sz w:val="24"/>
          <w:szCs w:val="24"/>
        </w:rPr>
        <w:t xml:space="preserve">the second </w:t>
      </w:r>
      <w:r w:rsidR="00F533EF">
        <w:rPr>
          <w:sz w:val="24"/>
          <w:szCs w:val="24"/>
        </w:rPr>
        <w:t>year of the study period.</w:t>
      </w:r>
    </w:p>
    <w:p w:rsidRPr="006C7FAE" w:rsidR="000F1A92" w:rsidP="0099155A" w:rsidRDefault="000F1A92" w14:paraId="77F2532A" w14:textId="77777777">
      <w:pPr>
        <w:keepLines/>
        <w:tabs>
          <w:tab w:val="left" w:pos="360"/>
          <w:tab w:val="left" w:pos="720"/>
        </w:tabs>
        <w:rPr>
          <w:sz w:val="24"/>
          <w:szCs w:val="24"/>
        </w:rPr>
      </w:pPr>
    </w:p>
    <w:p w:rsidRPr="00FD3933" w:rsidR="009E13B1" w:rsidRDefault="009E13B1" w14:paraId="6CF732E5" w14:textId="77777777">
      <w:pPr>
        <w:numPr>
          <w:ilvl w:val="0"/>
          <w:numId w:val="13"/>
        </w:numPr>
        <w:tabs>
          <w:tab w:val="left" w:pos="360"/>
        </w:tabs>
        <w:rPr>
          <w:b/>
          <w:bCs/>
          <w:sz w:val="24"/>
          <w:szCs w:val="24"/>
        </w:rPr>
      </w:pPr>
      <w:r w:rsidRPr="00FD3933">
        <w:rPr>
          <w:b/>
          <w:bCs/>
          <w:sz w:val="24"/>
          <w:szCs w:val="24"/>
        </w:rPr>
        <w:t xml:space="preserve">Explain any special circumstances that would cause an information collection to be conducted in a manner: </w:t>
      </w:r>
    </w:p>
    <w:p w:rsidRPr="00FD3933" w:rsidR="009E13B1" w:rsidRDefault="009E13B1" w14:paraId="626870C1" w14:textId="77777777">
      <w:pPr>
        <w:numPr>
          <w:ilvl w:val="0"/>
          <w:numId w:val="14"/>
        </w:numPr>
        <w:tabs>
          <w:tab w:val="left" w:pos="600"/>
        </w:tabs>
        <w:rPr>
          <w:b/>
          <w:bCs/>
          <w:sz w:val="24"/>
          <w:szCs w:val="24"/>
        </w:rPr>
      </w:pPr>
      <w:r w:rsidRPr="00FD3933">
        <w:rPr>
          <w:b/>
          <w:bCs/>
          <w:sz w:val="24"/>
          <w:szCs w:val="24"/>
        </w:rPr>
        <w:t xml:space="preserve">requiring respondents to report information to the agency more than </w:t>
      </w:r>
      <w:proofErr w:type="gramStart"/>
      <w:r w:rsidRPr="00FD3933">
        <w:rPr>
          <w:b/>
          <w:bCs/>
          <w:sz w:val="24"/>
          <w:szCs w:val="24"/>
        </w:rPr>
        <w:t>quarterly;</w:t>
      </w:r>
      <w:proofErr w:type="gramEnd"/>
      <w:r w:rsidRPr="00FD3933">
        <w:rPr>
          <w:b/>
          <w:bCs/>
          <w:sz w:val="24"/>
          <w:szCs w:val="24"/>
        </w:rPr>
        <w:t xml:space="preserve"> </w:t>
      </w:r>
    </w:p>
    <w:p w:rsidRPr="00FD3933" w:rsidR="009E13B1" w:rsidRDefault="009E13B1" w14:paraId="5BBA75CD" w14:textId="77777777">
      <w:pPr>
        <w:numPr>
          <w:ilvl w:val="0"/>
          <w:numId w:val="14"/>
        </w:numPr>
        <w:tabs>
          <w:tab w:val="left" w:pos="600"/>
        </w:tabs>
        <w:rPr>
          <w:b/>
          <w:bCs/>
          <w:sz w:val="24"/>
          <w:szCs w:val="24"/>
        </w:rPr>
      </w:pPr>
      <w:r w:rsidRPr="00FD3933">
        <w:rPr>
          <w:b/>
          <w:bCs/>
          <w:sz w:val="24"/>
          <w:szCs w:val="24"/>
        </w:rPr>
        <w:t xml:space="preserve">requiring respondents to prepare a written response to a collection of information in fewer than 30 days after receipt of </w:t>
      </w:r>
      <w:proofErr w:type="gramStart"/>
      <w:r w:rsidRPr="00FD3933">
        <w:rPr>
          <w:b/>
          <w:bCs/>
          <w:sz w:val="24"/>
          <w:szCs w:val="24"/>
        </w:rPr>
        <w:t>it;</w:t>
      </w:r>
      <w:proofErr w:type="gramEnd"/>
      <w:r w:rsidRPr="00FD3933">
        <w:rPr>
          <w:b/>
          <w:bCs/>
          <w:sz w:val="24"/>
          <w:szCs w:val="24"/>
        </w:rPr>
        <w:t xml:space="preserve"> </w:t>
      </w:r>
    </w:p>
    <w:p w:rsidRPr="00FD3933" w:rsidR="009E13B1" w:rsidRDefault="009E13B1" w14:paraId="1B462393" w14:textId="77777777">
      <w:pPr>
        <w:numPr>
          <w:ilvl w:val="0"/>
          <w:numId w:val="14"/>
        </w:numPr>
        <w:tabs>
          <w:tab w:val="left" w:pos="600"/>
        </w:tabs>
        <w:rPr>
          <w:b/>
          <w:bCs/>
          <w:sz w:val="24"/>
          <w:szCs w:val="24"/>
        </w:rPr>
      </w:pPr>
      <w:r w:rsidRPr="00FD3933">
        <w:rPr>
          <w:b/>
          <w:bCs/>
          <w:sz w:val="24"/>
          <w:szCs w:val="24"/>
        </w:rPr>
        <w:t xml:space="preserve">requiring respondents to submit more than an original and two copies of any </w:t>
      </w:r>
      <w:proofErr w:type="gramStart"/>
      <w:r w:rsidRPr="00FD3933">
        <w:rPr>
          <w:b/>
          <w:bCs/>
          <w:sz w:val="24"/>
          <w:szCs w:val="24"/>
        </w:rPr>
        <w:t>document;</w:t>
      </w:r>
      <w:proofErr w:type="gramEnd"/>
      <w:r w:rsidRPr="00FD3933">
        <w:rPr>
          <w:b/>
          <w:bCs/>
          <w:sz w:val="24"/>
          <w:szCs w:val="24"/>
        </w:rPr>
        <w:t xml:space="preserve"> </w:t>
      </w:r>
    </w:p>
    <w:p w:rsidRPr="00FD3933" w:rsidR="009E13B1" w:rsidRDefault="009E13B1" w14:paraId="6CCF79AB" w14:textId="77777777">
      <w:pPr>
        <w:numPr>
          <w:ilvl w:val="0"/>
          <w:numId w:val="14"/>
        </w:numPr>
        <w:tabs>
          <w:tab w:val="left" w:pos="600"/>
        </w:tabs>
        <w:rPr>
          <w:b/>
          <w:bCs/>
          <w:sz w:val="24"/>
          <w:szCs w:val="24"/>
        </w:rPr>
      </w:pPr>
      <w:r w:rsidRPr="00FD3933">
        <w:rPr>
          <w:b/>
          <w:bCs/>
          <w:sz w:val="24"/>
          <w:szCs w:val="24"/>
        </w:rPr>
        <w:t xml:space="preserve">requiring respondents to retain records other than health, medical, government contract, grant-in-aid, or tax records for more than three </w:t>
      </w:r>
      <w:proofErr w:type="gramStart"/>
      <w:r w:rsidRPr="00FD3933">
        <w:rPr>
          <w:b/>
          <w:bCs/>
          <w:sz w:val="24"/>
          <w:szCs w:val="24"/>
        </w:rPr>
        <w:t>years;</w:t>
      </w:r>
      <w:proofErr w:type="gramEnd"/>
      <w:r w:rsidRPr="00FD3933">
        <w:rPr>
          <w:b/>
          <w:bCs/>
          <w:sz w:val="24"/>
          <w:szCs w:val="24"/>
        </w:rPr>
        <w:t xml:space="preserve"> </w:t>
      </w:r>
    </w:p>
    <w:p w:rsidRPr="00FD3933" w:rsidR="009E13B1" w:rsidRDefault="009E13B1" w14:paraId="6E7B88F5" w14:textId="77777777">
      <w:pPr>
        <w:numPr>
          <w:ilvl w:val="0"/>
          <w:numId w:val="14"/>
        </w:numPr>
        <w:tabs>
          <w:tab w:val="left" w:pos="600"/>
        </w:tabs>
        <w:rPr>
          <w:b/>
          <w:bCs/>
          <w:sz w:val="24"/>
          <w:szCs w:val="24"/>
        </w:rPr>
      </w:pPr>
      <w:r w:rsidRPr="00FD3933">
        <w:rPr>
          <w:b/>
          <w:bCs/>
          <w:sz w:val="24"/>
          <w:szCs w:val="24"/>
        </w:rPr>
        <w:t xml:space="preserve">in connection with a statistical survey, that is not designed to produce valid and reliable results than can be generalized to the universe of </w:t>
      </w:r>
      <w:proofErr w:type="gramStart"/>
      <w:r w:rsidRPr="00FD3933">
        <w:rPr>
          <w:b/>
          <w:bCs/>
          <w:sz w:val="24"/>
          <w:szCs w:val="24"/>
        </w:rPr>
        <w:t>study;</w:t>
      </w:r>
      <w:proofErr w:type="gramEnd"/>
      <w:r w:rsidRPr="00FD3933">
        <w:rPr>
          <w:b/>
          <w:bCs/>
          <w:sz w:val="24"/>
          <w:szCs w:val="24"/>
        </w:rPr>
        <w:t xml:space="preserve"> </w:t>
      </w:r>
    </w:p>
    <w:p w:rsidRPr="00FD3933" w:rsidR="009E13B1" w:rsidRDefault="009E13B1" w14:paraId="14421851" w14:textId="77777777">
      <w:pPr>
        <w:numPr>
          <w:ilvl w:val="0"/>
          <w:numId w:val="14"/>
        </w:numPr>
        <w:tabs>
          <w:tab w:val="left" w:pos="600"/>
        </w:tabs>
        <w:rPr>
          <w:b/>
          <w:bCs/>
          <w:sz w:val="24"/>
          <w:szCs w:val="24"/>
        </w:rPr>
      </w:pPr>
      <w:r w:rsidRPr="00FD3933">
        <w:rPr>
          <w:b/>
          <w:bCs/>
          <w:sz w:val="24"/>
          <w:szCs w:val="24"/>
        </w:rPr>
        <w:t xml:space="preserve">requiring the use of a statistical data classification that has not been reviewed and approved by </w:t>
      </w:r>
      <w:proofErr w:type="gramStart"/>
      <w:r w:rsidRPr="00FD3933">
        <w:rPr>
          <w:b/>
          <w:bCs/>
          <w:sz w:val="24"/>
          <w:szCs w:val="24"/>
        </w:rPr>
        <w:t>OMB;</w:t>
      </w:r>
      <w:proofErr w:type="gramEnd"/>
      <w:r w:rsidRPr="00FD3933">
        <w:rPr>
          <w:b/>
          <w:bCs/>
          <w:sz w:val="24"/>
          <w:szCs w:val="24"/>
        </w:rPr>
        <w:t xml:space="preserve"> </w:t>
      </w:r>
    </w:p>
    <w:p w:rsidRPr="00FD3933" w:rsidR="009E13B1" w:rsidRDefault="009E13B1" w14:paraId="46AB91E6" w14:textId="77777777">
      <w:pPr>
        <w:numPr>
          <w:ilvl w:val="0"/>
          <w:numId w:val="14"/>
        </w:numPr>
        <w:tabs>
          <w:tab w:val="left" w:pos="600"/>
        </w:tabs>
        <w:rPr>
          <w:b/>
          <w:bCs/>
          <w:sz w:val="24"/>
          <w:szCs w:val="24"/>
        </w:rPr>
      </w:pPr>
      <w:r w:rsidRPr="00FD3933">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447048" w:rsidR="009E13B1" w:rsidP="00447048" w:rsidRDefault="009E13B1" w14:paraId="5761D6DF" w14:textId="2672BFAE">
      <w:pPr>
        <w:keepLines/>
        <w:numPr>
          <w:ilvl w:val="0"/>
          <w:numId w:val="14"/>
        </w:numPr>
        <w:tabs>
          <w:tab w:val="left" w:pos="600"/>
        </w:tabs>
        <w:spacing w:after="80"/>
        <w:rPr>
          <w:b/>
          <w:bCs/>
          <w:sz w:val="24"/>
          <w:szCs w:val="24"/>
        </w:rPr>
      </w:pPr>
      <w:r w:rsidRPr="00FD3933">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E57E60" w:rsidR="00FD3933" w:rsidP="00FD3933" w:rsidRDefault="00FD3933" w14:paraId="5F7D0639" w14:textId="77777777">
      <w:pPr>
        <w:keepNext/>
        <w:keepLines/>
        <w:tabs>
          <w:tab w:val="left" w:pos="0"/>
          <w:tab w:val="left" w:pos="720"/>
          <w:tab w:val="left" w:pos="840"/>
        </w:tabs>
        <w:ind w:left="360"/>
        <w:rPr>
          <w:sz w:val="24"/>
          <w:szCs w:val="24"/>
        </w:rPr>
      </w:pPr>
      <w:r>
        <w:rPr>
          <w:sz w:val="24"/>
          <w:szCs w:val="24"/>
        </w:rPr>
        <w:t xml:space="preserve">The proposed data collection </w:t>
      </w:r>
      <w:r w:rsidRPr="00E57E60">
        <w:rPr>
          <w:sz w:val="24"/>
          <w:szCs w:val="24"/>
        </w:rPr>
        <w:t xml:space="preserve">activities are consistent with the guidelines set forth in 5 CFR </w:t>
      </w:r>
      <w:r>
        <w:rPr>
          <w:sz w:val="24"/>
          <w:szCs w:val="24"/>
        </w:rPr>
        <w:t xml:space="preserve">§ </w:t>
      </w:r>
      <w:r w:rsidRPr="00E57E60">
        <w:rPr>
          <w:sz w:val="24"/>
          <w:szCs w:val="24"/>
        </w:rPr>
        <w:t xml:space="preserve">1320 (Controlling Paperwork Burdens on the Public). There are no special circumstances that require deviation from these guidelines.  The following below are </w:t>
      </w:r>
      <w:r w:rsidRPr="00E57E60">
        <w:rPr>
          <w:b/>
          <w:sz w:val="24"/>
          <w:szCs w:val="24"/>
        </w:rPr>
        <w:t>“Not Applicable”</w:t>
      </w:r>
      <w:r w:rsidRPr="00E57E60">
        <w:rPr>
          <w:sz w:val="24"/>
          <w:szCs w:val="24"/>
        </w:rPr>
        <w:t xml:space="preserve"> to this collection:</w:t>
      </w:r>
    </w:p>
    <w:p w:rsidRPr="00E57E60" w:rsidR="00FD3933" w:rsidP="00FD3933" w:rsidRDefault="00FD3933" w14:paraId="5A64910C" w14:textId="77777777">
      <w:pPr>
        <w:tabs>
          <w:tab w:val="left" w:pos="-1440"/>
        </w:tabs>
        <w:ind w:left="1440" w:hanging="720"/>
        <w:rPr>
          <w:sz w:val="24"/>
          <w:szCs w:val="24"/>
        </w:rPr>
      </w:pPr>
    </w:p>
    <w:p w:rsidRPr="00E57E60" w:rsidR="00FD3933" w:rsidP="00FD3933" w:rsidRDefault="00FD3933" w14:paraId="5F1D591E" w14:textId="77777777">
      <w:pPr>
        <w:widowControl w:val="0"/>
        <w:numPr>
          <w:ilvl w:val="0"/>
          <w:numId w:val="15"/>
        </w:numPr>
        <w:tabs>
          <w:tab w:val="left" w:pos="-1440"/>
        </w:tabs>
        <w:overflowPunct/>
        <w:textAlignment w:val="auto"/>
        <w:rPr>
          <w:sz w:val="24"/>
          <w:szCs w:val="24"/>
        </w:rPr>
      </w:pPr>
      <w:r w:rsidRPr="00E57E60">
        <w:rPr>
          <w:sz w:val="24"/>
          <w:szCs w:val="24"/>
        </w:rPr>
        <w:t>requiring respondents to report information to the agency more than quarterly – “</w:t>
      </w:r>
      <w:r w:rsidRPr="00E57E60">
        <w:rPr>
          <w:b/>
          <w:sz w:val="24"/>
          <w:szCs w:val="24"/>
        </w:rPr>
        <w:t>Not Applicable</w:t>
      </w:r>
      <w:proofErr w:type="gramStart"/>
      <w:r w:rsidRPr="00E57E60">
        <w:rPr>
          <w:sz w:val="24"/>
          <w:szCs w:val="24"/>
        </w:rPr>
        <w:t>”;</w:t>
      </w:r>
      <w:proofErr w:type="gramEnd"/>
      <w:r w:rsidRPr="00E57E60">
        <w:rPr>
          <w:sz w:val="24"/>
          <w:szCs w:val="24"/>
        </w:rPr>
        <w:t xml:space="preserve"> </w:t>
      </w:r>
    </w:p>
    <w:p w:rsidRPr="00E57E60" w:rsidR="00FD3933" w:rsidP="00FD3933" w:rsidRDefault="00FD3933" w14:paraId="03F0B2FD" w14:textId="77777777">
      <w:pPr>
        <w:widowControl w:val="0"/>
        <w:numPr>
          <w:ilvl w:val="0"/>
          <w:numId w:val="15"/>
        </w:numPr>
        <w:tabs>
          <w:tab w:val="left" w:pos="-1440"/>
        </w:tabs>
        <w:overflowPunct/>
        <w:textAlignment w:val="auto"/>
        <w:rPr>
          <w:sz w:val="24"/>
          <w:szCs w:val="24"/>
        </w:rPr>
      </w:pPr>
      <w:r w:rsidRPr="00E57E60">
        <w:rPr>
          <w:sz w:val="24"/>
          <w:szCs w:val="24"/>
        </w:rPr>
        <w:t>requiring respondents to prepare a written response to a collection of information in fewer than 30 days after receipt of it – “</w:t>
      </w:r>
      <w:r w:rsidRPr="00E57E60">
        <w:rPr>
          <w:b/>
          <w:sz w:val="24"/>
          <w:szCs w:val="24"/>
        </w:rPr>
        <w:t>Not Applicable</w:t>
      </w:r>
      <w:proofErr w:type="gramStart"/>
      <w:r w:rsidRPr="00E57E60">
        <w:rPr>
          <w:sz w:val="24"/>
          <w:szCs w:val="24"/>
        </w:rPr>
        <w:t>”;</w:t>
      </w:r>
      <w:proofErr w:type="gramEnd"/>
      <w:r w:rsidRPr="00E57E60">
        <w:rPr>
          <w:sz w:val="24"/>
          <w:szCs w:val="24"/>
        </w:rPr>
        <w:t xml:space="preserve"> </w:t>
      </w:r>
    </w:p>
    <w:p w:rsidRPr="00E57E60" w:rsidR="00FD3933" w:rsidP="00FD3933" w:rsidRDefault="00FD3933" w14:paraId="440F3447" w14:textId="77777777">
      <w:pPr>
        <w:widowControl w:val="0"/>
        <w:numPr>
          <w:ilvl w:val="0"/>
          <w:numId w:val="15"/>
        </w:numPr>
        <w:tabs>
          <w:tab w:val="left" w:pos="-1440"/>
        </w:tabs>
        <w:overflowPunct/>
        <w:textAlignment w:val="auto"/>
        <w:rPr>
          <w:sz w:val="24"/>
          <w:szCs w:val="24"/>
        </w:rPr>
      </w:pPr>
      <w:r w:rsidRPr="00E57E60">
        <w:rPr>
          <w:sz w:val="24"/>
          <w:szCs w:val="24"/>
        </w:rPr>
        <w:t>requiring respondents to submit more than an original and two copies of any document – “</w:t>
      </w:r>
      <w:r w:rsidRPr="00E57E60">
        <w:rPr>
          <w:b/>
          <w:sz w:val="24"/>
          <w:szCs w:val="24"/>
        </w:rPr>
        <w:t>Not Applicable</w:t>
      </w:r>
      <w:proofErr w:type="gramStart"/>
      <w:r w:rsidRPr="00E57E60">
        <w:rPr>
          <w:sz w:val="24"/>
          <w:szCs w:val="24"/>
        </w:rPr>
        <w:t>”;</w:t>
      </w:r>
      <w:proofErr w:type="gramEnd"/>
      <w:r w:rsidRPr="00E57E60">
        <w:rPr>
          <w:sz w:val="24"/>
          <w:szCs w:val="24"/>
        </w:rPr>
        <w:t xml:space="preserve"> </w:t>
      </w:r>
    </w:p>
    <w:p w:rsidRPr="00E57E60" w:rsidR="00FD3933" w:rsidP="00FD3933" w:rsidRDefault="00FD3933" w14:paraId="1655739E" w14:textId="77777777">
      <w:pPr>
        <w:widowControl w:val="0"/>
        <w:numPr>
          <w:ilvl w:val="0"/>
          <w:numId w:val="15"/>
        </w:numPr>
        <w:tabs>
          <w:tab w:val="left" w:pos="-1440"/>
        </w:tabs>
        <w:overflowPunct/>
        <w:textAlignment w:val="auto"/>
        <w:rPr>
          <w:sz w:val="24"/>
          <w:szCs w:val="24"/>
        </w:rPr>
      </w:pPr>
      <w:r w:rsidRPr="00E57E60">
        <w:rPr>
          <w:sz w:val="24"/>
          <w:szCs w:val="24"/>
        </w:rPr>
        <w:t>requiring respondents to retain records other than health, medical, government contract, grant-in-aid, or tax records for more than three years – “</w:t>
      </w:r>
      <w:r w:rsidRPr="00E57E60">
        <w:rPr>
          <w:b/>
          <w:sz w:val="24"/>
          <w:szCs w:val="24"/>
        </w:rPr>
        <w:t>Not Applicable</w:t>
      </w:r>
      <w:proofErr w:type="gramStart"/>
      <w:r w:rsidRPr="00E57E60">
        <w:rPr>
          <w:sz w:val="24"/>
          <w:szCs w:val="24"/>
        </w:rPr>
        <w:t>”;</w:t>
      </w:r>
      <w:proofErr w:type="gramEnd"/>
      <w:r w:rsidRPr="00E57E60">
        <w:rPr>
          <w:sz w:val="24"/>
          <w:szCs w:val="24"/>
        </w:rPr>
        <w:t xml:space="preserve"> </w:t>
      </w:r>
    </w:p>
    <w:p w:rsidRPr="00E57E60" w:rsidR="00FD3933" w:rsidP="00FD3933" w:rsidRDefault="00FD3933" w14:paraId="6741367C" w14:textId="77777777">
      <w:pPr>
        <w:widowControl w:val="0"/>
        <w:numPr>
          <w:ilvl w:val="0"/>
          <w:numId w:val="15"/>
        </w:numPr>
        <w:tabs>
          <w:tab w:val="left" w:pos="-1440"/>
        </w:tabs>
        <w:overflowPunct/>
        <w:textAlignment w:val="auto"/>
        <w:rPr>
          <w:sz w:val="24"/>
          <w:szCs w:val="24"/>
        </w:rPr>
      </w:pPr>
      <w:r w:rsidRPr="00E57E60">
        <w:rPr>
          <w:sz w:val="24"/>
          <w:szCs w:val="24"/>
        </w:rPr>
        <w:t>in connection with a statistical survey, that is not designed to produce valid and reliable results than can be generalized to the universe of study – “</w:t>
      </w:r>
      <w:r w:rsidRPr="00E57E60">
        <w:rPr>
          <w:b/>
          <w:sz w:val="24"/>
          <w:szCs w:val="24"/>
        </w:rPr>
        <w:t>Not Applicable</w:t>
      </w:r>
      <w:proofErr w:type="gramStart"/>
      <w:r w:rsidRPr="00E57E60">
        <w:rPr>
          <w:sz w:val="24"/>
          <w:szCs w:val="24"/>
        </w:rPr>
        <w:t>”;</w:t>
      </w:r>
      <w:proofErr w:type="gramEnd"/>
      <w:r w:rsidRPr="00E57E60">
        <w:rPr>
          <w:sz w:val="24"/>
          <w:szCs w:val="24"/>
        </w:rPr>
        <w:t xml:space="preserve"> </w:t>
      </w:r>
    </w:p>
    <w:p w:rsidRPr="00E57E60" w:rsidR="00FD3933" w:rsidP="00FD3933" w:rsidRDefault="00FD3933" w14:paraId="4BD414D4" w14:textId="77777777">
      <w:pPr>
        <w:widowControl w:val="0"/>
        <w:numPr>
          <w:ilvl w:val="0"/>
          <w:numId w:val="15"/>
        </w:numPr>
        <w:tabs>
          <w:tab w:val="left" w:pos="-1440"/>
        </w:tabs>
        <w:overflowPunct/>
        <w:textAlignment w:val="auto"/>
        <w:rPr>
          <w:sz w:val="24"/>
          <w:szCs w:val="24"/>
        </w:rPr>
      </w:pPr>
      <w:r w:rsidRPr="00E57E60">
        <w:rPr>
          <w:sz w:val="24"/>
          <w:szCs w:val="24"/>
        </w:rPr>
        <w:t>requiring the use of a statistical data classification that has not been reviewed and approved by OMB – “</w:t>
      </w:r>
      <w:r w:rsidRPr="00E57E60">
        <w:rPr>
          <w:b/>
          <w:sz w:val="24"/>
          <w:szCs w:val="24"/>
        </w:rPr>
        <w:t>Not Applicable</w:t>
      </w:r>
      <w:proofErr w:type="gramStart"/>
      <w:r w:rsidRPr="00E57E60">
        <w:rPr>
          <w:sz w:val="24"/>
          <w:szCs w:val="24"/>
        </w:rPr>
        <w:t>”;</w:t>
      </w:r>
      <w:proofErr w:type="gramEnd"/>
      <w:r w:rsidRPr="00E57E60">
        <w:rPr>
          <w:sz w:val="24"/>
          <w:szCs w:val="24"/>
        </w:rPr>
        <w:t xml:space="preserve"> </w:t>
      </w:r>
    </w:p>
    <w:p w:rsidRPr="00E57E60" w:rsidR="00FD3933" w:rsidP="00FD3933" w:rsidRDefault="00FD3933" w14:paraId="222FE46E" w14:textId="77777777">
      <w:pPr>
        <w:widowControl w:val="0"/>
        <w:numPr>
          <w:ilvl w:val="0"/>
          <w:numId w:val="15"/>
        </w:numPr>
        <w:tabs>
          <w:tab w:val="left" w:pos="-1440"/>
        </w:tabs>
        <w:overflowPunct/>
        <w:textAlignment w:val="auto"/>
        <w:rPr>
          <w:sz w:val="24"/>
          <w:szCs w:val="24"/>
        </w:rPr>
      </w:pPr>
      <w:r w:rsidRPr="00E57E60">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E57E60">
        <w:rPr>
          <w:b/>
          <w:sz w:val="24"/>
          <w:szCs w:val="24"/>
        </w:rPr>
        <w:t>Not Applicable</w:t>
      </w:r>
      <w:r w:rsidRPr="00E57E60">
        <w:rPr>
          <w:sz w:val="24"/>
          <w:szCs w:val="24"/>
        </w:rPr>
        <w:t xml:space="preserve">”; or </w:t>
      </w:r>
    </w:p>
    <w:p w:rsidRPr="00E57E60" w:rsidR="00FD3933" w:rsidP="00FD3933" w:rsidRDefault="00FD3933" w14:paraId="225B1A84" w14:textId="77777777">
      <w:pPr>
        <w:widowControl w:val="0"/>
        <w:numPr>
          <w:ilvl w:val="0"/>
          <w:numId w:val="15"/>
        </w:numPr>
        <w:tabs>
          <w:tab w:val="left" w:pos="-1440"/>
        </w:tabs>
        <w:overflowPunct/>
        <w:textAlignment w:val="auto"/>
        <w:rPr>
          <w:sz w:val="24"/>
          <w:szCs w:val="24"/>
        </w:rPr>
      </w:pPr>
      <w:r w:rsidRPr="00E57E60">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E57E60">
        <w:rPr>
          <w:b/>
          <w:sz w:val="24"/>
          <w:szCs w:val="24"/>
        </w:rPr>
        <w:t>Not Applicable</w:t>
      </w:r>
      <w:r w:rsidRPr="00E57E60">
        <w:rPr>
          <w:sz w:val="24"/>
          <w:szCs w:val="24"/>
        </w:rPr>
        <w:t>”.</w:t>
      </w:r>
    </w:p>
    <w:p w:rsidRPr="006C7FAE" w:rsidR="00FD3933" w:rsidP="00FD3933" w:rsidRDefault="00FD3933" w14:paraId="1C150988" w14:textId="77777777">
      <w:pPr>
        <w:tabs>
          <w:tab w:val="left" w:pos="360"/>
        </w:tabs>
        <w:ind w:left="360"/>
        <w:rPr>
          <w:sz w:val="24"/>
          <w:szCs w:val="24"/>
        </w:rPr>
      </w:pPr>
    </w:p>
    <w:p w:rsidRPr="00FD3933" w:rsidR="009E13B1" w:rsidRDefault="009E13B1" w14:paraId="6E1B5622" w14:textId="77777777">
      <w:pPr>
        <w:tabs>
          <w:tab w:val="left" w:pos="360"/>
        </w:tabs>
        <w:ind w:left="360" w:hanging="360"/>
        <w:rPr>
          <w:b/>
          <w:bCs/>
          <w:sz w:val="24"/>
          <w:szCs w:val="24"/>
        </w:rPr>
      </w:pPr>
      <w:r w:rsidRPr="00FD3933">
        <w:rPr>
          <w:b/>
          <w:bCs/>
          <w:sz w:val="24"/>
          <w:szCs w:val="24"/>
        </w:rPr>
        <w:t xml:space="preserve"> 8.</w:t>
      </w:r>
      <w:r w:rsidRPr="00FD3933">
        <w:rPr>
          <w:b/>
          <w:bCs/>
          <w:sz w:val="24"/>
          <w:szCs w:val="24"/>
        </w:rPr>
        <w:tab/>
        <w:t xml:space="preserve">If applicable, provide a copy and identify the date and page number of </w:t>
      </w:r>
      <w:proofErr w:type="gramStart"/>
      <w:r w:rsidRPr="00FD3933">
        <w:rPr>
          <w:b/>
          <w:bCs/>
          <w:sz w:val="24"/>
          <w:szCs w:val="24"/>
        </w:rPr>
        <w:t>publication</w:t>
      </w:r>
      <w:proofErr w:type="gramEnd"/>
      <w:r w:rsidRPr="00FD393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FD3933" w:rsidR="009E13B1" w:rsidRDefault="009E13B1" w14:paraId="29C44B3E" w14:textId="77777777">
      <w:pPr>
        <w:numPr>
          <w:ilvl w:val="0"/>
          <w:numId w:val="14"/>
        </w:numPr>
        <w:tabs>
          <w:tab w:val="left" w:pos="360"/>
        </w:tabs>
        <w:ind w:left="480"/>
        <w:rPr>
          <w:b/>
          <w:bCs/>
          <w:sz w:val="24"/>
          <w:szCs w:val="24"/>
        </w:rPr>
      </w:pPr>
      <w:r w:rsidRPr="00FD3933">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447048" w:rsidR="009E13B1" w:rsidP="00447048" w:rsidRDefault="009E13B1" w14:paraId="634CE2E0" w14:textId="285992A8">
      <w:pPr>
        <w:keepLines/>
        <w:numPr>
          <w:ilvl w:val="0"/>
          <w:numId w:val="14"/>
        </w:numPr>
        <w:tabs>
          <w:tab w:val="left" w:pos="360"/>
        </w:tabs>
        <w:spacing w:after="80"/>
        <w:ind w:left="480"/>
        <w:rPr>
          <w:b/>
          <w:bCs/>
          <w:sz w:val="24"/>
          <w:szCs w:val="24"/>
        </w:rPr>
      </w:pPr>
      <w:r w:rsidRPr="00FD3933">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A60E2D" w:rsidR="00A60E2D" w:rsidP="00A60E2D" w:rsidRDefault="00A60E2D" w14:paraId="3DB5B3B5" w14:textId="53D5269C">
      <w:pPr>
        <w:tabs>
          <w:tab w:val="left" w:pos="360"/>
        </w:tabs>
        <w:spacing w:line="276" w:lineRule="auto"/>
        <w:rPr>
          <w:sz w:val="24"/>
          <w:szCs w:val="24"/>
        </w:rPr>
      </w:pPr>
      <w:r w:rsidRPr="00A60E2D">
        <w:rPr>
          <w:sz w:val="24"/>
          <w:szCs w:val="24"/>
        </w:rPr>
        <w:t xml:space="preserve">In accordance with 5 CFR 1320.8 (Paperwork Reduction Act of 1995), HUD published a 60-Day Notice of Proposed Information Collection in the Federal Register on </w:t>
      </w:r>
      <w:r w:rsidR="00373109">
        <w:rPr>
          <w:sz w:val="24"/>
          <w:szCs w:val="24"/>
        </w:rPr>
        <w:t xml:space="preserve">November 24, </w:t>
      </w:r>
      <w:r w:rsidRPr="00A60E2D">
        <w:rPr>
          <w:sz w:val="24"/>
          <w:szCs w:val="24"/>
        </w:rPr>
        <w:t>2021 (Docket No. FR-7041-N-0</w:t>
      </w:r>
      <w:r w:rsidR="00AB1387">
        <w:rPr>
          <w:sz w:val="24"/>
          <w:szCs w:val="24"/>
        </w:rPr>
        <w:t>6</w:t>
      </w:r>
      <w:r w:rsidRPr="00A60E2D">
        <w:rPr>
          <w:sz w:val="24"/>
          <w:szCs w:val="24"/>
        </w:rPr>
        <w:t xml:space="preserve">, pages </w:t>
      </w:r>
      <w:r w:rsidR="00AB1387">
        <w:rPr>
          <w:sz w:val="24"/>
          <w:szCs w:val="24"/>
        </w:rPr>
        <w:t>67076</w:t>
      </w:r>
      <w:r w:rsidRPr="00A60E2D">
        <w:rPr>
          <w:sz w:val="24"/>
          <w:szCs w:val="24"/>
        </w:rPr>
        <w:t>-</w:t>
      </w:r>
      <w:r w:rsidR="00526C26">
        <w:rPr>
          <w:sz w:val="24"/>
          <w:szCs w:val="24"/>
        </w:rPr>
        <w:t>67078</w:t>
      </w:r>
      <w:r w:rsidRPr="00A60E2D">
        <w:rPr>
          <w:sz w:val="24"/>
          <w:szCs w:val="24"/>
        </w:rPr>
        <w:t>)</w:t>
      </w:r>
      <w:r w:rsidR="00092D87">
        <w:rPr>
          <w:sz w:val="24"/>
          <w:szCs w:val="24"/>
        </w:rPr>
        <w:t xml:space="preserve"> related to the</w:t>
      </w:r>
      <w:r w:rsidRPr="00A60E2D">
        <w:rPr>
          <w:sz w:val="24"/>
          <w:szCs w:val="24"/>
        </w:rPr>
        <w:t xml:space="preserve"> </w:t>
      </w:r>
      <w:r w:rsidRPr="00E57E60" w:rsidR="00092D87">
        <w:rPr>
          <w:sz w:val="24"/>
          <w:szCs w:val="24"/>
        </w:rPr>
        <w:t xml:space="preserve">data collection activities for the </w:t>
      </w:r>
      <w:r w:rsidR="00092D87">
        <w:rPr>
          <w:sz w:val="24"/>
          <w:szCs w:val="24"/>
        </w:rPr>
        <w:t>Moving to Work Stepped and Tiered Rent Demonstration Evaluation</w:t>
      </w:r>
      <w:r w:rsidRPr="00E57E60" w:rsidR="00092D87">
        <w:rPr>
          <w:sz w:val="24"/>
          <w:szCs w:val="24"/>
        </w:rPr>
        <w:t xml:space="preserve">. </w:t>
      </w:r>
      <w:r w:rsidRPr="00A60E2D">
        <w:rPr>
          <w:sz w:val="24"/>
          <w:szCs w:val="24"/>
        </w:rPr>
        <w:t xml:space="preserve">The notice provided a 60-day period for public comments, and comments were due </w:t>
      </w:r>
      <w:r w:rsidR="00C703C0">
        <w:rPr>
          <w:sz w:val="24"/>
          <w:szCs w:val="24"/>
        </w:rPr>
        <w:t xml:space="preserve">January 24, </w:t>
      </w:r>
      <w:r w:rsidRPr="00A60E2D">
        <w:rPr>
          <w:sz w:val="24"/>
          <w:szCs w:val="24"/>
        </w:rPr>
        <w:t>202</w:t>
      </w:r>
      <w:r w:rsidR="00C703C0">
        <w:rPr>
          <w:sz w:val="24"/>
          <w:szCs w:val="24"/>
        </w:rPr>
        <w:t>2</w:t>
      </w:r>
      <w:r w:rsidRPr="00A60E2D">
        <w:rPr>
          <w:sz w:val="24"/>
          <w:szCs w:val="24"/>
        </w:rPr>
        <w:t xml:space="preserve">. No comments were received. (See Appendix D for a copy of the Federal Register Notice.)  </w:t>
      </w:r>
    </w:p>
    <w:p w:rsidRPr="006C7FAE" w:rsidR="00FD3933" w:rsidP="00FD3933" w:rsidRDefault="00FD3933" w14:paraId="385311E9" w14:textId="77777777">
      <w:pPr>
        <w:tabs>
          <w:tab w:val="left" w:pos="360"/>
        </w:tabs>
        <w:ind w:left="360"/>
        <w:rPr>
          <w:sz w:val="24"/>
          <w:szCs w:val="24"/>
        </w:rPr>
      </w:pPr>
    </w:p>
    <w:p w:rsidRPr="00447048" w:rsidR="009E13B1" w:rsidP="00447048" w:rsidRDefault="009E13B1" w14:paraId="4CDB84CA" w14:textId="3ACB5431">
      <w:pPr>
        <w:keepLines/>
        <w:tabs>
          <w:tab w:val="left" w:pos="360"/>
        </w:tabs>
        <w:spacing w:after="80"/>
        <w:ind w:left="360" w:hanging="360"/>
        <w:rPr>
          <w:b/>
          <w:bCs/>
          <w:sz w:val="24"/>
          <w:szCs w:val="24"/>
        </w:rPr>
      </w:pPr>
      <w:r w:rsidRPr="00B80E11">
        <w:rPr>
          <w:b/>
          <w:bCs/>
          <w:sz w:val="24"/>
          <w:szCs w:val="24"/>
        </w:rPr>
        <w:t>9.</w:t>
      </w:r>
      <w:r w:rsidRPr="00B80E11">
        <w:rPr>
          <w:b/>
          <w:bCs/>
          <w:sz w:val="24"/>
          <w:szCs w:val="24"/>
        </w:rPr>
        <w:tab/>
        <w:t>Explain any decision to provide any payment or gift to respondents, other than r</w:t>
      </w:r>
      <w:r w:rsidR="00746F33">
        <w:rPr>
          <w:b/>
          <w:bCs/>
          <w:sz w:val="24"/>
          <w:szCs w:val="24"/>
        </w:rPr>
        <w:t>emuneration</w:t>
      </w:r>
      <w:r w:rsidRPr="00B80E11">
        <w:rPr>
          <w:b/>
          <w:bCs/>
          <w:sz w:val="24"/>
          <w:szCs w:val="24"/>
        </w:rPr>
        <w:t xml:space="preserve"> of contractors or grantees.</w:t>
      </w:r>
    </w:p>
    <w:p w:rsidRPr="00EC17D3" w:rsidR="00EC17D3" w:rsidP="00EC17D3" w:rsidRDefault="00EC17D3" w14:paraId="1C8219AB" w14:textId="6404FF8A">
      <w:pPr>
        <w:tabs>
          <w:tab w:val="left" w:pos="360"/>
        </w:tabs>
        <w:ind w:left="360"/>
        <w:rPr>
          <w:sz w:val="24"/>
          <w:szCs w:val="24"/>
        </w:rPr>
      </w:pPr>
      <w:r w:rsidRPr="00EC17D3">
        <w:rPr>
          <w:sz w:val="24"/>
          <w:szCs w:val="24"/>
        </w:rPr>
        <w:t>For the B</w:t>
      </w:r>
      <w:r w:rsidR="006D13B8">
        <w:rPr>
          <w:sz w:val="24"/>
          <w:szCs w:val="24"/>
        </w:rPr>
        <w:t xml:space="preserve">aseline </w:t>
      </w:r>
      <w:r w:rsidRPr="00EC17D3">
        <w:rPr>
          <w:sz w:val="24"/>
          <w:szCs w:val="24"/>
        </w:rPr>
        <w:t>I</w:t>
      </w:r>
      <w:r w:rsidR="006D13B8">
        <w:rPr>
          <w:sz w:val="24"/>
          <w:szCs w:val="24"/>
        </w:rPr>
        <w:t xml:space="preserve">nformation </w:t>
      </w:r>
      <w:r w:rsidRPr="00EC17D3">
        <w:rPr>
          <w:sz w:val="24"/>
          <w:szCs w:val="24"/>
        </w:rPr>
        <w:t>F</w:t>
      </w:r>
      <w:r w:rsidR="006D13B8">
        <w:rPr>
          <w:sz w:val="24"/>
          <w:szCs w:val="24"/>
        </w:rPr>
        <w:t>orm,</w:t>
      </w:r>
      <w:r w:rsidRPr="00EC17D3">
        <w:rPr>
          <w:sz w:val="24"/>
          <w:szCs w:val="24"/>
        </w:rPr>
        <w:t xml:space="preserve"> all participating households will be asked to complete the survey. Th</w:t>
      </w:r>
      <w:r w:rsidR="0022397B">
        <w:rPr>
          <w:sz w:val="24"/>
          <w:szCs w:val="24"/>
        </w:rPr>
        <w:t>is data collection</w:t>
      </w:r>
      <w:r w:rsidRPr="00EC17D3">
        <w:rPr>
          <w:sz w:val="24"/>
          <w:szCs w:val="24"/>
        </w:rPr>
        <w:t xml:space="preserve"> will be incorporated into the </w:t>
      </w:r>
      <w:r w:rsidR="0022397B">
        <w:rPr>
          <w:sz w:val="24"/>
          <w:szCs w:val="24"/>
        </w:rPr>
        <w:t>enrollment</w:t>
      </w:r>
      <w:r w:rsidRPr="00EC17D3">
        <w:rPr>
          <w:sz w:val="24"/>
          <w:szCs w:val="24"/>
        </w:rPr>
        <w:t xml:space="preserve"> process used by each PHA to document household income and calculate rents (the income examination process). Because the BIF will take approximately 7 minutes and will be incorporated into an existing process that all assisted households experience, the burden it presents is minimal and respondents will not be compensated. MDRC expects most households to complete the </w:t>
      </w:r>
      <w:r w:rsidR="0022397B">
        <w:rPr>
          <w:sz w:val="24"/>
          <w:szCs w:val="24"/>
        </w:rPr>
        <w:t xml:space="preserve">Baseline Information Form </w:t>
      </w:r>
      <w:r w:rsidRPr="00EC17D3">
        <w:rPr>
          <w:sz w:val="24"/>
          <w:szCs w:val="24"/>
        </w:rPr>
        <w:t xml:space="preserve">in this way. However, some households may be pressed for time and may not be able to   complete the BIF during their income reexamination. For these initial non-respondents, MDRC will conduct targeted follow-up by phone and will offer a small incentive ($10) to minimize non-response bias and to compensate respondents for their time. </w:t>
      </w:r>
    </w:p>
    <w:p w:rsidRPr="00EC17D3" w:rsidR="00EC17D3" w:rsidP="00EC17D3" w:rsidRDefault="00EC17D3" w14:paraId="461F7842" w14:textId="77777777">
      <w:pPr>
        <w:tabs>
          <w:tab w:val="left" w:pos="360"/>
        </w:tabs>
        <w:ind w:left="360"/>
        <w:rPr>
          <w:sz w:val="24"/>
          <w:szCs w:val="24"/>
        </w:rPr>
      </w:pPr>
    </w:p>
    <w:p w:rsidRPr="00EC17D3" w:rsidR="00EC17D3" w:rsidP="00EC17D3" w:rsidRDefault="00EC17D3" w14:paraId="40554C3A" w14:textId="7E04B418">
      <w:pPr>
        <w:tabs>
          <w:tab w:val="left" w:pos="360"/>
        </w:tabs>
        <w:ind w:left="360"/>
        <w:rPr>
          <w:sz w:val="24"/>
          <w:szCs w:val="24"/>
        </w:rPr>
      </w:pPr>
      <w:r w:rsidRPr="00EC17D3">
        <w:rPr>
          <w:sz w:val="24"/>
          <w:szCs w:val="24"/>
        </w:rPr>
        <w:t xml:space="preserve">For PHA </w:t>
      </w:r>
      <w:r w:rsidR="00F858B2">
        <w:rPr>
          <w:sz w:val="24"/>
          <w:szCs w:val="24"/>
        </w:rPr>
        <w:t xml:space="preserve">staff </w:t>
      </w:r>
      <w:r w:rsidRPr="00EC17D3">
        <w:rPr>
          <w:sz w:val="24"/>
          <w:szCs w:val="24"/>
        </w:rPr>
        <w:t>interviews</w:t>
      </w:r>
      <w:r w:rsidR="00F858B2">
        <w:rPr>
          <w:sz w:val="24"/>
          <w:szCs w:val="24"/>
        </w:rPr>
        <w:t>,</w:t>
      </w:r>
      <w:r w:rsidRPr="00EC17D3">
        <w:rPr>
          <w:sz w:val="24"/>
          <w:szCs w:val="24"/>
        </w:rPr>
        <w:t xml:space="preserve"> staff will be asked to participate in data collection as part of each PHA’s overall effort to implement the STRD and support the evaluation. Because interview participation represents a minimal burden and will be both voluntary and connected to each respondent’s day-to-day job responsibilities, no compensation will be offered.</w:t>
      </w:r>
    </w:p>
    <w:p w:rsidRPr="006C7FAE" w:rsidR="00FD3933" w:rsidP="00FD3933" w:rsidRDefault="00FD3933" w14:paraId="235A1527" w14:textId="77777777">
      <w:pPr>
        <w:tabs>
          <w:tab w:val="left" w:pos="360"/>
        </w:tabs>
        <w:ind w:left="360"/>
        <w:rPr>
          <w:sz w:val="24"/>
          <w:szCs w:val="24"/>
        </w:rPr>
      </w:pPr>
    </w:p>
    <w:p w:rsidR="009E13B1" w:rsidRDefault="009E13B1" w14:paraId="51EA48F7" w14:textId="77777777">
      <w:pPr>
        <w:keepLines/>
        <w:tabs>
          <w:tab w:val="left" w:pos="360"/>
        </w:tabs>
        <w:spacing w:after="80"/>
        <w:ind w:left="360" w:hanging="360"/>
        <w:rPr>
          <w:sz w:val="24"/>
          <w:szCs w:val="24"/>
        </w:rPr>
      </w:pPr>
      <w:r w:rsidRPr="0069262B">
        <w:rPr>
          <w:b/>
          <w:bCs/>
          <w:sz w:val="24"/>
          <w:szCs w:val="24"/>
        </w:rPr>
        <w:t>10.</w:t>
      </w:r>
      <w:r w:rsidRPr="0069262B">
        <w:rPr>
          <w:b/>
          <w:bCs/>
          <w:sz w:val="24"/>
          <w:szCs w:val="24"/>
        </w:rPr>
        <w:tab/>
        <w:t xml:space="preserve">Describe any assurance of confidentiality provided to respondents and the basis for assurance in statute, </w:t>
      </w:r>
      <w:proofErr w:type="gramStart"/>
      <w:r w:rsidRPr="0069262B">
        <w:rPr>
          <w:b/>
          <w:bCs/>
          <w:sz w:val="24"/>
          <w:szCs w:val="24"/>
        </w:rPr>
        <w:t>regulation</w:t>
      </w:r>
      <w:proofErr w:type="gramEnd"/>
      <w:r w:rsidRPr="0069262B">
        <w:rPr>
          <w:b/>
          <w:bCs/>
          <w:sz w:val="24"/>
          <w:szCs w:val="24"/>
        </w:rPr>
        <w:t xml:space="preserve"> or agency policy</w:t>
      </w:r>
      <w:r w:rsidRPr="006C7FAE">
        <w:rPr>
          <w:sz w:val="24"/>
          <w:szCs w:val="24"/>
        </w:rPr>
        <w:t>.</w:t>
      </w:r>
    </w:p>
    <w:p w:rsidRPr="009120C0" w:rsidR="00A00A5A" w:rsidP="00A00A5A" w:rsidRDefault="00A00A5A" w14:paraId="596AF7BB" w14:textId="6D0ACB4D">
      <w:pPr>
        <w:ind w:left="360"/>
        <w:rPr>
          <w:sz w:val="24"/>
          <w:szCs w:val="24"/>
        </w:rPr>
      </w:pPr>
      <w:r w:rsidRPr="009120C0">
        <w:rPr>
          <w:sz w:val="24"/>
          <w:szCs w:val="24"/>
        </w:rPr>
        <w:t xml:space="preserve">Because of the nature of the information collected from and about study participants, strict confidentiality procedures will be followed for this evaluation. The information requested under this collection is protected and held confidential in accordance with 5 U.S.C. § 552a (Privacy Act of 1974). As required by 5 U.S.C. 552a (Privacy Act of 1974), HUD </w:t>
      </w:r>
      <w:r>
        <w:rPr>
          <w:sz w:val="24"/>
          <w:szCs w:val="24"/>
        </w:rPr>
        <w:t xml:space="preserve">will </w:t>
      </w:r>
      <w:r w:rsidRPr="009120C0">
        <w:rPr>
          <w:sz w:val="24"/>
          <w:szCs w:val="24"/>
        </w:rPr>
        <w:t>publish a Systems of Record Notice (SORN) in the Federal Register</w:t>
      </w:r>
      <w:r>
        <w:rPr>
          <w:sz w:val="24"/>
          <w:szCs w:val="24"/>
        </w:rPr>
        <w:t xml:space="preserve">. </w:t>
      </w:r>
      <w:r w:rsidRPr="009120C0">
        <w:rPr>
          <w:sz w:val="24"/>
          <w:szCs w:val="24"/>
        </w:rPr>
        <w:t xml:space="preserve"> </w:t>
      </w:r>
    </w:p>
    <w:p w:rsidR="00A00A5A" w:rsidP="00EC17D3" w:rsidRDefault="00A00A5A" w14:paraId="3687BD9B" w14:textId="77777777">
      <w:pPr>
        <w:tabs>
          <w:tab w:val="left" w:pos="360"/>
        </w:tabs>
        <w:ind w:left="360" w:hanging="360"/>
        <w:rPr>
          <w:sz w:val="24"/>
          <w:szCs w:val="24"/>
        </w:rPr>
      </w:pPr>
    </w:p>
    <w:p w:rsidRPr="00EC17D3" w:rsidR="00EC17D3" w:rsidP="00EC17D3" w:rsidRDefault="00A00A5A" w14:paraId="23FE16BB" w14:textId="1081B9A1">
      <w:pPr>
        <w:tabs>
          <w:tab w:val="left" w:pos="360"/>
        </w:tabs>
        <w:ind w:left="360" w:hanging="360"/>
        <w:rPr>
          <w:sz w:val="24"/>
          <w:szCs w:val="24"/>
        </w:rPr>
      </w:pPr>
      <w:r>
        <w:rPr>
          <w:sz w:val="24"/>
          <w:szCs w:val="24"/>
        </w:rPr>
        <w:tab/>
      </w:r>
      <w:r w:rsidRPr="00EC17D3" w:rsidR="00EC17D3">
        <w:rPr>
          <w:sz w:val="24"/>
          <w:szCs w:val="24"/>
        </w:rPr>
        <w:t>Strong confidentiality protections will be implemented to maintain the privacy of respondents in STRD data collection activities, to the extent permitted by law. At enrollment, study participants will review and sign an Informed Consent Form, which will outline the confidentiality protections offered by the study. All PHA tenants will be allowed to opt out of having their personally identifiable data shared with MDRC or its research partners.</w:t>
      </w:r>
      <w:r w:rsidR="003723C9">
        <w:rPr>
          <w:sz w:val="24"/>
          <w:szCs w:val="24"/>
        </w:rPr>
        <w:t xml:space="preserve"> </w:t>
      </w:r>
      <w:r w:rsidRPr="00E56572" w:rsidR="00E56572">
        <w:rPr>
          <w:sz w:val="24"/>
          <w:szCs w:val="24"/>
        </w:rPr>
        <w:t xml:space="preserve">This </w:t>
      </w:r>
      <w:r w:rsidR="00D26272">
        <w:rPr>
          <w:sz w:val="24"/>
          <w:szCs w:val="24"/>
        </w:rPr>
        <w:t>I</w:t>
      </w:r>
      <w:r w:rsidR="00D63C49">
        <w:rPr>
          <w:sz w:val="24"/>
          <w:szCs w:val="24"/>
        </w:rPr>
        <w:t xml:space="preserve">nformed </w:t>
      </w:r>
      <w:r w:rsidR="00D26272">
        <w:rPr>
          <w:sz w:val="24"/>
          <w:szCs w:val="24"/>
        </w:rPr>
        <w:t>C</w:t>
      </w:r>
      <w:r w:rsidR="00D63C49">
        <w:rPr>
          <w:sz w:val="24"/>
          <w:szCs w:val="24"/>
        </w:rPr>
        <w:t xml:space="preserve">onsent </w:t>
      </w:r>
      <w:r w:rsidR="00D26272">
        <w:rPr>
          <w:sz w:val="24"/>
          <w:szCs w:val="24"/>
        </w:rPr>
        <w:t>F</w:t>
      </w:r>
      <w:r w:rsidR="00D63C49">
        <w:rPr>
          <w:sz w:val="24"/>
          <w:szCs w:val="24"/>
        </w:rPr>
        <w:t>orm</w:t>
      </w:r>
      <w:r w:rsidR="00D26272">
        <w:rPr>
          <w:sz w:val="24"/>
          <w:szCs w:val="24"/>
        </w:rPr>
        <w:t xml:space="preserve"> and review </w:t>
      </w:r>
      <w:r w:rsidRPr="00E56572" w:rsidR="00E56572">
        <w:rPr>
          <w:sz w:val="24"/>
          <w:szCs w:val="24"/>
        </w:rPr>
        <w:t xml:space="preserve">process </w:t>
      </w:r>
      <w:r w:rsidRPr="00EC17D3" w:rsidR="00EC17D3">
        <w:rPr>
          <w:sz w:val="24"/>
          <w:szCs w:val="24"/>
        </w:rPr>
        <w:t>will be approved by MDRC’s IRB and by HUD, and it will protect tenants from having their data disclosed without their knowledge and without any way to prevent that disclosure.</w:t>
      </w:r>
      <w:r w:rsidR="00B841A5">
        <w:rPr>
          <w:sz w:val="24"/>
          <w:szCs w:val="24"/>
        </w:rPr>
        <w:t xml:space="preserve"> (Since random assignment is conducted for all eligible households, regardless of whether they </w:t>
      </w:r>
      <w:r w:rsidR="00434C67">
        <w:rPr>
          <w:sz w:val="24"/>
          <w:szCs w:val="24"/>
        </w:rPr>
        <w:t>consent to participate in the study</w:t>
      </w:r>
      <w:r w:rsidR="00B841A5">
        <w:rPr>
          <w:sz w:val="24"/>
          <w:szCs w:val="24"/>
        </w:rPr>
        <w:t xml:space="preserve">, a limited set of identifiers </w:t>
      </w:r>
      <w:r w:rsidR="000E74A0">
        <w:rPr>
          <w:sz w:val="24"/>
          <w:szCs w:val="24"/>
        </w:rPr>
        <w:t>– including name, household ID, SSN and DOB –</w:t>
      </w:r>
      <w:r w:rsidR="00B841A5">
        <w:rPr>
          <w:sz w:val="24"/>
          <w:szCs w:val="24"/>
        </w:rPr>
        <w:t xml:space="preserve"> will be collected from all eligible households to co</w:t>
      </w:r>
      <w:r w:rsidR="00BF36BC">
        <w:rPr>
          <w:sz w:val="24"/>
          <w:szCs w:val="24"/>
        </w:rPr>
        <w:t xml:space="preserve">mplete </w:t>
      </w:r>
      <w:r w:rsidR="00B841A5">
        <w:rPr>
          <w:sz w:val="24"/>
          <w:szCs w:val="24"/>
        </w:rPr>
        <w:t>random assignment and identify the households in the PHA’s housing subsidy software systems.)</w:t>
      </w:r>
    </w:p>
    <w:p w:rsidR="00EC17D3" w:rsidP="00EC17D3" w:rsidRDefault="00EC17D3" w14:paraId="5319E5DB" w14:textId="77777777">
      <w:pPr>
        <w:tabs>
          <w:tab w:val="left" w:pos="360"/>
        </w:tabs>
        <w:ind w:left="360" w:hanging="360"/>
        <w:rPr>
          <w:sz w:val="24"/>
          <w:szCs w:val="24"/>
        </w:rPr>
      </w:pPr>
      <w:r w:rsidRPr="00EC17D3">
        <w:rPr>
          <w:sz w:val="24"/>
          <w:szCs w:val="24"/>
        </w:rPr>
        <w:tab/>
      </w:r>
    </w:p>
    <w:p w:rsidRPr="00EC17D3" w:rsidR="00EC17D3" w:rsidP="00EC17D3" w:rsidRDefault="00EC17D3" w14:paraId="2393D967" w14:textId="77777777">
      <w:pPr>
        <w:tabs>
          <w:tab w:val="left" w:pos="360"/>
        </w:tabs>
        <w:ind w:left="360" w:hanging="360"/>
        <w:rPr>
          <w:sz w:val="24"/>
          <w:szCs w:val="24"/>
        </w:rPr>
      </w:pPr>
      <w:r>
        <w:rPr>
          <w:sz w:val="24"/>
          <w:szCs w:val="24"/>
        </w:rPr>
        <w:tab/>
      </w:r>
      <w:r w:rsidRPr="00EC17D3">
        <w:rPr>
          <w:sz w:val="24"/>
          <w:szCs w:val="24"/>
        </w:rPr>
        <w:t>All study participants will be informed that any personal information they provide or allow access to for the study will be used only for the evaluation.  Individuals will not be identified in prepared reports. All research staff working on the project will be trained to protect private information and will sign a pledge stating that they will keep all information gathered private to the extent permissible by law. All papers that contain study participant names or other identifying information will be kept in locked areas and any computer documents containing identifying information will be protected with a password.</w:t>
      </w:r>
    </w:p>
    <w:p w:rsidRPr="006C7FAE" w:rsidR="009E13B1" w:rsidRDefault="009E13B1" w14:paraId="65BAC618" w14:textId="77777777">
      <w:pPr>
        <w:tabs>
          <w:tab w:val="left" w:pos="360"/>
        </w:tabs>
        <w:ind w:left="360" w:hanging="360"/>
        <w:rPr>
          <w:sz w:val="24"/>
          <w:szCs w:val="24"/>
        </w:rPr>
      </w:pPr>
    </w:p>
    <w:p w:rsidR="009E13B1" w:rsidRDefault="009E13B1" w14:paraId="494E6F78" w14:textId="77777777">
      <w:pPr>
        <w:keepLines/>
        <w:tabs>
          <w:tab w:val="left" w:pos="360"/>
        </w:tabs>
        <w:spacing w:after="80"/>
        <w:ind w:left="360" w:hanging="360"/>
        <w:rPr>
          <w:b/>
          <w:bCs/>
          <w:sz w:val="24"/>
          <w:szCs w:val="24"/>
        </w:rPr>
      </w:pPr>
      <w:r w:rsidRPr="0069262B">
        <w:rPr>
          <w:b/>
          <w:bCs/>
          <w:sz w:val="24"/>
          <w:szCs w:val="24"/>
        </w:rPr>
        <w:t>11.</w:t>
      </w:r>
      <w:r w:rsidRPr="0069262B">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C17D3" w:rsidR="00EC17D3" w:rsidP="00EC17D3" w:rsidRDefault="00EC17D3" w14:paraId="611725E2" w14:textId="7EFF1BC4">
      <w:pPr>
        <w:tabs>
          <w:tab w:val="left" w:pos="360"/>
        </w:tabs>
        <w:ind w:left="360" w:hanging="360"/>
        <w:rPr>
          <w:sz w:val="24"/>
          <w:szCs w:val="24"/>
        </w:rPr>
      </w:pPr>
      <w:r w:rsidRPr="00EC17D3">
        <w:rPr>
          <w:sz w:val="24"/>
          <w:szCs w:val="24"/>
        </w:rPr>
        <w:tab/>
        <w:t>Questions that are potentially of a sensitive nature are minimized on the data collection tools. The B</w:t>
      </w:r>
      <w:r w:rsidR="0059755F">
        <w:rPr>
          <w:sz w:val="24"/>
          <w:szCs w:val="24"/>
        </w:rPr>
        <w:t xml:space="preserve">aseline Information </w:t>
      </w:r>
      <w:r w:rsidRPr="00EC17D3">
        <w:rPr>
          <w:sz w:val="24"/>
          <w:szCs w:val="24"/>
        </w:rPr>
        <w:t>F</w:t>
      </w:r>
      <w:r w:rsidR="0059755F">
        <w:rPr>
          <w:sz w:val="24"/>
          <w:szCs w:val="24"/>
        </w:rPr>
        <w:t>orm</w:t>
      </w:r>
      <w:r w:rsidRPr="00EC17D3">
        <w:rPr>
          <w:sz w:val="24"/>
          <w:szCs w:val="24"/>
        </w:rPr>
        <w:t xml:space="preserve"> covers some topics that are generally discussed with (and documented by) </w:t>
      </w:r>
      <w:r w:rsidR="0059755F">
        <w:rPr>
          <w:sz w:val="24"/>
          <w:szCs w:val="24"/>
        </w:rPr>
        <w:t>PHA</w:t>
      </w:r>
      <w:r w:rsidRPr="00EC17D3">
        <w:rPr>
          <w:sz w:val="24"/>
          <w:szCs w:val="24"/>
        </w:rPr>
        <w:t xml:space="preserve"> agency staff at the time of recertification. For instance, voucher holders are asked to report on employment and income at the time of recertification. However, in addition, the evaluation is interested in documenting additional background characteristics (not collected in routine agency data collection) that may influence participants’ response to the alternative rent policy. Thus, it is crucial that HUD and its contracted partner collect the type of information included in the </w:t>
      </w:r>
      <w:r w:rsidR="0059755F">
        <w:rPr>
          <w:sz w:val="24"/>
          <w:szCs w:val="24"/>
        </w:rPr>
        <w:t>Attachment A</w:t>
      </w:r>
      <w:r w:rsidR="0022783B">
        <w:rPr>
          <w:sz w:val="24"/>
          <w:szCs w:val="24"/>
        </w:rPr>
        <w:t xml:space="preserve">. </w:t>
      </w:r>
      <w:r w:rsidRPr="00EC17D3">
        <w:rPr>
          <w:sz w:val="24"/>
          <w:szCs w:val="24"/>
        </w:rPr>
        <w:t xml:space="preserve"> Respondents will be informed by program staff prior to </w:t>
      </w:r>
      <w:r w:rsidR="00B06A0B">
        <w:rPr>
          <w:sz w:val="24"/>
          <w:szCs w:val="24"/>
        </w:rPr>
        <w:t>Baseline Information Form</w:t>
      </w:r>
      <w:r w:rsidRPr="00EC17D3">
        <w:rPr>
          <w:sz w:val="24"/>
          <w:szCs w:val="24"/>
        </w:rPr>
        <w:t xml:space="preserve"> data collection that their answers will be kept confidential, that they may refuse to answer any question, that results will only be reported in the aggregate, and that their responses will not have any effect on any services or benefits they or their family members receive. These procedures for consent will be approved by HUD and </w:t>
      </w:r>
      <w:r w:rsidR="00B06A0B">
        <w:rPr>
          <w:sz w:val="24"/>
          <w:szCs w:val="24"/>
        </w:rPr>
        <w:t>MDRC’s</w:t>
      </w:r>
      <w:r w:rsidRPr="00EC17D3">
        <w:rPr>
          <w:sz w:val="24"/>
          <w:szCs w:val="24"/>
        </w:rPr>
        <w:t xml:space="preserve"> Institutional Review Board</w:t>
      </w:r>
      <w:r w:rsidR="00B06A0B">
        <w:rPr>
          <w:sz w:val="24"/>
          <w:szCs w:val="24"/>
        </w:rPr>
        <w:t>.</w:t>
      </w:r>
    </w:p>
    <w:p w:rsidRPr="006C7FAE" w:rsidR="009E13B1" w:rsidRDefault="009E13B1" w14:paraId="50154064" w14:textId="77777777">
      <w:pPr>
        <w:tabs>
          <w:tab w:val="left" w:pos="360"/>
        </w:tabs>
        <w:ind w:left="360" w:hanging="360"/>
        <w:rPr>
          <w:sz w:val="24"/>
          <w:szCs w:val="24"/>
        </w:rPr>
      </w:pPr>
    </w:p>
    <w:p w:rsidRPr="0069262B" w:rsidR="009E13B1" w:rsidRDefault="009E13B1" w14:paraId="5A542EBE" w14:textId="738CC3E5">
      <w:pPr>
        <w:tabs>
          <w:tab w:val="left" w:pos="360"/>
        </w:tabs>
        <w:ind w:left="360" w:hanging="360"/>
        <w:rPr>
          <w:b/>
          <w:bCs/>
          <w:sz w:val="24"/>
          <w:szCs w:val="24"/>
        </w:rPr>
      </w:pPr>
      <w:r w:rsidRPr="0069262B">
        <w:rPr>
          <w:b/>
          <w:bCs/>
          <w:sz w:val="24"/>
          <w:szCs w:val="24"/>
        </w:rPr>
        <w:t>12.</w:t>
      </w:r>
      <w:r w:rsidRPr="0069262B">
        <w:rPr>
          <w:b/>
          <w:bCs/>
          <w:sz w:val="24"/>
          <w:szCs w:val="24"/>
        </w:rPr>
        <w:tab/>
        <w:t xml:space="preserve">Provide estimates of the hour burden of the collection of information.  The statement should: </w:t>
      </w:r>
    </w:p>
    <w:p w:rsidRPr="0069262B" w:rsidR="009E13B1" w:rsidRDefault="009E13B1" w14:paraId="6A9216DF" w14:textId="77777777">
      <w:pPr>
        <w:numPr>
          <w:ilvl w:val="0"/>
          <w:numId w:val="14"/>
        </w:numPr>
        <w:tabs>
          <w:tab w:val="left" w:pos="480"/>
        </w:tabs>
        <w:ind w:left="480"/>
        <w:rPr>
          <w:b/>
          <w:bCs/>
          <w:sz w:val="24"/>
          <w:szCs w:val="24"/>
        </w:rPr>
      </w:pPr>
      <w:r w:rsidRPr="0069262B">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9262B" w:rsidR="006C7FAE">
        <w:rPr>
          <w:b/>
          <w:bCs/>
          <w:sz w:val="24"/>
          <w:szCs w:val="24"/>
        </w:rPr>
        <w:t>Generally,</w:t>
      </w:r>
      <w:r w:rsidRPr="0069262B">
        <w:rPr>
          <w:b/>
          <w:bCs/>
          <w:sz w:val="24"/>
          <w:szCs w:val="24"/>
        </w:rPr>
        <w:t xml:space="preserve"> estimates should not include burden hours for customary and usual business </w:t>
      </w:r>
      <w:proofErr w:type="gramStart"/>
      <w:r w:rsidRPr="0069262B">
        <w:rPr>
          <w:b/>
          <w:bCs/>
          <w:sz w:val="24"/>
          <w:szCs w:val="24"/>
        </w:rPr>
        <w:t>practices;</w:t>
      </w:r>
      <w:proofErr w:type="gramEnd"/>
      <w:r w:rsidRPr="0069262B">
        <w:rPr>
          <w:b/>
          <w:bCs/>
          <w:sz w:val="24"/>
          <w:szCs w:val="24"/>
        </w:rPr>
        <w:t xml:space="preserve"> </w:t>
      </w:r>
    </w:p>
    <w:p w:rsidRPr="0069262B" w:rsidR="009E13B1" w:rsidRDefault="009E13B1" w14:paraId="01845FC7" w14:textId="77777777">
      <w:pPr>
        <w:numPr>
          <w:ilvl w:val="0"/>
          <w:numId w:val="14"/>
        </w:numPr>
        <w:tabs>
          <w:tab w:val="left" w:pos="480"/>
        </w:tabs>
        <w:ind w:left="480"/>
        <w:rPr>
          <w:b/>
          <w:bCs/>
          <w:sz w:val="24"/>
          <w:szCs w:val="24"/>
        </w:rPr>
      </w:pPr>
      <w:r w:rsidRPr="0069262B">
        <w:rPr>
          <w:b/>
          <w:bCs/>
          <w:sz w:val="24"/>
          <w:szCs w:val="24"/>
        </w:rPr>
        <w:t>if this request covers more than one form, provide separate hour burden estimates for each form and aggregate the hour burdens in Item 13 of OMB Form 83-</w:t>
      </w:r>
      <w:proofErr w:type="gramStart"/>
      <w:r w:rsidRPr="0069262B">
        <w:rPr>
          <w:b/>
          <w:bCs/>
          <w:sz w:val="24"/>
          <w:szCs w:val="24"/>
        </w:rPr>
        <w:t>I;</w:t>
      </w:r>
      <w:proofErr w:type="gramEnd"/>
      <w:r w:rsidRPr="0069262B">
        <w:rPr>
          <w:b/>
          <w:bCs/>
          <w:sz w:val="24"/>
          <w:szCs w:val="24"/>
        </w:rPr>
        <w:t xml:space="preserve"> and </w:t>
      </w:r>
    </w:p>
    <w:p w:rsidRPr="006C7FAE" w:rsidR="009E13B1" w:rsidRDefault="009E13B1" w14:paraId="4E5B04F2" w14:textId="77777777">
      <w:pPr>
        <w:keepLines/>
        <w:numPr>
          <w:ilvl w:val="0"/>
          <w:numId w:val="14"/>
        </w:numPr>
        <w:tabs>
          <w:tab w:val="left" w:pos="480"/>
        </w:tabs>
        <w:spacing w:after="80"/>
        <w:ind w:left="480"/>
        <w:rPr>
          <w:sz w:val="24"/>
          <w:szCs w:val="24"/>
        </w:rPr>
      </w:pPr>
      <w:r w:rsidRPr="0069262B">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9262B">
        <w:rPr>
          <w:b/>
          <w:bCs/>
          <w:sz w:val="24"/>
          <w:szCs w:val="24"/>
        </w:rPr>
        <w:t>Instead</w:t>
      </w:r>
      <w:proofErr w:type="gramEnd"/>
      <w:r w:rsidRPr="0069262B">
        <w:rPr>
          <w:b/>
          <w:bCs/>
          <w:sz w:val="24"/>
          <w:szCs w:val="24"/>
        </w:rPr>
        <w:t xml:space="preserve"> this cost should be included in Item 13.</w:t>
      </w:r>
    </w:p>
    <w:p w:rsidR="00C06402" w:rsidRDefault="00C06402" w14:paraId="14D9A5D7" w14:textId="120B8FE7">
      <w:pPr>
        <w:overflowPunct/>
        <w:autoSpaceDE/>
        <w:autoSpaceDN/>
        <w:adjustRightInd/>
        <w:textAlignment w:val="auto"/>
      </w:pPr>
      <w:r>
        <w:br w:type="page"/>
      </w:r>
    </w:p>
    <w:tbl>
      <w:tblPr>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356"/>
        <w:gridCol w:w="1316"/>
        <w:gridCol w:w="1170"/>
        <w:gridCol w:w="1170"/>
        <w:gridCol w:w="1141"/>
        <w:gridCol w:w="929"/>
        <w:gridCol w:w="1080"/>
        <w:gridCol w:w="1790"/>
      </w:tblGrid>
      <w:tr w:rsidRPr="00ED3DD9" w:rsidR="00722007" w:rsidTr="00985436" w14:paraId="54230699" w14:textId="77777777">
        <w:trPr>
          <w:trHeight w:val="679"/>
        </w:trPr>
        <w:tc>
          <w:tcPr>
            <w:tcW w:w="9952" w:type="dxa"/>
            <w:gridSpan w:val="8"/>
            <w:tcMar>
              <w:top w:w="0" w:type="dxa"/>
              <w:left w:w="108" w:type="dxa"/>
              <w:bottom w:w="0" w:type="dxa"/>
              <w:right w:w="108" w:type="dxa"/>
            </w:tcMar>
            <w:vAlign w:val="bottom"/>
          </w:tcPr>
          <w:p w:rsidRPr="007A4CEB" w:rsidR="00722007" w:rsidP="00D52572" w:rsidRDefault="00722007" w14:paraId="304B4F04" w14:textId="5B7FA1F8">
            <w:pPr>
              <w:rPr>
                <w:b/>
                <w:color w:val="000000"/>
              </w:rPr>
            </w:pPr>
            <w:r w:rsidRPr="7EF3C5A1">
              <w:rPr>
                <w:b/>
                <w:color w:val="000000" w:themeColor="text1"/>
                <w:sz w:val="24"/>
                <w:szCs w:val="24"/>
              </w:rPr>
              <w:t xml:space="preserve">Exhibit A. Burden Estimates for </w:t>
            </w:r>
            <w:r w:rsidRPr="7EF3C5A1" w:rsidR="00E309A2">
              <w:rPr>
                <w:b/>
                <w:color w:val="000000" w:themeColor="text1"/>
                <w:sz w:val="24"/>
                <w:szCs w:val="24"/>
              </w:rPr>
              <w:t xml:space="preserve">Enrollment and </w:t>
            </w:r>
            <w:r w:rsidRPr="7EF3C5A1" w:rsidR="007261B7">
              <w:rPr>
                <w:b/>
                <w:color w:val="000000" w:themeColor="text1"/>
                <w:sz w:val="24"/>
                <w:szCs w:val="24"/>
              </w:rPr>
              <w:t>Implementation Research Activities</w:t>
            </w:r>
          </w:p>
        </w:tc>
      </w:tr>
      <w:tr w:rsidRPr="00ED3DD9" w:rsidR="00926329" w:rsidTr="00985436" w14:paraId="08323CCA" w14:textId="77777777">
        <w:trPr>
          <w:trHeight w:val="679"/>
        </w:trPr>
        <w:tc>
          <w:tcPr>
            <w:tcW w:w="1356" w:type="dxa"/>
            <w:tcMar>
              <w:top w:w="0" w:type="dxa"/>
              <w:left w:w="108" w:type="dxa"/>
              <w:bottom w:w="0" w:type="dxa"/>
              <w:right w:w="108" w:type="dxa"/>
            </w:tcMar>
            <w:hideMark/>
          </w:tcPr>
          <w:p w:rsidRPr="007A4CEB" w:rsidR="00926329" w:rsidP="00E34E37" w:rsidRDefault="00926329" w14:paraId="2FDB765F" w14:textId="77777777">
            <w:pPr>
              <w:jc w:val="center"/>
              <w:rPr>
                <w:rFonts w:eastAsia="Calibri"/>
                <w:b/>
                <w:color w:val="000000"/>
              </w:rPr>
            </w:pPr>
            <w:r w:rsidRPr="007A4CEB">
              <w:rPr>
                <w:b/>
                <w:color w:val="000000"/>
              </w:rPr>
              <w:t>Information Collection</w:t>
            </w:r>
          </w:p>
        </w:tc>
        <w:tc>
          <w:tcPr>
            <w:tcW w:w="1316" w:type="dxa"/>
            <w:tcMar>
              <w:top w:w="0" w:type="dxa"/>
              <w:left w:w="108" w:type="dxa"/>
              <w:bottom w:w="0" w:type="dxa"/>
              <w:right w:w="108" w:type="dxa"/>
            </w:tcMar>
            <w:hideMark/>
          </w:tcPr>
          <w:p w:rsidRPr="007A4CEB" w:rsidR="00926329" w:rsidP="00E34E37" w:rsidRDefault="00926329" w14:paraId="1158F6E7" w14:textId="77777777">
            <w:pPr>
              <w:jc w:val="center"/>
              <w:rPr>
                <w:rFonts w:eastAsia="Calibri"/>
                <w:b/>
                <w:color w:val="000000"/>
              </w:rPr>
            </w:pPr>
            <w:r w:rsidRPr="007A4CEB">
              <w:rPr>
                <w:b/>
                <w:color w:val="000000"/>
              </w:rPr>
              <w:t>Number of Respondents</w:t>
            </w:r>
          </w:p>
        </w:tc>
        <w:tc>
          <w:tcPr>
            <w:tcW w:w="1170" w:type="dxa"/>
            <w:tcMar>
              <w:top w:w="0" w:type="dxa"/>
              <w:left w:w="108" w:type="dxa"/>
              <w:bottom w:w="0" w:type="dxa"/>
              <w:right w:w="108" w:type="dxa"/>
            </w:tcMar>
            <w:hideMark/>
          </w:tcPr>
          <w:p w:rsidRPr="007A4CEB" w:rsidR="00926329" w:rsidP="00E34E37" w:rsidRDefault="00926329" w14:paraId="1D04ADF9" w14:textId="77777777">
            <w:pPr>
              <w:jc w:val="center"/>
              <w:rPr>
                <w:rFonts w:eastAsia="Calibri"/>
                <w:b/>
                <w:color w:val="000000"/>
              </w:rPr>
            </w:pPr>
            <w:r w:rsidRPr="007A4CEB">
              <w:rPr>
                <w:b/>
                <w:color w:val="000000"/>
              </w:rPr>
              <w:t>Frequency of Response</w:t>
            </w:r>
          </w:p>
        </w:tc>
        <w:tc>
          <w:tcPr>
            <w:tcW w:w="1170" w:type="dxa"/>
            <w:tcMar>
              <w:top w:w="0" w:type="dxa"/>
              <w:left w:w="108" w:type="dxa"/>
              <w:bottom w:w="0" w:type="dxa"/>
              <w:right w:w="108" w:type="dxa"/>
            </w:tcMar>
            <w:hideMark/>
          </w:tcPr>
          <w:p w:rsidRPr="007A4CEB" w:rsidR="00926329" w:rsidP="00E34E37" w:rsidRDefault="00926329" w14:paraId="5792E9D2" w14:textId="77777777">
            <w:pPr>
              <w:jc w:val="center"/>
              <w:rPr>
                <w:rFonts w:eastAsia="Calibri"/>
                <w:b/>
                <w:color w:val="000000"/>
              </w:rPr>
            </w:pPr>
            <w:r w:rsidRPr="007A4CEB">
              <w:rPr>
                <w:b/>
                <w:color w:val="000000"/>
              </w:rPr>
              <w:t>Responses</w:t>
            </w:r>
          </w:p>
          <w:p w:rsidRPr="007A4CEB" w:rsidR="00926329" w:rsidP="00E34E37" w:rsidRDefault="00926329" w14:paraId="3A20F841" w14:textId="77777777">
            <w:pPr>
              <w:jc w:val="center"/>
              <w:rPr>
                <w:rFonts w:eastAsia="Calibri"/>
                <w:b/>
                <w:color w:val="000000"/>
              </w:rPr>
            </w:pPr>
            <w:r w:rsidRPr="007A4CEB">
              <w:rPr>
                <w:b/>
                <w:color w:val="000000"/>
              </w:rPr>
              <w:t>Per Annum</w:t>
            </w:r>
          </w:p>
        </w:tc>
        <w:tc>
          <w:tcPr>
            <w:tcW w:w="1141" w:type="dxa"/>
            <w:tcMar>
              <w:top w:w="0" w:type="dxa"/>
              <w:left w:w="108" w:type="dxa"/>
              <w:bottom w:w="0" w:type="dxa"/>
              <w:right w:w="108" w:type="dxa"/>
            </w:tcMar>
            <w:hideMark/>
          </w:tcPr>
          <w:p w:rsidRPr="007A4CEB" w:rsidR="00926329" w:rsidP="00E34E37" w:rsidRDefault="00926329" w14:paraId="1DE09CB9" w14:textId="77777777">
            <w:pPr>
              <w:jc w:val="center"/>
              <w:rPr>
                <w:rFonts w:eastAsia="Calibri"/>
                <w:b/>
                <w:color w:val="000000"/>
              </w:rPr>
            </w:pPr>
            <w:r w:rsidRPr="007A4CEB">
              <w:rPr>
                <w:b/>
                <w:color w:val="000000"/>
              </w:rPr>
              <w:t>Burden Hour Per Response</w:t>
            </w:r>
          </w:p>
        </w:tc>
        <w:tc>
          <w:tcPr>
            <w:tcW w:w="929" w:type="dxa"/>
            <w:tcMar>
              <w:top w:w="0" w:type="dxa"/>
              <w:left w:w="108" w:type="dxa"/>
              <w:bottom w:w="0" w:type="dxa"/>
              <w:right w:w="108" w:type="dxa"/>
            </w:tcMar>
            <w:hideMark/>
          </w:tcPr>
          <w:p w:rsidRPr="007A4CEB" w:rsidR="00926329" w:rsidP="00E34E37" w:rsidRDefault="00926329" w14:paraId="4CE92725" w14:textId="77777777">
            <w:pPr>
              <w:jc w:val="center"/>
              <w:rPr>
                <w:rFonts w:eastAsia="Calibri"/>
                <w:b/>
                <w:color w:val="000000"/>
              </w:rPr>
            </w:pPr>
            <w:r w:rsidRPr="007A4CEB">
              <w:rPr>
                <w:b/>
                <w:color w:val="000000"/>
              </w:rPr>
              <w:t>Annual Burden Hours</w:t>
            </w:r>
          </w:p>
        </w:tc>
        <w:tc>
          <w:tcPr>
            <w:tcW w:w="1080" w:type="dxa"/>
            <w:tcMar>
              <w:top w:w="0" w:type="dxa"/>
              <w:left w:w="108" w:type="dxa"/>
              <w:bottom w:w="0" w:type="dxa"/>
              <w:right w:w="108" w:type="dxa"/>
            </w:tcMar>
            <w:hideMark/>
          </w:tcPr>
          <w:p w:rsidRPr="007A4CEB" w:rsidR="00926329" w:rsidP="00E34E37" w:rsidRDefault="00926329" w14:paraId="278F8A4A" w14:textId="77777777">
            <w:pPr>
              <w:jc w:val="center"/>
              <w:rPr>
                <w:rFonts w:eastAsia="Calibri"/>
                <w:b/>
                <w:color w:val="000000"/>
              </w:rPr>
            </w:pPr>
            <w:r w:rsidRPr="007A4CEB">
              <w:rPr>
                <w:b/>
                <w:color w:val="000000"/>
              </w:rPr>
              <w:t>Hourly Cost Per Response</w:t>
            </w:r>
          </w:p>
        </w:tc>
        <w:tc>
          <w:tcPr>
            <w:tcW w:w="1790" w:type="dxa"/>
            <w:tcMar>
              <w:top w:w="0" w:type="dxa"/>
              <w:left w:w="108" w:type="dxa"/>
              <w:bottom w:w="0" w:type="dxa"/>
              <w:right w:w="108" w:type="dxa"/>
            </w:tcMar>
          </w:tcPr>
          <w:p w:rsidRPr="007A4CEB" w:rsidR="00926329" w:rsidP="00E34E37" w:rsidRDefault="00926329" w14:paraId="48B8F62D" w14:textId="669D121D">
            <w:pPr>
              <w:jc w:val="center"/>
              <w:rPr>
                <w:rFonts w:eastAsia="Calibri"/>
                <w:b/>
                <w:color w:val="000000"/>
              </w:rPr>
            </w:pPr>
            <w:r w:rsidRPr="5360D400">
              <w:rPr>
                <w:b/>
                <w:color w:val="000000" w:themeColor="text1"/>
              </w:rPr>
              <w:t>Annual Cost</w:t>
            </w:r>
          </w:p>
          <w:p w:rsidRPr="007A4CEB" w:rsidR="00926329" w:rsidP="00E34E37" w:rsidRDefault="00926329" w14:paraId="7AC8E626" w14:textId="77777777">
            <w:pPr>
              <w:jc w:val="center"/>
              <w:rPr>
                <w:rFonts w:eastAsia="Calibri"/>
                <w:b/>
                <w:color w:val="000000"/>
              </w:rPr>
            </w:pPr>
          </w:p>
        </w:tc>
      </w:tr>
      <w:tr w:rsidRPr="002520C6" w:rsidR="00212133" w:rsidTr="00985436" w14:paraId="4CAEAC68" w14:textId="77777777">
        <w:trPr>
          <w:trHeight w:val="679"/>
        </w:trPr>
        <w:tc>
          <w:tcPr>
            <w:tcW w:w="1356" w:type="dxa"/>
            <w:tcMar>
              <w:top w:w="0" w:type="dxa"/>
              <w:left w:w="108" w:type="dxa"/>
              <w:bottom w:w="0" w:type="dxa"/>
              <w:right w:w="108" w:type="dxa"/>
            </w:tcMar>
          </w:tcPr>
          <w:p w:rsidR="00212133" w:rsidP="00212133" w:rsidRDefault="00212133" w14:paraId="72075079" w14:textId="7730BF78">
            <w:pPr>
              <w:rPr>
                <w:bCs/>
                <w:color w:val="000000"/>
              </w:rPr>
            </w:pPr>
            <w:r w:rsidRPr="007A4CEB">
              <w:rPr>
                <w:color w:val="000000"/>
              </w:rPr>
              <w:t>Baseline Information Form (household survey)</w:t>
            </w:r>
            <w:r w:rsidR="005B2C2D">
              <w:rPr>
                <w:color w:val="000000"/>
              </w:rPr>
              <w:t xml:space="preserve"> (Attachment </w:t>
            </w:r>
            <w:r w:rsidR="000B4D5D">
              <w:rPr>
                <w:color w:val="000000"/>
              </w:rPr>
              <w:t>A</w:t>
            </w:r>
            <w:r w:rsidR="005B2C2D">
              <w:rPr>
                <w:color w:val="000000"/>
              </w:rPr>
              <w:t>)</w:t>
            </w:r>
          </w:p>
        </w:tc>
        <w:tc>
          <w:tcPr>
            <w:tcW w:w="1316" w:type="dxa"/>
            <w:tcMar>
              <w:top w:w="0" w:type="dxa"/>
              <w:left w:w="108" w:type="dxa"/>
              <w:bottom w:w="0" w:type="dxa"/>
              <w:right w:w="108" w:type="dxa"/>
            </w:tcMar>
          </w:tcPr>
          <w:p w:rsidR="00212133" w:rsidP="00212133" w:rsidRDefault="00212133" w14:paraId="1DA726FF" w14:textId="29DCE9AD">
            <w:pPr>
              <w:jc w:val="center"/>
              <w:rPr>
                <w:bCs/>
                <w:color w:val="000000"/>
              </w:rPr>
            </w:pPr>
            <w:r w:rsidRPr="007A4CEB">
              <w:rPr>
                <w:color w:val="000000"/>
              </w:rPr>
              <w:t>2</w:t>
            </w:r>
            <w:r>
              <w:rPr>
                <w:color w:val="000000"/>
              </w:rPr>
              <w:t>4</w:t>
            </w:r>
            <w:r w:rsidRPr="007A4CEB">
              <w:rPr>
                <w:color w:val="000000"/>
              </w:rPr>
              <w:t>,000</w:t>
            </w:r>
          </w:p>
        </w:tc>
        <w:tc>
          <w:tcPr>
            <w:tcW w:w="1170" w:type="dxa"/>
            <w:tcMar>
              <w:top w:w="0" w:type="dxa"/>
              <w:left w:w="108" w:type="dxa"/>
              <w:bottom w:w="0" w:type="dxa"/>
              <w:right w:w="108" w:type="dxa"/>
            </w:tcMar>
          </w:tcPr>
          <w:p w:rsidRPr="002520C6" w:rsidR="00212133" w:rsidP="00212133" w:rsidRDefault="00212133" w14:paraId="308FD3FD" w14:textId="414D871D">
            <w:pPr>
              <w:jc w:val="center"/>
              <w:rPr>
                <w:bCs/>
                <w:color w:val="000000"/>
              </w:rPr>
            </w:pPr>
            <w:r w:rsidRPr="007A4CEB">
              <w:rPr>
                <w:rFonts w:eastAsia="Calibri"/>
                <w:color w:val="000000"/>
              </w:rPr>
              <w:t>1</w:t>
            </w:r>
          </w:p>
        </w:tc>
        <w:tc>
          <w:tcPr>
            <w:tcW w:w="1170" w:type="dxa"/>
            <w:tcMar>
              <w:top w:w="0" w:type="dxa"/>
              <w:left w:w="108" w:type="dxa"/>
              <w:bottom w:w="0" w:type="dxa"/>
              <w:right w:w="108" w:type="dxa"/>
            </w:tcMar>
          </w:tcPr>
          <w:p w:rsidR="00212133" w:rsidP="00212133" w:rsidRDefault="00212133" w14:paraId="18C4521A" w14:textId="05C75FA2">
            <w:pPr>
              <w:jc w:val="center"/>
              <w:rPr>
                <w:bCs/>
                <w:color w:val="000000"/>
              </w:rPr>
            </w:pPr>
            <w:r w:rsidRPr="007A4CEB">
              <w:rPr>
                <w:rFonts w:eastAsia="Calibri"/>
                <w:color w:val="000000"/>
              </w:rPr>
              <w:t>2</w:t>
            </w:r>
            <w:r>
              <w:rPr>
                <w:rFonts w:eastAsia="Calibri"/>
                <w:color w:val="000000"/>
              </w:rPr>
              <w:t>4</w:t>
            </w:r>
            <w:r w:rsidRPr="007A4CEB">
              <w:rPr>
                <w:rFonts w:eastAsia="Calibri"/>
                <w:color w:val="000000"/>
              </w:rPr>
              <w:t>,000</w:t>
            </w:r>
          </w:p>
        </w:tc>
        <w:tc>
          <w:tcPr>
            <w:tcW w:w="1141" w:type="dxa"/>
            <w:tcMar>
              <w:top w:w="0" w:type="dxa"/>
              <w:left w:w="108" w:type="dxa"/>
              <w:bottom w:w="0" w:type="dxa"/>
              <w:right w:w="108" w:type="dxa"/>
            </w:tcMar>
          </w:tcPr>
          <w:p w:rsidRPr="002520C6" w:rsidR="00212133" w:rsidP="00212133" w:rsidRDefault="00212133" w14:paraId="3E8E63F8" w14:textId="1E117934">
            <w:pPr>
              <w:jc w:val="center"/>
              <w:rPr>
                <w:bCs/>
                <w:color w:val="000000" w:themeColor="text1"/>
              </w:rPr>
            </w:pPr>
            <w:r w:rsidRPr="007A4CEB">
              <w:rPr>
                <w:rFonts w:eastAsia="Calibri"/>
                <w:color w:val="000000"/>
              </w:rPr>
              <w:t>.12</w:t>
            </w:r>
          </w:p>
        </w:tc>
        <w:tc>
          <w:tcPr>
            <w:tcW w:w="929" w:type="dxa"/>
            <w:tcMar>
              <w:top w:w="0" w:type="dxa"/>
              <w:left w:w="108" w:type="dxa"/>
              <w:bottom w:w="0" w:type="dxa"/>
              <w:right w:w="108" w:type="dxa"/>
            </w:tcMar>
          </w:tcPr>
          <w:p w:rsidRPr="002520C6" w:rsidR="00212133" w:rsidDel="006C5082" w:rsidP="00212133" w:rsidRDefault="00212133" w14:paraId="779E0798" w14:textId="626B327A">
            <w:pPr>
              <w:jc w:val="center"/>
              <w:rPr>
                <w:bCs/>
                <w:color w:val="000000"/>
              </w:rPr>
            </w:pPr>
            <w:r>
              <w:rPr>
                <w:rFonts w:eastAsia="Calibri"/>
                <w:color w:val="000000"/>
              </w:rPr>
              <w:t>2</w:t>
            </w:r>
            <w:r w:rsidRPr="007A4CEB">
              <w:rPr>
                <w:rFonts w:eastAsia="Calibri"/>
                <w:color w:val="000000"/>
              </w:rPr>
              <w:t>,</w:t>
            </w:r>
            <w:r>
              <w:rPr>
                <w:rFonts w:eastAsia="Calibri"/>
                <w:color w:val="000000"/>
              </w:rPr>
              <w:t>88</w:t>
            </w:r>
            <w:r w:rsidRPr="007A4CEB">
              <w:rPr>
                <w:rFonts w:eastAsia="Calibri"/>
                <w:color w:val="000000"/>
              </w:rPr>
              <w:t>0</w:t>
            </w:r>
          </w:p>
        </w:tc>
        <w:tc>
          <w:tcPr>
            <w:tcW w:w="1080" w:type="dxa"/>
            <w:tcMar>
              <w:top w:w="0" w:type="dxa"/>
              <w:left w:w="108" w:type="dxa"/>
              <w:bottom w:w="0" w:type="dxa"/>
              <w:right w:w="108" w:type="dxa"/>
            </w:tcMar>
          </w:tcPr>
          <w:p w:rsidRPr="002520C6" w:rsidR="00212133" w:rsidP="00BF4AAA" w:rsidRDefault="00CC4276" w14:paraId="04963EA5" w14:textId="7A1B5D9D">
            <w:pPr>
              <w:jc w:val="center"/>
              <w:rPr>
                <w:rFonts w:eastAsia="Calibri"/>
                <w:bCs/>
                <w:color w:val="000000"/>
              </w:rPr>
            </w:pPr>
            <w:r w:rsidRPr="007A4CEB">
              <w:rPr>
                <w:rFonts w:eastAsia="Calibri"/>
                <w:color w:val="000000"/>
              </w:rPr>
              <w:t>$9.43</w:t>
            </w:r>
            <w:r w:rsidRPr="003B09EA">
              <w:rPr>
                <w:rFonts w:eastAsia="Calibri"/>
                <w:color w:val="000000"/>
                <w:vertAlign w:val="superscript"/>
              </w:rPr>
              <w:fldChar w:fldCharType="begin"/>
            </w:r>
            <w:r w:rsidRPr="003B09EA">
              <w:rPr>
                <w:rFonts w:eastAsia="Calibri"/>
                <w:color w:val="000000"/>
                <w:vertAlign w:val="superscript"/>
              </w:rPr>
              <w:instrText xml:space="preserve"> NOTEREF _Ref90903364 \h </w:instrText>
            </w:r>
            <w:r>
              <w:rPr>
                <w:rFonts w:eastAsia="Calibri"/>
                <w:color w:val="000000"/>
                <w:vertAlign w:val="superscript"/>
              </w:rPr>
              <w:instrText xml:space="preserve"> \* MERGEFORMAT </w:instrText>
            </w:r>
            <w:r w:rsidRPr="003B09EA">
              <w:rPr>
                <w:rFonts w:eastAsia="Calibri"/>
                <w:color w:val="000000"/>
                <w:vertAlign w:val="superscript"/>
              </w:rPr>
            </w:r>
            <w:r w:rsidRPr="003B09EA">
              <w:rPr>
                <w:rFonts w:eastAsia="Calibri"/>
                <w:color w:val="000000"/>
                <w:vertAlign w:val="superscript"/>
              </w:rPr>
              <w:fldChar w:fldCharType="separate"/>
            </w:r>
            <w:r w:rsidRPr="003B09EA">
              <w:rPr>
                <w:rFonts w:eastAsia="Calibri"/>
                <w:color w:val="000000"/>
                <w:vertAlign w:val="superscript"/>
              </w:rPr>
              <w:t>1</w:t>
            </w:r>
            <w:r w:rsidRPr="003B09EA">
              <w:rPr>
                <w:rFonts w:eastAsia="Calibri"/>
                <w:color w:val="000000"/>
                <w:vertAlign w:val="superscript"/>
              </w:rPr>
              <w:fldChar w:fldCharType="end"/>
            </w:r>
          </w:p>
        </w:tc>
        <w:tc>
          <w:tcPr>
            <w:tcW w:w="1790" w:type="dxa"/>
            <w:tcMar>
              <w:top w:w="0" w:type="dxa"/>
              <w:left w:w="108" w:type="dxa"/>
              <w:bottom w:w="0" w:type="dxa"/>
              <w:right w:w="108" w:type="dxa"/>
            </w:tcMar>
          </w:tcPr>
          <w:p w:rsidR="00212133" w:rsidP="00BF4AAA" w:rsidRDefault="00461D49" w14:paraId="12EDED20" w14:textId="1B6A925E">
            <w:pPr>
              <w:jc w:val="center"/>
              <w:rPr>
                <w:bCs/>
                <w:color w:val="000000" w:themeColor="text1"/>
              </w:rPr>
            </w:pPr>
            <w:r>
              <w:rPr>
                <w:rFonts w:eastAsia="Calibri"/>
                <w:color w:val="000000"/>
              </w:rPr>
              <w:t>$</w:t>
            </w:r>
            <w:r w:rsidR="00AC1633">
              <w:rPr>
                <w:rFonts w:eastAsia="Calibri"/>
                <w:color w:val="000000"/>
              </w:rPr>
              <w:t>27,1</w:t>
            </w:r>
            <w:r w:rsidR="003549CC">
              <w:rPr>
                <w:rFonts w:eastAsia="Calibri"/>
                <w:color w:val="000000"/>
              </w:rPr>
              <w:t>58.40</w:t>
            </w:r>
          </w:p>
        </w:tc>
      </w:tr>
      <w:tr w:rsidRPr="002520C6" w:rsidR="00AA1429" w:rsidTr="00985436" w14:paraId="3F916A79" w14:textId="77777777">
        <w:trPr>
          <w:trHeight w:val="679"/>
        </w:trPr>
        <w:tc>
          <w:tcPr>
            <w:tcW w:w="1356" w:type="dxa"/>
            <w:tcMar>
              <w:top w:w="0" w:type="dxa"/>
              <w:left w:w="108" w:type="dxa"/>
              <w:bottom w:w="0" w:type="dxa"/>
              <w:right w:w="108" w:type="dxa"/>
            </w:tcMar>
          </w:tcPr>
          <w:p w:rsidRPr="002520C6" w:rsidR="00052883" w:rsidP="00452D9A" w:rsidRDefault="009923C3" w14:paraId="4E486C97" w14:textId="7EDB6DC8">
            <w:pPr>
              <w:rPr>
                <w:bCs/>
                <w:color w:val="000000"/>
              </w:rPr>
            </w:pPr>
            <w:r>
              <w:rPr>
                <w:bCs/>
                <w:color w:val="000000"/>
              </w:rPr>
              <w:t xml:space="preserve">Stepped </w:t>
            </w:r>
            <w:r w:rsidR="00793CF3">
              <w:rPr>
                <w:bCs/>
                <w:color w:val="000000"/>
              </w:rPr>
              <w:t xml:space="preserve">Rent </w:t>
            </w:r>
            <w:r w:rsidRPr="002520C6" w:rsidR="00052883">
              <w:rPr>
                <w:bCs/>
                <w:color w:val="000000"/>
              </w:rPr>
              <w:t>Informed Consent Form</w:t>
            </w:r>
            <w:r w:rsidR="005B2C2D">
              <w:rPr>
                <w:bCs/>
                <w:color w:val="000000"/>
              </w:rPr>
              <w:t xml:space="preserve"> (Attachment B.1)</w:t>
            </w:r>
          </w:p>
        </w:tc>
        <w:tc>
          <w:tcPr>
            <w:tcW w:w="1316" w:type="dxa"/>
            <w:tcMar>
              <w:top w:w="0" w:type="dxa"/>
              <w:left w:w="108" w:type="dxa"/>
              <w:bottom w:w="0" w:type="dxa"/>
              <w:right w:w="108" w:type="dxa"/>
            </w:tcMar>
          </w:tcPr>
          <w:p w:rsidRPr="002520C6" w:rsidR="00052883" w:rsidP="00E34E37" w:rsidRDefault="000B0E96" w14:paraId="4B7AC1EF" w14:textId="3FE065B3">
            <w:pPr>
              <w:jc w:val="center"/>
              <w:rPr>
                <w:bCs/>
                <w:color w:val="000000"/>
              </w:rPr>
            </w:pPr>
            <w:r>
              <w:rPr>
                <w:bCs/>
                <w:color w:val="000000"/>
              </w:rPr>
              <w:t>7,000</w:t>
            </w:r>
          </w:p>
        </w:tc>
        <w:tc>
          <w:tcPr>
            <w:tcW w:w="1170" w:type="dxa"/>
            <w:tcMar>
              <w:top w:w="0" w:type="dxa"/>
              <w:left w:w="108" w:type="dxa"/>
              <w:bottom w:w="0" w:type="dxa"/>
              <w:right w:w="108" w:type="dxa"/>
            </w:tcMar>
          </w:tcPr>
          <w:p w:rsidRPr="002520C6" w:rsidR="00052883" w:rsidP="00E34E37" w:rsidRDefault="000E72F8" w14:paraId="3F6EC8F0" w14:textId="222BE9DF">
            <w:pPr>
              <w:jc w:val="center"/>
              <w:rPr>
                <w:bCs/>
                <w:color w:val="000000"/>
              </w:rPr>
            </w:pPr>
            <w:r w:rsidRPr="002520C6">
              <w:rPr>
                <w:bCs/>
                <w:color w:val="000000"/>
              </w:rPr>
              <w:t>1</w:t>
            </w:r>
          </w:p>
        </w:tc>
        <w:tc>
          <w:tcPr>
            <w:tcW w:w="1170" w:type="dxa"/>
            <w:tcMar>
              <w:top w:w="0" w:type="dxa"/>
              <w:left w:w="108" w:type="dxa"/>
              <w:bottom w:w="0" w:type="dxa"/>
              <w:right w:w="108" w:type="dxa"/>
            </w:tcMar>
          </w:tcPr>
          <w:p w:rsidRPr="002520C6" w:rsidR="00052883" w:rsidP="00E34E37" w:rsidRDefault="000B0E96" w14:paraId="181F743C" w14:textId="770E1652">
            <w:pPr>
              <w:jc w:val="center"/>
              <w:rPr>
                <w:bCs/>
                <w:color w:val="000000"/>
              </w:rPr>
            </w:pPr>
            <w:r>
              <w:rPr>
                <w:bCs/>
                <w:color w:val="000000"/>
              </w:rPr>
              <w:t>7,000</w:t>
            </w:r>
          </w:p>
        </w:tc>
        <w:tc>
          <w:tcPr>
            <w:tcW w:w="1141" w:type="dxa"/>
            <w:tcMar>
              <w:top w:w="0" w:type="dxa"/>
              <w:left w:w="108" w:type="dxa"/>
              <w:bottom w:w="0" w:type="dxa"/>
              <w:right w:w="108" w:type="dxa"/>
            </w:tcMar>
          </w:tcPr>
          <w:p w:rsidRPr="002520C6" w:rsidR="00052883" w:rsidP="00E34E37" w:rsidRDefault="006A1AD9" w14:paraId="09BADB7F" w14:textId="53F4437B">
            <w:pPr>
              <w:jc w:val="center"/>
              <w:rPr>
                <w:bCs/>
                <w:color w:val="000000"/>
              </w:rPr>
            </w:pPr>
            <w:r w:rsidRPr="002520C6">
              <w:rPr>
                <w:bCs/>
                <w:color w:val="000000" w:themeColor="text1"/>
              </w:rPr>
              <w:t>.</w:t>
            </w:r>
            <w:r w:rsidRPr="002520C6" w:rsidR="00212133">
              <w:rPr>
                <w:bCs/>
                <w:color w:val="000000" w:themeColor="text1"/>
              </w:rPr>
              <w:t>1</w:t>
            </w:r>
            <w:r w:rsidR="00212133">
              <w:rPr>
                <w:bCs/>
                <w:color w:val="000000" w:themeColor="text1"/>
              </w:rPr>
              <w:t>8</w:t>
            </w:r>
          </w:p>
        </w:tc>
        <w:tc>
          <w:tcPr>
            <w:tcW w:w="929" w:type="dxa"/>
            <w:tcMar>
              <w:top w:w="0" w:type="dxa"/>
              <w:left w:w="108" w:type="dxa"/>
              <w:bottom w:w="0" w:type="dxa"/>
              <w:right w:w="108" w:type="dxa"/>
            </w:tcMar>
          </w:tcPr>
          <w:p w:rsidRPr="002520C6" w:rsidR="00052883" w:rsidP="00E34E37" w:rsidRDefault="00212133" w14:paraId="6083455E" w14:textId="53DA309A">
            <w:pPr>
              <w:jc w:val="center"/>
              <w:rPr>
                <w:bCs/>
                <w:color w:val="000000"/>
              </w:rPr>
            </w:pPr>
            <w:r>
              <w:rPr>
                <w:bCs/>
                <w:color w:val="000000"/>
              </w:rPr>
              <w:t>1</w:t>
            </w:r>
            <w:r w:rsidR="00957B59">
              <w:rPr>
                <w:bCs/>
                <w:color w:val="000000"/>
              </w:rPr>
              <w:t>,260</w:t>
            </w:r>
          </w:p>
        </w:tc>
        <w:tc>
          <w:tcPr>
            <w:tcW w:w="1080" w:type="dxa"/>
            <w:tcMar>
              <w:top w:w="0" w:type="dxa"/>
              <w:left w:w="108" w:type="dxa"/>
              <w:bottom w:w="0" w:type="dxa"/>
              <w:right w:w="108" w:type="dxa"/>
            </w:tcMar>
          </w:tcPr>
          <w:p w:rsidRPr="002520C6" w:rsidR="00052883" w:rsidP="00BF4AAA" w:rsidRDefault="0068509E" w14:paraId="270903C3" w14:textId="56C50268">
            <w:pPr>
              <w:jc w:val="center"/>
              <w:rPr>
                <w:bCs/>
                <w:color w:val="000000"/>
              </w:rPr>
            </w:pPr>
            <w:r w:rsidRPr="002520C6">
              <w:rPr>
                <w:rFonts w:eastAsia="Calibri"/>
                <w:bCs/>
                <w:color w:val="000000"/>
              </w:rPr>
              <w:t>$9.43</w:t>
            </w:r>
            <w:bookmarkStart w:name="_Ref90903364" w:id="0"/>
            <w:r w:rsidRPr="002520C6">
              <w:rPr>
                <w:rStyle w:val="FootnoteReference"/>
                <w:rFonts w:eastAsia="Calibri"/>
                <w:bCs/>
                <w:color w:val="000000"/>
              </w:rPr>
              <w:footnoteReference w:id="2"/>
            </w:r>
            <w:bookmarkEnd w:id="0"/>
          </w:p>
        </w:tc>
        <w:tc>
          <w:tcPr>
            <w:tcW w:w="1790" w:type="dxa"/>
            <w:tcMar>
              <w:top w:w="0" w:type="dxa"/>
              <w:left w:w="108" w:type="dxa"/>
              <w:bottom w:w="0" w:type="dxa"/>
              <w:right w:w="108" w:type="dxa"/>
            </w:tcMar>
          </w:tcPr>
          <w:p w:rsidR="00052883" w:rsidP="00BF4AAA" w:rsidRDefault="00610016" w14:paraId="3FE56507" w14:textId="770528F3">
            <w:pPr>
              <w:jc w:val="center"/>
              <w:rPr>
                <w:bCs/>
                <w:color w:val="000000" w:themeColor="text1"/>
              </w:rPr>
            </w:pPr>
            <w:r>
              <w:rPr>
                <w:bCs/>
                <w:color w:val="000000" w:themeColor="text1"/>
              </w:rPr>
              <w:t>$11,88</w:t>
            </w:r>
            <w:r w:rsidR="003549CC">
              <w:rPr>
                <w:bCs/>
                <w:color w:val="000000" w:themeColor="text1"/>
              </w:rPr>
              <w:t>1</w:t>
            </w:r>
            <w:r>
              <w:rPr>
                <w:bCs/>
                <w:color w:val="000000" w:themeColor="text1"/>
              </w:rPr>
              <w:t>.</w:t>
            </w:r>
            <w:r w:rsidR="003549CC">
              <w:rPr>
                <w:bCs/>
                <w:color w:val="000000" w:themeColor="text1"/>
              </w:rPr>
              <w:t>8</w:t>
            </w:r>
            <w:r>
              <w:rPr>
                <w:bCs/>
                <w:color w:val="000000" w:themeColor="text1"/>
              </w:rPr>
              <w:t>0</w:t>
            </w:r>
          </w:p>
          <w:p w:rsidRPr="002520C6" w:rsidR="00610016" w:rsidP="00BF4AAA" w:rsidRDefault="00610016" w14:paraId="1FE216CD" w14:textId="1E01A360">
            <w:pPr>
              <w:jc w:val="center"/>
              <w:rPr>
                <w:bCs/>
                <w:color w:val="000000"/>
              </w:rPr>
            </w:pPr>
          </w:p>
        </w:tc>
      </w:tr>
      <w:tr w:rsidRPr="002520C6" w:rsidR="005D55D7" w:rsidTr="00985436" w14:paraId="0B592EF0" w14:textId="77777777">
        <w:trPr>
          <w:trHeight w:val="679"/>
        </w:trPr>
        <w:tc>
          <w:tcPr>
            <w:tcW w:w="1356" w:type="dxa"/>
            <w:tcMar>
              <w:top w:w="0" w:type="dxa"/>
              <w:left w:w="108" w:type="dxa"/>
              <w:bottom w:w="0" w:type="dxa"/>
              <w:right w:w="108" w:type="dxa"/>
            </w:tcMar>
          </w:tcPr>
          <w:p w:rsidRPr="002520C6" w:rsidR="005D55D7" w:rsidP="00452D9A" w:rsidRDefault="009923C3" w14:paraId="6AC4515D" w14:textId="22D31208">
            <w:pPr>
              <w:rPr>
                <w:bCs/>
                <w:color w:val="000000"/>
              </w:rPr>
            </w:pPr>
            <w:r>
              <w:rPr>
                <w:bCs/>
                <w:color w:val="000000"/>
              </w:rPr>
              <w:t>Tiered Rent Informed Consent Form</w:t>
            </w:r>
            <w:r w:rsidR="005B2C2D">
              <w:rPr>
                <w:bCs/>
                <w:color w:val="000000"/>
              </w:rPr>
              <w:t xml:space="preserve"> (Attachment B.2)</w:t>
            </w:r>
          </w:p>
        </w:tc>
        <w:tc>
          <w:tcPr>
            <w:tcW w:w="1316" w:type="dxa"/>
            <w:tcMar>
              <w:top w:w="0" w:type="dxa"/>
              <w:left w:w="108" w:type="dxa"/>
              <w:bottom w:w="0" w:type="dxa"/>
              <w:right w:w="108" w:type="dxa"/>
            </w:tcMar>
          </w:tcPr>
          <w:p w:rsidRPr="002520C6" w:rsidR="005D55D7" w:rsidP="00E34E37" w:rsidRDefault="000B0E96" w14:paraId="087249A9" w14:textId="0EA5D105">
            <w:pPr>
              <w:jc w:val="center"/>
              <w:rPr>
                <w:bCs/>
                <w:color w:val="000000"/>
              </w:rPr>
            </w:pPr>
            <w:r>
              <w:rPr>
                <w:bCs/>
                <w:color w:val="000000"/>
              </w:rPr>
              <w:t>17,000</w:t>
            </w:r>
          </w:p>
        </w:tc>
        <w:tc>
          <w:tcPr>
            <w:tcW w:w="1170" w:type="dxa"/>
            <w:tcMar>
              <w:top w:w="0" w:type="dxa"/>
              <w:left w:w="108" w:type="dxa"/>
              <w:bottom w:w="0" w:type="dxa"/>
              <w:right w:w="108" w:type="dxa"/>
            </w:tcMar>
          </w:tcPr>
          <w:p w:rsidRPr="002520C6" w:rsidR="005D55D7" w:rsidP="00E34E37" w:rsidRDefault="009923C3" w14:paraId="23808906" w14:textId="7646BEDA">
            <w:pPr>
              <w:jc w:val="center"/>
              <w:rPr>
                <w:bCs/>
                <w:color w:val="000000"/>
              </w:rPr>
            </w:pPr>
            <w:r>
              <w:rPr>
                <w:bCs/>
                <w:color w:val="000000"/>
              </w:rPr>
              <w:t>1</w:t>
            </w:r>
          </w:p>
        </w:tc>
        <w:tc>
          <w:tcPr>
            <w:tcW w:w="1170" w:type="dxa"/>
            <w:tcMar>
              <w:top w:w="0" w:type="dxa"/>
              <w:left w:w="108" w:type="dxa"/>
              <w:bottom w:w="0" w:type="dxa"/>
              <w:right w:w="108" w:type="dxa"/>
            </w:tcMar>
          </w:tcPr>
          <w:p w:rsidRPr="002520C6" w:rsidR="005D55D7" w:rsidP="00E34E37" w:rsidRDefault="000B0E96" w14:paraId="1515809A" w14:textId="2956BCDF">
            <w:pPr>
              <w:jc w:val="center"/>
              <w:rPr>
                <w:bCs/>
                <w:color w:val="000000"/>
              </w:rPr>
            </w:pPr>
            <w:r>
              <w:rPr>
                <w:bCs/>
                <w:color w:val="000000"/>
              </w:rPr>
              <w:t>17,000</w:t>
            </w:r>
          </w:p>
        </w:tc>
        <w:tc>
          <w:tcPr>
            <w:tcW w:w="1141" w:type="dxa"/>
            <w:tcMar>
              <w:top w:w="0" w:type="dxa"/>
              <w:left w:w="108" w:type="dxa"/>
              <w:bottom w:w="0" w:type="dxa"/>
              <w:right w:w="108" w:type="dxa"/>
            </w:tcMar>
          </w:tcPr>
          <w:p w:rsidRPr="002520C6" w:rsidR="005D55D7" w:rsidP="00E34E37" w:rsidRDefault="002C48DB" w14:paraId="74F34A1E" w14:textId="4C57856C">
            <w:pPr>
              <w:jc w:val="center"/>
              <w:rPr>
                <w:bCs/>
                <w:color w:val="000000" w:themeColor="text1"/>
              </w:rPr>
            </w:pPr>
            <w:r>
              <w:rPr>
                <w:bCs/>
                <w:color w:val="000000" w:themeColor="text1"/>
              </w:rPr>
              <w:t>.1</w:t>
            </w:r>
            <w:r w:rsidR="00DF4AD1">
              <w:rPr>
                <w:bCs/>
                <w:color w:val="000000" w:themeColor="text1"/>
              </w:rPr>
              <w:t>8</w:t>
            </w:r>
          </w:p>
        </w:tc>
        <w:tc>
          <w:tcPr>
            <w:tcW w:w="929" w:type="dxa"/>
            <w:tcMar>
              <w:top w:w="0" w:type="dxa"/>
              <w:left w:w="108" w:type="dxa"/>
              <w:bottom w:w="0" w:type="dxa"/>
              <w:right w:w="108" w:type="dxa"/>
            </w:tcMar>
          </w:tcPr>
          <w:p w:rsidRPr="002520C6" w:rsidR="005D55D7" w:rsidP="00E34E37" w:rsidRDefault="00212133" w14:paraId="346F4740" w14:textId="7F99B15F">
            <w:pPr>
              <w:jc w:val="center"/>
              <w:rPr>
                <w:bCs/>
                <w:color w:val="000000"/>
              </w:rPr>
            </w:pPr>
            <w:r>
              <w:rPr>
                <w:bCs/>
                <w:color w:val="000000"/>
              </w:rPr>
              <w:t>3</w:t>
            </w:r>
            <w:r w:rsidR="003F368F">
              <w:rPr>
                <w:bCs/>
                <w:color w:val="000000"/>
              </w:rPr>
              <w:t>,060</w:t>
            </w:r>
          </w:p>
        </w:tc>
        <w:tc>
          <w:tcPr>
            <w:tcW w:w="1080" w:type="dxa"/>
            <w:tcMar>
              <w:top w:w="0" w:type="dxa"/>
              <w:left w:w="108" w:type="dxa"/>
              <w:bottom w:w="0" w:type="dxa"/>
              <w:right w:w="108" w:type="dxa"/>
            </w:tcMar>
          </w:tcPr>
          <w:p w:rsidRPr="002520C6" w:rsidR="005D55D7" w:rsidP="00BF4AAA" w:rsidRDefault="006C5082" w14:paraId="2C0D40E3" w14:textId="35ED0051">
            <w:pPr>
              <w:jc w:val="center"/>
              <w:rPr>
                <w:rFonts w:eastAsia="Calibri"/>
                <w:bCs/>
                <w:color w:val="000000"/>
              </w:rPr>
            </w:pPr>
            <w:r w:rsidRPr="002520C6">
              <w:rPr>
                <w:rFonts w:eastAsia="Calibri"/>
                <w:bCs/>
                <w:color w:val="000000"/>
              </w:rPr>
              <w:t>$9.43</w:t>
            </w:r>
            <w:r w:rsidRPr="00731D1E" w:rsidR="007B0FA4">
              <w:rPr>
                <w:rStyle w:val="FootnoteReference"/>
                <w:rFonts w:eastAsia="Calibri"/>
                <w:bCs/>
                <w:color w:val="000000"/>
              </w:rPr>
              <w:fldChar w:fldCharType="begin"/>
            </w:r>
            <w:r w:rsidRPr="00731D1E" w:rsidR="007B0FA4">
              <w:rPr>
                <w:rFonts w:eastAsia="Calibri"/>
                <w:bCs/>
                <w:color w:val="000000"/>
                <w:vertAlign w:val="superscript"/>
              </w:rPr>
              <w:instrText xml:space="preserve"> NOTEREF _Ref90903364 \h </w:instrText>
            </w:r>
            <w:r w:rsidRPr="00731D1E" w:rsidR="00731D1E">
              <w:rPr>
                <w:rStyle w:val="FootnoteReference"/>
                <w:rFonts w:eastAsia="Calibri"/>
                <w:bCs/>
                <w:color w:val="000000"/>
              </w:rPr>
              <w:instrText xml:space="preserve"> \* MERGEFORMAT </w:instrText>
            </w:r>
            <w:r w:rsidRPr="00731D1E" w:rsidR="007B0FA4">
              <w:rPr>
                <w:rStyle w:val="FootnoteReference"/>
                <w:rFonts w:eastAsia="Calibri"/>
                <w:bCs/>
                <w:color w:val="000000"/>
              </w:rPr>
            </w:r>
            <w:r w:rsidRPr="00731D1E" w:rsidR="007B0FA4">
              <w:rPr>
                <w:rStyle w:val="FootnoteReference"/>
                <w:rFonts w:eastAsia="Calibri"/>
                <w:bCs/>
                <w:color w:val="000000"/>
              </w:rPr>
              <w:fldChar w:fldCharType="separate"/>
            </w:r>
            <w:r w:rsidRPr="00731D1E" w:rsidR="007B0FA4">
              <w:rPr>
                <w:rFonts w:eastAsia="Calibri"/>
                <w:bCs/>
                <w:color w:val="000000"/>
                <w:vertAlign w:val="superscript"/>
              </w:rPr>
              <w:t>1</w:t>
            </w:r>
            <w:r w:rsidRPr="00731D1E" w:rsidR="007B0FA4">
              <w:rPr>
                <w:rStyle w:val="FootnoteReference"/>
                <w:rFonts w:eastAsia="Calibri"/>
                <w:bCs/>
                <w:color w:val="000000"/>
              </w:rPr>
              <w:fldChar w:fldCharType="end"/>
            </w:r>
          </w:p>
        </w:tc>
        <w:tc>
          <w:tcPr>
            <w:tcW w:w="1790" w:type="dxa"/>
            <w:tcMar>
              <w:top w:w="0" w:type="dxa"/>
              <w:left w:w="108" w:type="dxa"/>
              <w:bottom w:w="0" w:type="dxa"/>
              <w:right w:w="108" w:type="dxa"/>
            </w:tcMar>
          </w:tcPr>
          <w:p w:rsidRPr="002520C6" w:rsidR="005D55D7" w:rsidP="00BF4AAA" w:rsidRDefault="004617C1" w14:paraId="137F07C1" w14:textId="14A47F54">
            <w:pPr>
              <w:jc w:val="center"/>
              <w:rPr>
                <w:bCs/>
                <w:color w:val="000000" w:themeColor="text1"/>
              </w:rPr>
            </w:pPr>
            <w:r>
              <w:rPr>
                <w:bCs/>
                <w:color w:val="000000" w:themeColor="text1"/>
              </w:rPr>
              <w:t>$</w:t>
            </w:r>
            <w:r w:rsidR="00610016">
              <w:rPr>
                <w:bCs/>
                <w:color w:val="000000" w:themeColor="text1"/>
              </w:rPr>
              <w:t>28,85</w:t>
            </w:r>
            <w:r w:rsidR="003549CC">
              <w:rPr>
                <w:bCs/>
                <w:color w:val="000000" w:themeColor="text1"/>
              </w:rPr>
              <w:t>5</w:t>
            </w:r>
            <w:r w:rsidR="00610016">
              <w:rPr>
                <w:bCs/>
                <w:color w:val="000000" w:themeColor="text1"/>
              </w:rPr>
              <w:t>.8</w:t>
            </w:r>
            <w:r w:rsidR="003549CC">
              <w:rPr>
                <w:bCs/>
                <w:color w:val="000000" w:themeColor="text1"/>
              </w:rPr>
              <w:t>0</w:t>
            </w:r>
          </w:p>
        </w:tc>
      </w:tr>
      <w:tr w:rsidRPr="00ED3DD9" w:rsidR="0097175C" w:rsidTr="00985436" w14:paraId="605E7C89" w14:textId="77777777">
        <w:trPr>
          <w:trHeight w:val="665"/>
        </w:trPr>
        <w:tc>
          <w:tcPr>
            <w:tcW w:w="1356" w:type="dxa"/>
            <w:tcMar>
              <w:top w:w="0" w:type="dxa"/>
              <w:left w:w="108" w:type="dxa"/>
              <w:bottom w:w="0" w:type="dxa"/>
              <w:right w:w="108" w:type="dxa"/>
            </w:tcMar>
          </w:tcPr>
          <w:p w:rsidRPr="00FB0F33" w:rsidR="0097175C" w:rsidP="00181913" w:rsidRDefault="0097175C" w14:paraId="6E969FCB" w14:textId="77777777">
            <w:pPr>
              <w:rPr>
                <w:color w:val="000000"/>
              </w:rPr>
            </w:pPr>
            <w:r w:rsidRPr="00FB0F33">
              <w:rPr>
                <w:color w:val="000000"/>
              </w:rPr>
              <w:t>PHA Executive Director-Senior Leader Interview Guide</w:t>
            </w:r>
            <w:r>
              <w:rPr>
                <w:color w:val="000000"/>
              </w:rPr>
              <w:t xml:space="preserve"> (Attachment C)</w:t>
            </w:r>
          </w:p>
        </w:tc>
        <w:tc>
          <w:tcPr>
            <w:tcW w:w="1316" w:type="dxa"/>
            <w:tcMar>
              <w:top w:w="0" w:type="dxa"/>
              <w:left w:w="108" w:type="dxa"/>
              <w:bottom w:w="0" w:type="dxa"/>
              <w:right w:w="108" w:type="dxa"/>
            </w:tcMar>
          </w:tcPr>
          <w:p w:rsidRPr="007A4CEB" w:rsidR="0097175C" w:rsidP="00181913" w:rsidRDefault="0097175C" w14:paraId="237D1C71" w14:textId="77777777">
            <w:pPr>
              <w:jc w:val="center"/>
              <w:rPr>
                <w:color w:val="000000"/>
              </w:rPr>
            </w:pPr>
            <w:r>
              <w:rPr>
                <w:color w:val="000000"/>
              </w:rPr>
              <w:t>10</w:t>
            </w:r>
          </w:p>
        </w:tc>
        <w:tc>
          <w:tcPr>
            <w:tcW w:w="1170" w:type="dxa"/>
            <w:tcMar>
              <w:top w:w="0" w:type="dxa"/>
              <w:left w:w="108" w:type="dxa"/>
              <w:bottom w:w="0" w:type="dxa"/>
              <w:right w:w="108" w:type="dxa"/>
            </w:tcMar>
          </w:tcPr>
          <w:p w:rsidRPr="007A4CEB" w:rsidR="0097175C" w:rsidP="00181913" w:rsidRDefault="0097175C" w14:paraId="11B8F1E5" w14:textId="77777777">
            <w:pPr>
              <w:jc w:val="center"/>
              <w:rPr>
                <w:rFonts w:eastAsia="Calibri"/>
                <w:color w:val="000000"/>
              </w:rPr>
            </w:pPr>
            <w:r>
              <w:rPr>
                <w:rFonts w:eastAsia="Calibri"/>
                <w:color w:val="000000"/>
              </w:rPr>
              <w:t>1</w:t>
            </w:r>
          </w:p>
        </w:tc>
        <w:tc>
          <w:tcPr>
            <w:tcW w:w="1170" w:type="dxa"/>
            <w:tcMar>
              <w:top w:w="0" w:type="dxa"/>
              <w:left w:w="108" w:type="dxa"/>
              <w:bottom w:w="0" w:type="dxa"/>
              <w:right w:w="108" w:type="dxa"/>
            </w:tcMar>
          </w:tcPr>
          <w:p w:rsidRPr="007A4CEB" w:rsidR="0097175C" w:rsidP="00181913" w:rsidRDefault="0097175C" w14:paraId="7F24A5AB" w14:textId="77777777">
            <w:pPr>
              <w:jc w:val="center"/>
              <w:rPr>
                <w:rFonts w:eastAsia="Calibri"/>
                <w:color w:val="000000"/>
              </w:rPr>
            </w:pPr>
            <w:r>
              <w:rPr>
                <w:rFonts w:eastAsia="Calibri"/>
                <w:color w:val="000000"/>
              </w:rPr>
              <w:t>10</w:t>
            </w:r>
          </w:p>
        </w:tc>
        <w:tc>
          <w:tcPr>
            <w:tcW w:w="1141" w:type="dxa"/>
            <w:tcMar>
              <w:top w:w="0" w:type="dxa"/>
              <w:left w:w="108" w:type="dxa"/>
              <w:bottom w:w="0" w:type="dxa"/>
              <w:right w:w="108" w:type="dxa"/>
            </w:tcMar>
          </w:tcPr>
          <w:p w:rsidRPr="007A4CEB" w:rsidR="0097175C" w:rsidP="00181913" w:rsidRDefault="0097175C" w14:paraId="3BF49C43" w14:textId="77777777">
            <w:pPr>
              <w:jc w:val="center"/>
              <w:rPr>
                <w:rFonts w:eastAsia="Calibri"/>
                <w:color w:val="000000"/>
              </w:rPr>
            </w:pPr>
            <w:r>
              <w:rPr>
                <w:rFonts w:eastAsia="Calibri"/>
                <w:color w:val="000000"/>
              </w:rPr>
              <w:t>.75</w:t>
            </w:r>
          </w:p>
        </w:tc>
        <w:tc>
          <w:tcPr>
            <w:tcW w:w="929" w:type="dxa"/>
            <w:tcMar>
              <w:top w:w="0" w:type="dxa"/>
              <w:left w:w="108" w:type="dxa"/>
              <w:bottom w:w="0" w:type="dxa"/>
              <w:right w:w="108" w:type="dxa"/>
            </w:tcMar>
          </w:tcPr>
          <w:p w:rsidRPr="007A4CEB" w:rsidR="0097175C" w:rsidP="00181913" w:rsidRDefault="0097175C" w14:paraId="321B9C05" w14:textId="77777777">
            <w:pPr>
              <w:jc w:val="center"/>
              <w:rPr>
                <w:rFonts w:eastAsia="Calibri"/>
                <w:color w:val="000000"/>
              </w:rPr>
            </w:pPr>
            <w:r>
              <w:rPr>
                <w:rFonts w:eastAsia="Calibri"/>
                <w:color w:val="000000"/>
              </w:rPr>
              <w:t>7.5</w:t>
            </w:r>
          </w:p>
        </w:tc>
        <w:tc>
          <w:tcPr>
            <w:tcW w:w="1080" w:type="dxa"/>
            <w:tcMar>
              <w:top w:w="0" w:type="dxa"/>
              <w:left w:w="108" w:type="dxa"/>
              <w:bottom w:w="0" w:type="dxa"/>
              <w:right w:w="108" w:type="dxa"/>
            </w:tcMar>
          </w:tcPr>
          <w:p w:rsidRPr="007A4CEB" w:rsidR="0097175C" w:rsidP="00BF4AAA" w:rsidRDefault="0097175C" w14:paraId="683D31F2" w14:textId="77777777">
            <w:pPr>
              <w:jc w:val="center"/>
              <w:rPr>
                <w:rFonts w:eastAsia="Calibri"/>
                <w:color w:val="000000"/>
              </w:rPr>
            </w:pPr>
            <w:r>
              <w:rPr>
                <w:rFonts w:eastAsia="Calibri"/>
                <w:color w:val="000000"/>
              </w:rPr>
              <w:t>$59.86</w:t>
            </w:r>
            <w:r w:rsidRPr="00EB33D9">
              <w:rPr>
                <w:rFonts w:eastAsia="Calibri"/>
                <w:color w:val="000000"/>
                <w:vertAlign w:val="superscript"/>
              </w:rPr>
              <w:fldChar w:fldCharType="begin"/>
            </w:r>
            <w:r w:rsidRPr="00EB33D9">
              <w:rPr>
                <w:rFonts w:eastAsia="Calibri"/>
                <w:color w:val="000000"/>
                <w:vertAlign w:val="superscript"/>
              </w:rPr>
              <w:instrText xml:space="preserve"> NOTEREF _Ref90903066 \h </w:instrText>
            </w:r>
            <w:r>
              <w:rPr>
                <w:rFonts w:eastAsia="Calibri"/>
                <w:color w:val="000000"/>
                <w:vertAlign w:val="superscript"/>
              </w:rPr>
              <w:instrText xml:space="preserve"> \* MERGEFORMAT </w:instrText>
            </w:r>
            <w:r w:rsidRPr="00EB33D9">
              <w:rPr>
                <w:rFonts w:eastAsia="Calibri"/>
                <w:color w:val="000000"/>
                <w:vertAlign w:val="superscript"/>
              </w:rPr>
            </w:r>
            <w:r w:rsidRPr="00EB33D9">
              <w:rPr>
                <w:rFonts w:eastAsia="Calibri"/>
                <w:color w:val="000000"/>
                <w:vertAlign w:val="superscript"/>
              </w:rPr>
              <w:fldChar w:fldCharType="separate"/>
            </w:r>
            <w:r>
              <w:rPr>
                <w:rFonts w:eastAsia="Calibri"/>
                <w:color w:val="000000"/>
                <w:vertAlign w:val="superscript"/>
              </w:rPr>
              <w:t>2</w:t>
            </w:r>
            <w:r w:rsidRPr="00EB33D9">
              <w:rPr>
                <w:rFonts w:eastAsia="Calibri"/>
                <w:color w:val="000000"/>
                <w:vertAlign w:val="superscript"/>
              </w:rPr>
              <w:fldChar w:fldCharType="end"/>
            </w:r>
          </w:p>
        </w:tc>
        <w:tc>
          <w:tcPr>
            <w:tcW w:w="1790" w:type="dxa"/>
            <w:tcMar>
              <w:top w:w="0" w:type="dxa"/>
              <w:left w:w="108" w:type="dxa"/>
              <w:bottom w:w="0" w:type="dxa"/>
              <w:right w:w="108" w:type="dxa"/>
            </w:tcMar>
          </w:tcPr>
          <w:p w:rsidRPr="007A4CEB" w:rsidR="0097175C" w:rsidP="00BF4AAA" w:rsidRDefault="0097175C" w14:paraId="0EB211B8" w14:textId="07EB91F2">
            <w:pPr>
              <w:jc w:val="center"/>
              <w:rPr>
                <w:rFonts w:eastAsia="Calibri"/>
                <w:color w:val="000000"/>
              </w:rPr>
            </w:pPr>
            <w:r>
              <w:rPr>
                <w:rFonts w:eastAsia="Calibri"/>
                <w:color w:val="000000"/>
              </w:rPr>
              <w:t>$448.9</w:t>
            </w:r>
            <w:r w:rsidR="00BF4AAA">
              <w:rPr>
                <w:rFonts w:eastAsia="Calibri"/>
                <w:color w:val="000000"/>
              </w:rPr>
              <w:t>5</w:t>
            </w:r>
          </w:p>
        </w:tc>
      </w:tr>
      <w:tr w:rsidRPr="00ED3DD9" w:rsidR="00F11975" w:rsidTr="00985436" w14:paraId="7AE3B50D" w14:textId="77777777">
        <w:trPr>
          <w:trHeight w:val="665"/>
        </w:trPr>
        <w:tc>
          <w:tcPr>
            <w:tcW w:w="1356" w:type="dxa"/>
            <w:tcMar>
              <w:top w:w="0" w:type="dxa"/>
              <w:left w:w="108" w:type="dxa"/>
              <w:bottom w:w="0" w:type="dxa"/>
              <w:right w:w="108" w:type="dxa"/>
            </w:tcMar>
          </w:tcPr>
          <w:p w:rsidRPr="00FB0F33" w:rsidR="00F11975" w:rsidP="00F11975" w:rsidRDefault="00F11975" w14:paraId="57D5B7D3" w14:textId="13F5FDD1">
            <w:pPr>
              <w:rPr>
                <w:color w:val="000000"/>
              </w:rPr>
            </w:pPr>
            <w:r w:rsidRPr="00FB0F33">
              <w:rPr>
                <w:color w:val="000000"/>
              </w:rPr>
              <w:t>PHA Program Director Interview Guide</w:t>
            </w:r>
            <w:r w:rsidR="0097175C">
              <w:rPr>
                <w:color w:val="000000"/>
              </w:rPr>
              <w:t xml:space="preserve"> (Attachment D)</w:t>
            </w:r>
          </w:p>
        </w:tc>
        <w:tc>
          <w:tcPr>
            <w:tcW w:w="1316" w:type="dxa"/>
            <w:tcMar>
              <w:top w:w="0" w:type="dxa"/>
              <w:left w:w="108" w:type="dxa"/>
              <w:bottom w:w="0" w:type="dxa"/>
              <w:right w:w="108" w:type="dxa"/>
            </w:tcMar>
          </w:tcPr>
          <w:p w:rsidRPr="007A4CEB" w:rsidR="00F11975" w:rsidP="00F11975" w:rsidRDefault="00F11975" w14:paraId="3CF9FEE2" w14:textId="56C6E174">
            <w:pPr>
              <w:jc w:val="center"/>
              <w:rPr>
                <w:color w:val="000000"/>
              </w:rPr>
            </w:pPr>
            <w:r>
              <w:rPr>
                <w:color w:val="000000"/>
              </w:rPr>
              <w:t>20</w:t>
            </w:r>
          </w:p>
        </w:tc>
        <w:tc>
          <w:tcPr>
            <w:tcW w:w="1170" w:type="dxa"/>
            <w:tcMar>
              <w:top w:w="0" w:type="dxa"/>
              <w:left w:w="108" w:type="dxa"/>
              <w:bottom w:w="0" w:type="dxa"/>
              <w:right w:w="108" w:type="dxa"/>
            </w:tcMar>
          </w:tcPr>
          <w:p w:rsidRPr="007A4CEB" w:rsidR="00F11975" w:rsidP="00F11975" w:rsidRDefault="00F11975" w14:paraId="5DB3E6C9" w14:textId="2A91FA82">
            <w:pPr>
              <w:jc w:val="center"/>
              <w:rPr>
                <w:rFonts w:eastAsia="Calibri"/>
                <w:color w:val="000000"/>
              </w:rPr>
            </w:pPr>
            <w:r>
              <w:rPr>
                <w:rFonts w:eastAsia="Calibri"/>
                <w:color w:val="000000"/>
              </w:rPr>
              <w:t>1</w:t>
            </w:r>
          </w:p>
        </w:tc>
        <w:tc>
          <w:tcPr>
            <w:tcW w:w="1170" w:type="dxa"/>
            <w:tcMar>
              <w:top w:w="0" w:type="dxa"/>
              <w:left w:w="108" w:type="dxa"/>
              <w:bottom w:w="0" w:type="dxa"/>
              <w:right w:w="108" w:type="dxa"/>
            </w:tcMar>
          </w:tcPr>
          <w:p w:rsidRPr="007A4CEB" w:rsidR="00F11975" w:rsidP="00F11975" w:rsidRDefault="00F11975" w14:paraId="59A9A02F" w14:textId="49B71242">
            <w:pPr>
              <w:jc w:val="center"/>
              <w:rPr>
                <w:rFonts w:eastAsia="Calibri"/>
                <w:color w:val="000000"/>
              </w:rPr>
            </w:pPr>
            <w:r>
              <w:rPr>
                <w:rFonts w:eastAsia="Calibri"/>
                <w:color w:val="000000"/>
              </w:rPr>
              <w:t>20</w:t>
            </w:r>
          </w:p>
        </w:tc>
        <w:tc>
          <w:tcPr>
            <w:tcW w:w="1141" w:type="dxa"/>
            <w:tcMar>
              <w:top w:w="0" w:type="dxa"/>
              <w:left w:w="108" w:type="dxa"/>
              <w:bottom w:w="0" w:type="dxa"/>
              <w:right w:w="108" w:type="dxa"/>
            </w:tcMar>
          </w:tcPr>
          <w:p w:rsidRPr="007A4CEB" w:rsidR="00F11975" w:rsidP="00F11975" w:rsidRDefault="00F11975" w14:paraId="5B730BE1" w14:textId="2B5D7252">
            <w:pPr>
              <w:jc w:val="center"/>
              <w:rPr>
                <w:rFonts w:eastAsia="Calibri"/>
                <w:color w:val="000000"/>
              </w:rPr>
            </w:pPr>
            <w:r>
              <w:rPr>
                <w:rFonts w:eastAsia="Calibri"/>
                <w:color w:val="000000"/>
              </w:rPr>
              <w:t>1</w:t>
            </w:r>
            <w:r w:rsidR="00812E56">
              <w:rPr>
                <w:rFonts w:eastAsia="Calibri"/>
                <w:color w:val="000000"/>
              </w:rPr>
              <w:t>.5</w:t>
            </w:r>
          </w:p>
        </w:tc>
        <w:tc>
          <w:tcPr>
            <w:tcW w:w="929" w:type="dxa"/>
            <w:tcMar>
              <w:top w:w="0" w:type="dxa"/>
              <w:left w:w="108" w:type="dxa"/>
              <w:bottom w:w="0" w:type="dxa"/>
              <w:right w:w="108" w:type="dxa"/>
            </w:tcMar>
          </w:tcPr>
          <w:p w:rsidRPr="007A4CEB" w:rsidR="00F11975" w:rsidP="00F11975" w:rsidRDefault="00A52568" w14:paraId="679BAAA6" w14:textId="5826F39C">
            <w:pPr>
              <w:jc w:val="center"/>
              <w:rPr>
                <w:rFonts w:eastAsia="Calibri"/>
                <w:color w:val="000000"/>
              </w:rPr>
            </w:pPr>
            <w:r>
              <w:rPr>
                <w:rFonts w:eastAsia="Calibri"/>
                <w:color w:val="000000"/>
              </w:rPr>
              <w:t>3</w:t>
            </w:r>
            <w:r w:rsidR="00F11975">
              <w:rPr>
                <w:rFonts w:eastAsia="Calibri"/>
                <w:color w:val="000000"/>
              </w:rPr>
              <w:t>0</w:t>
            </w:r>
          </w:p>
        </w:tc>
        <w:tc>
          <w:tcPr>
            <w:tcW w:w="1080" w:type="dxa"/>
            <w:tcMar>
              <w:top w:w="0" w:type="dxa"/>
              <w:left w:w="108" w:type="dxa"/>
              <w:bottom w:w="0" w:type="dxa"/>
              <w:right w:w="108" w:type="dxa"/>
            </w:tcMar>
          </w:tcPr>
          <w:p w:rsidRPr="007A4CEB" w:rsidR="00F11975" w:rsidP="00BF4AAA" w:rsidRDefault="00F11975" w14:paraId="59EEA26E" w14:textId="0746E37A">
            <w:pPr>
              <w:jc w:val="center"/>
              <w:rPr>
                <w:rFonts w:eastAsia="Calibri"/>
                <w:color w:val="000000"/>
              </w:rPr>
            </w:pPr>
            <w:r>
              <w:rPr>
                <w:rFonts w:eastAsia="Calibri"/>
                <w:color w:val="000000"/>
              </w:rPr>
              <w:t>$</w:t>
            </w:r>
            <w:bookmarkStart w:name="_Ref90903066" w:id="1"/>
            <w:r>
              <w:rPr>
                <w:rFonts w:eastAsia="Calibri"/>
                <w:color w:val="000000"/>
              </w:rPr>
              <w:t>44.24</w:t>
            </w:r>
            <w:r>
              <w:rPr>
                <w:rStyle w:val="FootnoteReference"/>
                <w:rFonts w:eastAsia="Calibri"/>
                <w:color w:val="000000"/>
              </w:rPr>
              <w:footnoteReference w:id="3"/>
            </w:r>
            <w:bookmarkEnd w:id="1"/>
          </w:p>
        </w:tc>
        <w:tc>
          <w:tcPr>
            <w:tcW w:w="1790" w:type="dxa"/>
            <w:tcMar>
              <w:top w:w="0" w:type="dxa"/>
              <w:left w:w="108" w:type="dxa"/>
              <w:bottom w:w="0" w:type="dxa"/>
              <w:right w:w="108" w:type="dxa"/>
            </w:tcMar>
          </w:tcPr>
          <w:p w:rsidRPr="007A4CEB" w:rsidR="00F11975" w:rsidP="00BF4AAA" w:rsidRDefault="00F11975" w14:paraId="32DA4707" w14:textId="734A9627">
            <w:pPr>
              <w:jc w:val="center"/>
              <w:rPr>
                <w:rFonts w:eastAsia="Calibri"/>
                <w:color w:val="000000"/>
              </w:rPr>
            </w:pPr>
            <w:r>
              <w:rPr>
                <w:rFonts w:eastAsia="Calibri"/>
                <w:color w:val="000000"/>
              </w:rPr>
              <w:t>$</w:t>
            </w:r>
            <w:r w:rsidRPr="00325944" w:rsidR="00325944">
              <w:rPr>
                <w:rFonts w:eastAsia="Calibri"/>
                <w:color w:val="000000"/>
              </w:rPr>
              <w:t>1,327.2</w:t>
            </w:r>
            <w:r>
              <w:rPr>
                <w:rFonts w:eastAsia="Calibri"/>
                <w:color w:val="000000"/>
              </w:rPr>
              <w:t>0</w:t>
            </w:r>
          </w:p>
        </w:tc>
      </w:tr>
      <w:tr w:rsidRPr="00ED3DD9" w:rsidR="00F11975" w:rsidTr="00985436" w14:paraId="1E2E7D2F" w14:textId="77777777">
        <w:trPr>
          <w:trHeight w:val="665"/>
        </w:trPr>
        <w:tc>
          <w:tcPr>
            <w:tcW w:w="1356" w:type="dxa"/>
            <w:tcMar>
              <w:top w:w="0" w:type="dxa"/>
              <w:left w:w="108" w:type="dxa"/>
              <w:bottom w:w="0" w:type="dxa"/>
              <w:right w:w="108" w:type="dxa"/>
            </w:tcMar>
          </w:tcPr>
          <w:p w:rsidRPr="00FB0F33" w:rsidR="00F11975" w:rsidP="00F11975" w:rsidRDefault="00F11975" w14:paraId="4212569F" w14:textId="0CC77DC6">
            <w:pPr>
              <w:rPr>
                <w:color w:val="000000"/>
              </w:rPr>
            </w:pPr>
            <w:r w:rsidRPr="00FB0F33">
              <w:rPr>
                <w:color w:val="000000"/>
              </w:rPr>
              <w:t>PHA MTW Coordinator Interview Guide</w:t>
            </w:r>
            <w:r w:rsidR="0003352C">
              <w:rPr>
                <w:color w:val="000000"/>
              </w:rPr>
              <w:t xml:space="preserve"> (Attachment E)</w:t>
            </w:r>
          </w:p>
        </w:tc>
        <w:tc>
          <w:tcPr>
            <w:tcW w:w="1316" w:type="dxa"/>
            <w:tcMar>
              <w:top w:w="0" w:type="dxa"/>
              <w:left w:w="108" w:type="dxa"/>
              <w:bottom w:w="0" w:type="dxa"/>
              <w:right w:w="108" w:type="dxa"/>
            </w:tcMar>
          </w:tcPr>
          <w:p w:rsidRPr="007A4CEB" w:rsidR="00F11975" w:rsidP="00F11975" w:rsidRDefault="00F11975" w14:paraId="5491F68A" w14:textId="012DD762">
            <w:pPr>
              <w:jc w:val="center"/>
              <w:rPr>
                <w:color w:val="000000"/>
              </w:rPr>
            </w:pPr>
            <w:r>
              <w:rPr>
                <w:color w:val="000000"/>
              </w:rPr>
              <w:t>10</w:t>
            </w:r>
          </w:p>
        </w:tc>
        <w:tc>
          <w:tcPr>
            <w:tcW w:w="1170" w:type="dxa"/>
            <w:tcMar>
              <w:top w:w="0" w:type="dxa"/>
              <w:left w:w="108" w:type="dxa"/>
              <w:bottom w:w="0" w:type="dxa"/>
              <w:right w:w="108" w:type="dxa"/>
            </w:tcMar>
          </w:tcPr>
          <w:p w:rsidRPr="007A4CEB" w:rsidR="00F11975" w:rsidP="00F11975" w:rsidRDefault="00F11975" w14:paraId="7EABF1BB" w14:textId="637C11E3">
            <w:pPr>
              <w:jc w:val="center"/>
              <w:rPr>
                <w:rFonts w:eastAsia="Calibri"/>
                <w:color w:val="000000"/>
              </w:rPr>
            </w:pPr>
            <w:r>
              <w:rPr>
                <w:rFonts w:eastAsia="Calibri"/>
                <w:color w:val="000000"/>
              </w:rPr>
              <w:t>1</w:t>
            </w:r>
          </w:p>
        </w:tc>
        <w:tc>
          <w:tcPr>
            <w:tcW w:w="1170" w:type="dxa"/>
            <w:tcMar>
              <w:top w:w="0" w:type="dxa"/>
              <w:left w:w="108" w:type="dxa"/>
              <w:bottom w:w="0" w:type="dxa"/>
              <w:right w:w="108" w:type="dxa"/>
            </w:tcMar>
          </w:tcPr>
          <w:p w:rsidRPr="007A4CEB" w:rsidR="00F11975" w:rsidP="00F11975" w:rsidRDefault="00F11975" w14:paraId="25659ED4" w14:textId="35D79980">
            <w:pPr>
              <w:jc w:val="center"/>
              <w:rPr>
                <w:rFonts w:eastAsia="Calibri"/>
                <w:color w:val="000000"/>
              </w:rPr>
            </w:pPr>
            <w:r>
              <w:rPr>
                <w:rFonts w:eastAsia="Calibri"/>
                <w:color w:val="000000"/>
              </w:rPr>
              <w:t>10</w:t>
            </w:r>
          </w:p>
        </w:tc>
        <w:tc>
          <w:tcPr>
            <w:tcW w:w="1141" w:type="dxa"/>
            <w:tcMar>
              <w:top w:w="0" w:type="dxa"/>
              <w:left w:w="108" w:type="dxa"/>
              <w:bottom w:w="0" w:type="dxa"/>
              <w:right w:w="108" w:type="dxa"/>
            </w:tcMar>
          </w:tcPr>
          <w:p w:rsidRPr="007A4CEB" w:rsidR="00F11975" w:rsidP="00F11975" w:rsidRDefault="00F11975" w14:paraId="468AE349" w14:textId="2A8549FF">
            <w:pPr>
              <w:jc w:val="center"/>
              <w:rPr>
                <w:rFonts w:eastAsia="Calibri"/>
                <w:color w:val="000000"/>
              </w:rPr>
            </w:pPr>
            <w:r>
              <w:rPr>
                <w:rFonts w:eastAsia="Calibri"/>
                <w:color w:val="000000"/>
              </w:rPr>
              <w:t>.75</w:t>
            </w:r>
          </w:p>
        </w:tc>
        <w:tc>
          <w:tcPr>
            <w:tcW w:w="929" w:type="dxa"/>
            <w:tcMar>
              <w:top w:w="0" w:type="dxa"/>
              <w:left w:w="108" w:type="dxa"/>
              <w:bottom w:w="0" w:type="dxa"/>
              <w:right w:w="108" w:type="dxa"/>
            </w:tcMar>
          </w:tcPr>
          <w:p w:rsidRPr="007A4CEB" w:rsidR="00F11975" w:rsidP="00F11975" w:rsidRDefault="00F11975" w14:paraId="593E512B" w14:textId="4715154D">
            <w:pPr>
              <w:jc w:val="center"/>
              <w:rPr>
                <w:rFonts w:eastAsia="Calibri"/>
                <w:color w:val="000000"/>
              </w:rPr>
            </w:pPr>
            <w:r>
              <w:rPr>
                <w:rFonts w:eastAsia="Calibri"/>
                <w:color w:val="000000"/>
              </w:rPr>
              <w:t>7.5</w:t>
            </w:r>
          </w:p>
        </w:tc>
        <w:tc>
          <w:tcPr>
            <w:tcW w:w="1080" w:type="dxa"/>
            <w:tcMar>
              <w:top w:w="0" w:type="dxa"/>
              <w:left w:w="108" w:type="dxa"/>
              <w:bottom w:w="0" w:type="dxa"/>
              <w:right w:w="108" w:type="dxa"/>
            </w:tcMar>
          </w:tcPr>
          <w:p w:rsidRPr="007A4CEB" w:rsidR="00F11975" w:rsidP="00BF4AAA" w:rsidRDefault="00F11975" w14:paraId="46BCBCCE" w14:textId="5337A787">
            <w:pPr>
              <w:jc w:val="center"/>
              <w:rPr>
                <w:rFonts w:eastAsia="Calibri"/>
                <w:color w:val="000000"/>
              </w:rPr>
            </w:pPr>
            <w:r>
              <w:rPr>
                <w:rFonts w:eastAsia="Calibri"/>
                <w:color w:val="000000"/>
              </w:rPr>
              <w:t>$44.24</w:t>
            </w:r>
            <w:r w:rsidRPr="00EB33D9">
              <w:rPr>
                <w:rFonts w:eastAsia="Calibri"/>
                <w:color w:val="000000"/>
                <w:vertAlign w:val="superscript"/>
              </w:rPr>
              <w:fldChar w:fldCharType="begin"/>
            </w:r>
            <w:r w:rsidRPr="00EB33D9">
              <w:rPr>
                <w:rFonts w:eastAsia="Calibri"/>
                <w:color w:val="000000"/>
                <w:vertAlign w:val="superscript"/>
              </w:rPr>
              <w:instrText xml:space="preserve"> NOTEREF _Ref90903066 \h </w:instrText>
            </w:r>
            <w:r>
              <w:rPr>
                <w:rFonts w:eastAsia="Calibri"/>
                <w:color w:val="000000"/>
                <w:vertAlign w:val="superscript"/>
              </w:rPr>
              <w:instrText xml:space="preserve"> \* MERGEFORMAT </w:instrText>
            </w:r>
            <w:r w:rsidRPr="00EB33D9">
              <w:rPr>
                <w:rFonts w:eastAsia="Calibri"/>
                <w:color w:val="000000"/>
                <w:vertAlign w:val="superscript"/>
              </w:rPr>
            </w:r>
            <w:r w:rsidRPr="00EB33D9">
              <w:rPr>
                <w:rFonts w:eastAsia="Calibri"/>
                <w:color w:val="000000"/>
                <w:vertAlign w:val="superscript"/>
              </w:rPr>
              <w:fldChar w:fldCharType="separate"/>
            </w:r>
            <w:r>
              <w:rPr>
                <w:rFonts w:eastAsia="Calibri"/>
                <w:color w:val="000000"/>
                <w:vertAlign w:val="superscript"/>
              </w:rPr>
              <w:t>2</w:t>
            </w:r>
            <w:r w:rsidRPr="00EB33D9">
              <w:rPr>
                <w:rFonts w:eastAsia="Calibri"/>
                <w:color w:val="000000"/>
                <w:vertAlign w:val="superscript"/>
              </w:rPr>
              <w:fldChar w:fldCharType="end"/>
            </w:r>
          </w:p>
        </w:tc>
        <w:tc>
          <w:tcPr>
            <w:tcW w:w="1790" w:type="dxa"/>
            <w:tcMar>
              <w:top w:w="0" w:type="dxa"/>
              <w:left w:w="108" w:type="dxa"/>
              <w:bottom w:w="0" w:type="dxa"/>
              <w:right w:w="108" w:type="dxa"/>
            </w:tcMar>
          </w:tcPr>
          <w:p w:rsidRPr="007A4CEB" w:rsidR="00F11975" w:rsidP="00BF4AAA" w:rsidRDefault="00F11975" w14:paraId="51A4110A" w14:textId="01362D1F">
            <w:pPr>
              <w:jc w:val="center"/>
              <w:rPr>
                <w:rFonts w:eastAsia="Calibri"/>
                <w:color w:val="000000"/>
              </w:rPr>
            </w:pPr>
            <w:r>
              <w:rPr>
                <w:rFonts w:eastAsia="Calibri"/>
                <w:color w:val="000000"/>
              </w:rPr>
              <w:t>$331.80</w:t>
            </w:r>
          </w:p>
        </w:tc>
      </w:tr>
      <w:tr w:rsidRPr="00ED3DD9" w:rsidR="00066694" w:rsidTr="00985436" w14:paraId="255960BE" w14:textId="77777777">
        <w:trPr>
          <w:trHeight w:val="665"/>
        </w:trPr>
        <w:tc>
          <w:tcPr>
            <w:tcW w:w="1356" w:type="dxa"/>
            <w:tcMar>
              <w:top w:w="0" w:type="dxa"/>
              <w:left w:w="108" w:type="dxa"/>
              <w:bottom w:w="0" w:type="dxa"/>
              <w:right w:w="108" w:type="dxa"/>
            </w:tcMar>
          </w:tcPr>
          <w:p w:rsidR="00066694" w:rsidP="00212133" w:rsidRDefault="00066694" w14:paraId="2B5CF8AD" w14:textId="0B603355">
            <w:pPr>
              <w:rPr>
                <w:color w:val="000000"/>
              </w:rPr>
            </w:pPr>
            <w:r w:rsidRPr="00FB0F33">
              <w:rPr>
                <w:color w:val="000000"/>
              </w:rPr>
              <w:t>PHA Housing Specialist Interview Guide</w:t>
            </w:r>
            <w:r w:rsidR="0003352C">
              <w:rPr>
                <w:color w:val="000000"/>
              </w:rPr>
              <w:t xml:space="preserve"> (Attachment F)</w:t>
            </w:r>
          </w:p>
        </w:tc>
        <w:tc>
          <w:tcPr>
            <w:tcW w:w="1316" w:type="dxa"/>
            <w:tcMar>
              <w:top w:w="0" w:type="dxa"/>
              <w:left w:w="108" w:type="dxa"/>
              <w:bottom w:w="0" w:type="dxa"/>
              <w:right w:w="108" w:type="dxa"/>
            </w:tcMar>
          </w:tcPr>
          <w:p w:rsidR="00066694" w:rsidP="00212133" w:rsidRDefault="00066694" w14:paraId="28BCCBCE" w14:textId="0B345303">
            <w:pPr>
              <w:jc w:val="center"/>
              <w:rPr>
                <w:color w:val="000000"/>
              </w:rPr>
            </w:pPr>
            <w:r>
              <w:rPr>
                <w:color w:val="000000"/>
              </w:rPr>
              <w:t>60</w:t>
            </w:r>
          </w:p>
        </w:tc>
        <w:tc>
          <w:tcPr>
            <w:tcW w:w="1170" w:type="dxa"/>
            <w:tcMar>
              <w:top w:w="0" w:type="dxa"/>
              <w:left w:w="108" w:type="dxa"/>
              <w:bottom w:w="0" w:type="dxa"/>
              <w:right w:w="108" w:type="dxa"/>
            </w:tcMar>
          </w:tcPr>
          <w:p w:rsidR="00066694" w:rsidP="00212133" w:rsidRDefault="0003352C" w14:paraId="6DE37832" w14:textId="030925F4">
            <w:pPr>
              <w:jc w:val="center"/>
              <w:rPr>
                <w:rFonts w:eastAsia="Calibri"/>
                <w:color w:val="000000"/>
              </w:rPr>
            </w:pPr>
            <w:r>
              <w:rPr>
                <w:rFonts w:eastAsia="Calibri"/>
                <w:color w:val="000000"/>
              </w:rPr>
              <w:t>1</w:t>
            </w:r>
          </w:p>
        </w:tc>
        <w:tc>
          <w:tcPr>
            <w:tcW w:w="1170" w:type="dxa"/>
            <w:tcMar>
              <w:top w:w="0" w:type="dxa"/>
              <w:left w:w="108" w:type="dxa"/>
              <w:bottom w:w="0" w:type="dxa"/>
              <w:right w:w="108" w:type="dxa"/>
            </w:tcMar>
          </w:tcPr>
          <w:p w:rsidR="00066694" w:rsidP="00212133" w:rsidRDefault="0003352C" w14:paraId="4A87189D" w14:textId="3DB7D5E4">
            <w:pPr>
              <w:jc w:val="center"/>
              <w:rPr>
                <w:rFonts w:eastAsia="Calibri"/>
                <w:color w:val="000000"/>
              </w:rPr>
            </w:pPr>
            <w:r>
              <w:rPr>
                <w:rFonts w:eastAsia="Calibri"/>
                <w:color w:val="000000"/>
              </w:rPr>
              <w:t>60</w:t>
            </w:r>
          </w:p>
        </w:tc>
        <w:tc>
          <w:tcPr>
            <w:tcW w:w="1141" w:type="dxa"/>
            <w:tcMar>
              <w:top w:w="0" w:type="dxa"/>
              <w:left w:w="108" w:type="dxa"/>
              <w:bottom w:w="0" w:type="dxa"/>
              <w:right w:w="108" w:type="dxa"/>
            </w:tcMar>
          </w:tcPr>
          <w:p w:rsidR="00066694" w:rsidP="00212133" w:rsidRDefault="0003352C" w14:paraId="3BC82204" w14:textId="5939A2BC">
            <w:pPr>
              <w:jc w:val="center"/>
              <w:rPr>
                <w:rFonts w:eastAsia="Calibri"/>
                <w:color w:val="000000"/>
              </w:rPr>
            </w:pPr>
            <w:r>
              <w:rPr>
                <w:rFonts w:eastAsia="Calibri"/>
                <w:color w:val="000000"/>
              </w:rPr>
              <w:t>1.5</w:t>
            </w:r>
          </w:p>
        </w:tc>
        <w:tc>
          <w:tcPr>
            <w:tcW w:w="929" w:type="dxa"/>
            <w:tcMar>
              <w:top w:w="0" w:type="dxa"/>
              <w:left w:w="108" w:type="dxa"/>
              <w:bottom w:w="0" w:type="dxa"/>
              <w:right w:w="108" w:type="dxa"/>
            </w:tcMar>
          </w:tcPr>
          <w:p w:rsidR="00066694" w:rsidP="00212133" w:rsidRDefault="0003352C" w14:paraId="07CDCB46" w14:textId="678C3005">
            <w:pPr>
              <w:jc w:val="center"/>
              <w:rPr>
                <w:rStyle w:val="CommentReference"/>
              </w:rPr>
            </w:pPr>
            <w:r>
              <w:rPr>
                <w:rFonts w:eastAsia="Calibri"/>
                <w:color w:val="000000"/>
              </w:rPr>
              <w:t>90</w:t>
            </w:r>
          </w:p>
        </w:tc>
        <w:tc>
          <w:tcPr>
            <w:tcW w:w="1080" w:type="dxa"/>
            <w:tcMar>
              <w:top w:w="0" w:type="dxa"/>
              <w:left w:w="108" w:type="dxa"/>
              <w:bottom w:w="0" w:type="dxa"/>
              <w:right w:w="108" w:type="dxa"/>
            </w:tcMar>
          </w:tcPr>
          <w:p w:rsidR="00066694" w:rsidP="00BF4AAA" w:rsidRDefault="0003352C" w14:paraId="7CFBEB68" w14:textId="0EB2498C">
            <w:pPr>
              <w:jc w:val="center"/>
              <w:rPr>
                <w:rFonts w:eastAsia="Calibri"/>
                <w:color w:val="000000"/>
              </w:rPr>
            </w:pPr>
            <w:r>
              <w:rPr>
                <w:rFonts w:eastAsia="Calibri"/>
                <w:color w:val="000000"/>
              </w:rPr>
              <w:t>$25.64</w:t>
            </w:r>
            <w:r w:rsidRPr="00EB33D9">
              <w:rPr>
                <w:rFonts w:eastAsia="Calibri"/>
                <w:color w:val="000000"/>
                <w:vertAlign w:val="superscript"/>
              </w:rPr>
              <w:fldChar w:fldCharType="begin"/>
            </w:r>
            <w:r w:rsidRPr="00EB33D9">
              <w:rPr>
                <w:rFonts w:eastAsia="Calibri"/>
                <w:color w:val="000000"/>
                <w:vertAlign w:val="superscript"/>
              </w:rPr>
              <w:instrText xml:space="preserve"> NOTEREF _Ref90903066 \h </w:instrText>
            </w:r>
            <w:r>
              <w:rPr>
                <w:rFonts w:eastAsia="Calibri"/>
                <w:color w:val="000000"/>
                <w:vertAlign w:val="superscript"/>
              </w:rPr>
              <w:instrText xml:space="preserve"> \* MERGEFORMAT </w:instrText>
            </w:r>
            <w:r w:rsidRPr="00EB33D9">
              <w:rPr>
                <w:rFonts w:eastAsia="Calibri"/>
                <w:color w:val="000000"/>
                <w:vertAlign w:val="superscript"/>
              </w:rPr>
            </w:r>
            <w:r w:rsidRPr="00EB33D9">
              <w:rPr>
                <w:rFonts w:eastAsia="Calibri"/>
                <w:color w:val="000000"/>
                <w:vertAlign w:val="superscript"/>
              </w:rPr>
              <w:fldChar w:fldCharType="separate"/>
            </w:r>
            <w:r>
              <w:rPr>
                <w:rFonts w:eastAsia="Calibri"/>
                <w:color w:val="000000"/>
                <w:vertAlign w:val="superscript"/>
              </w:rPr>
              <w:t>2</w:t>
            </w:r>
            <w:r w:rsidRPr="00EB33D9">
              <w:rPr>
                <w:rFonts w:eastAsia="Calibri"/>
                <w:color w:val="000000"/>
                <w:vertAlign w:val="superscript"/>
              </w:rPr>
              <w:fldChar w:fldCharType="end"/>
            </w:r>
          </w:p>
        </w:tc>
        <w:tc>
          <w:tcPr>
            <w:tcW w:w="1790" w:type="dxa"/>
            <w:tcMar>
              <w:top w:w="0" w:type="dxa"/>
              <w:left w:w="108" w:type="dxa"/>
              <w:bottom w:w="0" w:type="dxa"/>
              <w:right w:w="108" w:type="dxa"/>
            </w:tcMar>
          </w:tcPr>
          <w:p w:rsidRPr="2B8FD334" w:rsidR="00066694" w:rsidP="00BF4AAA" w:rsidRDefault="0003352C" w14:paraId="6782F0B6" w14:textId="6EDD5AB7">
            <w:pPr>
              <w:jc w:val="center"/>
              <w:rPr>
                <w:rFonts w:eastAsia="Calibri"/>
                <w:color w:val="000000" w:themeColor="text1"/>
              </w:rPr>
            </w:pPr>
            <w:r>
              <w:rPr>
                <w:rFonts w:eastAsia="Calibri"/>
                <w:color w:val="000000"/>
              </w:rPr>
              <w:t>$2,307.</w:t>
            </w:r>
            <w:r w:rsidR="00BF4AAA">
              <w:rPr>
                <w:rFonts w:eastAsia="Calibri"/>
                <w:color w:val="000000"/>
              </w:rPr>
              <w:t>60</w:t>
            </w:r>
          </w:p>
        </w:tc>
      </w:tr>
      <w:tr w:rsidRPr="00ED3DD9" w:rsidR="00634426" w:rsidTr="00985436" w14:paraId="0033708D" w14:textId="77777777">
        <w:trPr>
          <w:trHeight w:val="665"/>
        </w:trPr>
        <w:tc>
          <w:tcPr>
            <w:tcW w:w="1356" w:type="dxa"/>
            <w:tcMar>
              <w:top w:w="0" w:type="dxa"/>
              <w:left w:w="108" w:type="dxa"/>
              <w:bottom w:w="0" w:type="dxa"/>
              <w:right w:w="108" w:type="dxa"/>
            </w:tcMar>
          </w:tcPr>
          <w:p w:rsidRPr="005B1E78" w:rsidR="00634426" w:rsidP="00634426" w:rsidRDefault="00634426" w14:paraId="6B5378E7" w14:textId="2B27DA28">
            <w:pPr>
              <w:rPr>
                <w:color w:val="000000"/>
              </w:rPr>
            </w:pPr>
            <w:r w:rsidRPr="005B1E78">
              <w:rPr>
                <w:color w:val="000000"/>
              </w:rPr>
              <w:t>Rent Policy Implementation Data Tracking Tool</w:t>
            </w:r>
            <w:r w:rsidRPr="005B1E78" w:rsidR="0003352C">
              <w:rPr>
                <w:color w:val="000000"/>
              </w:rPr>
              <w:t xml:space="preserve"> (Attachment G)</w:t>
            </w:r>
          </w:p>
        </w:tc>
        <w:tc>
          <w:tcPr>
            <w:tcW w:w="1316" w:type="dxa"/>
            <w:tcMar>
              <w:top w:w="0" w:type="dxa"/>
              <w:left w:w="108" w:type="dxa"/>
              <w:bottom w:w="0" w:type="dxa"/>
              <w:right w:w="108" w:type="dxa"/>
            </w:tcMar>
          </w:tcPr>
          <w:p w:rsidRPr="005B1E78" w:rsidR="00634426" w:rsidP="00634426" w:rsidRDefault="00212133" w14:paraId="7C521F57" w14:textId="4DEF23EB">
            <w:pPr>
              <w:jc w:val="center"/>
              <w:rPr>
                <w:color w:val="000000"/>
              </w:rPr>
            </w:pPr>
            <w:r w:rsidRPr="005B1E78">
              <w:rPr>
                <w:color w:val="000000"/>
              </w:rPr>
              <w:t>10</w:t>
            </w:r>
          </w:p>
        </w:tc>
        <w:tc>
          <w:tcPr>
            <w:tcW w:w="1170" w:type="dxa"/>
            <w:tcMar>
              <w:top w:w="0" w:type="dxa"/>
              <w:left w:w="108" w:type="dxa"/>
              <w:bottom w:w="0" w:type="dxa"/>
              <w:right w:w="108" w:type="dxa"/>
            </w:tcMar>
          </w:tcPr>
          <w:p w:rsidRPr="005B1E78" w:rsidR="00634426" w:rsidP="00634426" w:rsidRDefault="00634426" w14:paraId="75893C52" w14:textId="716722F0">
            <w:pPr>
              <w:jc w:val="center"/>
              <w:rPr>
                <w:rFonts w:eastAsia="Calibri"/>
                <w:color w:val="000000"/>
              </w:rPr>
            </w:pPr>
            <w:r w:rsidRPr="005B1E78">
              <w:rPr>
                <w:rFonts w:eastAsia="Calibri"/>
                <w:color w:val="000000"/>
              </w:rPr>
              <w:t>1</w:t>
            </w:r>
          </w:p>
        </w:tc>
        <w:tc>
          <w:tcPr>
            <w:tcW w:w="1170" w:type="dxa"/>
            <w:tcMar>
              <w:top w:w="0" w:type="dxa"/>
              <w:left w:w="108" w:type="dxa"/>
              <w:bottom w:w="0" w:type="dxa"/>
              <w:right w:w="108" w:type="dxa"/>
            </w:tcMar>
          </w:tcPr>
          <w:p w:rsidRPr="005B1E78" w:rsidR="00634426" w:rsidP="00634426" w:rsidRDefault="00212133" w14:paraId="2CDC0F66" w14:textId="649CA42D">
            <w:pPr>
              <w:jc w:val="center"/>
              <w:rPr>
                <w:rFonts w:eastAsia="Calibri"/>
                <w:color w:val="000000"/>
              </w:rPr>
            </w:pPr>
            <w:r w:rsidRPr="005B1E78">
              <w:rPr>
                <w:rFonts w:eastAsia="Calibri"/>
                <w:color w:val="000000"/>
              </w:rPr>
              <w:t>10</w:t>
            </w:r>
          </w:p>
        </w:tc>
        <w:tc>
          <w:tcPr>
            <w:tcW w:w="1141" w:type="dxa"/>
            <w:tcMar>
              <w:top w:w="0" w:type="dxa"/>
              <w:left w:w="108" w:type="dxa"/>
              <w:bottom w:w="0" w:type="dxa"/>
              <w:right w:w="108" w:type="dxa"/>
            </w:tcMar>
          </w:tcPr>
          <w:p w:rsidRPr="005B1E78" w:rsidR="00634426" w:rsidP="00634426" w:rsidRDefault="00212133" w14:paraId="11478E67" w14:textId="1C021910">
            <w:pPr>
              <w:jc w:val="center"/>
              <w:rPr>
                <w:rFonts w:eastAsia="Calibri"/>
                <w:color w:val="000000"/>
              </w:rPr>
            </w:pPr>
            <w:r w:rsidRPr="005B1E78">
              <w:rPr>
                <w:rFonts w:eastAsia="Calibri"/>
                <w:color w:val="000000"/>
              </w:rPr>
              <w:t>9</w:t>
            </w:r>
          </w:p>
        </w:tc>
        <w:tc>
          <w:tcPr>
            <w:tcW w:w="929" w:type="dxa"/>
            <w:tcMar>
              <w:top w:w="0" w:type="dxa"/>
              <w:left w:w="108" w:type="dxa"/>
              <w:bottom w:w="0" w:type="dxa"/>
              <w:right w:w="108" w:type="dxa"/>
            </w:tcMar>
          </w:tcPr>
          <w:p w:rsidRPr="005B1E78" w:rsidR="00634426" w:rsidP="00634426" w:rsidRDefault="00DE0D0E" w14:paraId="012ED0CD" w14:textId="6366B2F1">
            <w:pPr>
              <w:jc w:val="center"/>
              <w:rPr>
                <w:rFonts w:eastAsia="Calibri"/>
                <w:color w:val="000000"/>
              </w:rPr>
            </w:pPr>
            <w:r w:rsidRPr="005B1E78">
              <w:rPr>
                <w:rFonts w:eastAsia="Calibri"/>
                <w:color w:val="000000"/>
              </w:rPr>
              <w:t>90</w:t>
            </w:r>
          </w:p>
        </w:tc>
        <w:tc>
          <w:tcPr>
            <w:tcW w:w="1080" w:type="dxa"/>
            <w:tcMar>
              <w:top w:w="0" w:type="dxa"/>
              <w:left w:w="108" w:type="dxa"/>
              <w:bottom w:w="0" w:type="dxa"/>
              <w:right w:w="108" w:type="dxa"/>
            </w:tcMar>
          </w:tcPr>
          <w:p w:rsidRPr="005B1E78" w:rsidR="00634426" w:rsidP="00BF4AAA" w:rsidRDefault="00634426" w14:paraId="7C0CF19B" w14:textId="3B92FC6F">
            <w:pPr>
              <w:jc w:val="center"/>
              <w:rPr>
                <w:rFonts w:eastAsia="Calibri"/>
                <w:color w:val="000000"/>
              </w:rPr>
            </w:pPr>
            <w:r w:rsidRPr="005B1E78">
              <w:rPr>
                <w:rFonts w:eastAsia="Calibri"/>
                <w:color w:val="000000"/>
              </w:rPr>
              <w:t>$25.64</w:t>
            </w:r>
            <w:r w:rsidRPr="00EB33D9" w:rsidR="00BF4AAA">
              <w:rPr>
                <w:rFonts w:eastAsia="Calibri"/>
                <w:color w:val="000000"/>
                <w:vertAlign w:val="superscript"/>
              </w:rPr>
              <w:fldChar w:fldCharType="begin"/>
            </w:r>
            <w:r w:rsidRPr="00EB33D9" w:rsidR="00BF4AAA">
              <w:rPr>
                <w:rFonts w:eastAsia="Calibri"/>
                <w:color w:val="000000"/>
                <w:vertAlign w:val="superscript"/>
              </w:rPr>
              <w:instrText xml:space="preserve"> NOTEREF _Ref90903066 \h </w:instrText>
            </w:r>
            <w:r w:rsidR="00BF4AAA">
              <w:rPr>
                <w:rFonts w:eastAsia="Calibri"/>
                <w:color w:val="000000"/>
                <w:vertAlign w:val="superscript"/>
              </w:rPr>
              <w:instrText xml:space="preserve"> \* MERGEFORMAT </w:instrText>
            </w:r>
            <w:r w:rsidRPr="00EB33D9" w:rsidR="00BF4AAA">
              <w:rPr>
                <w:rFonts w:eastAsia="Calibri"/>
                <w:color w:val="000000"/>
                <w:vertAlign w:val="superscript"/>
              </w:rPr>
            </w:r>
            <w:r w:rsidRPr="00EB33D9" w:rsidR="00BF4AAA">
              <w:rPr>
                <w:rFonts w:eastAsia="Calibri"/>
                <w:color w:val="000000"/>
                <w:vertAlign w:val="superscript"/>
              </w:rPr>
              <w:fldChar w:fldCharType="separate"/>
            </w:r>
            <w:r w:rsidR="00BF4AAA">
              <w:rPr>
                <w:rFonts w:eastAsia="Calibri"/>
                <w:color w:val="000000"/>
                <w:vertAlign w:val="superscript"/>
              </w:rPr>
              <w:t>2</w:t>
            </w:r>
            <w:r w:rsidRPr="00EB33D9" w:rsidR="00BF4AAA">
              <w:rPr>
                <w:rFonts w:eastAsia="Calibri"/>
                <w:color w:val="000000"/>
                <w:vertAlign w:val="superscript"/>
              </w:rPr>
              <w:fldChar w:fldCharType="end"/>
            </w:r>
          </w:p>
        </w:tc>
        <w:tc>
          <w:tcPr>
            <w:tcW w:w="1790" w:type="dxa"/>
            <w:tcMar>
              <w:top w:w="0" w:type="dxa"/>
              <w:left w:w="108" w:type="dxa"/>
              <w:bottom w:w="0" w:type="dxa"/>
              <w:right w:w="108" w:type="dxa"/>
            </w:tcMar>
          </w:tcPr>
          <w:p w:rsidRPr="005B1E78" w:rsidR="00634426" w:rsidP="00BF4AAA" w:rsidRDefault="00634426" w14:paraId="179DBCCD" w14:textId="12B218A4">
            <w:pPr>
              <w:jc w:val="center"/>
              <w:rPr>
                <w:rFonts w:eastAsia="Calibri"/>
                <w:color w:val="000000"/>
              </w:rPr>
            </w:pPr>
            <w:r w:rsidRPr="005B1E78">
              <w:rPr>
                <w:rFonts w:eastAsia="Calibri"/>
                <w:color w:val="000000" w:themeColor="text1"/>
              </w:rPr>
              <w:t>$</w:t>
            </w:r>
            <w:r w:rsidRPr="005B1E78" w:rsidR="00694B18">
              <w:rPr>
                <w:rFonts w:eastAsia="Calibri"/>
                <w:color w:val="000000" w:themeColor="text1"/>
              </w:rPr>
              <w:t>2</w:t>
            </w:r>
            <w:r w:rsidRPr="005B1E78" w:rsidR="00DF11D7">
              <w:rPr>
                <w:rFonts w:eastAsia="Calibri"/>
                <w:color w:val="000000" w:themeColor="text1"/>
              </w:rPr>
              <w:t>,</w:t>
            </w:r>
            <w:r w:rsidRPr="005B1E78" w:rsidR="00694B18">
              <w:rPr>
                <w:rFonts w:eastAsia="Calibri"/>
                <w:color w:val="000000" w:themeColor="text1"/>
              </w:rPr>
              <w:t>307.60</w:t>
            </w:r>
          </w:p>
        </w:tc>
      </w:tr>
      <w:tr w:rsidRPr="00ED3DD9" w:rsidR="00F11975" w:rsidTr="00985436" w14:paraId="14FBB4CB" w14:textId="77777777">
        <w:trPr>
          <w:trHeight w:val="226"/>
        </w:trPr>
        <w:tc>
          <w:tcPr>
            <w:tcW w:w="1356" w:type="dxa"/>
            <w:tcMar>
              <w:top w:w="0" w:type="dxa"/>
              <w:left w:w="108" w:type="dxa"/>
              <w:bottom w:w="0" w:type="dxa"/>
              <w:right w:w="108" w:type="dxa"/>
            </w:tcMar>
          </w:tcPr>
          <w:p w:rsidRPr="005B1E78" w:rsidR="00F11975" w:rsidP="00F11975" w:rsidRDefault="00F11975" w14:paraId="32E220BD" w14:textId="77777777">
            <w:pPr>
              <w:rPr>
                <w:b/>
                <w:color w:val="000000"/>
              </w:rPr>
            </w:pPr>
            <w:r w:rsidRPr="005B1E78">
              <w:rPr>
                <w:b/>
                <w:color w:val="000000"/>
              </w:rPr>
              <w:t>Total</w:t>
            </w:r>
          </w:p>
        </w:tc>
        <w:tc>
          <w:tcPr>
            <w:tcW w:w="1316" w:type="dxa"/>
            <w:tcMar>
              <w:top w:w="0" w:type="dxa"/>
              <w:left w:w="108" w:type="dxa"/>
              <w:bottom w:w="0" w:type="dxa"/>
              <w:right w:w="108" w:type="dxa"/>
            </w:tcMar>
          </w:tcPr>
          <w:p w:rsidRPr="005B1E78" w:rsidR="00F11975" w:rsidP="00F11975" w:rsidRDefault="00BF4AAA" w14:paraId="280EAFA7" w14:textId="560E855A">
            <w:pPr>
              <w:jc w:val="center"/>
              <w:rPr>
                <w:b/>
                <w:color w:val="000000"/>
              </w:rPr>
            </w:pPr>
            <w:r>
              <w:rPr>
                <w:b/>
                <w:color w:val="000000"/>
              </w:rPr>
              <w:t>48</w:t>
            </w:r>
            <w:r w:rsidR="007776FC">
              <w:rPr>
                <w:b/>
                <w:color w:val="000000"/>
              </w:rPr>
              <w:t>,110</w:t>
            </w:r>
          </w:p>
        </w:tc>
        <w:tc>
          <w:tcPr>
            <w:tcW w:w="1170" w:type="dxa"/>
            <w:tcMar>
              <w:top w:w="0" w:type="dxa"/>
              <w:left w:w="108" w:type="dxa"/>
              <w:bottom w:w="0" w:type="dxa"/>
              <w:right w:w="108" w:type="dxa"/>
            </w:tcMar>
          </w:tcPr>
          <w:p w:rsidRPr="005B1E78" w:rsidR="00F11975" w:rsidP="00F11975" w:rsidRDefault="00F11975" w14:paraId="56756DF6" w14:textId="77777777">
            <w:pPr>
              <w:jc w:val="center"/>
              <w:rPr>
                <w:rFonts w:eastAsia="Calibri"/>
                <w:b/>
                <w:color w:val="000000"/>
              </w:rPr>
            </w:pPr>
          </w:p>
        </w:tc>
        <w:tc>
          <w:tcPr>
            <w:tcW w:w="1170" w:type="dxa"/>
            <w:tcMar>
              <w:top w:w="0" w:type="dxa"/>
              <w:left w:w="108" w:type="dxa"/>
              <w:bottom w:w="0" w:type="dxa"/>
              <w:right w:w="108" w:type="dxa"/>
            </w:tcMar>
          </w:tcPr>
          <w:p w:rsidRPr="005B1E78" w:rsidR="00F11975" w:rsidP="00F11975" w:rsidRDefault="00F11975" w14:paraId="72085D77" w14:textId="77777777">
            <w:pPr>
              <w:jc w:val="center"/>
              <w:rPr>
                <w:rFonts w:eastAsia="Calibri"/>
                <w:b/>
                <w:color w:val="000000"/>
              </w:rPr>
            </w:pPr>
          </w:p>
        </w:tc>
        <w:tc>
          <w:tcPr>
            <w:tcW w:w="1141" w:type="dxa"/>
            <w:tcMar>
              <w:top w:w="0" w:type="dxa"/>
              <w:left w:w="108" w:type="dxa"/>
              <w:bottom w:w="0" w:type="dxa"/>
              <w:right w:w="108" w:type="dxa"/>
            </w:tcMar>
          </w:tcPr>
          <w:p w:rsidRPr="005B1E78" w:rsidR="00F11975" w:rsidP="00F11975" w:rsidRDefault="00F11975" w14:paraId="45F69C09" w14:textId="77777777">
            <w:pPr>
              <w:jc w:val="center"/>
              <w:rPr>
                <w:rFonts w:eastAsia="Calibri"/>
                <w:b/>
                <w:color w:val="000000"/>
              </w:rPr>
            </w:pPr>
          </w:p>
        </w:tc>
        <w:tc>
          <w:tcPr>
            <w:tcW w:w="929" w:type="dxa"/>
            <w:tcMar>
              <w:top w:w="0" w:type="dxa"/>
              <w:left w:w="108" w:type="dxa"/>
              <w:bottom w:w="0" w:type="dxa"/>
              <w:right w:w="108" w:type="dxa"/>
            </w:tcMar>
          </w:tcPr>
          <w:p w:rsidRPr="005B1E78" w:rsidR="00F11975" w:rsidP="00F11975" w:rsidRDefault="00212133" w14:paraId="20CCDE36" w14:textId="3E4426CA">
            <w:pPr>
              <w:jc w:val="center"/>
              <w:rPr>
                <w:rFonts w:eastAsia="Calibri"/>
                <w:b/>
                <w:color w:val="000000"/>
              </w:rPr>
            </w:pPr>
            <w:r w:rsidRPr="005B1E78">
              <w:rPr>
                <w:rFonts w:eastAsia="Calibri"/>
                <w:b/>
                <w:color w:val="000000"/>
              </w:rPr>
              <w:t>7</w:t>
            </w:r>
            <w:r w:rsidRPr="005B1E78" w:rsidR="00F11975">
              <w:rPr>
                <w:rFonts w:eastAsia="Calibri"/>
                <w:b/>
                <w:color w:val="000000"/>
              </w:rPr>
              <w:t>,</w:t>
            </w:r>
            <w:r w:rsidRPr="005B1E78" w:rsidR="00B93A4D">
              <w:rPr>
                <w:rFonts w:eastAsia="Calibri"/>
                <w:b/>
                <w:color w:val="000000"/>
              </w:rPr>
              <w:t>4</w:t>
            </w:r>
            <w:r w:rsidRPr="005B1E78" w:rsidR="00415CBE">
              <w:rPr>
                <w:rFonts w:eastAsia="Calibri"/>
                <w:b/>
                <w:color w:val="000000"/>
              </w:rPr>
              <w:t>25</w:t>
            </w:r>
          </w:p>
        </w:tc>
        <w:tc>
          <w:tcPr>
            <w:tcW w:w="1080" w:type="dxa"/>
            <w:tcMar>
              <w:top w:w="0" w:type="dxa"/>
              <w:left w:w="108" w:type="dxa"/>
              <w:bottom w:w="0" w:type="dxa"/>
              <w:right w:w="108" w:type="dxa"/>
            </w:tcMar>
          </w:tcPr>
          <w:p w:rsidRPr="005B1E78" w:rsidR="00F11975" w:rsidP="00F11975" w:rsidRDefault="00F11975" w14:paraId="6E758865" w14:textId="77777777">
            <w:pPr>
              <w:jc w:val="right"/>
              <w:rPr>
                <w:rFonts w:eastAsia="Calibri"/>
                <w:b/>
                <w:color w:val="000000"/>
              </w:rPr>
            </w:pPr>
          </w:p>
        </w:tc>
        <w:tc>
          <w:tcPr>
            <w:tcW w:w="1790" w:type="dxa"/>
            <w:tcMar>
              <w:top w:w="0" w:type="dxa"/>
              <w:left w:w="108" w:type="dxa"/>
              <w:bottom w:w="0" w:type="dxa"/>
              <w:right w:w="108" w:type="dxa"/>
            </w:tcMar>
          </w:tcPr>
          <w:p w:rsidRPr="005B1E78" w:rsidR="00F11975" w:rsidP="00F11975" w:rsidRDefault="00F11975" w14:paraId="2DFE6F2C" w14:textId="704F9C07">
            <w:pPr>
              <w:jc w:val="right"/>
              <w:rPr>
                <w:rFonts w:eastAsia="Calibri"/>
                <w:b/>
                <w:bCs/>
                <w:color w:val="000000"/>
              </w:rPr>
            </w:pPr>
            <w:r w:rsidRPr="005B1E78">
              <w:rPr>
                <w:rFonts w:eastAsia="Calibri"/>
                <w:b/>
                <w:color w:val="000000"/>
              </w:rPr>
              <w:t>$</w:t>
            </w:r>
            <w:r w:rsidR="00BF4AAA">
              <w:rPr>
                <w:rFonts w:eastAsia="Calibri"/>
                <w:b/>
                <w:color w:val="000000"/>
              </w:rPr>
              <w:t>74,6</w:t>
            </w:r>
            <w:r w:rsidR="0089038F">
              <w:rPr>
                <w:rFonts w:eastAsia="Calibri"/>
                <w:b/>
                <w:color w:val="000000"/>
              </w:rPr>
              <w:t>19</w:t>
            </w:r>
            <w:r w:rsidR="00BF4AAA">
              <w:rPr>
                <w:rFonts w:eastAsia="Calibri"/>
                <w:b/>
                <w:color w:val="000000"/>
              </w:rPr>
              <w:t>.</w:t>
            </w:r>
            <w:r w:rsidR="0089038F">
              <w:rPr>
                <w:rFonts w:eastAsia="Calibri"/>
                <w:b/>
                <w:color w:val="000000"/>
              </w:rPr>
              <w:t>1</w:t>
            </w:r>
            <w:r w:rsidR="00BF4AAA">
              <w:rPr>
                <w:rFonts w:eastAsia="Calibri"/>
                <w:b/>
                <w:color w:val="000000"/>
              </w:rPr>
              <w:t>5</w:t>
            </w:r>
          </w:p>
        </w:tc>
      </w:tr>
    </w:tbl>
    <w:p w:rsidRPr="006C7FAE" w:rsidR="00167E53" w:rsidP="00167E53" w:rsidRDefault="00167E53" w14:paraId="36FA7586"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9262B" w:rsidR="009E13B1" w:rsidRDefault="009E13B1" w14:paraId="62B5CAA5" w14:textId="77777777">
      <w:pPr>
        <w:tabs>
          <w:tab w:val="left" w:pos="360"/>
        </w:tabs>
        <w:ind w:left="360" w:hanging="360"/>
        <w:rPr>
          <w:b/>
          <w:bCs/>
          <w:sz w:val="24"/>
          <w:szCs w:val="24"/>
        </w:rPr>
      </w:pPr>
      <w:r w:rsidRPr="0069262B">
        <w:rPr>
          <w:b/>
          <w:bCs/>
          <w:sz w:val="24"/>
          <w:szCs w:val="24"/>
        </w:rPr>
        <w:t>13.</w:t>
      </w:r>
      <w:r w:rsidRPr="0069262B">
        <w:rPr>
          <w:b/>
          <w:bCs/>
          <w:sz w:val="24"/>
          <w:szCs w:val="24"/>
        </w:rPr>
        <w:tab/>
        <w:t xml:space="preserve">Provide an estimate of the total annual cost burden to respondents or recordkeepers resulting from the collection of information (do not include the cost of any hour burden shown in Items 12 and 14). </w:t>
      </w:r>
    </w:p>
    <w:p w:rsidRPr="0069262B" w:rsidR="009E13B1" w:rsidRDefault="009E13B1" w14:paraId="732BFEB2" w14:textId="77777777">
      <w:pPr>
        <w:numPr>
          <w:ilvl w:val="0"/>
          <w:numId w:val="14"/>
        </w:numPr>
        <w:tabs>
          <w:tab w:val="left" w:pos="360"/>
        </w:tabs>
        <w:ind w:left="480"/>
        <w:rPr>
          <w:b/>
          <w:bCs/>
          <w:sz w:val="24"/>
          <w:szCs w:val="24"/>
        </w:rPr>
      </w:pPr>
      <w:r w:rsidRPr="0069262B">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9262B">
        <w:rPr>
          <w:b/>
          <w:bCs/>
          <w:sz w:val="24"/>
          <w:szCs w:val="24"/>
        </w:rPr>
        <w:t>facilities;</w:t>
      </w:r>
      <w:proofErr w:type="gramEnd"/>
      <w:r w:rsidRPr="0069262B">
        <w:rPr>
          <w:b/>
          <w:bCs/>
          <w:sz w:val="24"/>
          <w:szCs w:val="24"/>
        </w:rPr>
        <w:t xml:space="preserve"> </w:t>
      </w:r>
    </w:p>
    <w:p w:rsidRPr="0069262B" w:rsidR="009E13B1" w:rsidRDefault="009E13B1" w14:paraId="79D6DBEF" w14:textId="77777777">
      <w:pPr>
        <w:numPr>
          <w:ilvl w:val="0"/>
          <w:numId w:val="14"/>
        </w:numPr>
        <w:tabs>
          <w:tab w:val="left" w:pos="360"/>
        </w:tabs>
        <w:ind w:left="480"/>
        <w:rPr>
          <w:b/>
          <w:bCs/>
          <w:sz w:val="24"/>
          <w:szCs w:val="24"/>
        </w:rPr>
      </w:pPr>
      <w:r w:rsidRPr="0069262B">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42C067F8" w14:textId="77777777">
      <w:pPr>
        <w:keepLines/>
        <w:numPr>
          <w:ilvl w:val="0"/>
          <w:numId w:val="14"/>
        </w:numPr>
        <w:tabs>
          <w:tab w:val="left" w:pos="360"/>
        </w:tabs>
        <w:spacing w:after="80"/>
        <w:ind w:left="480"/>
        <w:rPr>
          <w:sz w:val="24"/>
          <w:szCs w:val="24"/>
        </w:rPr>
      </w:pPr>
      <w:r w:rsidRPr="0069262B">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B3518" w:rsidRDefault="00FB3518" w14:paraId="6A617094" w14:textId="45FBE5F8">
      <w:pPr>
        <w:keepLines/>
        <w:tabs>
          <w:tab w:val="left" w:pos="360"/>
          <w:tab w:val="left" w:pos="720"/>
        </w:tabs>
        <w:ind w:left="360"/>
        <w:rPr>
          <w:sz w:val="24"/>
          <w:szCs w:val="24"/>
        </w:rPr>
      </w:pPr>
      <w:r>
        <w:rPr>
          <w:sz w:val="24"/>
          <w:szCs w:val="24"/>
        </w:rPr>
        <w:t xml:space="preserve">There will be no cost burden to </w:t>
      </w:r>
      <w:proofErr w:type="gramStart"/>
      <w:r>
        <w:rPr>
          <w:sz w:val="24"/>
          <w:szCs w:val="24"/>
        </w:rPr>
        <w:t>respondents</w:t>
      </w:r>
      <w:proofErr w:type="gramEnd"/>
      <w:r>
        <w:rPr>
          <w:sz w:val="24"/>
          <w:szCs w:val="24"/>
        </w:rPr>
        <w:t xml:space="preserve"> resultant to the data collection from the BIF or the PHA interviews.</w:t>
      </w:r>
    </w:p>
    <w:p w:rsidRPr="006C7FAE" w:rsidR="00FB3518" w:rsidRDefault="00FB3518" w14:paraId="3728D5A7" w14:textId="77777777">
      <w:pPr>
        <w:keepLines/>
        <w:tabs>
          <w:tab w:val="left" w:pos="360"/>
          <w:tab w:val="left" w:pos="720"/>
        </w:tabs>
        <w:ind w:left="360"/>
        <w:rPr>
          <w:sz w:val="24"/>
          <w:szCs w:val="24"/>
        </w:rPr>
      </w:pPr>
    </w:p>
    <w:p w:rsidRPr="0069262B" w:rsidR="009E13B1" w:rsidRDefault="009E13B1" w14:paraId="3499331F" w14:textId="2C02105A">
      <w:pPr>
        <w:keepLines/>
        <w:tabs>
          <w:tab w:val="left" w:pos="360"/>
        </w:tabs>
        <w:spacing w:after="80"/>
        <w:ind w:left="360" w:hanging="360"/>
        <w:rPr>
          <w:b/>
          <w:bCs/>
          <w:sz w:val="24"/>
          <w:szCs w:val="24"/>
        </w:rPr>
      </w:pPr>
      <w:bookmarkStart w:name="_Hlk84248258" w:id="2"/>
      <w:r w:rsidRPr="0069262B">
        <w:rPr>
          <w:b/>
          <w:bCs/>
          <w:sz w:val="24"/>
          <w:szCs w:val="24"/>
        </w:rPr>
        <w:t>14.</w:t>
      </w:r>
      <w:r w:rsidRPr="0069262B">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bookmarkEnd w:id="2"/>
    <w:p w:rsidRPr="001630E1" w:rsidR="009E13B1" w:rsidP="001630E1" w:rsidRDefault="001630E1" w14:paraId="663A276E" w14:textId="0FA785CF">
      <w:pPr>
        <w:overflowPunct/>
        <w:autoSpaceDE/>
        <w:autoSpaceDN/>
        <w:adjustRightInd/>
        <w:spacing w:after="80"/>
        <w:ind w:left="360"/>
        <w:textAlignment w:val="auto"/>
        <w:rPr>
          <w:sz w:val="24"/>
          <w:szCs w:val="24"/>
        </w:rPr>
      </w:pPr>
      <w:r w:rsidRPr="001630E1">
        <w:rPr>
          <w:sz w:val="24"/>
          <w:szCs w:val="24"/>
        </w:rPr>
        <w:t xml:space="preserve">The total cost to the federal government for the STRD Study is $5,653,240. Included in this budget are costs associated with preparation for random assignment including costs associated with adjusting public </w:t>
      </w:r>
      <w:r w:rsidRPr="005B1E78">
        <w:rPr>
          <w:sz w:val="24"/>
          <w:szCs w:val="24"/>
        </w:rPr>
        <w:t xml:space="preserve">housing authority's management information systems, administrative data collection, qualitative data collection, data processing and analysis, and reports and deliverables. The </w:t>
      </w:r>
      <w:r w:rsidRPr="00A449F6" w:rsidR="005B1E78">
        <w:rPr>
          <w:sz w:val="24"/>
          <w:szCs w:val="24"/>
        </w:rPr>
        <w:t xml:space="preserve">baseline </w:t>
      </w:r>
      <w:r w:rsidRPr="005B1E78">
        <w:rPr>
          <w:sz w:val="24"/>
          <w:szCs w:val="24"/>
        </w:rPr>
        <w:t>data collection portion of this budget is $</w:t>
      </w:r>
      <w:r w:rsidRPr="005B1E78" w:rsidR="005B1E78">
        <w:rPr>
          <w:rStyle w:val="CommentReference"/>
          <w:sz w:val="24"/>
          <w:szCs w:val="24"/>
        </w:rPr>
        <w:t>1,546,651.</w:t>
      </w:r>
      <w:r w:rsidR="005B1E78">
        <w:rPr>
          <w:rStyle w:val="CommentReference"/>
        </w:rPr>
        <w:t xml:space="preserve"> </w:t>
      </w:r>
    </w:p>
    <w:p w:rsidRPr="006C7FAE" w:rsidR="006C7FAE" w:rsidRDefault="006C7FAE" w14:paraId="70A61899" w14:textId="77777777">
      <w:pPr>
        <w:tabs>
          <w:tab w:val="left" w:pos="360"/>
        </w:tabs>
        <w:ind w:left="360" w:hanging="360"/>
        <w:rPr>
          <w:sz w:val="24"/>
          <w:szCs w:val="24"/>
        </w:rPr>
      </w:pPr>
    </w:p>
    <w:p w:rsidR="009E13B1" w:rsidRDefault="009E13B1" w14:paraId="2F0A8E09" w14:textId="77777777">
      <w:pPr>
        <w:keepLines/>
        <w:tabs>
          <w:tab w:val="left" w:pos="360"/>
        </w:tabs>
        <w:spacing w:after="80"/>
        <w:ind w:left="360" w:hanging="360"/>
        <w:rPr>
          <w:b/>
          <w:bCs/>
          <w:sz w:val="24"/>
          <w:szCs w:val="24"/>
        </w:rPr>
      </w:pPr>
      <w:r w:rsidRPr="0069262B">
        <w:rPr>
          <w:b/>
          <w:bCs/>
          <w:sz w:val="24"/>
          <w:szCs w:val="24"/>
        </w:rPr>
        <w:t>15.</w:t>
      </w:r>
      <w:r w:rsidRPr="0069262B">
        <w:rPr>
          <w:b/>
          <w:bCs/>
          <w:sz w:val="24"/>
          <w:szCs w:val="24"/>
        </w:rPr>
        <w:tab/>
        <w:t>Explain the reasons for any program changes or adjustments reported in Items 13 and 14 of the OMB Form 83-I.</w:t>
      </w:r>
    </w:p>
    <w:p w:rsidRPr="00E56572" w:rsidR="00E56572" w:rsidRDefault="00E56572" w14:paraId="42F7AAD6" w14:textId="77777777">
      <w:pPr>
        <w:keepLines/>
        <w:tabs>
          <w:tab w:val="left" w:pos="360"/>
        </w:tabs>
        <w:spacing w:after="80"/>
        <w:ind w:left="360" w:hanging="360"/>
        <w:rPr>
          <w:sz w:val="24"/>
          <w:szCs w:val="24"/>
        </w:rPr>
      </w:pPr>
      <w:r w:rsidRPr="00E56572">
        <w:rPr>
          <w:sz w:val="24"/>
          <w:szCs w:val="24"/>
        </w:rPr>
        <w:tab/>
        <w:t>This submission is a new request for approval.</w:t>
      </w:r>
    </w:p>
    <w:p w:rsidRPr="006C7FAE" w:rsidR="009E13B1" w:rsidRDefault="009E13B1" w14:paraId="3261BD18" w14:textId="77777777">
      <w:pPr>
        <w:keepLines/>
        <w:tabs>
          <w:tab w:val="left" w:pos="360"/>
          <w:tab w:val="left" w:pos="720"/>
        </w:tabs>
        <w:ind w:left="360"/>
        <w:rPr>
          <w:sz w:val="24"/>
          <w:szCs w:val="24"/>
        </w:rPr>
      </w:pPr>
    </w:p>
    <w:p w:rsidR="009E13B1" w:rsidRDefault="009E13B1" w14:paraId="6AA00407" w14:textId="77777777">
      <w:pPr>
        <w:keepLines/>
        <w:tabs>
          <w:tab w:val="left" w:pos="360"/>
        </w:tabs>
        <w:spacing w:after="80"/>
        <w:ind w:left="360" w:hanging="360"/>
        <w:rPr>
          <w:b/>
          <w:bCs/>
          <w:sz w:val="24"/>
          <w:szCs w:val="24"/>
        </w:rPr>
      </w:pPr>
      <w:r w:rsidRPr="0069262B">
        <w:rPr>
          <w:b/>
          <w:bCs/>
          <w:sz w:val="24"/>
          <w:szCs w:val="24"/>
        </w:rPr>
        <w:t>16.</w:t>
      </w:r>
      <w:r w:rsidRPr="0069262B">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B6C12" w:rsidR="00105619" w:rsidP="00EC17D3" w:rsidRDefault="00105619" w14:paraId="17C7773B" w14:textId="77777777">
      <w:pPr>
        <w:spacing w:after="120"/>
        <w:ind w:firstLine="360"/>
        <w:rPr>
          <w:sz w:val="24"/>
          <w:szCs w:val="24"/>
        </w:rPr>
      </w:pPr>
      <w:r w:rsidRPr="00BB6C12">
        <w:rPr>
          <w:sz w:val="24"/>
          <w:szCs w:val="24"/>
        </w:rPr>
        <w:t>Using various data sources, MDRC will develop three reports</w:t>
      </w:r>
      <w:r w:rsidR="00D94F2C">
        <w:rPr>
          <w:sz w:val="24"/>
          <w:szCs w:val="24"/>
        </w:rPr>
        <w:t xml:space="preserve"> during Phase 1 of the evaluation</w:t>
      </w:r>
      <w:r w:rsidRPr="00BB6C12">
        <w:rPr>
          <w:sz w:val="24"/>
          <w:szCs w:val="24"/>
        </w:rPr>
        <w:t>.</w:t>
      </w:r>
    </w:p>
    <w:tbl>
      <w:tblPr>
        <w:tblW w:w="9012" w:type="dxa"/>
        <w:tblInd w:w="433" w:type="dxa"/>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110"/>
        <w:gridCol w:w="1902"/>
      </w:tblGrid>
      <w:tr w:rsidRPr="005E7018" w:rsidR="00105619" w:rsidTr="00EC17D3" w14:paraId="60181DB9" w14:textId="77777777">
        <w:trPr>
          <w:trHeight w:val="377"/>
        </w:trPr>
        <w:tc>
          <w:tcPr>
            <w:tcW w:w="9012" w:type="dxa"/>
            <w:gridSpan w:val="2"/>
            <w:tcBorders>
              <w:top w:val="nil"/>
              <w:left w:val="nil"/>
              <w:bottom w:val="single" w:color="auto" w:sz="4" w:space="0"/>
              <w:right w:val="nil"/>
            </w:tcBorders>
            <w:shd w:val="clear" w:color="auto" w:fill="auto"/>
            <w:noWrap/>
            <w:vAlign w:val="center"/>
            <w:hideMark/>
          </w:tcPr>
          <w:p w:rsidRPr="005E7018" w:rsidR="00105619" w:rsidP="00E34E37" w:rsidRDefault="00105619" w14:paraId="5A35E17B" w14:textId="77777777">
            <w:pPr>
              <w:jc w:val="center"/>
              <w:rPr>
                <w:b/>
                <w:color w:val="000000"/>
              </w:rPr>
            </w:pPr>
            <w:r w:rsidRPr="005E7018">
              <w:rPr>
                <w:b/>
                <w:color w:val="000000"/>
              </w:rPr>
              <w:t>Report Schedule</w:t>
            </w:r>
          </w:p>
        </w:tc>
      </w:tr>
      <w:tr w:rsidRPr="005E7018" w:rsidR="00105619" w:rsidTr="00EC17D3" w14:paraId="79B138B5" w14:textId="77777777">
        <w:trPr>
          <w:trHeight w:val="288"/>
        </w:trPr>
        <w:tc>
          <w:tcPr>
            <w:tcW w:w="7110" w:type="dxa"/>
            <w:tcBorders>
              <w:top w:val="single" w:color="auto" w:sz="4" w:space="0"/>
              <w:left w:val="nil"/>
              <w:bottom w:val="single" w:color="auto" w:sz="4" w:space="0"/>
              <w:right w:val="nil"/>
            </w:tcBorders>
            <w:shd w:val="clear" w:color="auto" w:fill="D9D9D9"/>
            <w:noWrap/>
            <w:vAlign w:val="center"/>
            <w:hideMark/>
          </w:tcPr>
          <w:p w:rsidRPr="005E7018" w:rsidR="00105619" w:rsidP="00E34E37" w:rsidRDefault="00105619" w14:paraId="18392D95" w14:textId="77777777">
            <w:pPr>
              <w:rPr>
                <w:color w:val="000000"/>
              </w:rPr>
            </w:pPr>
            <w:r w:rsidRPr="005E7018">
              <w:rPr>
                <w:color w:val="000000"/>
              </w:rPr>
              <w:t>DELIVERABLE</w:t>
            </w:r>
          </w:p>
        </w:tc>
        <w:tc>
          <w:tcPr>
            <w:tcW w:w="1902" w:type="dxa"/>
            <w:tcBorders>
              <w:top w:val="single" w:color="auto" w:sz="4" w:space="0"/>
              <w:left w:val="nil"/>
              <w:bottom w:val="single" w:color="auto" w:sz="4" w:space="0"/>
              <w:right w:val="nil"/>
            </w:tcBorders>
            <w:shd w:val="clear" w:color="auto" w:fill="D9D9D9"/>
            <w:noWrap/>
            <w:vAlign w:val="center"/>
            <w:hideMark/>
          </w:tcPr>
          <w:p w:rsidRPr="005E7018" w:rsidR="00105619" w:rsidP="00E34E37" w:rsidRDefault="00105619" w14:paraId="64966BC4" w14:textId="77777777">
            <w:pPr>
              <w:jc w:val="center"/>
              <w:rPr>
                <w:color w:val="000000"/>
              </w:rPr>
            </w:pPr>
            <w:r w:rsidRPr="005E7018">
              <w:rPr>
                <w:color w:val="000000"/>
              </w:rPr>
              <w:t>SCHEDULE</w:t>
            </w:r>
          </w:p>
        </w:tc>
      </w:tr>
      <w:tr w:rsidRPr="00A91525" w:rsidR="00105619" w:rsidTr="00EC17D3" w14:paraId="047AA3F7" w14:textId="77777777">
        <w:trPr>
          <w:trHeight w:val="288"/>
        </w:trPr>
        <w:tc>
          <w:tcPr>
            <w:tcW w:w="7110" w:type="dxa"/>
            <w:tcBorders>
              <w:top w:val="single" w:color="auto" w:sz="4" w:space="0"/>
              <w:left w:val="nil"/>
              <w:bottom w:val="nil"/>
              <w:right w:val="nil"/>
            </w:tcBorders>
            <w:shd w:val="clear" w:color="auto" w:fill="auto"/>
            <w:hideMark/>
          </w:tcPr>
          <w:p w:rsidRPr="00A91525" w:rsidR="00105619" w:rsidP="00E34E37" w:rsidRDefault="00105619" w14:paraId="1ED97749" w14:textId="77777777">
            <w:pPr>
              <w:spacing w:after="60"/>
              <w:rPr>
                <w:color w:val="000000"/>
              </w:rPr>
            </w:pPr>
            <w:r>
              <w:rPr>
                <w:color w:val="000000"/>
              </w:rPr>
              <w:t xml:space="preserve">Interim Report 1 </w:t>
            </w:r>
          </w:p>
        </w:tc>
        <w:tc>
          <w:tcPr>
            <w:tcW w:w="1902" w:type="dxa"/>
            <w:tcBorders>
              <w:top w:val="single" w:color="auto" w:sz="4" w:space="0"/>
              <w:left w:val="nil"/>
              <w:bottom w:val="nil"/>
              <w:right w:val="nil"/>
            </w:tcBorders>
            <w:shd w:val="clear" w:color="auto" w:fill="auto"/>
            <w:noWrap/>
            <w:vAlign w:val="bottom"/>
            <w:hideMark/>
          </w:tcPr>
          <w:p w:rsidRPr="008D0888" w:rsidR="00105619" w:rsidP="00E34E37" w:rsidRDefault="00BB6C12" w14:paraId="17C1E4FE" w14:textId="77777777">
            <w:pPr>
              <w:jc w:val="center"/>
              <w:rPr>
                <w:color w:val="000000"/>
              </w:rPr>
            </w:pPr>
            <w:r>
              <w:rPr>
                <w:color w:val="000000"/>
              </w:rPr>
              <w:t>2/15/23</w:t>
            </w:r>
          </w:p>
        </w:tc>
      </w:tr>
      <w:tr w:rsidRPr="00A91525" w:rsidR="00105619" w:rsidTr="00EC17D3" w14:paraId="07E80B82" w14:textId="77777777">
        <w:trPr>
          <w:trHeight w:val="288"/>
        </w:trPr>
        <w:tc>
          <w:tcPr>
            <w:tcW w:w="7110" w:type="dxa"/>
            <w:tcBorders>
              <w:top w:val="nil"/>
              <w:left w:val="nil"/>
              <w:bottom w:val="single" w:color="auto" w:sz="4" w:space="0"/>
              <w:right w:val="nil"/>
            </w:tcBorders>
            <w:shd w:val="clear" w:color="auto" w:fill="auto"/>
            <w:hideMark/>
          </w:tcPr>
          <w:p w:rsidR="00105619" w:rsidP="00E34E37" w:rsidRDefault="00105619" w14:paraId="6FF0FD57" w14:textId="77777777">
            <w:pPr>
              <w:spacing w:after="60"/>
              <w:rPr>
                <w:color w:val="000000"/>
              </w:rPr>
            </w:pPr>
            <w:r>
              <w:rPr>
                <w:color w:val="000000"/>
              </w:rPr>
              <w:t>Interim Report 2</w:t>
            </w:r>
          </w:p>
          <w:p w:rsidRPr="00A91525" w:rsidR="00105619" w:rsidP="00E34E37" w:rsidRDefault="00105619" w14:paraId="0B33DECE" w14:textId="77777777">
            <w:pPr>
              <w:spacing w:after="60"/>
              <w:rPr>
                <w:color w:val="000000"/>
              </w:rPr>
            </w:pPr>
            <w:r>
              <w:rPr>
                <w:color w:val="000000"/>
              </w:rPr>
              <w:t>Final Implementation Report</w:t>
            </w:r>
          </w:p>
        </w:tc>
        <w:tc>
          <w:tcPr>
            <w:tcW w:w="1902" w:type="dxa"/>
            <w:tcBorders>
              <w:top w:val="nil"/>
              <w:left w:val="nil"/>
              <w:bottom w:val="single" w:color="auto" w:sz="4" w:space="0"/>
              <w:right w:val="nil"/>
            </w:tcBorders>
            <w:shd w:val="clear" w:color="auto" w:fill="auto"/>
            <w:noWrap/>
            <w:hideMark/>
          </w:tcPr>
          <w:p w:rsidR="00105619" w:rsidP="00E34E37" w:rsidRDefault="00BB6C12" w14:paraId="5FF74366" w14:textId="77777777">
            <w:pPr>
              <w:jc w:val="center"/>
              <w:rPr>
                <w:color w:val="000000"/>
              </w:rPr>
            </w:pPr>
            <w:r>
              <w:rPr>
                <w:color w:val="000000"/>
              </w:rPr>
              <w:t>3/27/24</w:t>
            </w:r>
          </w:p>
          <w:p w:rsidRPr="008D0888" w:rsidR="00BB6C12" w:rsidP="00E34E37" w:rsidRDefault="00BB6C12" w14:paraId="2BE19398" w14:textId="77777777">
            <w:pPr>
              <w:jc w:val="center"/>
              <w:rPr>
                <w:color w:val="000000"/>
              </w:rPr>
            </w:pPr>
            <w:r>
              <w:rPr>
                <w:color w:val="000000"/>
              </w:rPr>
              <w:t>7/10/25</w:t>
            </w:r>
          </w:p>
        </w:tc>
      </w:tr>
    </w:tbl>
    <w:p w:rsidRPr="0069262B" w:rsidR="00105619" w:rsidRDefault="00105619" w14:paraId="6C0E332B" w14:textId="77777777">
      <w:pPr>
        <w:keepLines/>
        <w:tabs>
          <w:tab w:val="left" w:pos="360"/>
        </w:tabs>
        <w:spacing w:after="80"/>
        <w:ind w:left="360" w:hanging="360"/>
        <w:rPr>
          <w:b/>
          <w:bCs/>
          <w:sz w:val="24"/>
          <w:szCs w:val="24"/>
        </w:rPr>
      </w:pPr>
    </w:p>
    <w:p w:rsidRPr="006C7FAE" w:rsidR="009E13B1" w:rsidRDefault="009E13B1" w14:paraId="77CDFA9E" w14:textId="77777777">
      <w:pPr>
        <w:tabs>
          <w:tab w:val="left" w:pos="360"/>
        </w:tabs>
        <w:ind w:left="360" w:hanging="360"/>
        <w:rPr>
          <w:sz w:val="24"/>
          <w:szCs w:val="24"/>
        </w:rPr>
      </w:pPr>
    </w:p>
    <w:p w:rsidR="009E13B1" w:rsidRDefault="009E13B1" w14:paraId="3414854C" w14:textId="77777777">
      <w:pPr>
        <w:keepLines/>
        <w:tabs>
          <w:tab w:val="left" w:pos="360"/>
        </w:tabs>
        <w:spacing w:after="80"/>
        <w:ind w:left="360" w:hanging="360"/>
        <w:rPr>
          <w:b/>
          <w:bCs/>
          <w:sz w:val="24"/>
          <w:szCs w:val="24"/>
        </w:rPr>
      </w:pPr>
      <w:r w:rsidRPr="0069262B">
        <w:rPr>
          <w:b/>
          <w:bCs/>
          <w:sz w:val="24"/>
          <w:szCs w:val="24"/>
        </w:rPr>
        <w:t>17.</w:t>
      </w:r>
      <w:r w:rsidRPr="0069262B">
        <w:rPr>
          <w:b/>
          <w:bCs/>
          <w:sz w:val="24"/>
          <w:szCs w:val="24"/>
        </w:rPr>
        <w:tab/>
        <w:t>If seeking approval to not display the expiration date for OMB approval of the information collection, explain the reasons that display would be inappropriate.</w:t>
      </w:r>
    </w:p>
    <w:p w:rsidRPr="00E56572" w:rsidR="00E56572" w:rsidRDefault="00E56572" w14:paraId="124A7EDE" w14:textId="77777777">
      <w:pPr>
        <w:keepLines/>
        <w:tabs>
          <w:tab w:val="left" w:pos="360"/>
        </w:tabs>
        <w:spacing w:after="80"/>
        <w:ind w:left="360" w:hanging="360"/>
        <w:rPr>
          <w:sz w:val="24"/>
          <w:szCs w:val="24"/>
        </w:rPr>
      </w:pPr>
      <w:r w:rsidRPr="00E56572">
        <w:rPr>
          <w:sz w:val="24"/>
          <w:szCs w:val="24"/>
        </w:rPr>
        <w:tab/>
        <w:t>The expiration date for OMB approval will be displayed on any forms completed as part of the data collection.</w:t>
      </w:r>
    </w:p>
    <w:p w:rsidRPr="006C7FAE" w:rsidR="009E13B1" w:rsidRDefault="009E13B1" w14:paraId="4EF1BE59" w14:textId="77777777">
      <w:pPr>
        <w:keepLines/>
        <w:tabs>
          <w:tab w:val="left" w:pos="360"/>
          <w:tab w:val="left" w:pos="720"/>
        </w:tabs>
        <w:ind w:left="360"/>
        <w:rPr>
          <w:sz w:val="24"/>
          <w:szCs w:val="24"/>
        </w:rPr>
      </w:pPr>
    </w:p>
    <w:p w:rsidRPr="0069262B" w:rsidR="009E13B1" w:rsidRDefault="009E13B1" w14:paraId="2B2042E9" w14:textId="77777777">
      <w:pPr>
        <w:keepLines/>
        <w:tabs>
          <w:tab w:val="left" w:pos="360"/>
        </w:tabs>
        <w:spacing w:after="80"/>
        <w:ind w:left="360" w:hanging="360"/>
        <w:rPr>
          <w:rFonts w:ascii="Courier" w:hAnsi="Courier"/>
          <w:b/>
          <w:bCs/>
          <w:sz w:val="24"/>
          <w:szCs w:val="24"/>
        </w:rPr>
      </w:pPr>
      <w:r w:rsidRPr="0069262B">
        <w:rPr>
          <w:b/>
          <w:bCs/>
          <w:sz w:val="24"/>
          <w:szCs w:val="24"/>
        </w:rPr>
        <w:t>18.</w:t>
      </w:r>
      <w:r w:rsidRPr="0069262B">
        <w:rPr>
          <w:b/>
          <w:bCs/>
          <w:sz w:val="24"/>
          <w:szCs w:val="24"/>
        </w:rPr>
        <w:tab/>
        <w:t>Explain each exception to the certification statement identified in item 19.</w:t>
      </w:r>
    </w:p>
    <w:p w:rsidRPr="006C7FAE" w:rsidR="009E13B1" w:rsidRDefault="001D17C2" w14:paraId="0FB3B1AD" w14:textId="77777777">
      <w:pPr>
        <w:keepLines/>
        <w:tabs>
          <w:tab w:val="left" w:pos="360"/>
          <w:tab w:val="left" w:pos="720"/>
        </w:tabs>
        <w:ind w:left="360"/>
        <w:rPr>
          <w:sz w:val="24"/>
          <w:szCs w:val="24"/>
        </w:rPr>
      </w:pPr>
      <w:r w:rsidRPr="001D17C2">
        <w:rPr>
          <w:sz w:val="24"/>
          <w:szCs w:val="24"/>
        </w:rPr>
        <w:t>No exceptions are necessary for this information collection.</w:t>
      </w:r>
    </w:p>
    <w:p w:rsidR="00F41598" w:rsidP="002F40B9" w:rsidRDefault="00F41598" w14:paraId="7A9FD14A" w14:textId="0ED05DAA">
      <w:pPr>
        <w:overflowPunct/>
        <w:autoSpaceDE/>
        <w:autoSpaceDN/>
        <w:adjustRightInd/>
        <w:textAlignment w:val="auto"/>
        <w:rPr>
          <w:sz w:val="24"/>
          <w:szCs w:val="24"/>
        </w:rPr>
      </w:pPr>
    </w:p>
    <w:sectPr w:rsidR="00F41598" w:rsidSect="006C7FAE">
      <w:footerReference w:type="default" r:id="rId12"/>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4743" w14:textId="77777777" w:rsidR="00D30A4A" w:rsidRDefault="00D30A4A">
      <w:r>
        <w:separator/>
      </w:r>
    </w:p>
  </w:endnote>
  <w:endnote w:type="continuationSeparator" w:id="0">
    <w:p w14:paraId="248BDB7E" w14:textId="77777777" w:rsidR="00D30A4A" w:rsidRDefault="00D30A4A">
      <w:r>
        <w:continuationSeparator/>
      </w:r>
    </w:p>
  </w:endnote>
  <w:endnote w:type="continuationNotice" w:id="1">
    <w:p w14:paraId="7D53BB1C" w14:textId="77777777" w:rsidR="00D30A4A" w:rsidRDefault="00D30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298648"/>
      <w:docPartObj>
        <w:docPartGallery w:val="Page Numbers (Bottom of Page)"/>
        <w:docPartUnique/>
      </w:docPartObj>
    </w:sdtPr>
    <w:sdtEndPr>
      <w:rPr>
        <w:noProof/>
      </w:rPr>
    </w:sdtEndPr>
    <w:sdtContent>
      <w:p w14:paraId="67158C1A" w14:textId="3D86F7A7" w:rsidR="00262DCE" w:rsidRDefault="00262D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6863C" w14:textId="77777777" w:rsidR="00262DCE" w:rsidRDefault="0026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3AC0" w14:textId="77777777" w:rsidR="00D30A4A" w:rsidRDefault="00D30A4A">
      <w:r>
        <w:separator/>
      </w:r>
    </w:p>
  </w:footnote>
  <w:footnote w:type="continuationSeparator" w:id="0">
    <w:p w14:paraId="63EDEE32" w14:textId="77777777" w:rsidR="00D30A4A" w:rsidRDefault="00D30A4A">
      <w:r>
        <w:continuationSeparator/>
      </w:r>
    </w:p>
  </w:footnote>
  <w:footnote w:type="continuationNotice" w:id="1">
    <w:p w14:paraId="2A70A6B9" w14:textId="77777777" w:rsidR="00D30A4A" w:rsidRDefault="00D30A4A"/>
  </w:footnote>
  <w:footnote w:id="2">
    <w:p w14:paraId="5EFA25B9" w14:textId="2E68E850" w:rsidR="0068509E" w:rsidRDefault="0068509E" w:rsidP="00600749">
      <w:pPr>
        <w:pStyle w:val="FootnoteText"/>
        <w:spacing w:after="0" w:line="240" w:lineRule="auto"/>
      </w:pPr>
      <w:r w:rsidRPr="00D82E67">
        <w:rPr>
          <w:rStyle w:val="FootnoteReference"/>
          <w:rFonts w:ascii="Times New Roman" w:hAnsi="Times New Roman" w:cs="Times New Roman"/>
        </w:rPr>
        <w:footnoteRef/>
      </w:r>
      <w:r w:rsidR="00731D1E">
        <w:rPr>
          <w:rFonts w:ascii="Times New Roman" w:hAnsi="Times New Roman" w:cs="Times New Roman"/>
          <w:color w:val="000000"/>
          <w:sz w:val="16"/>
          <w:szCs w:val="16"/>
        </w:rPr>
        <w:t xml:space="preserve"> </w:t>
      </w:r>
      <w:r w:rsidRPr="002C38F3">
        <w:rPr>
          <w:rFonts w:ascii="Times New Roman" w:hAnsi="Times New Roman" w:cs="Times New Roman"/>
          <w:color w:val="000000"/>
          <w:sz w:val="16"/>
          <w:szCs w:val="16"/>
        </w:rPr>
        <w:t>Households in the STRD will range widely in employment position and earnings. We have estimated the average prevailing minimum hourly wage across the ten STRD sites at $9.43.</w:t>
      </w:r>
    </w:p>
  </w:footnote>
  <w:footnote w:id="3">
    <w:p w14:paraId="2C7F2912" w14:textId="6E297C01" w:rsidR="00F11975" w:rsidRPr="003C5855" w:rsidRDefault="00F11975" w:rsidP="003229F9">
      <w:pPr>
        <w:rPr>
          <w:color w:val="000000"/>
          <w:sz w:val="16"/>
          <w:szCs w:val="16"/>
        </w:rPr>
      </w:pPr>
      <w:r>
        <w:rPr>
          <w:rStyle w:val="FootnoteReference"/>
        </w:rPr>
        <w:footnoteRef/>
      </w:r>
      <w:r>
        <w:t xml:space="preserve"> </w:t>
      </w:r>
      <w:r w:rsidRPr="003C5855">
        <w:rPr>
          <w:color w:val="000000"/>
          <w:sz w:val="16"/>
          <w:szCs w:val="16"/>
        </w:rPr>
        <w:t>For program staff participating in interviews, the estimate uses the me</w:t>
      </w:r>
      <w:r>
        <w:rPr>
          <w:color w:val="000000"/>
          <w:sz w:val="16"/>
          <w:szCs w:val="16"/>
        </w:rPr>
        <w:t>an</w:t>
      </w:r>
      <w:r w:rsidRPr="003C5855">
        <w:rPr>
          <w:color w:val="000000"/>
          <w:sz w:val="16"/>
          <w:szCs w:val="16"/>
        </w:rPr>
        <w:t xml:space="preserve"> hourly wages of selected occupations (classified by Standard Occupational Classification (SOC) codes) was sourced from the Occupational Employment Statistics from the U.S. Department of Labor’s Bureau of Labor Statistics. Potentially relevant occupations and their median hourly wages</w:t>
      </w:r>
      <w:r>
        <w:rPr>
          <w:color w:val="000000"/>
          <w:sz w:val="16"/>
          <w:szCs w:val="16"/>
        </w:rPr>
        <w:t xml:space="preserve"> in the “Local Government, excluding Schools and Hospitals” industry</w:t>
      </w:r>
      <w:r w:rsidRPr="003C5855">
        <w:rPr>
          <w:color w:val="000000"/>
          <w:sz w:val="16"/>
          <w:szCs w:val="16"/>
        </w:rPr>
        <w:t xml:space="preserve"> </w:t>
      </w:r>
      <w:r w:rsidRPr="003C5855">
        <w:rPr>
          <w:color w:val="000000"/>
          <w:sz w:val="16"/>
          <w:szCs w:val="16"/>
        </w:rPr>
        <w:t xml:space="preserve">are: </w:t>
      </w:r>
    </w:p>
    <w:tbl>
      <w:tblPr>
        <w:tblW w:w="0" w:type="auto"/>
        <w:tblInd w:w="108" w:type="dxa"/>
        <w:tblLook w:val="01E0" w:firstRow="1" w:lastRow="1" w:firstColumn="1" w:lastColumn="1" w:noHBand="0" w:noVBand="0"/>
      </w:tblPr>
      <w:tblGrid>
        <w:gridCol w:w="4860"/>
        <w:gridCol w:w="1950"/>
        <w:gridCol w:w="1950"/>
      </w:tblGrid>
      <w:tr w:rsidR="00F11975" w:rsidRPr="003C5855" w14:paraId="36295FC4" w14:textId="77777777" w:rsidTr="00600749">
        <w:tc>
          <w:tcPr>
            <w:tcW w:w="4860" w:type="dxa"/>
            <w:tcBorders>
              <w:top w:val="nil"/>
              <w:left w:val="nil"/>
              <w:bottom w:val="double" w:sz="4" w:space="0" w:color="auto"/>
              <w:right w:val="nil"/>
            </w:tcBorders>
            <w:vAlign w:val="bottom"/>
            <w:hideMark/>
          </w:tcPr>
          <w:p w14:paraId="25577354" w14:textId="77777777" w:rsidR="00F11975" w:rsidRPr="003C5855" w:rsidRDefault="00F11975" w:rsidP="003229F9">
            <w:pPr>
              <w:jc w:val="center"/>
              <w:rPr>
                <w:sz w:val="16"/>
                <w:szCs w:val="16"/>
              </w:rPr>
            </w:pPr>
            <w:r w:rsidRPr="003C5855">
              <w:rPr>
                <w:sz w:val="16"/>
                <w:szCs w:val="16"/>
              </w:rPr>
              <w:t>Occupation</w:t>
            </w:r>
          </w:p>
        </w:tc>
        <w:tc>
          <w:tcPr>
            <w:tcW w:w="1950" w:type="dxa"/>
            <w:tcBorders>
              <w:top w:val="nil"/>
              <w:left w:val="nil"/>
              <w:bottom w:val="double" w:sz="4" w:space="0" w:color="auto"/>
              <w:right w:val="nil"/>
            </w:tcBorders>
            <w:vAlign w:val="bottom"/>
            <w:hideMark/>
          </w:tcPr>
          <w:p w14:paraId="26F0248D" w14:textId="77777777" w:rsidR="00F11975" w:rsidRPr="003C5855" w:rsidRDefault="00F11975" w:rsidP="003229F9">
            <w:pPr>
              <w:jc w:val="center"/>
              <w:rPr>
                <w:sz w:val="16"/>
                <w:szCs w:val="16"/>
              </w:rPr>
            </w:pPr>
            <w:r w:rsidRPr="003C5855">
              <w:rPr>
                <w:sz w:val="16"/>
                <w:szCs w:val="16"/>
              </w:rPr>
              <w:t>SOC Code</w:t>
            </w:r>
          </w:p>
        </w:tc>
        <w:tc>
          <w:tcPr>
            <w:tcW w:w="1950" w:type="dxa"/>
            <w:tcBorders>
              <w:top w:val="nil"/>
              <w:left w:val="nil"/>
              <w:bottom w:val="double" w:sz="4" w:space="0" w:color="auto"/>
              <w:right w:val="nil"/>
            </w:tcBorders>
            <w:vAlign w:val="bottom"/>
            <w:hideMark/>
          </w:tcPr>
          <w:p w14:paraId="65B6F030" w14:textId="77777777" w:rsidR="00F11975" w:rsidRPr="003C5855" w:rsidRDefault="00F11975" w:rsidP="003229F9">
            <w:pPr>
              <w:jc w:val="center"/>
              <w:rPr>
                <w:sz w:val="16"/>
                <w:szCs w:val="16"/>
              </w:rPr>
            </w:pPr>
            <w:r>
              <w:rPr>
                <w:sz w:val="16"/>
                <w:szCs w:val="16"/>
              </w:rPr>
              <w:t>Mean</w:t>
            </w:r>
            <w:r w:rsidRPr="003C5855">
              <w:rPr>
                <w:sz w:val="16"/>
                <w:szCs w:val="16"/>
              </w:rPr>
              <w:t xml:space="preserve"> Hourly Wage Rate</w:t>
            </w:r>
          </w:p>
        </w:tc>
      </w:tr>
      <w:tr w:rsidR="00F11975" w:rsidRPr="003C5855" w14:paraId="3F30F95D" w14:textId="77777777" w:rsidTr="00600749">
        <w:tc>
          <w:tcPr>
            <w:tcW w:w="4860" w:type="dxa"/>
            <w:tcBorders>
              <w:top w:val="single" w:sz="4" w:space="0" w:color="auto"/>
              <w:left w:val="nil"/>
              <w:bottom w:val="single" w:sz="4" w:space="0" w:color="auto"/>
              <w:right w:val="nil"/>
            </w:tcBorders>
            <w:vAlign w:val="center"/>
            <w:hideMark/>
          </w:tcPr>
          <w:p w14:paraId="6C4BC57B" w14:textId="77777777" w:rsidR="00F11975" w:rsidRPr="003C5855" w:rsidRDefault="00F11975" w:rsidP="003229F9">
            <w:pPr>
              <w:rPr>
                <w:sz w:val="16"/>
                <w:szCs w:val="16"/>
              </w:rPr>
            </w:pPr>
            <w:r w:rsidRPr="003C5855">
              <w:rPr>
                <w:sz w:val="16"/>
                <w:szCs w:val="16"/>
              </w:rPr>
              <w:t>Community and Social Service Specialist</w:t>
            </w:r>
          </w:p>
        </w:tc>
        <w:tc>
          <w:tcPr>
            <w:tcW w:w="1950" w:type="dxa"/>
            <w:tcBorders>
              <w:top w:val="single" w:sz="4" w:space="0" w:color="auto"/>
              <w:left w:val="nil"/>
              <w:bottom w:val="single" w:sz="4" w:space="0" w:color="auto"/>
              <w:right w:val="nil"/>
            </w:tcBorders>
            <w:hideMark/>
          </w:tcPr>
          <w:p w14:paraId="31E3F360" w14:textId="77777777" w:rsidR="00F11975" w:rsidRPr="003C5855" w:rsidRDefault="00F11975" w:rsidP="003229F9">
            <w:pPr>
              <w:jc w:val="center"/>
              <w:rPr>
                <w:sz w:val="16"/>
                <w:szCs w:val="16"/>
              </w:rPr>
            </w:pPr>
            <w:r w:rsidRPr="003C5855">
              <w:rPr>
                <w:sz w:val="16"/>
                <w:szCs w:val="16"/>
              </w:rPr>
              <w:t>21-1099</w:t>
            </w:r>
          </w:p>
        </w:tc>
        <w:tc>
          <w:tcPr>
            <w:tcW w:w="1950" w:type="dxa"/>
            <w:tcBorders>
              <w:top w:val="single" w:sz="4" w:space="0" w:color="auto"/>
              <w:left w:val="nil"/>
              <w:bottom w:val="single" w:sz="4" w:space="0" w:color="auto"/>
              <w:right w:val="nil"/>
            </w:tcBorders>
            <w:hideMark/>
          </w:tcPr>
          <w:p w14:paraId="10FC6EBD" w14:textId="380B3711" w:rsidR="00F11975" w:rsidRPr="003C5855" w:rsidRDefault="00F11975" w:rsidP="003229F9">
            <w:pPr>
              <w:jc w:val="center"/>
              <w:rPr>
                <w:sz w:val="16"/>
                <w:szCs w:val="16"/>
              </w:rPr>
            </w:pPr>
            <w:r w:rsidRPr="003C5855">
              <w:rPr>
                <w:sz w:val="16"/>
                <w:szCs w:val="16"/>
              </w:rPr>
              <w:t>$2</w:t>
            </w:r>
            <w:r>
              <w:rPr>
                <w:sz w:val="16"/>
                <w:szCs w:val="16"/>
              </w:rPr>
              <w:t>5</w:t>
            </w:r>
            <w:r w:rsidRPr="003C5855">
              <w:rPr>
                <w:sz w:val="16"/>
                <w:szCs w:val="16"/>
              </w:rPr>
              <w:t>.</w:t>
            </w:r>
            <w:r>
              <w:rPr>
                <w:sz w:val="16"/>
                <w:szCs w:val="16"/>
              </w:rPr>
              <w:t>64</w:t>
            </w:r>
          </w:p>
        </w:tc>
      </w:tr>
      <w:tr w:rsidR="00F11975" w:rsidRPr="003C5855" w14:paraId="55651BB1" w14:textId="77777777" w:rsidTr="00600749">
        <w:tc>
          <w:tcPr>
            <w:tcW w:w="4860" w:type="dxa"/>
            <w:tcBorders>
              <w:top w:val="single" w:sz="4" w:space="0" w:color="auto"/>
              <w:left w:val="nil"/>
              <w:bottom w:val="single" w:sz="4" w:space="0" w:color="auto"/>
              <w:right w:val="nil"/>
            </w:tcBorders>
            <w:vAlign w:val="center"/>
            <w:hideMark/>
          </w:tcPr>
          <w:p w14:paraId="54DB412C" w14:textId="3F2F14BA" w:rsidR="00F11975" w:rsidRPr="003C5855" w:rsidRDefault="00F11975" w:rsidP="003229F9">
            <w:pPr>
              <w:rPr>
                <w:sz w:val="16"/>
                <w:szCs w:val="16"/>
              </w:rPr>
            </w:pPr>
            <w:r w:rsidRPr="003C5855">
              <w:rPr>
                <w:sz w:val="16"/>
                <w:szCs w:val="16"/>
              </w:rPr>
              <w:t>Social</w:t>
            </w:r>
            <w:r>
              <w:rPr>
                <w:sz w:val="16"/>
                <w:szCs w:val="16"/>
              </w:rPr>
              <w:t xml:space="preserve"> and C</w:t>
            </w:r>
            <w:r w:rsidRPr="003C5855">
              <w:rPr>
                <w:sz w:val="16"/>
                <w:szCs w:val="16"/>
              </w:rPr>
              <w:t>ommunity Service Manager</w:t>
            </w:r>
          </w:p>
        </w:tc>
        <w:tc>
          <w:tcPr>
            <w:tcW w:w="1950" w:type="dxa"/>
            <w:tcBorders>
              <w:top w:val="single" w:sz="4" w:space="0" w:color="auto"/>
              <w:left w:val="nil"/>
              <w:bottom w:val="single" w:sz="4" w:space="0" w:color="auto"/>
              <w:right w:val="nil"/>
            </w:tcBorders>
            <w:hideMark/>
          </w:tcPr>
          <w:p w14:paraId="7A600D66" w14:textId="77777777" w:rsidR="00F11975" w:rsidRPr="003C5855" w:rsidRDefault="00F11975" w:rsidP="003229F9">
            <w:pPr>
              <w:jc w:val="center"/>
              <w:rPr>
                <w:sz w:val="16"/>
                <w:szCs w:val="16"/>
              </w:rPr>
            </w:pPr>
            <w:r w:rsidRPr="003C5855">
              <w:rPr>
                <w:sz w:val="16"/>
                <w:szCs w:val="16"/>
              </w:rPr>
              <w:t>11-9151</w:t>
            </w:r>
          </w:p>
        </w:tc>
        <w:tc>
          <w:tcPr>
            <w:tcW w:w="1950" w:type="dxa"/>
            <w:tcBorders>
              <w:top w:val="single" w:sz="4" w:space="0" w:color="auto"/>
              <w:left w:val="nil"/>
              <w:bottom w:val="single" w:sz="4" w:space="0" w:color="auto"/>
              <w:right w:val="nil"/>
            </w:tcBorders>
            <w:hideMark/>
          </w:tcPr>
          <w:p w14:paraId="51EEE8C8" w14:textId="214C53D4" w:rsidR="00F11975" w:rsidRPr="003C5855" w:rsidRDefault="00F11975" w:rsidP="003229F9">
            <w:pPr>
              <w:jc w:val="center"/>
              <w:rPr>
                <w:sz w:val="16"/>
                <w:szCs w:val="16"/>
              </w:rPr>
            </w:pPr>
            <w:r w:rsidRPr="003C5855">
              <w:rPr>
                <w:sz w:val="16"/>
                <w:szCs w:val="16"/>
              </w:rPr>
              <w:t>$</w:t>
            </w:r>
            <w:r>
              <w:rPr>
                <w:sz w:val="16"/>
                <w:szCs w:val="16"/>
              </w:rPr>
              <w:t>44.24</w:t>
            </w:r>
          </w:p>
        </w:tc>
      </w:tr>
      <w:tr w:rsidR="00F11975" w:rsidRPr="003C5855" w14:paraId="66F57F49" w14:textId="77777777" w:rsidTr="00600749">
        <w:tc>
          <w:tcPr>
            <w:tcW w:w="4860" w:type="dxa"/>
            <w:tcBorders>
              <w:top w:val="single" w:sz="4" w:space="0" w:color="auto"/>
              <w:left w:val="nil"/>
              <w:bottom w:val="single" w:sz="4" w:space="0" w:color="auto"/>
              <w:right w:val="nil"/>
            </w:tcBorders>
            <w:vAlign w:val="center"/>
          </w:tcPr>
          <w:p w14:paraId="22E449BE" w14:textId="77777777" w:rsidR="00F11975" w:rsidRPr="003C5855" w:rsidRDefault="00F11975" w:rsidP="003229F9">
            <w:pPr>
              <w:rPr>
                <w:sz w:val="16"/>
                <w:szCs w:val="16"/>
              </w:rPr>
            </w:pPr>
            <w:r>
              <w:rPr>
                <w:sz w:val="16"/>
                <w:szCs w:val="16"/>
              </w:rPr>
              <w:t>Chief Executives</w:t>
            </w:r>
          </w:p>
        </w:tc>
        <w:tc>
          <w:tcPr>
            <w:tcW w:w="1950" w:type="dxa"/>
            <w:tcBorders>
              <w:top w:val="single" w:sz="4" w:space="0" w:color="auto"/>
              <w:left w:val="nil"/>
              <w:bottom w:val="single" w:sz="4" w:space="0" w:color="auto"/>
              <w:right w:val="nil"/>
            </w:tcBorders>
          </w:tcPr>
          <w:p w14:paraId="2AEDBBD7" w14:textId="77777777" w:rsidR="00F11975" w:rsidRPr="003C5855" w:rsidRDefault="00F11975" w:rsidP="003229F9">
            <w:pPr>
              <w:jc w:val="center"/>
              <w:rPr>
                <w:sz w:val="16"/>
                <w:szCs w:val="16"/>
              </w:rPr>
            </w:pPr>
            <w:r>
              <w:rPr>
                <w:sz w:val="16"/>
                <w:szCs w:val="16"/>
              </w:rPr>
              <w:t>11-1011</w:t>
            </w:r>
          </w:p>
        </w:tc>
        <w:tc>
          <w:tcPr>
            <w:tcW w:w="1950" w:type="dxa"/>
            <w:tcBorders>
              <w:top w:val="single" w:sz="4" w:space="0" w:color="auto"/>
              <w:left w:val="nil"/>
              <w:bottom w:val="single" w:sz="4" w:space="0" w:color="auto"/>
              <w:right w:val="nil"/>
            </w:tcBorders>
          </w:tcPr>
          <w:p w14:paraId="7D4BFB52" w14:textId="0838BEE4" w:rsidR="00F11975" w:rsidRPr="003C5855" w:rsidRDefault="00F11975" w:rsidP="003229F9">
            <w:pPr>
              <w:jc w:val="center"/>
              <w:rPr>
                <w:sz w:val="16"/>
                <w:szCs w:val="16"/>
              </w:rPr>
            </w:pPr>
            <w:r>
              <w:rPr>
                <w:sz w:val="16"/>
                <w:szCs w:val="16"/>
              </w:rPr>
              <w:t>$59.86</w:t>
            </w:r>
          </w:p>
        </w:tc>
      </w:tr>
    </w:tbl>
    <w:p w14:paraId="7320EF27" w14:textId="411C8871" w:rsidR="00F11975" w:rsidRPr="003C5855" w:rsidRDefault="00F11975" w:rsidP="003229F9">
      <w:pPr>
        <w:rPr>
          <w:color w:val="000000"/>
          <w:sz w:val="16"/>
          <w:szCs w:val="16"/>
        </w:rPr>
      </w:pPr>
      <w:r w:rsidRPr="003C5855">
        <w:rPr>
          <w:color w:val="000000"/>
          <w:sz w:val="16"/>
          <w:szCs w:val="16"/>
        </w:rPr>
        <w:t xml:space="preserve">Source: Occupational Employment Statistics, accessed online </w:t>
      </w:r>
      <w:r>
        <w:rPr>
          <w:color w:val="000000"/>
          <w:sz w:val="16"/>
          <w:szCs w:val="16"/>
        </w:rPr>
        <w:t>December</w:t>
      </w:r>
      <w:r w:rsidRPr="003C5855">
        <w:rPr>
          <w:color w:val="000000"/>
          <w:sz w:val="16"/>
          <w:szCs w:val="16"/>
        </w:rPr>
        <w:t xml:space="preserve"> 2</w:t>
      </w:r>
      <w:r>
        <w:rPr>
          <w:color w:val="000000"/>
          <w:sz w:val="16"/>
          <w:szCs w:val="16"/>
        </w:rPr>
        <w:t>0</w:t>
      </w:r>
      <w:r w:rsidRPr="003C5855">
        <w:rPr>
          <w:color w:val="000000"/>
          <w:sz w:val="16"/>
          <w:szCs w:val="16"/>
        </w:rPr>
        <w:t>, 202</w:t>
      </w:r>
      <w:r>
        <w:rPr>
          <w:color w:val="000000"/>
          <w:sz w:val="16"/>
          <w:szCs w:val="16"/>
        </w:rPr>
        <w:t>1</w:t>
      </w:r>
      <w:r w:rsidRPr="003C5855">
        <w:rPr>
          <w:color w:val="000000"/>
          <w:sz w:val="16"/>
          <w:szCs w:val="16"/>
        </w:rPr>
        <w:t xml:space="preserve"> at </w:t>
      </w:r>
      <w:hyperlink r:id="rId1" w:history="1">
        <w:r w:rsidRPr="003C5855">
          <w:rPr>
            <w:color w:val="0000FF"/>
            <w:sz w:val="16"/>
            <w:szCs w:val="16"/>
            <w:u w:val="single"/>
          </w:rPr>
          <w:t>http://www.bls.gov/oes/current/oes_stru.htm</w:t>
        </w:r>
      </w:hyperlink>
    </w:p>
    <w:p w14:paraId="5DE676F5" w14:textId="28D6481A" w:rsidR="00F11975" w:rsidRDefault="00F11975" w:rsidP="003229F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90F4512"/>
    <w:multiLevelType w:val="hybridMultilevel"/>
    <w:tmpl w:val="2C8C8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126A7"/>
    <w:multiLevelType w:val="hybridMultilevel"/>
    <w:tmpl w:val="CDC0D16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4B206095"/>
    <w:multiLevelType w:val="singleLevel"/>
    <w:tmpl w:val="A9A0F7E8"/>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0"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976790259">
    <w:abstractNumId w:val="6"/>
  </w:num>
  <w:num w:numId="2" w16cid:durableId="1991521936">
    <w:abstractNumId w:val="4"/>
  </w:num>
  <w:num w:numId="3" w16cid:durableId="813252291">
    <w:abstractNumId w:val="10"/>
  </w:num>
  <w:num w:numId="4" w16cid:durableId="576091638">
    <w:abstractNumId w:val="7"/>
  </w:num>
  <w:num w:numId="5" w16cid:durableId="1145927669">
    <w:abstractNumId w:val="8"/>
  </w:num>
  <w:num w:numId="6" w16cid:durableId="1055007595">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142313069">
    <w:abstractNumId w:val="5"/>
  </w:num>
  <w:num w:numId="8" w16cid:durableId="365250994">
    <w:abstractNumId w:val="14"/>
  </w:num>
  <w:num w:numId="9" w16cid:durableId="580144120">
    <w:abstractNumId w:val="3"/>
  </w:num>
  <w:num w:numId="10" w16cid:durableId="119342099">
    <w:abstractNumId w:val="13"/>
  </w:num>
  <w:num w:numId="11" w16cid:durableId="248732923">
    <w:abstractNumId w:val="12"/>
  </w:num>
  <w:num w:numId="12" w16cid:durableId="1993483358">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094545486">
    <w:abstractNumId w:val="9"/>
  </w:num>
  <w:num w:numId="14" w16cid:durableId="357702908">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790392006">
    <w:abstractNumId w:val="11"/>
  </w:num>
  <w:num w:numId="16" w16cid:durableId="454174876">
    <w:abstractNumId w:val="1"/>
  </w:num>
  <w:num w:numId="17" w16cid:durableId="1547717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024B"/>
    <w:rsid w:val="000002F0"/>
    <w:rsid w:val="00000492"/>
    <w:rsid w:val="0000052A"/>
    <w:rsid w:val="0000097F"/>
    <w:rsid w:val="00000A5B"/>
    <w:rsid w:val="00000DCE"/>
    <w:rsid w:val="00001BE0"/>
    <w:rsid w:val="00002007"/>
    <w:rsid w:val="0000388C"/>
    <w:rsid w:val="00003CC2"/>
    <w:rsid w:val="00004423"/>
    <w:rsid w:val="0000457D"/>
    <w:rsid w:val="000048DA"/>
    <w:rsid w:val="000051C2"/>
    <w:rsid w:val="0000729A"/>
    <w:rsid w:val="0001065D"/>
    <w:rsid w:val="00010CB5"/>
    <w:rsid w:val="000134BA"/>
    <w:rsid w:val="0001706B"/>
    <w:rsid w:val="0001710B"/>
    <w:rsid w:val="00020B25"/>
    <w:rsid w:val="00020DCF"/>
    <w:rsid w:val="00020E06"/>
    <w:rsid w:val="000233FD"/>
    <w:rsid w:val="00023972"/>
    <w:rsid w:val="00023DB0"/>
    <w:rsid w:val="00023F98"/>
    <w:rsid w:val="0002445E"/>
    <w:rsid w:val="0002454A"/>
    <w:rsid w:val="000246FC"/>
    <w:rsid w:val="00024CC8"/>
    <w:rsid w:val="0002517E"/>
    <w:rsid w:val="00025E1B"/>
    <w:rsid w:val="00025F84"/>
    <w:rsid w:val="000263F4"/>
    <w:rsid w:val="00026EE9"/>
    <w:rsid w:val="0002722B"/>
    <w:rsid w:val="000328F1"/>
    <w:rsid w:val="00032D2F"/>
    <w:rsid w:val="00033221"/>
    <w:rsid w:val="0003352C"/>
    <w:rsid w:val="000336EE"/>
    <w:rsid w:val="00034B5F"/>
    <w:rsid w:val="0003720C"/>
    <w:rsid w:val="0004153B"/>
    <w:rsid w:val="00041CF3"/>
    <w:rsid w:val="00041FEA"/>
    <w:rsid w:val="00042DBA"/>
    <w:rsid w:val="00042ECF"/>
    <w:rsid w:val="0004725F"/>
    <w:rsid w:val="000500D5"/>
    <w:rsid w:val="000506CA"/>
    <w:rsid w:val="000511BA"/>
    <w:rsid w:val="000513F6"/>
    <w:rsid w:val="000521AA"/>
    <w:rsid w:val="00052315"/>
    <w:rsid w:val="00052883"/>
    <w:rsid w:val="00053448"/>
    <w:rsid w:val="00054362"/>
    <w:rsid w:val="000559AA"/>
    <w:rsid w:val="0005658C"/>
    <w:rsid w:val="00056C7A"/>
    <w:rsid w:val="000574F6"/>
    <w:rsid w:val="00057518"/>
    <w:rsid w:val="000642E8"/>
    <w:rsid w:val="00065014"/>
    <w:rsid w:val="00065152"/>
    <w:rsid w:val="00066264"/>
    <w:rsid w:val="00066694"/>
    <w:rsid w:val="000671B6"/>
    <w:rsid w:val="000672D1"/>
    <w:rsid w:val="000675E4"/>
    <w:rsid w:val="00067D3A"/>
    <w:rsid w:val="0007056E"/>
    <w:rsid w:val="00071070"/>
    <w:rsid w:val="00071A24"/>
    <w:rsid w:val="00071AD9"/>
    <w:rsid w:val="00071FFB"/>
    <w:rsid w:val="00073609"/>
    <w:rsid w:val="000749E5"/>
    <w:rsid w:val="00074D90"/>
    <w:rsid w:val="00075734"/>
    <w:rsid w:val="00075B88"/>
    <w:rsid w:val="0007669D"/>
    <w:rsid w:val="00077935"/>
    <w:rsid w:val="00077E59"/>
    <w:rsid w:val="000802E7"/>
    <w:rsid w:val="00082516"/>
    <w:rsid w:val="00085676"/>
    <w:rsid w:val="0008622B"/>
    <w:rsid w:val="000903CF"/>
    <w:rsid w:val="00090D8B"/>
    <w:rsid w:val="00090E4A"/>
    <w:rsid w:val="000912AE"/>
    <w:rsid w:val="00091405"/>
    <w:rsid w:val="00091BC6"/>
    <w:rsid w:val="00092D87"/>
    <w:rsid w:val="000930EC"/>
    <w:rsid w:val="000A05E8"/>
    <w:rsid w:val="000A1639"/>
    <w:rsid w:val="000A1AF8"/>
    <w:rsid w:val="000A2BE6"/>
    <w:rsid w:val="000A4459"/>
    <w:rsid w:val="000A5BEA"/>
    <w:rsid w:val="000A67CC"/>
    <w:rsid w:val="000A6B68"/>
    <w:rsid w:val="000A7228"/>
    <w:rsid w:val="000B0E96"/>
    <w:rsid w:val="000B33E8"/>
    <w:rsid w:val="000B49A9"/>
    <w:rsid w:val="000B4D5D"/>
    <w:rsid w:val="000B5123"/>
    <w:rsid w:val="000B512E"/>
    <w:rsid w:val="000B52F7"/>
    <w:rsid w:val="000B56E5"/>
    <w:rsid w:val="000B61D2"/>
    <w:rsid w:val="000B77C5"/>
    <w:rsid w:val="000C01ED"/>
    <w:rsid w:val="000C05F0"/>
    <w:rsid w:val="000C117C"/>
    <w:rsid w:val="000C1CBC"/>
    <w:rsid w:val="000C20D9"/>
    <w:rsid w:val="000C2979"/>
    <w:rsid w:val="000C3A60"/>
    <w:rsid w:val="000C4BA8"/>
    <w:rsid w:val="000C4FAE"/>
    <w:rsid w:val="000C504E"/>
    <w:rsid w:val="000C6B46"/>
    <w:rsid w:val="000D2B6B"/>
    <w:rsid w:val="000D2EC8"/>
    <w:rsid w:val="000D2F8F"/>
    <w:rsid w:val="000D40A7"/>
    <w:rsid w:val="000D5C48"/>
    <w:rsid w:val="000E00A8"/>
    <w:rsid w:val="000E0A6E"/>
    <w:rsid w:val="000E0B99"/>
    <w:rsid w:val="000E0F06"/>
    <w:rsid w:val="000E15C6"/>
    <w:rsid w:val="000E172A"/>
    <w:rsid w:val="000E1AA1"/>
    <w:rsid w:val="000E1E13"/>
    <w:rsid w:val="000E2A89"/>
    <w:rsid w:val="000E2BC2"/>
    <w:rsid w:val="000E3C47"/>
    <w:rsid w:val="000E534A"/>
    <w:rsid w:val="000E72F8"/>
    <w:rsid w:val="000E74A0"/>
    <w:rsid w:val="000F1705"/>
    <w:rsid w:val="000F17DE"/>
    <w:rsid w:val="000F1A92"/>
    <w:rsid w:val="000F2924"/>
    <w:rsid w:val="000F31A2"/>
    <w:rsid w:val="000F34D4"/>
    <w:rsid w:val="000F4033"/>
    <w:rsid w:val="000F4AE4"/>
    <w:rsid w:val="000F5372"/>
    <w:rsid w:val="001005C8"/>
    <w:rsid w:val="00100834"/>
    <w:rsid w:val="001024EB"/>
    <w:rsid w:val="0010275A"/>
    <w:rsid w:val="00103CDB"/>
    <w:rsid w:val="00103E2F"/>
    <w:rsid w:val="00104B31"/>
    <w:rsid w:val="001050AC"/>
    <w:rsid w:val="00105619"/>
    <w:rsid w:val="00105A23"/>
    <w:rsid w:val="00106A05"/>
    <w:rsid w:val="00116FE3"/>
    <w:rsid w:val="001216A1"/>
    <w:rsid w:val="001217E3"/>
    <w:rsid w:val="0012196D"/>
    <w:rsid w:val="001226B7"/>
    <w:rsid w:val="0012290F"/>
    <w:rsid w:val="00122E4D"/>
    <w:rsid w:val="00126642"/>
    <w:rsid w:val="00126691"/>
    <w:rsid w:val="0012771C"/>
    <w:rsid w:val="00127816"/>
    <w:rsid w:val="00127CDD"/>
    <w:rsid w:val="00127E9F"/>
    <w:rsid w:val="0013081D"/>
    <w:rsid w:val="00130B95"/>
    <w:rsid w:val="00132AF4"/>
    <w:rsid w:val="00133471"/>
    <w:rsid w:val="0013448D"/>
    <w:rsid w:val="00134777"/>
    <w:rsid w:val="00135BA6"/>
    <w:rsid w:val="00135E3A"/>
    <w:rsid w:val="00136B59"/>
    <w:rsid w:val="0014030D"/>
    <w:rsid w:val="00142150"/>
    <w:rsid w:val="00142B6B"/>
    <w:rsid w:val="0014301B"/>
    <w:rsid w:val="00143FE9"/>
    <w:rsid w:val="0014435A"/>
    <w:rsid w:val="001446F9"/>
    <w:rsid w:val="00145E68"/>
    <w:rsid w:val="001509A0"/>
    <w:rsid w:val="00150A9A"/>
    <w:rsid w:val="00150CF8"/>
    <w:rsid w:val="001515A0"/>
    <w:rsid w:val="00152366"/>
    <w:rsid w:val="00156516"/>
    <w:rsid w:val="00156CB1"/>
    <w:rsid w:val="00161C8A"/>
    <w:rsid w:val="001630E1"/>
    <w:rsid w:val="00163488"/>
    <w:rsid w:val="001635E3"/>
    <w:rsid w:val="00164257"/>
    <w:rsid w:val="001662E8"/>
    <w:rsid w:val="0016640B"/>
    <w:rsid w:val="00166D5B"/>
    <w:rsid w:val="0016737D"/>
    <w:rsid w:val="00167E53"/>
    <w:rsid w:val="00167F41"/>
    <w:rsid w:val="001719AE"/>
    <w:rsid w:val="00174033"/>
    <w:rsid w:val="0017674C"/>
    <w:rsid w:val="0017708B"/>
    <w:rsid w:val="001770B9"/>
    <w:rsid w:val="0018077A"/>
    <w:rsid w:val="001814BC"/>
    <w:rsid w:val="00181913"/>
    <w:rsid w:val="00181F79"/>
    <w:rsid w:val="00182E97"/>
    <w:rsid w:val="001835AF"/>
    <w:rsid w:val="00183BA3"/>
    <w:rsid w:val="00185478"/>
    <w:rsid w:val="00185BE0"/>
    <w:rsid w:val="00185DC1"/>
    <w:rsid w:val="00186015"/>
    <w:rsid w:val="0018644E"/>
    <w:rsid w:val="00186631"/>
    <w:rsid w:val="00186AEE"/>
    <w:rsid w:val="00190E05"/>
    <w:rsid w:val="001935ED"/>
    <w:rsid w:val="00193B06"/>
    <w:rsid w:val="00193BCC"/>
    <w:rsid w:val="00194728"/>
    <w:rsid w:val="00195B81"/>
    <w:rsid w:val="00195CD8"/>
    <w:rsid w:val="00195DD1"/>
    <w:rsid w:val="001978A0"/>
    <w:rsid w:val="00197D84"/>
    <w:rsid w:val="001A224D"/>
    <w:rsid w:val="001A3CFA"/>
    <w:rsid w:val="001A455D"/>
    <w:rsid w:val="001A484C"/>
    <w:rsid w:val="001A5066"/>
    <w:rsid w:val="001A51C4"/>
    <w:rsid w:val="001A7059"/>
    <w:rsid w:val="001AE26F"/>
    <w:rsid w:val="001B00D4"/>
    <w:rsid w:val="001B2E83"/>
    <w:rsid w:val="001B37E4"/>
    <w:rsid w:val="001B4A03"/>
    <w:rsid w:val="001B5138"/>
    <w:rsid w:val="001B6F1E"/>
    <w:rsid w:val="001C187B"/>
    <w:rsid w:val="001C323B"/>
    <w:rsid w:val="001C4043"/>
    <w:rsid w:val="001C4F76"/>
    <w:rsid w:val="001C61AD"/>
    <w:rsid w:val="001C6456"/>
    <w:rsid w:val="001C7084"/>
    <w:rsid w:val="001C7ABD"/>
    <w:rsid w:val="001D0187"/>
    <w:rsid w:val="001D0A8F"/>
    <w:rsid w:val="001D17C2"/>
    <w:rsid w:val="001D354A"/>
    <w:rsid w:val="001D639D"/>
    <w:rsid w:val="001E09C3"/>
    <w:rsid w:val="001E1600"/>
    <w:rsid w:val="001E257F"/>
    <w:rsid w:val="001E2DA7"/>
    <w:rsid w:val="001E2F4C"/>
    <w:rsid w:val="001E3EF3"/>
    <w:rsid w:val="001E6357"/>
    <w:rsid w:val="001E6EEA"/>
    <w:rsid w:val="001E71B9"/>
    <w:rsid w:val="001E753B"/>
    <w:rsid w:val="001E778E"/>
    <w:rsid w:val="001E7AF6"/>
    <w:rsid w:val="001F0519"/>
    <w:rsid w:val="001F0A42"/>
    <w:rsid w:val="001F0F3B"/>
    <w:rsid w:val="001F111E"/>
    <w:rsid w:val="001F1319"/>
    <w:rsid w:val="001F14DA"/>
    <w:rsid w:val="001F2591"/>
    <w:rsid w:val="001F263D"/>
    <w:rsid w:val="001F2DAD"/>
    <w:rsid w:val="001F3C3F"/>
    <w:rsid w:val="001F4360"/>
    <w:rsid w:val="001F5AAA"/>
    <w:rsid w:val="001F6E34"/>
    <w:rsid w:val="001F771B"/>
    <w:rsid w:val="001F79AD"/>
    <w:rsid w:val="002009AC"/>
    <w:rsid w:val="00201A0D"/>
    <w:rsid w:val="00202755"/>
    <w:rsid w:val="002041B4"/>
    <w:rsid w:val="0020438E"/>
    <w:rsid w:val="002053C7"/>
    <w:rsid w:val="00207CEA"/>
    <w:rsid w:val="0021084A"/>
    <w:rsid w:val="0021115F"/>
    <w:rsid w:val="00212133"/>
    <w:rsid w:val="0021314B"/>
    <w:rsid w:val="00213F58"/>
    <w:rsid w:val="00216461"/>
    <w:rsid w:val="00216B2B"/>
    <w:rsid w:val="002170CF"/>
    <w:rsid w:val="00217823"/>
    <w:rsid w:val="0022087A"/>
    <w:rsid w:val="00221951"/>
    <w:rsid w:val="00221C9B"/>
    <w:rsid w:val="0022206E"/>
    <w:rsid w:val="00222D55"/>
    <w:rsid w:val="002235B8"/>
    <w:rsid w:val="0022397B"/>
    <w:rsid w:val="0022439B"/>
    <w:rsid w:val="0022620A"/>
    <w:rsid w:val="00226473"/>
    <w:rsid w:val="002265C3"/>
    <w:rsid w:val="0022783B"/>
    <w:rsid w:val="00232636"/>
    <w:rsid w:val="00232E37"/>
    <w:rsid w:val="00234640"/>
    <w:rsid w:val="00234798"/>
    <w:rsid w:val="00234979"/>
    <w:rsid w:val="00234BE6"/>
    <w:rsid w:val="00234C35"/>
    <w:rsid w:val="00234F23"/>
    <w:rsid w:val="00235292"/>
    <w:rsid w:val="00235AB7"/>
    <w:rsid w:val="00236303"/>
    <w:rsid w:val="00236BE0"/>
    <w:rsid w:val="002375A6"/>
    <w:rsid w:val="0023790E"/>
    <w:rsid w:val="00241AB4"/>
    <w:rsid w:val="0024266E"/>
    <w:rsid w:val="00243972"/>
    <w:rsid w:val="00245B20"/>
    <w:rsid w:val="00246435"/>
    <w:rsid w:val="00246B49"/>
    <w:rsid w:val="00246CA1"/>
    <w:rsid w:val="00246CBA"/>
    <w:rsid w:val="0025120A"/>
    <w:rsid w:val="002520C6"/>
    <w:rsid w:val="002531B7"/>
    <w:rsid w:val="00253D6B"/>
    <w:rsid w:val="00254B5F"/>
    <w:rsid w:val="00254D77"/>
    <w:rsid w:val="002572F0"/>
    <w:rsid w:val="00261195"/>
    <w:rsid w:val="002624CE"/>
    <w:rsid w:val="00262530"/>
    <w:rsid w:val="00262AA8"/>
    <w:rsid w:val="00262DCE"/>
    <w:rsid w:val="002630FD"/>
    <w:rsid w:val="00264418"/>
    <w:rsid w:val="00266157"/>
    <w:rsid w:val="00266962"/>
    <w:rsid w:val="0026793D"/>
    <w:rsid w:val="0027041E"/>
    <w:rsid w:val="00270B45"/>
    <w:rsid w:val="00271C70"/>
    <w:rsid w:val="00273142"/>
    <w:rsid w:val="002753B7"/>
    <w:rsid w:val="00276791"/>
    <w:rsid w:val="00277E90"/>
    <w:rsid w:val="0028009F"/>
    <w:rsid w:val="00280A40"/>
    <w:rsid w:val="00280B6C"/>
    <w:rsid w:val="002819F5"/>
    <w:rsid w:val="0028265A"/>
    <w:rsid w:val="0028443D"/>
    <w:rsid w:val="00284E44"/>
    <w:rsid w:val="00286909"/>
    <w:rsid w:val="002926C6"/>
    <w:rsid w:val="00292D44"/>
    <w:rsid w:val="00292F71"/>
    <w:rsid w:val="0029364B"/>
    <w:rsid w:val="00293FA4"/>
    <w:rsid w:val="00294A22"/>
    <w:rsid w:val="002958A0"/>
    <w:rsid w:val="00296021"/>
    <w:rsid w:val="00296646"/>
    <w:rsid w:val="0029705C"/>
    <w:rsid w:val="00297456"/>
    <w:rsid w:val="002A1ACC"/>
    <w:rsid w:val="002A2D00"/>
    <w:rsid w:val="002A3212"/>
    <w:rsid w:val="002A39AE"/>
    <w:rsid w:val="002A3C5C"/>
    <w:rsid w:val="002A3E8A"/>
    <w:rsid w:val="002A3F98"/>
    <w:rsid w:val="002A5D97"/>
    <w:rsid w:val="002A6C61"/>
    <w:rsid w:val="002A7F1C"/>
    <w:rsid w:val="002B0473"/>
    <w:rsid w:val="002B0A98"/>
    <w:rsid w:val="002B17AD"/>
    <w:rsid w:val="002B2981"/>
    <w:rsid w:val="002B3E77"/>
    <w:rsid w:val="002B7EFA"/>
    <w:rsid w:val="002C0825"/>
    <w:rsid w:val="002C1B3D"/>
    <w:rsid w:val="002C2496"/>
    <w:rsid w:val="002C24D3"/>
    <w:rsid w:val="002C2BFA"/>
    <w:rsid w:val="002C3433"/>
    <w:rsid w:val="002C3B93"/>
    <w:rsid w:val="002C48DB"/>
    <w:rsid w:val="002C5524"/>
    <w:rsid w:val="002C67C0"/>
    <w:rsid w:val="002C7B71"/>
    <w:rsid w:val="002D00D9"/>
    <w:rsid w:val="002D1497"/>
    <w:rsid w:val="002D154E"/>
    <w:rsid w:val="002D309E"/>
    <w:rsid w:val="002D33B3"/>
    <w:rsid w:val="002D41C9"/>
    <w:rsid w:val="002D507A"/>
    <w:rsid w:val="002D5E5E"/>
    <w:rsid w:val="002D6ABF"/>
    <w:rsid w:val="002D7BBC"/>
    <w:rsid w:val="002E0404"/>
    <w:rsid w:val="002E067E"/>
    <w:rsid w:val="002E06F8"/>
    <w:rsid w:val="002E0ADD"/>
    <w:rsid w:val="002E58D6"/>
    <w:rsid w:val="002E5A3F"/>
    <w:rsid w:val="002E6130"/>
    <w:rsid w:val="002E627C"/>
    <w:rsid w:val="002F0CFF"/>
    <w:rsid w:val="002F1806"/>
    <w:rsid w:val="002F2863"/>
    <w:rsid w:val="002F3D86"/>
    <w:rsid w:val="002F40B9"/>
    <w:rsid w:val="002F4484"/>
    <w:rsid w:val="002F54AA"/>
    <w:rsid w:val="002F5980"/>
    <w:rsid w:val="002F6A7C"/>
    <w:rsid w:val="002F6CE8"/>
    <w:rsid w:val="002F6D7B"/>
    <w:rsid w:val="002F7B8E"/>
    <w:rsid w:val="00300382"/>
    <w:rsid w:val="00300B21"/>
    <w:rsid w:val="00300EED"/>
    <w:rsid w:val="00301DEE"/>
    <w:rsid w:val="003024FF"/>
    <w:rsid w:val="0030258B"/>
    <w:rsid w:val="00302A3F"/>
    <w:rsid w:val="00303975"/>
    <w:rsid w:val="00304A8B"/>
    <w:rsid w:val="00304F43"/>
    <w:rsid w:val="00310520"/>
    <w:rsid w:val="0031096E"/>
    <w:rsid w:val="00311143"/>
    <w:rsid w:val="00311756"/>
    <w:rsid w:val="00311C2C"/>
    <w:rsid w:val="00314356"/>
    <w:rsid w:val="0031468F"/>
    <w:rsid w:val="0031527C"/>
    <w:rsid w:val="00315C5F"/>
    <w:rsid w:val="00316255"/>
    <w:rsid w:val="00316528"/>
    <w:rsid w:val="00316D17"/>
    <w:rsid w:val="00317F6B"/>
    <w:rsid w:val="00320743"/>
    <w:rsid w:val="00321B5E"/>
    <w:rsid w:val="0032262A"/>
    <w:rsid w:val="003229F9"/>
    <w:rsid w:val="00323C02"/>
    <w:rsid w:val="00324C29"/>
    <w:rsid w:val="00324D6C"/>
    <w:rsid w:val="0032576C"/>
    <w:rsid w:val="00325944"/>
    <w:rsid w:val="00325BC3"/>
    <w:rsid w:val="00326822"/>
    <w:rsid w:val="003274B1"/>
    <w:rsid w:val="0033400A"/>
    <w:rsid w:val="0033410D"/>
    <w:rsid w:val="00336789"/>
    <w:rsid w:val="00336E63"/>
    <w:rsid w:val="003377B1"/>
    <w:rsid w:val="00340477"/>
    <w:rsid w:val="0034307A"/>
    <w:rsid w:val="00343B08"/>
    <w:rsid w:val="00344136"/>
    <w:rsid w:val="00345D42"/>
    <w:rsid w:val="0034609F"/>
    <w:rsid w:val="003467E8"/>
    <w:rsid w:val="00347B8A"/>
    <w:rsid w:val="00347B95"/>
    <w:rsid w:val="00347FE1"/>
    <w:rsid w:val="00350004"/>
    <w:rsid w:val="00350D62"/>
    <w:rsid w:val="003510A9"/>
    <w:rsid w:val="0035131B"/>
    <w:rsid w:val="00352123"/>
    <w:rsid w:val="003549CC"/>
    <w:rsid w:val="00355C75"/>
    <w:rsid w:val="0035676D"/>
    <w:rsid w:val="00356928"/>
    <w:rsid w:val="0035692E"/>
    <w:rsid w:val="00357756"/>
    <w:rsid w:val="003577B2"/>
    <w:rsid w:val="00357FBB"/>
    <w:rsid w:val="00360090"/>
    <w:rsid w:val="003601AF"/>
    <w:rsid w:val="00360629"/>
    <w:rsid w:val="003635F5"/>
    <w:rsid w:val="00363783"/>
    <w:rsid w:val="00363C58"/>
    <w:rsid w:val="00363FD4"/>
    <w:rsid w:val="00364010"/>
    <w:rsid w:val="003641A0"/>
    <w:rsid w:val="00364A16"/>
    <w:rsid w:val="003660D2"/>
    <w:rsid w:val="00366E55"/>
    <w:rsid w:val="0036714C"/>
    <w:rsid w:val="003676D0"/>
    <w:rsid w:val="0036794D"/>
    <w:rsid w:val="00367C7B"/>
    <w:rsid w:val="0037052A"/>
    <w:rsid w:val="00370664"/>
    <w:rsid w:val="0037196F"/>
    <w:rsid w:val="003723C9"/>
    <w:rsid w:val="003723E5"/>
    <w:rsid w:val="0037285F"/>
    <w:rsid w:val="00373109"/>
    <w:rsid w:val="0037341F"/>
    <w:rsid w:val="003744F4"/>
    <w:rsid w:val="00375460"/>
    <w:rsid w:val="00377099"/>
    <w:rsid w:val="00380B55"/>
    <w:rsid w:val="00381067"/>
    <w:rsid w:val="0038164B"/>
    <w:rsid w:val="003824F1"/>
    <w:rsid w:val="00383CD7"/>
    <w:rsid w:val="0038624A"/>
    <w:rsid w:val="00387283"/>
    <w:rsid w:val="003875A7"/>
    <w:rsid w:val="0038788F"/>
    <w:rsid w:val="00387D86"/>
    <w:rsid w:val="00387ECB"/>
    <w:rsid w:val="00391EEF"/>
    <w:rsid w:val="00393707"/>
    <w:rsid w:val="00394B02"/>
    <w:rsid w:val="00394D25"/>
    <w:rsid w:val="00396A8A"/>
    <w:rsid w:val="00396F61"/>
    <w:rsid w:val="0039730B"/>
    <w:rsid w:val="00397A73"/>
    <w:rsid w:val="00397C78"/>
    <w:rsid w:val="003A0447"/>
    <w:rsid w:val="003A0AA6"/>
    <w:rsid w:val="003A18E5"/>
    <w:rsid w:val="003A1C61"/>
    <w:rsid w:val="003A4270"/>
    <w:rsid w:val="003A44C3"/>
    <w:rsid w:val="003A5532"/>
    <w:rsid w:val="003A5CF6"/>
    <w:rsid w:val="003A6382"/>
    <w:rsid w:val="003A6CAA"/>
    <w:rsid w:val="003A6E6E"/>
    <w:rsid w:val="003A71E6"/>
    <w:rsid w:val="003B07EA"/>
    <w:rsid w:val="003B09EA"/>
    <w:rsid w:val="003B0E8B"/>
    <w:rsid w:val="003B14F0"/>
    <w:rsid w:val="003B2998"/>
    <w:rsid w:val="003B2D6B"/>
    <w:rsid w:val="003B5236"/>
    <w:rsid w:val="003B65B7"/>
    <w:rsid w:val="003B6C20"/>
    <w:rsid w:val="003B7792"/>
    <w:rsid w:val="003C19A7"/>
    <w:rsid w:val="003C19CE"/>
    <w:rsid w:val="003C2942"/>
    <w:rsid w:val="003C3EE3"/>
    <w:rsid w:val="003C5233"/>
    <w:rsid w:val="003D069C"/>
    <w:rsid w:val="003D1C98"/>
    <w:rsid w:val="003D1C9A"/>
    <w:rsid w:val="003D1FFC"/>
    <w:rsid w:val="003D26E8"/>
    <w:rsid w:val="003D54C9"/>
    <w:rsid w:val="003D5B2D"/>
    <w:rsid w:val="003D5E0D"/>
    <w:rsid w:val="003D6419"/>
    <w:rsid w:val="003D7847"/>
    <w:rsid w:val="003E1B15"/>
    <w:rsid w:val="003E202D"/>
    <w:rsid w:val="003E451A"/>
    <w:rsid w:val="003E45A4"/>
    <w:rsid w:val="003E4645"/>
    <w:rsid w:val="003E4F71"/>
    <w:rsid w:val="003E72B7"/>
    <w:rsid w:val="003E7CAB"/>
    <w:rsid w:val="003E7E6F"/>
    <w:rsid w:val="003E7F70"/>
    <w:rsid w:val="003F11A1"/>
    <w:rsid w:val="003F1FAA"/>
    <w:rsid w:val="003F368F"/>
    <w:rsid w:val="003F3A23"/>
    <w:rsid w:val="003F4675"/>
    <w:rsid w:val="003F4C3F"/>
    <w:rsid w:val="003F5639"/>
    <w:rsid w:val="003F5747"/>
    <w:rsid w:val="003F6848"/>
    <w:rsid w:val="00401287"/>
    <w:rsid w:val="00401547"/>
    <w:rsid w:val="00402D90"/>
    <w:rsid w:val="00404BA5"/>
    <w:rsid w:val="00405B39"/>
    <w:rsid w:val="00405EF4"/>
    <w:rsid w:val="00406757"/>
    <w:rsid w:val="00407330"/>
    <w:rsid w:val="004076FB"/>
    <w:rsid w:val="00407947"/>
    <w:rsid w:val="00410884"/>
    <w:rsid w:val="00411D43"/>
    <w:rsid w:val="00413000"/>
    <w:rsid w:val="00413A0E"/>
    <w:rsid w:val="00414BBC"/>
    <w:rsid w:val="00415CBE"/>
    <w:rsid w:val="004169D7"/>
    <w:rsid w:val="004174C9"/>
    <w:rsid w:val="004203A3"/>
    <w:rsid w:val="004208D5"/>
    <w:rsid w:val="00420DB8"/>
    <w:rsid w:val="00420F44"/>
    <w:rsid w:val="00423BEA"/>
    <w:rsid w:val="00423D48"/>
    <w:rsid w:val="00425DE1"/>
    <w:rsid w:val="00426318"/>
    <w:rsid w:val="004267DC"/>
    <w:rsid w:val="00427C20"/>
    <w:rsid w:val="00430667"/>
    <w:rsid w:val="004313CC"/>
    <w:rsid w:val="004313EC"/>
    <w:rsid w:val="004327B6"/>
    <w:rsid w:val="00432E73"/>
    <w:rsid w:val="00433979"/>
    <w:rsid w:val="00434C67"/>
    <w:rsid w:val="00435169"/>
    <w:rsid w:val="00435317"/>
    <w:rsid w:val="00435B2A"/>
    <w:rsid w:val="00440144"/>
    <w:rsid w:val="00440217"/>
    <w:rsid w:val="004407A2"/>
    <w:rsid w:val="00441781"/>
    <w:rsid w:val="0044423B"/>
    <w:rsid w:val="00445577"/>
    <w:rsid w:val="00445BDA"/>
    <w:rsid w:val="00447048"/>
    <w:rsid w:val="004478A7"/>
    <w:rsid w:val="004479E4"/>
    <w:rsid w:val="00450591"/>
    <w:rsid w:val="0045207F"/>
    <w:rsid w:val="00452D9A"/>
    <w:rsid w:val="00453979"/>
    <w:rsid w:val="00453F67"/>
    <w:rsid w:val="004549B3"/>
    <w:rsid w:val="00454EFE"/>
    <w:rsid w:val="004559A5"/>
    <w:rsid w:val="00455B6F"/>
    <w:rsid w:val="00456EC7"/>
    <w:rsid w:val="00456FAF"/>
    <w:rsid w:val="00457482"/>
    <w:rsid w:val="004575E6"/>
    <w:rsid w:val="004617C1"/>
    <w:rsid w:val="0046195E"/>
    <w:rsid w:val="00461D49"/>
    <w:rsid w:val="0046318E"/>
    <w:rsid w:val="00463E11"/>
    <w:rsid w:val="00465E5B"/>
    <w:rsid w:val="004662C8"/>
    <w:rsid w:val="00466DAB"/>
    <w:rsid w:val="004670E4"/>
    <w:rsid w:val="0047029A"/>
    <w:rsid w:val="004707A1"/>
    <w:rsid w:val="00470C0E"/>
    <w:rsid w:val="004713B9"/>
    <w:rsid w:val="004718F0"/>
    <w:rsid w:val="0047222F"/>
    <w:rsid w:val="00472320"/>
    <w:rsid w:val="00472B9D"/>
    <w:rsid w:val="00473BA2"/>
    <w:rsid w:val="00475BC5"/>
    <w:rsid w:val="00480198"/>
    <w:rsid w:val="00481191"/>
    <w:rsid w:val="004811CA"/>
    <w:rsid w:val="00481815"/>
    <w:rsid w:val="00481D89"/>
    <w:rsid w:val="0048407E"/>
    <w:rsid w:val="00484305"/>
    <w:rsid w:val="00485433"/>
    <w:rsid w:val="00486751"/>
    <w:rsid w:val="0048783A"/>
    <w:rsid w:val="0048793F"/>
    <w:rsid w:val="00487C3C"/>
    <w:rsid w:val="00487E5C"/>
    <w:rsid w:val="00487ED7"/>
    <w:rsid w:val="00490599"/>
    <w:rsid w:val="00492DEC"/>
    <w:rsid w:val="004936AB"/>
    <w:rsid w:val="00494937"/>
    <w:rsid w:val="00494A51"/>
    <w:rsid w:val="0049553D"/>
    <w:rsid w:val="004968AC"/>
    <w:rsid w:val="004971AC"/>
    <w:rsid w:val="004A0F9A"/>
    <w:rsid w:val="004A1082"/>
    <w:rsid w:val="004A12A8"/>
    <w:rsid w:val="004A1D58"/>
    <w:rsid w:val="004A43E7"/>
    <w:rsid w:val="004A4B6E"/>
    <w:rsid w:val="004A5019"/>
    <w:rsid w:val="004A6A54"/>
    <w:rsid w:val="004A7ACE"/>
    <w:rsid w:val="004B25CC"/>
    <w:rsid w:val="004B27F6"/>
    <w:rsid w:val="004B33CB"/>
    <w:rsid w:val="004B41F3"/>
    <w:rsid w:val="004B54E4"/>
    <w:rsid w:val="004B62E3"/>
    <w:rsid w:val="004C011C"/>
    <w:rsid w:val="004C02A7"/>
    <w:rsid w:val="004C0473"/>
    <w:rsid w:val="004C0477"/>
    <w:rsid w:val="004C083B"/>
    <w:rsid w:val="004C0C5C"/>
    <w:rsid w:val="004C19CE"/>
    <w:rsid w:val="004C29AF"/>
    <w:rsid w:val="004C2DC7"/>
    <w:rsid w:val="004C5A37"/>
    <w:rsid w:val="004C65B4"/>
    <w:rsid w:val="004C7008"/>
    <w:rsid w:val="004D08C5"/>
    <w:rsid w:val="004D26AA"/>
    <w:rsid w:val="004D2D69"/>
    <w:rsid w:val="004D4FAF"/>
    <w:rsid w:val="004D6D07"/>
    <w:rsid w:val="004D7351"/>
    <w:rsid w:val="004D7E74"/>
    <w:rsid w:val="004E0DEC"/>
    <w:rsid w:val="004E1440"/>
    <w:rsid w:val="004E20F7"/>
    <w:rsid w:val="004E260F"/>
    <w:rsid w:val="004E26AC"/>
    <w:rsid w:val="004E26E9"/>
    <w:rsid w:val="004E3F07"/>
    <w:rsid w:val="004E6C65"/>
    <w:rsid w:val="004E731E"/>
    <w:rsid w:val="004E7B3C"/>
    <w:rsid w:val="004F55F3"/>
    <w:rsid w:val="004F6489"/>
    <w:rsid w:val="004F7010"/>
    <w:rsid w:val="00500662"/>
    <w:rsid w:val="005015D1"/>
    <w:rsid w:val="00501AB5"/>
    <w:rsid w:val="00501D89"/>
    <w:rsid w:val="00502D71"/>
    <w:rsid w:val="00503A2D"/>
    <w:rsid w:val="00504EB7"/>
    <w:rsid w:val="00505A4C"/>
    <w:rsid w:val="005064EC"/>
    <w:rsid w:val="00506C0B"/>
    <w:rsid w:val="00507775"/>
    <w:rsid w:val="00507EDC"/>
    <w:rsid w:val="005118DF"/>
    <w:rsid w:val="00512F36"/>
    <w:rsid w:val="005155CB"/>
    <w:rsid w:val="005177B2"/>
    <w:rsid w:val="00517A9D"/>
    <w:rsid w:val="00517CFA"/>
    <w:rsid w:val="00521D39"/>
    <w:rsid w:val="00522C2D"/>
    <w:rsid w:val="00522D71"/>
    <w:rsid w:val="00522F9F"/>
    <w:rsid w:val="00524061"/>
    <w:rsid w:val="00524B9C"/>
    <w:rsid w:val="0052503D"/>
    <w:rsid w:val="0052525D"/>
    <w:rsid w:val="00526C26"/>
    <w:rsid w:val="00526D92"/>
    <w:rsid w:val="00527A2D"/>
    <w:rsid w:val="00527C00"/>
    <w:rsid w:val="00527C5A"/>
    <w:rsid w:val="00530710"/>
    <w:rsid w:val="00530C96"/>
    <w:rsid w:val="00530EBB"/>
    <w:rsid w:val="00531FA8"/>
    <w:rsid w:val="00532417"/>
    <w:rsid w:val="0053322C"/>
    <w:rsid w:val="005337BD"/>
    <w:rsid w:val="0053455A"/>
    <w:rsid w:val="00534FAA"/>
    <w:rsid w:val="00537A70"/>
    <w:rsid w:val="005402D6"/>
    <w:rsid w:val="00540598"/>
    <w:rsid w:val="0054086A"/>
    <w:rsid w:val="005409D6"/>
    <w:rsid w:val="005411B5"/>
    <w:rsid w:val="0054352C"/>
    <w:rsid w:val="00543E15"/>
    <w:rsid w:val="005455CC"/>
    <w:rsid w:val="00545CF1"/>
    <w:rsid w:val="00547101"/>
    <w:rsid w:val="0054740F"/>
    <w:rsid w:val="00547595"/>
    <w:rsid w:val="00553D55"/>
    <w:rsid w:val="00553EE2"/>
    <w:rsid w:val="005549F1"/>
    <w:rsid w:val="00555B51"/>
    <w:rsid w:val="0055655E"/>
    <w:rsid w:val="005568C0"/>
    <w:rsid w:val="00556AE6"/>
    <w:rsid w:val="00556C48"/>
    <w:rsid w:val="005605B4"/>
    <w:rsid w:val="00560B3D"/>
    <w:rsid w:val="00560C8D"/>
    <w:rsid w:val="00562535"/>
    <w:rsid w:val="00564CF3"/>
    <w:rsid w:val="00565AFE"/>
    <w:rsid w:val="005661BD"/>
    <w:rsid w:val="00566D73"/>
    <w:rsid w:val="00567922"/>
    <w:rsid w:val="00567CF0"/>
    <w:rsid w:val="00570107"/>
    <w:rsid w:val="00570CD4"/>
    <w:rsid w:val="005712DD"/>
    <w:rsid w:val="005729DF"/>
    <w:rsid w:val="005729F7"/>
    <w:rsid w:val="0057328D"/>
    <w:rsid w:val="005734AB"/>
    <w:rsid w:val="0057373A"/>
    <w:rsid w:val="005737E7"/>
    <w:rsid w:val="00574611"/>
    <w:rsid w:val="00575A3E"/>
    <w:rsid w:val="00575C77"/>
    <w:rsid w:val="0057679A"/>
    <w:rsid w:val="00576A50"/>
    <w:rsid w:val="00576A6F"/>
    <w:rsid w:val="00576FE0"/>
    <w:rsid w:val="005809F7"/>
    <w:rsid w:val="0058198A"/>
    <w:rsid w:val="005822DF"/>
    <w:rsid w:val="00582CD4"/>
    <w:rsid w:val="00585841"/>
    <w:rsid w:val="00585EA8"/>
    <w:rsid w:val="0058680A"/>
    <w:rsid w:val="0058747D"/>
    <w:rsid w:val="005877D0"/>
    <w:rsid w:val="00590BFA"/>
    <w:rsid w:val="00591FDB"/>
    <w:rsid w:val="005922AD"/>
    <w:rsid w:val="005925E5"/>
    <w:rsid w:val="00592B77"/>
    <w:rsid w:val="005947C1"/>
    <w:rsid w:val="0059755F"/>
    <w:rsid w:val="005A07D2"/>
    <w:rsid w:val="005A0BC9"/>
    <w:rsid w:val="005A534F"/>
    <w:rsid w:val="005A76E3"/>
    <w:rsid w:val="005A7CDA"/>
    <w:rsid w:val="005B00A1"/>
    <w:rsid w:val="005B034F"/>
    <w:rsid w:val="005B0445"/>
    <w:rsid w:val="005B1872"/>
    <w:rsid w:val="005B1CFD"/>
    <w:rsid w:val="005B1E78"/>
    <w:rsid w:val="005B2C2D"/>
    <w:rsid w:val="005B4179"/>
    <w:rsid w:val="005B42E1"/>
    <w:rsid w:val="005B478D"/>
    <w:rsid w:val="005B49DF"/>
    <w:rsid w:val="005B5D17"/>
    <w:rsid w:val="005B7BE2"/>
    <w:rsid w:val="005C0358"/>
    <w:rsid w:val="005C0BEC"/>
    <w:rsid w:val="005C1961"/>
    <w:rsid w:val="005C39BA"/>
    <w:rsid w:val="005C4457"/>
    <w:rsid w:val="005C5075"/>
    <w:rsid w:val="005C7038"/>
    <w:rsid w:val="005C7897"/>
    <w:rsid w:val="005D0E68"/>
    <w:rsid w:val="005D4F1C"/>
    <w:rsid w:val="005D4FE8"/>
    <w:rsid w:val="005D55D7"/>
    <w:rsid w:val="005D590D"/>
    <w:rsid w:val="005D5DBD"/>
    <w:rsid w:val="005D6739"/>
    <w:rsid w:val="005D676F"/>
    <w:rsid w:val="005E0669"/>
    <w:rsid w:val="005E100F"/>
    <w:rsid w:val="005E1344"/>
    <w:rsid w:val="005E1788"/>
    <w:rsid w:val="005E250A"/>
    <w:rsid w:val="005E2F4F"/>
    <w:rsid w:val="005E4E95"/>
    <w:rsid w:val="005E6ADA"/>
    <w:rsid w:val="005E7CE0"/>
    <w:rsid w:val="005F022A"/>
    <w:rsid w:val="005F2735"/>
    <w:rsid w:val="005F2A30"/>
    <w:rsid w:val="005F36CC"/>
    <w:rsid w:val="005F3EFA"/>
    <w:rsid w:val="005F43C1"/>
    <w:rsid w:val="005F43E7"/>
    <w:rsid w:val="005F52CA"/>
    <w:rsid w:val="005F53B3"/>
    <w:rsid w:val="005F7F27"/>
    <w:rsid w:val="00600749"/>
    <w:rsid w:val="00601AFF"/>
    <w:rsid w:val="00601E21"/>
    <w:rsid w:val="00601EA6"/>
    <w:rsid w:val="00602CB2"/>
    <w:rsid w:val="00603344"/>
    <w:rsid w:val="0060526F"/>
    <w:rsid w:val="006052E5"/>
    <w:rsid w:val="00607CA6"/>
    <w:rsid w:val="00610016"/>
    <w:rsid w:val="00610D9E"/>
    <w:rsid w:val="00612075"/>
    <w:rsid w:val="0061267E"/>
    <w:rsid w:val="00614694"/>
    <w:rsid w:val="00615C0F"/>
    <w:rsid w:val="00617605"/>
    <w:rsid w:val="006207C5"/>
    <w:rsid w:val="0062174A"/>
    <w:rsid w:val="00621FD5"/>
    <w:rsid w:val="00623CE5"/>
    <w:rsid w:val="00624746"/>
    <w:rsid w:val="0062504B"/>
    <w:rsid w:val="00625631"/>
    <w:rsid w:val="0062621C"/>
    <w:rsid w:val="00626AD3"/>
    <w:rsid w:val="00627087"/>
    <w:rsid w:val="00631148"/>
    <w:rsid w:val="006318EA"/>
    <w:rsid w:val="0063292A"/>
    <w:rsid w:val="00633B86"/>
    <w:rsid w:val="00634426"/>
    <w:rsid w:val="006345B5"/>
    <w:rsid w:val="00634A31"/>
    <w:rsid w:val="00636CCB"/>
    <w:rsid w:val="006374B4"/>
    <w:rsid w:val="0064002D"/>
    <w:rsid w:val="00641F0D"/>
    <w:rsid w:val="00642B24"/>
    <w:rsid w:val="00643CD7"/>
    <w:rsid w:val="00643DDF"/>
    <w:rsid w:val="006451F0"/>
    <w:rsid w:val="00645345"/>
    <w:rsid w:val="00645B9C"/>
    <w:rsid w:val="00645D12"/>
    <w:rsid w:val="00646279"/>
    <w:rsid w:val="0064649D"/>
    <w:rsid w:val="0064676D"/>
    <w:rsid w:val="00646CFC"/>
    <w:rsid w:val="006477BA"/>
    <w:rsid w:val="006478B1"/>
    <w:rsid w:val="006511E5"/>
    <w:rsid w:val="00651D25"/>
    <w:rsid w:val="006525DB"/>
    <w:rsid w:val="0065267F"/>
    <w:rsid w:val="00652797"/>
    <w:rsid w:val="00654E67"/>
    <w:rsid w:val="0065550C"/>
    <w:rsid w:val="00656517"/>
    <w:rsid w:val="00657DAF"/>
    <w:rsid w:val="00660280"/>
    <w:rsid w:val="00660CEC"/>
    <w:rsid w:val="00661BBF"/>
    <w:rsid w:val="00661DFE"/>
    <w:rsid w:val="006624DF"/>
    <w:rsid w:val="00662E26"/>
    <w:rsid w:val="006633DE"/>
    <w:rsid w:val="00663C92"/>
    <w:rsid w:val="00665B89"/>
    <w:rsid w:val="00666572"/>
    <w:rsid w:val="006665B5"/>
    <w:rsid w:val="00667884"/>
    <w:rsid w:val="00670479"/>
    <w:rsid w:val="00671221"/>
    <w:rsid w:val="00671432"/>
    <w:rsid w:val="00673518"/>
    <w:rsid w:val="0067385F"/>
    <w:rsid w:val="006800EE"/>
    <w:rsid w:val="00680D4A"/>
    <w:rsid w:val="006822D0"/>
    <w:rsid w:val="00682CBC"/>
    <w:rsid w:val="00684A75"/>
    <w:rsid w:val="0068509E"/>
    <w:rsid w:val="00685BF8"/>
    <w:rsid w:val="00685C1F"/>
    <w:rsid w:val="00685C7F"/>
    <w:rsid w:val="0068654F"/>
    <w:rsid w:val="0068780F"/>
    <w:rsid w:val="00690B32"/>
    <w:rsid w:val="00691A9E"/>
    <w:rsid w:val="00691C61"/>
    <w:rsid w:val="0069262B"/>
    <w:rsid w:val="006929DA"/>
    <w:rsid w:val="00692DB6"/>
    <w:rsid w:val="0069377D"/>
    <w:rsid w:val="00694507"/>
    <w:rsid w:val="00694630"/>
    <w:rsid w:val="00694B18"/>
    <w:rsid w:val="00695D97"/>
    <w:rsid w:val="006961F9"/>
    <w:rsid w:val="00696465"/>
    <w:rsid w:val="00696A2B"/>
    <w:rsid w:val="006A0F09"/>
    <w:rsid w:val="006A1AD9"/>
    <w:rsid w:val="006A1C49"/>
    <w:rsid w:val="006A2452"/>
    <w:rsid w:val="006A3AF2"/>
    <w:rsid w:val="006A4794"/>
    <w:rsid w:val="006A563B"/>
    <w:rsid w:val="006A6492"/>
    <w:rsid w:val="006B0806"/>
    <w:rsid w:val="006B0B07"/>
    <w:rsid w:val="006B2E3E"/>
    <w:rsid w:val="006B39A8"/>
    <w:rsid w:val="006B455D"/>
    <w:rsid w:val="006B68D3"/>
    <w:rsid w:val="006B7674"/>
    <w:rsid w:val="006C05B9"/>
    <w:rsid w:val="006C0BF3"/>
    <w:rsid w:val="006C1139"/>
    <w:rsid w:val="006C1B9B"/>
    <w:rsid w:val="006C26A5"/>
    <w:rsid w:val="006C2790"/>
    <w:rsid w:val="006C3407"/>
    <w:rsid w:val="006C5082"/>
    <w:rsid w:val="006C5110"/>
    <w:rsid w:val="006C542E"/>
    <w:rsid w:val="006C6A9A"/>
    <w:rsid w:val="006C72B5"/>
    <w:rsid w:val="006C7640"/>
    <w:rsid w:val="006C7BF4"/>
    <w:rsid w:val="006C7FAE"/>
    <w:rsid w:val="006D0922"/>
    <w:rsid w:val="006D0933"/>
    <w:rsid w:val="006D13B8"/>
    <w:rsid w:val="006D2EA9"/>
    <w:rsid w:val="006D5381"/>
    <w:rsid w:val="006E058C"/>
    <w:rsid w:val="006E2AE3"/>
    <w:rsid w:val="006E3410"/>
    <w:rsid w:val="006E4551"/>
    <w:rsid w:val="006E510F"/>
    <w:rsid w:val="006E669B"/>
    <w:rsid w:val="006E6BED"/>
    <w:rsid w:val="006E6DE6"/>
    <w:rsid w:val="006E7798"/>
    <w:rsid w:val="006F0CDE"/>
    <w:rsid w:val="006F107C"/>
    <w:rsid w:val="006F1901"/>
    <w:rsid w:val="006F1C6C"/>
    <w:rsid w:val="006F1D47"/>
    <w:rsid w:val="006F26DD"/>
    <w:rsid w:val="006F3C36"/>
    <w:rsid w:val="006F489B"/>
    <w:rsid w:val="006F4AF7"/>
    <w:rsid w:val="006F4DD9"/>
    <w:rsid w:val="006F59F4"/>
    <w:rsid w:val="007005E3"/>
    <w:rsid w:val="007022E4"/>
    <w:rsid w:val="007031E7"/>
    <w:rsid w:val="00704C46"/>
    <w:rsid w:val="0070550C"/>
    <w:rsid w:val="00705AC7"/>
    <w:rsid w:val="00706581"/>
    <w:rsid w:val="00707A4A"/>
    <w:rsid w:val="00711105"/>
    <w:rsid w:val="007138C2"/>
    <w:rsid w:val="00713DE8"/>
    <w:rsid w:val="00714DB5"/>
    <w:rsid w:val="00715456"/>
    <w:rsid w:val="00715F06"/>
    <w:rsid w:val="007170F1"/>
    <w:rsid w:val="00721443"/>
    <w:rsid w:val="00721F46"/>
    <w:rsid w:val="00722007"/>
    <w:rsid w:val="00724F8D"/>
    <w:rsid w:val="007261B7"/>
    <w:rsid w:val="00727257"/>
    <w:rsid w:val="00727D58"/>
    <w:rsid w:val="007312E0"/>
    <w:rsid w:val="00731D1E"/>
    <w:rsid w:val="0073228A"/>
    <w:rsid w:val="007327EB"/>
    <w:rsid w:val="00732D70"/>
    <w:rsid w:val="00734242"/>
    <w:rsid w:val="00734EFF"/>
    <w:rsid w:val="00736359"/>
    <w:rsid w:val="007411F7"/>
    <w:rsid w:val="00744848"/>
    <w:rsid w:val="007450B4"/>
    <w:rsid w:val="00745B37"/>
    <w:rsid w:val="00745DA9"/>
    <w:rsid w:val="00746C39"/>
    <w:rsid w:val="00746F33"/>
    <w:rsid w:val="00747011"/>
    <w:rsid w:val="0074728C"/>
    <w:rsid w:val="0075055D"/>
    <w:rsid w:val="00750B2C"/>
    <w:rsid w:val="00750BF2"/>
    <w:rsid w:val="00751BD8"/>
    <w:rsid w:val="00752089"/>
    <w:rsid w:val="0075252C"/>
    <w:rsid w:val="00753E20"/>
    <w:rsid w:val="00753FF4"/>
    <w:rsid w:val="007547F7"/>
    <w:rsid w:val="00755164"/>
    <w:rsid w:val="00756B51"/>
    <w:rsid w:val="00756DDC"/>
    <w:rsid w:val="00757374"/>
    <w:rsid w:val="00757618"/>
    <w:rsid w:val="007603A2"/>
    <w:rsid w:val="0076097A"/>
    <w:rsid w:val="00760C8E"/>
    <w:rsid w:val="00761533"/>
    <w:rsid w:val="00761EF6"/>
    <w:rsid w:val="007622B3"/>
    <w:rsid w:val="00762D52"/>
    <w:rsid w:val="00762F35"/>
    <w:rsid w:val="00767216"/>
    <w:rsid w:val="0076786F"/>
    <w:rsid w:val="00770157"/>
    <w:rsid w:val="00772909"/>
    <w:rsid w:val="0077420F"/>
    <w:rsid w:val="00775EA4"/>
    <w:rsid w:val="00776289"/>
    <w:rsid w:val="00776C30"/>
    <w:rsid w:val="007776FC"/>
    <w:rsid w:val="007777A7"/>
    <w:rsid w:val="00780A0F"/>
    <w:rsid w:val="00780EA4"/>
    <w:rsid w:val="0078148C"/>
    <w:rsid w:val="00781E2D"/>
    <w:rsid w:val="0078233C"/>
    <w:rsid w:val="00782BC0"/>
    <w:rsid w:val="00782DED"/>
    <w:rsid w:val="00784CD5"/>
    <w:rsid w:val="007856CE"/>
    <w:rsid w:val="00787EE3"/>
    <w:rsid w:val="0079050A"/>
    <w:rsid w:val="00791058"/>
    <w:rsid w:val="00791E68"/>
    <w:rsid w:val="0079333A"/>
    <w:rsid w:val="00793CF3"/>
    <w:rsid w:val="00793FB2"/>
    <w:rsid w:val="0079542C"/>
    <w:rsid w:val="007957EA"/>
    <w:rsid w:val="00796B37"/>
    <w:rsid w:val="007A02FC"/>
    <w:rsid w:val="007A297D"/>
    <w:rsid w:val="007A2AE7"/>
    <w:rsid w:val="007A71CA"/>
    <w:rsid w:val="007A7CF0"/>
    <w:rsid w:val="007B0FA4"/>
    <w:rsid w:val="007B1DC9"/>
    <w:rsid w:val="007B2BA8"/>
    <w:rsid w:val="007B5D85"/>
    <w:rsid w:val="007B6A56"/>
    <w:rsid w:val="007B6B0C"/>
    <w:rsid w:val="007B7619"/>
    <w:rsid w:val="007B7669"/>
    <w:rsid w:val="007B7AED"/>
    <w:rsid w:val="007B7CFB"/>
    <w:rsid w:val="007B7D0C"/>
    <w:rsid w:val="007C12F6"/>
    <w:rsid w:val="007C2572"/>
    <w:rsid w:val="007C4329"/>
    <w:rsid w:val="007C4D15"/>
    <w:rsid w:val="007C53EC"/>
    <w:rsid w:val="007C5749"/>
    <w:rsid w:val="007C6701"/>
    <w:rsid w:val="007C7B40"/>
    <w:rsid w:val="007C7D08"/>
    <w:rsid w:val="007D3F7F"/>
    <w:rsid w:val="007D401B"/>
    <w:rsid w:val="007D4CC2"/>
    <w:rsid w:val="007D5C4E"/>
    <w:rsid w:val="007D638E"/>
    <w:rsid w:val="007D6801"/>
    <w:rsid w:val="007D74B8"/>
    <w:rsid w:val="007E0077"/>
    <w:rsid w:val="007E5215"/>
    <w:rsid w:val="007E6E50"/>
    <w:rsid w:val="007E72CB"/>
    <w:rsid w:val="007F13AF"/>
    <w:rsid w:val="007F2633"/>
    <w:rsid w:val="007F2759"/>
    <w:rsid w:val="007F3E58"/>
    <w:rsid w:val="007F450F"/>
    <w:rsid w:val="007F4BF8"/>
    <w:rsid w:val="007F4F2C"/>
    <w:rsid w:val="007F686F"/>
    <w:rsid w:val="007F7378"/>
    <w:rsid w:val="007F745A"/>
    <w:rsid w:val="00800373"/>
    <w:rsid w:val="00800878"/>
    <w:rsid w:val="00802C8F"/>
    <w:rsid w:val="008031D3"/>
    <w:rsid w:val="00804F02"/>
    <w:rsid w:val="00805AE4"/>
    <w:rsid w:val="00807459"/>
    <w:rsid w:val="0080797B"/>
    <w:rsid w:val="00807BF7"/>
    <w:rsid w:val="00811661"/>
    <w:rsid w:val="00812E56"/>
    <w:rsid w:val="00813F75"/>
    <w:rsid w:val="0081427F"/>
    <w:rsid w:val="00814B18"/>
    <w:rsid w:val="008160F5"/>
    <w:rsid w:val="00816418"/>
    <w:rsid w:val="0081682F"/>
    <w:rsid w:val="008207E5"/>
    <w:rsid w:val="00821264"/>
    <w:rsid w:val="00821A84"/>
    <w:rsid w:val="0082246F"/>
    <w:rsid w:val="00823737"/>
    <w:rsid w:val="008237F8"/>
    <w:rsid w:val="00823CA4"/>
    <w:rsid w:val="00823FCA"/>
    <w:rsid w:val="008244B4"/>
    <w:rsid w:val="00824C92"/>
    <w:rsid w:val="0082509B"/>
    <w:rsid w:val="008266BF"/>
    <w:rsid w:val="00827104"/>
    <w:rsid w:val="0082739B"/>
    <w:rsid w:val="00830AB8"/>
    <w:rsid w:val="00832663"/>
    <w:rsid w:val="0083511A"/>
    <w:rsid w:val="00835483"/>
    <w:rsid w:val="008357C3"/>
    <w:rsid w:val="0084150B"/>
    <w:rsid w:val="008420C3"/>
    <w:rsid w:val="00842822"/>
    <w:rsid w:val="00842E79"/>
    <w:rsid w:val="008443E0"/>
    <w:rsid w:val="0084561D"/>
    <w:rsid w:val="00846AA2"/>
    <w:rsid w:val="00846B5F"/>
    <w:rsid w:val="00847770"/>
    <w:rsid w:val="008500CB"/>
    <w:rsid w:val="0085108C"/>
    <w:rsid w:val="0085281D"/>
    <w:rsid w:val="00853CC0"/>
    <w:rsid w:val="00854BCB"/>
    <w:rsid w:val="0085557A"/>
    <w:rsid w:val="0085611E"/>
    <w:rsid w:val="00860182"/>
    <w:rsid w:val="00861A52"/>
    <w:rsid w:val="00861EDA"/>
    <w:rsid w:val="00862B7F"/>
    <w:rsid w:val="00863722"/>
    <w:rsid w:val="00863928"/>
    <w:rsid w:val="0086427B"/>
    <w:rsid w:val="00864762"/>
    <w:rsid w:val="00865159"/>
    <w:rsid w:val="0086710B"/>
    <w:rsid w:val="008675B5"/>
    <w:rsid w:val="008678C4"/>
    <w:rsid w:val="00870238"/>
    <w:rsid w:val="008714A8"/>
    <w:rsid w:val="0087177F"/>
    <w:rsid w:val="0087438D"/>
    <w:rsid w:val="008748F8"/>
    <w:rsid w:val="00875F7C"/>
    <w:rsid w:val="0087620D"/>
    <w:rsid w:val="008767B4"/>
    <w:rsid w:val="00876BB2"/>
    <w:rsid w:val="00876E55"/>
    <w:rsid w:val="00877393"/>
    <w:rsid w:val="00880CE1"/>
    <w:rsid w:val="0088158A"/>
    <w:rsid w:val="00881E2F"/>
    <w:rsid w:val="008821E7"/>
    <w:rsid w:val="00882468"/>
    <w:rsid w:val="008824E1"/>
    <w:rsid w:val="008825E7"/>
    <w:rsid w:val="00883D0B"/>
    <w:rsid w:val="00884AA8"/>
    <w:rsid w:val="00884F75"/>
    <w:rsid w:val="008851A8"/>
    <w:rsid w:val="00885CCE"/>
    <w:rsid w:val="008862D4"/>
    <w:rsid w:val="0089013A"/>
    <w:rsid w:val="008901D8"/>
    <w:rsid w:val="0089038F"/>
    <w:rsid w:val="00890543"/>
    <w:rsid w:val="00890DE2"/>
    <w:rsid w:val="008919C2"/>
    <w:rsid w:val="008922EE"/>
    <w:rsid w:val="008935C4"/>
    <w:rsid w:val="008953CC"/>
    <w:rsid w:val="00895F88"/>
    <w:rsid w:val="00897DB7"/>
    <w:rsid w:val="008A02B4"/>
    <w:rsid w:val="008A21CC"/>
    <w:rsid w:val="008A2735"/>
    <w:rsid w:val="008A2E56"/>
    <w:rsid w:val="008A38E8"/>
    <w:rsid w:val="008A3E68"/>
    <w:rsid w:val="008A4260"/>
    <w:rsid w:val="008A4B75"/>
    <w:rsid w:val="008A4EDD"/>
    <w:rsid w:val="008A55AB"/>
    <w:rsid w:val="008A5FE9"/>
    <w:rsid w:val="008A674D"/>
    <w:rsid w:val="008A6E72"/>
    <w:rsid w:val="008A7A1F"/>
    <w:rsid w:val="008A7E48"/>
    <w:rsid w:val="008B068C"/>
    <w:rsid w:val="008B2590"/>
    <w:rsid w:val="008B2BC8"/>
    <w:rsid w:val="008B2EE0"/>
    <w:rsid w:val="008B324D"/>
    <w:rsid w:val="008B325D"/>
    <w:rsid w:val="008B3856"/>
    <w:rsid w:val="008B5696"/>
    <w:rsid w:val="008C0E67"/>
    <w:rsid w:val="008C18B6"/>
    <w:rsid w:val="008C19BC"/>
    <w:rsid w:val="008C21F8"/>
    <w:rsid w:val="008C37C9"/>
    <w:rsid w:val="008C3A9D"/>
    <w:rsid w:val="008C4FC0"/>
    <w:rsid w:val="008C5EE6"/>
    <w:rsid w:val="008C6191"/>
    <w:rsid w:val="008C6224"/>
    <w:rsid w:val="008C7455"/>
    <w:rsid w:val="008C7A3B"/>
    <w:rsid w:val="008D0A36"/>
    <w:rsid w:val="008D3C47"/>
    <w:rsid w:val="008D5555"/>
    <w:rsid w:val="008D7201"/>
    <w:rsid w:val="008D7421"/>
    <w:rsid w:val="008D7775"/>
    <w:rsid w:val="008E1FAD"/>
    <w:rsid w:val="008E24E1"/>
    <w:rsid w:val="008E2ECD"/>
    <w:rsid w:val="008E30D0"/>
    <w:rsid w:val="008E51CE"/>
    <w:rsid w:val="008E74B9"/>
    <w:rsid w:val="008E768C"/>
    <w:rsid w:val="008E78F9"/>
    <w:rsid w:val="008F04A0"/>
    <w:rsid w:val="008F0C18"/>
    <w:rsid w:val="008F14C1"/>
    <w:rsid w:val="008F14EA"/>
    <w:rsid w:val="008F3349"/>
    <w:rsid w:val="008F46EA"/>
    <w:rsid w:val="008F4B87"/>
    <w:rsid w:val="008F5924"/>
    <w:rsid w:val="008F6852"/>
    <w:rsid w:val="008F6F5F"/>
    <w:rsid w:val="00901254"/>
    <w:rsid w:val="00901EA7"/>
    <w:rsid w:val="00901F6E"/>
    <w:rsid w:val="009036A0"/>
    <w:rsid w:val="009039C8"/>
    <w:rsid w:val="00903F01"/>
    <w:rsid w:val="00904970"/>
    <w:rsid w:val="009050C8"/>
    <w:rsid w:val="009060D7"/>
    <w:rsid w:val="00906C29"/>
    <w:rsid w:val="00907636"/>
    <w:rsid w:val="0091376E"/>
    <w:rsid w:val="00913914"/>
    <w:rsid w:val="0091402F"/>
    <w:rsid w:val="0091442B"/>
    <w:rsid w:val="00914854"/>
    <w:rsid w:val="009149D8"/>
    <w:rsid w:val="009152DE"/>
    <w:rsid w:val="0091544B"/>
    <w:rsid w:val="00917101"/>
    <w:rsid w:val="00920B08"/>
    <w:rsid w:val="00920BF4"/>
    <w:rsid w:val="00921869"/>
    <w:rsid w:val="00922088"/>
    <w:rsid w:val="00922379"/>
    <w:rsid w:val="009226F0"/>
    <w:rsid w:val="00923B16"/>
    <w:rsid w:val="0092468D"/>
    <w:rsid w:val="00926329"/>
    <w:rsid w:val="009267C7"/>
    <w:rsid w:val="00926F31"/>
    <w:rsid w:val="00927587"/>
    <w:rsid w:val="00927B34"/>
    <w:rsid w:val="009305D3"/>
    <w:rsid w:val="00931128"/>
    <w:rsid w:val="00931514"/>
    <w:rsid w:val="00931F82"/>
    <w:rsid w:val="00933AF8"/>
    <w:rsid w:val="00935488"/>
    <w:rsid w:val="00936488"/>
    <w:rsid w:val="0093686D"/>
    <w:rsid w:val="009426BA"/>
    <w:rsid w:val="00943B3D"/>
    <w:rsid w:val="009444DE"/>
    <w:rsid w:val="009457C1"/>
    <w:rsid w:val="009470AC"/>
    <w:rsid w:val="00947888"/>
    <w:rsid w:val="00950A4B"/>
    <w:rsid w:val="009512B0"/>
    <w:rsid w:val="009516A7"/>
    <w:rsid w:val="00952123"/>
    <w:rsid w:val="00952BD0"/>
    <w:rsid w:val="00952D14"/>
    <w:rsid w:val="00953765"/>
    <w:rsid w:val="00953A6A"/>
    <w:rsid w:val="00953C07"/>
    <w:rsid w:val="009544E3"/>
    <w:rsid w:val="00954695"/>
    <w:rsid w:val="0095494C"/>
    <w:rsid w:val="0095598F"/>
    <w:rsid w:val="00957B59"/>
    <w:rsid w:val="00957ECF"/>
    <w:rsid w:val="00960A79"/>
    <w:rsid w:val="00960AFA"/>
    <w:rsid w:val="0096134B"/>
    <w:rsid w:val="009613C1"/>
    <w:rsid w:val="00961DA2"/>
    <w:rsid w:val="0096429D"/>
    <w:rsid w:val="00964651"/>
    <w:rsid w:val="00965E0F"/>
    <w:rsid w:val="009676BF"/>
    <w:rsid w:val="00971299"/>
    <w:rsid w:val="0097175C"/>
    <w:rsid w:val="00974477"/>
    <w:rsid w:val="009747CA"/>
    <w:rsid w:val="00975232"/>
    <w:rsid w:val="009752D3"/>
    <w:rsid w:val="00976DB1"/>
    <w:rsid w:val="00977088"/>
    <w:rsid w:val="009808D3"/>
    <w:rsid w:val="00981305"/>
    <w:rsid w:val="009824E6"/>
    <w:rsid w:val="00983260"/>
    <w:rsid w:val="00983EAF"/>
    <w:rsid w:val="00985436"/>
    <w:rsid w:val="0098642C"/>
    <w:rsid w:val="009870E8"/>
    <w:rsid w:val="00987E35"/>
    <w:rsid w:val="00987EF7"/>
    <w:rsid w:val="009901B3"/>
    <w:rsid w:val="0099155A"/>
    <w:rsid w:val="00991C84"/>
    <w:rsid w:val="00992118"/>
    <w:rsid w:val="009923C3"/>
    <w:rsid w:val="00992AF0"/>
    <w:rsid w:val="00992EC5"/>
    <w:rsid w:val="009937DC"/>
    <w:rsid w:val="00995852"/>
    <w:rsid w:val="00996796"/>
    <w:rsid w:val="009A01F8"/>
    <w:rsid w:val="009A299A"/>
    <w:rsid w:val="009A3C62"/>
    <w:rsid w:val="009A4D73"/>
    <w:rsid w:val="009A595C"/>
    <w:rsid w:val="009A5BFF"/>
    <w:rsid w:val="009B3D1A"/>
    <w:rsid w:val="009B3DB3"/>
    <w:rsid w:val="009B52AF"/>
    <w:rsid w:val="009B5D93"/>
    <w:rsid w:val="009B64CD"/>
    <w:rsid w:val="009B651D"/>
    <w:rsid w:val="009B6717"/>
    <w:rsid w:val="009B6A5D"/>
    <w:rsid w:val="009C0D9B"/>
    <w:rsid w:val="009C1C68"/>
    <w:rsid w:val="009C4828"/>
    <w:rsid w:val="009C4B17"/>
    <w:rsid w:val="009C5357"/>
    <w:rsid w:val="009C5BE3"/>
    <w:rsid w:val="009D1050"/>
    <w:rsid w:val="009D1845"/>
    <w:rsid w:val="009D272D"/>
    <w:rsid w:val="009D28FA"/>
    <w:rsid w:val="009D4AB9"/>
    <w:rsid w:val="009D4E15"/>
    <w:rsid w:val="009D5A29"/>
    <w:rsid w:val="009D6376"/>
    <w:rsid w:val="009D67FF"/>
    <w:rsid w:val="009D697E"/>
    <w:rsid w:val="009D7264"/>
    <w:rsid w:val="009D7DDF"/>
    <w:rsid w:val="009E0C3E"/>
    <w:rsid w:val="009E13B1"/>
    <w:rsid w:val="009E142B"/>
    <w:rsid w:val="009E1711"/>
    <w:rsid w:val="009E21B8"/>
    <w:rsid w:val="009E47A7"/>
    <w:rsid w:val="009E5125"/>
    <w:rsid w:val="009E615F"/>
    <w:rsid w:val="009E701E"/>
    <w:rsid w:val="009E767D"/>
    <w:rsid w:val="009E77A1"/>
    <w:rsid w:val="009F0181"/>
    <w:rsid w:val="009F0AB7"/>
    <w:rsid w:val="009F0BAD"/>
    <w:rsid w:val="009F0E4C"/>
    <w:rsid w:val="009F13F5"/>
    <w:rsid w:val="009F18FD"/>
    <w:rsid w:val="009F2EBA"/>
    <w:rsid w:val="009F347A"/>
    <w:rsid w:val="009F3725"/>
    <w:rsid w:val="009F3742"/>
    <w:rsid w:val="009F4388"/>
    <w:rsid w:val="009F53B5"/>
    <w:rsid w:val="009F625C"/>
    <w:rsid w:val="009F6FA9"/>
    <w:rsid w:val="009F73B9"/>
    <w:rsid w:val="009F75F7"/>
    <w:rsid w:val="00A001C9"/>
    <w:rsid w:val="00A00A5A"/>
    <w:rsid w:val="00A01471"/>
    <w:rsid w:val="00A017B0"/>
    <w:rsid w:val="00A02F68"/>
    <w:rsid w:val="00A056B9"/>
    <w:rsid w:val="00A05DF3"/>
    <w:rsid w:val="00A061EA"/>
    <w:rsid w:val="00A06C57"/>
    <w:rsid w:val="00A10548"/>
    <w:rsid w:val="00A14753"/>
    <w:rsid w:val="00A15EBF"/>
    <w:rsid w:val="00A15F5A"/>
    <w:rsid w:val="00A16757"/>
    <w:rsid w:val="00A178FA"/>
    <w:rsid w:val="00A2019B"/>
    <w:rsid w:val="00A20CD7"/>
    <w:rsid w:val="00A222C1"/>
    <w:rsid w:val="00A238C1"/>
    <w:rsid w:val="00A25100"/>
    <w:rsid w:val="00A2628B"/>
    <w:rsid w:val="00A26972"/>
    <w:rsid w:val="00A26F8C"/>
    <w:rsid w:val="00A26FC1"/>
    <w:rsid w:val="00A27487"/>
    <w:rsid w:val="00A3060A"/>
    <w:rsid w:val="00A30BA7"/>
    <w:rsid w:val="00A30E40"/>
    <w:rsid w:val="00A318A7"/>
    <w:rsid w:val="00A3191B"/>
    <w:rsid w:val="00A341DD"/>
    <w:rsid w:val="00A359EA"/>
    <w:rsid w:val="00A35A43"/>
    <w:rsid w:val="00A36A4E"/>
    <w:rsid w:val="00A4103F"/>
    <w:rsid w:val="00A4187E"/>
    <w:rsid w:val="00A41DA9"/>
    <w:rsid w:val="00A4352B"/>
    <w:rsid w:val="00A46CCA"/>
    <w:rsid w:val="00A47BEB"/>
    <w:rsid w:val="00A504AB"/>
    <w:rsid w:val="00A52568"/>
    <w:rsid w:val="00A52C4E"/>
    <w:rsid w:val="00A52FED"/>
    <w:rsid w:val="00A5314B"/>
    <w:rsid w:val="00A5380C"/>
    <w:rsid w:val="00A5496B"/>
    <w:rsid w:val="00A54AD0"/>
    <w:rsid w:val="00A555A7"/>
    <w:rsid w:val="00A55C8E"/>
    <w:rsid w:val="00A561B3"/>
    <w:rsid w:val="00A56A32"/>
    <w:rsid w:val="00A5741C"/>
    <w:rsid w:val="00A60E2D"/>
    <w:rsid w:val="00A61922"/>
    <w:rsid w:val="00A6421E"/>
    <w:rsid w:val="00A643BC"/>
    <w:rsid w:val="00A66C1B"/>
    <w:rsid w:val="00A67A1D"/>
    <w:rsid w:val="00A7129A"/>
    <w:rsid w:val="00A7190A"/>
    <w:rsid w:val="00A71ACD"/>
    <w:rsid w:val="00A728B8"/>
    <w:rsid w:val="00A75404"/>
    <w:rsid w:val="00A754EF"/>
    <w:rsid w:val="00A756A8"/>
    <w:rsid w:val="00A76945"/>
    <w:rsid w:val="00A7731E"/>
    <w:rsid w:val="00A80402"/>
    <w:rsid w:val="00A8186A"/>
    <w:rsid w:val="00A82C6A"/>
    <w:rsid w:val="00A83208"/>
    <w:rsid w:val="00A847CA"/>
    <w:rsid w:val="00A861D6"/>
    <w:rsid w:val="00A876EB"/>
    <w:rsid w:val="00A87F65"/>
    <w:rsid w:val="00A923D0"/>
    <w:rsid w:val="00A92EEE"/>
    <w:rsid w:val="00A92F5D"/>
    <w:rsid w:val="00A93C2D"/>
    <w:rsid w:val="00A941A1"/>
    <w:rsid w:val="00A94FB4"/>
    <w:rsid w:val="00A96270"/>
    <w:rsid w:val="00A97D1C"/>
    <w:rsid w:val="00AA0A40"/>
    <w:rsid w:val="00AA1429"/>
    <w:rsid w:val="00AA2DC8"/>
    <w:rsid w:val="00AA33A8"/>
    <w:rsid w:val="00AA405A"/>
    <w:rsid w:val="00AA45EF"/>
    <w:rsid w:val="00AA5377"/>
    <w:rsid w:val="00AA63CB"/>
    <w:rsid w:val="00AA672F"/>
    <w:rsid w:val="00AA6DB9"/>
    <w:rsid w:val="00AA7518"/>
    <w:rsid w:val="00AA7C30"/>
    <w:rsid w:val="00AB037F"/>
    <w:rsid w:val="00AB0ADF"/>
    <w:rsid w:val="00AB0E1A"/>
    <w:rsid w:val="00AB1387"/>
    <w:rsid w:val="00AB260F"/>
    <w:rsid w:val="00AB3A45"/>
    <w:rsid w:val="00AB7772"/>
    <w:rsid w:val="00AB789F"/>
    <w:rsid w:val="00AC1633"/>
    <w:rsid w:val="00AC2426"/>
    <w:rsid w:val="00AC32CC"/>
    <w:rsid w:val="00AC48E5"/>
    <w:rsid w:val="00AC4D92"/>
    <w:rsid w:val="00AC7354"/>
    <w:rsid w:val="00AC7AFA"/>
    <w:rsid w:val="00AD0787"/>
    <w:rsid w:val="00AD07F5"/>
    <w:rsid w:val="00AD0E5D"/>
    <w:rsid w:val="00AD14D9"/>
    <w:rsid w:val="00AD42EE"/>
    <w:rsid w:val="00AD5347"/>
    <w:rsid w:val="00AD5F86"/>
    <w:rsid w:val="00AD631E"/>
    <w:rsid w:val="00AD70FE"/>
    <w:rsid w:val="00AD73DB"/>
    <w:rsid w:val="00AD783B"/>
    <w:rsid w:val="00AD7A3A"/>
    <w:rsid w:val="00AD7D08"/>
    <w:rsid w:val="00AE1651"/>
    <w:rsid w:val="00AE3BF1"/>
    <w:rsid w:val="00AE3D0B"/>
    <w:rsid w:val="00AE6604"/>
    <w:rsid w:val="00AE6D78"/>
    <w:rsid w:val="00AF2DFA"/>
    <w:rsid w:val="00AF2EE4"/>
    <w:rsid w:val="00AF3C0A"/>
    <w:rsid w:val="00AF4FBE"/>
    <w:rsid w:val="00AF5126"/>
    <w:rsid w:val="00AF641C"/>
    <w:rsid w:val="00AF73EC"/>
    <w:rsid w:val="00AF7793"/>
    <w:rsid w:val="00AF7D14"/>
    <w:rsid w:val="00B01940"/>
    <w:rsid w:val="00B04BA6"/>
    <w:rsid w:val="00B04C39"/>
    <w:rsid w:val="00B0522D"/>
    <w:rsid w:val="00B05425"/>
    <w:rsid w:val="00B06A0B"/>
    <w:rsid w:val="00B06ED8"/>
    <w:rsid w:val="00B10F25"/>
    <w:rsid w:val="00B1135B"/>
    <w:rsid w:val="00B12269"/>
    <w:rsid w:val="00B12424"/>
    <w:rsid w:val="00B12BA7"/>
    <w:rsid w:val="00B13647"/>
    <w:rsid w:val="00B13BB9"/>
    <w:rsid w:val="00B14CCF"/>
    <w:rsid w:val="00B154CF"/>
    <w:rsid w:val="00B15CCE"/>
    <w:rsid w:val="00B162E0"/>
    <w:rsid w:val="00B21473"/>
    <w:rsid w:val="00B22912"/>
    <w:rsid w:val="00B23B42"/>
    <w:rsid w:val="00B2433C"/>
    <w:rsid w:val="00B249AE"/>
    <w:rsid w:val="00B2504D"/>
    <w:rsid w:val="00B26134"/>
    <w:rsid w:val="00B265CE"/>
    <w:rsid w:val="00B26BFB"/>
    <w:rsid w:val="00B30730"/>
    <w:rsid w:val="00B30804"/>
    <w:rsid w:val="00B315FB"/>
    <w:rsid w:val="00B341A0"/>
    <w:rsid w:val="00B345C2"/>
    <w:rsid w:val="00B35028"/>
    <w:rsid w:val="00B350E5"/>
    <w:rsid w:val="00B35399"/>
    <w:rsid w:val="00B354E2"/>
    <w:rsid w:val="00B35FFB"/>
    <w:rsid w:val="00B36312"/>
    <w:rsid w:val="00B367B0"/>
    <w:rsid w:val="00B4008B"/>
    <w:rsid w:val="00B400E1"/>
    <w:rsid w:val="00B4201B"/>
    <w:rsid w:val="00B4228F"/>
    <w:rsid w:val="00B430FF"/>
    <w:rsid w:val="00B43D25"/>
    <w:rsid w:val="00B45954"/>
    <w:rsid w:val="00B47CC2"/>
    <w:rsid w:val="00B50BC8"/>
    <w:rsid w:val="00B52582"/>
    <w:rsid w:val="00B52A2E"/>
    <w:rsid w:val="00B52F81"/>
    <w:rsid w:val="00B53415"/>
    <w:rsid w:val="00B5396D"/>
    <w:rsid w:val="00B53B86"/>
    <w:rsid w:val="00B54301"/>
    <w:rsid w:val="00B560DF"/>
    <w:rsid w:val="00B60104"/>
    <w:rsid w:val="00B605CC"/>
    <w:rsid w:val="00B613E2"/>
    <w:rsid w:val="00B629D4"/>
    <w:rsid w:val="00B66579"/>
    <w:rsid w:val="00B66E36"/>
    <w:rsid w:val="00B70531"/>
    <w:rsid w:val="00B71E88"/>
    <w:rsid w:val="00B72D4F"/>
    <w:rsid w:val="00B74018"/>
    <w:rsid w:val="00B74866"/>
    <w:rsid w:val="00B762E1"/>
    <w:rsid w:val="00B77317"/>
    <w:rsid w:val="00B77918"/>
    <w:rsid w:val="00B801AA"/>
    <w:rsid w:val="00B802CC"/>
    <w:rsid w:val="00B80E11"/>
    <w:rsid w:val="00B82399"/>
    <w:rsid w:val="00B824E8"/>
    <w:rsid w:val="00B82CC7"/>
    <w:rsid w:val="00B82EA6"/>
    <w:rsid w:val="00B83331"/>
    <w:rsid w:val="00B83723"/>
    <w:rsid w:val="00B841A5"/>
    <w:rsid w:val="00B84486"/>
    <w:rsid w:val="00B84A53"/>
    <w:rsid w:val="00B84C7B"/>
    <w:rsid w:val="00B8569C"/>
    <w:rsid w:val="00B87A44"/>
    <w:rsid w:val="00B930E1"/>
    <w:rsid w:val="00B93627"/>
    <w:rsid w:val="00B93702"/>
    <w:rsid w:val="00B93A4D"/>
    <w:rsid w:val="00B93FC4"/>
    <w:rsid w:val="00B960CA"/>
    <w:rsid w:val="00B96B84"/>
    <w:rsid w:val="00B97336"/>
    <w:rsid w:val="00BA1924"/>
    <w:rsid w:val="00BA2BFF"/>
    <w:rsid w:val="00BA42E5"/>
    <w:rsid w:val="00BA44EC"/>
    <w:rsid w:val="00BA6612"/>
    <w:rsid w:val="00BA6C2E"/>
    <w:rsid w:val="00BA6EA3"/>
    <w:rsid w:val="00BA7CC0"/>
    <w:rsid w:val="00BA7F9B"/>
    <w:rsid w:val="00BB291C"/>
    <w:rsid w:val="00BB31C8"/>
    <w:rsid w:val="00BB458C"/>
    <w:rsid w:val="00BB4D49"/>
    <w:rsid w:val="00BB4F81"/>
    <w:rsid w:val="00BB5721"/>
    <w:rsid w:val="00BB6C12"/>
    <w:rsid w:val="00BB74AB"/>
    <w:rsid w:val="00BB7612"/>
    <w:rsid w:val="00BB7B2A"/>
    <w:rsid w:val="00BC0EF3"/>
    <w:rsid w:val="00BC0F53"/>
    <w:rsid w:val="00BC10AF"/>
    <w:rsid w:val="00BC303F"/>
    <w:rsid w:val="00BC5E87"/>
    <w:rsid w:val="00BC646E"/>
    <w:rsid w:val="00BD0490"/>
    <w:rsid w:val="00BD11DD"/>
    <w:rsid w:val="00BD1AB3"/>
    <w:rsid w:val="00BD329E"/>
    <w:rsid w:val="00BD34ED"/>
    <w:rsid w:val="00BD376E"/>
    <w:rsid w:val="00BD4E85"/>
    <w:rsid w:val="00BD698E"/>
    <w:rsid w:val="00BD6E16"/>
    <w:rsid w:val="00BD6F2C"/>
    <w:rsid w:val="00BD7DC5"/>
    <w:rsid w:val="00BE0231"/>
    <w:rsid w:val="00BE122A"/>
    <w:rsid w:val="00BE55DF"/>
    <w:rsid w:val="00BE718F"/>
    <w:rsid w:val="00BE7A57"/>
    <w:rsid w:val="00BE7C2B"/>
    <w:rsid w:val="00BF0C36"/>
    <w:rsid w:val="00BF0E22"/>
    <w:rsid w:val="00BF14B0"/>
    <w:rsid w:val="00BF2343"/>
    <w:rsid w:val="00BF270C"/>
    <w:rsid w:val="00BF349B"/>
    <w:rsid w:val="00BF36BC"/>
    <w:rsid w:val="00BF3F83"/>
    <w:rsid w:val="00BF4AAA"/>
    <w:rsid w:val="00BF4CCE"/>
    <w:rsid w:val="00BF4F5A"/>
    <w:rsid w:val="00BF5809"/>
    <w:rsid w:val="00BF6D4C"/>
    <w:rsid w:val="00BF7982"/>
    <w:rsid w:val="00C00FA3"/>
    <w:rsid w:val="00C03884"/>
    <w:rsid w:val="00C04526"/>
    <w:rsid w:val="00C04EBD"/>
    <w:rsid w:val="00C06402"/>
    <w:rsid w:val="00C06E85"/>
    <w:rsid w:val="00C076DC"/>
    <w:rsid w:val="00C07BE2"/>
    <w:rsid w:val="00C12F1B"/>
    <w:rsid w:val="00C151DB"/>
    <w:rsid w:val="00C16213"/>
    <w:rsid w:val="00C175BF"/>
    <w:rsid w:val="00C20AF2"/>
    <w:rsid w:val="00C2231D"/>
    <w:rsid w:val="00C22425"/>
    <w:rsid w:val="00C238FF"/>
    <w:rsid w:val="00C241C1"/>
    <w:rsid w:val="00C253C7"/>
    <w:rsid w:val="00C266F6"/>
    <w:rsid w:val="00C27FB5"/>
    <w:rsid w:val="00C31562"/>
    <w:rsid w:val="00C316EB"/>
    <w:rsid w:val="00C31F2D"/>
    <w:rsid w:val="00C350AF"/>
    <w:rsid w:val="00C364D7"/>
    <w:rsid w:val="00C36595"/>
    <w:rsid w:val="00C36912"/>
    <w:rsid w:val="00C36BC8"/>
    <w:rsid w:val="00C43772"/>
    <w:rsid w:val="00C438D1"/>
    <w:rsid w:val="00C4456E"/>
    <w:rsid w:val="00C46827"/>
    <w:rsid w:val="00C47CDE"/>
    <w:rsid w:val="00C50B6C"/>
    <w:rsid w:val="00C50C53"/>
    <w:rsid w:val="00C51E95"/>
    <w:rsid w:val="00C5291A"/>
    <w:rsid w:val="00C541DE"/>
    <w:rsid w:val="00C54572"/>
    <w:rsid w:val="00C5495C"/>
    <w:rsid w:val="00C54EE3"/>
    <w:rsid w:val="00C55BA2"/>
    <w:rsid w:val="00C565D9"/>
    <w:rsid w:val="00C56762"/>
    <w:rsid w:val="00C60A84"/>
    <w:rsid w:val="00C61A36"/>
    <w:rsid w:val="00C61EFA"/>
    <w:rsid w:val="00C63A04"/>
    <w:rsid w:val="00C642EE"/>
    <w:rsid w:val="00C65AA7"/>
    <w:rsid w:val="00C65E60"/>
    <w:rsid w:val="00C65EEB"/>
    <w:rsid w:val="00C667B2"/>
    <w:rsid w:val="00C66D4B"/>
    <w:rsid w:val="00C703C0"/>
    <w:rsid w:val="00C70FC4"/>
    <w:rsid w:val="00C71C44"/>
    <w:rsid w:val="00C72663"/>
    <w:rsid w:val="00C73000"/>
    <w:rsid w:val="00C7337D"/>
    <w:rsid w:val="00C73683"/>
    <w:rsid w:val="00C73D7B"/>
    <w:rsid w:val="00C745CD"/>
    <w:rsid w:val="00C76D05"/>
    <w:rsid w:val="00C77E86"/>
    <w:rsid w:val="00C8251E"/>
    <w:rsid w:val="00C82BED"/>
    <w:rsid w:val="00C82E03"/>
    <w:rsid w:val="00C835F9"/>
    <w:rsid w:val="00C83990"/>
    <w:rsid w:val="00C839B6"/>
    <w:rsid w:val="00C83BCB"/>
    <w:rsid w:val="00C84083"/>
    <w:rsid w:val="00C849E6"/>
    <w:rsid w:val="00C8527B"/>
    <w:rsid w:val="00C85A6C"/>
    <w:rsid w:val="00C85BBF"/>
    <w:rsid w:val="00C8644C"/>
    <w:rsid w:val="00C871D1"/>
    <w:rsid w:val="00C87C57"/>
    <w:rsid w:val="00C87D4A"/>
    <w:rsid w:val="00C95C78"/>
    <w:rsid w:val="00C95F65"/>
    <w:rsid w:val="00C97A0A"/>
    <w:rsid w:val="00CA23D0"/>
    <w:rsid w:val="00CA2803"/>
    <w:rsid w:val="00CA2A88"/>
    <w:rsid w:val="00CA55EB"/>
    <w:rsid w:val="00CA5ECF"/>
    <w:rsid w:val="00CA7FB9"/>
    <w:rsid w:val="00CB0125"/>
    <w:rsid w:val="00CB087C"/>
    <w:rsid w:val="00CB09BD"/>
    <w:rsid w:val="00CB0B7D"/>
    <w:rsid w:val="00CB25A9"/>
    <w:rsid w:val="00CB35F1"/>
    <w:rsid w:val="00CB3A22"/>
    <w:rsid w:val="00CB3BCA"/>
    <w:rsid w:val="00CB4402"/>
    <w:rsid w:val="00CB5756"/>
    <w:rsid w:val="00CB5958"/>
    <w:rsid w:val="00CB6147"/>
    <w:rsid w:val="00CB6762"/>
    <w:rsid w:val="00CB760F"/>
    <w:rsid w:val="00CB7A13"/>
    <w:rsid w:val="00CC06BF"/>
    <w:rsid w:val="00CC12E1"/>
    <w:rsid w:val="00CC1623"/>
    <w:rsid w:val="00CC21DC"/>
    <w:rsid w:val="00CC3895"/>
    <w:rsid w:val="00CC4276"/>
    <w:rsid w:val="00CC47DF"/>
    <w:rsid w:val="00CC6145"/>
    <w:rsid w:val="00CC6518"/>
    <w:rsid w:val="00CC717A"/>
    <w:rsid w:val="00CC754D"/>
    <w:rsid w:val="00CC7A07"/>
    <w:rsid w:val="00CD0113"/>
    <w:rsid w:val="00CD1303"/>
    <w:rsid w:val="00CD235F"/>
    <w:rsid w:val="00CD2592"/>
    <w:rsid w:val="00CD55B9"/>
    <w:rsid w:val="00CD6C85"/>
    <w:rsid w:val="00CE1567"/>
    <w:rsid w:val="00CE242D"/>
    <w:rsid w:val="00CE24E5"/>
    <w:rsid w:val="00CE2BE5"/>
    <w:rsid w:val="00CE3121"/>
    <w:rsid w:val="00CE3567"/>
    <w:rsid w:val="00CE4BD9"/>
    <w:rsid w:val="00CE4C64"/>
    <w:rsid w:val="00CE5D51"/>
    <w:rsid w:val="00CE6E2F"/>
    <w:rsid w:val="00CE6EC6"/>
    <w:rsid w:val="00CE7A6B"/>
    <w:rsid w:val="00CE7E57"/>
    <w:rsid w:val="00CF1986"/>
    <w:rsid w:val="00CF2856"/>
    <w:rsid w:val="00CF35C6"/>
    <w:rsid w:val="00CF368E"/>
    <w:rsid w:val="00CF7055"/>
    <w:rsid w:val="00CF7297"/>
    <w:rsid w:val="00CF76DD"/>
    <w:rsid w:val="00CF7D0D"/>
    <w:rsid w:val="00D00077"/>
    <w:rsid w:val="00D009CD"/>
    <w:rsid w:val="00D00CED"/>
    <w:rsid w:val="00D02BB4"/>
    <w:rsid w:val="00D041C4"/>
    <w:rsid w:val="00D044AB"/>
    <w:rsid w:val="00D0497B"/>
    <w:rsid w:val="00D0568B"/>
    <w:rsid w:val="00D06567"/>
    <w:rsid w:val="00D07CE7"/>
    <w:rsid w:val="00D10129"/>
    <w:rsid w:val="00D10F4F"/>
    <w:rsid w:val="00D14122"/>
    <w:rsid w:val="00D14301"/>
    <w:rsid w:val="00D15AC6"/>
    <w:rsid w:val="00D15D4E"/>
    <w:rsid w:val="00D2134C"/>
    <w:rsid w:val="00D2230E"/>
    <w:rsid w:val="00D2611D"/>
    <w:rsid w:val="00D26272"/>
    <w:rsid w:val="00D266B6"/>
    <w:rsid w:val="00D266B8"/>
    <w:rsid w:val="00D269C8"/>
    <w:rsid w:val="00D30A4A"/>
    <w:rsid w:val="00D30EDE"/>
    <w:rsid w:val="00D3350B"/>
    <w:rsid w:val="00D33E6E"/>
    <w:rsid w:val="00D33F15"/>
    <w:rsid w:val="00D347CF"/>
    <w:rsid w:val="00D355AD"/>
    <w:rsid w:val="00D356B2"/>
    <w:rsid w:val="00D371C4"/>
    <w:rsid w:val="00D37A5F"/>
    <w:rsid w:val="00D4032A"/>
    <w:rsid w:val="00D40E07"/>
    <w:rsid w:val="00D41BC4"/>
    <w:rsid w:val="00D41FEF"/>
    <w:rsid w:val="00D423CD"/>
    <w:rsid w:val="00D4252C"/>
    <w:rsid w:val="00D43792"/>
    <w:rsid w:val="00D46F71"/>
    <w:rsid w:val="00D4777B"/>
    <w:rsid w:val="00D47ADC"/>
    <w:rsid w:val="00D50BEE"/>
    <w:rsid w:val="00D513E8"/>
    <w:rsid w:val="00D52572"/>
    <w:rsid w:val="00D52692"/>
    <w:rsid w:val="00D541B9"/>
    <w:rsid w:val="00D556F3"/>
    <w:rsid w:val="00D56FEA"/>
    <w:rsid w:val="00D5708C"/>
    <w:rsid w:val="00D57C81"/>
    <w:rsid w:val="00D60980"/>
    <w:rsid w:val="00D6120A"/>
    <w:rsid w:val="00D619CB"/>
    <w:rsid w:val="00D62B66"/>
    <w:rsid w:val="00D63C49"/>
    <w:rsid w:val="00D63F7C"/>
    <w:rsid w:val="00D65045"/>
    <w:rsid w:val="00D651A5"/>
    <w:rsid w:val="00D66123"/>
    <w:rsid w:val="00D66C6D"/>
    <w:rsid w:val="00D70104"/>
    <w:rsid w:val="00D708E9"/>
    <w:rsid w:val="00D70EC4"/>
    <w:rsid w:val="00D72977"/>
    <w:rsid w:val="00D72DF3"/>
    <w:rsid w:val="00D73635"/>
    <w:rsid w:val="00D754CA"/>
    <w:rsid w:val="00D768E9"/>
    <w:rsid w:val="00D809FC"/>
    <w:rsid w:val="00D82082"/>
    <w:rsid w:val="00D8217A"/>
    <w:rsid w:val="00D826C3"/>
    <w:rsid w:val="00D82E67"/>
    <w:rsid w:val="00D82EFD"/>
    <w:rsid w:val="00D834BB"/>
    <w:rsid w:val="00D838AD"/>
    <w:rsid w:val="00D83B2C"/>
    <w:rsid w:val="00D860BC"/>
    <w:rsid w:val="00D86119"/>
    <w:rsid w:val="00D87A21"/>
    <w:rsid w:val="00D9282B"/>
    <w:rsid w:val="00D929ED"/>
    <w:rsid w:val="00D935CD"/>
    <w:rsid w:val="00D93810"/>
    <w:rsid w:val="00D93F37"/>
    <w:rsid w:val="00D94F2C"/>
    <w:rsid w:val="00D9509C"/>
    <w:rsid w:val="00D9513E"/>
    <w:rsid w:val="00D95AFB"/>
    <w:rsid w:val="00D95B76"/>
    <w:rsid w:val="00D96633"/>
    <w:rsid w:val="00D96B3B"/>
    <w:rsid w:val="00D96F27"/>
    <w:rsid w:val="00DA013F"/>
    <w:rsid w:val="00DA0158"/>
    <w:rsid w:val="00DA12A0"/>
    <w:rsid w:val="00DA12B8"/>
    <w:rsid w:val="00DA2A50"/>
    <w:rsid w:val="00DA2E03"/>
    <w:rsid w:val="00DA33D3"/>
    <w:rsid w:val="00DA5602"/>
    <w:rsid w:val="00DA58C9"/>
    <w:rsid w:val="00DA7179"/>
    <w:rsid w:val="00DB13A6"/>
    <w:rsid w:val="00DB1520"/>
    <w:rsid w:val="00DB2128"/>
    <w:rsid w:val="00DB2143"/>
    <w:rsid w:val="00DB29EE"/>
    <w:rsid w:val="00DB37D4"/>
    <w:rsid w:val="00DB4395"/>
    <w:rsid w:val="00DB5542"/>
    <w:rsid w:val="00DB5B9B"/>
    <w:rsid w:val="00DB6019"/>
    <w:rsid w:val="00DB6319"/>
    <w:rsid w:val="00DB7240"/>
    <w:rsid w:val="00DB7388"/>
    <w:rsid w:val="00DC1FF5"/>
    <w:rsid w:val="00DC3BBC"/>
    <w:rsid w:val="00DC4F3C"/>
    <w:rsid w:val="00DC53A1"/>
    <w:rsid w:val="00DC5E57"/>
    <w:rsid w:val="00DD0A93"/>
    <w:rsid w:val="00DD160B"/>
    <w:rsid w:val="00DD217A"/>
    <w:rsid w:val="00DD31B0"/>
    <w:rsid w:val="00DD4CB3"/>
    <w:rsid w:val="00DD62AD"/>
    <w:rsid w:val="00DD6AB4"/>
    <w:rsid w:val="00DD7709"/>
    <w:rsid w:val="00DE0D0E"/>
    <w:rsid w:val="00DE1C7B"/>
    <w:rsid w:val="00DE3497"/>
    <w:rsid w:val="00DE4D77"/>
    <w:rsid w:val="00DE63C9"/>
    <w:rsid w:val="00DE7380"/>
    <w:rsid w:val="00DE79DC"/>
    <w:rsid w:val="00DF11D7"/>
    <w:rsid w:val="00DF1537"/>
    <w:rsid w:val="00DF34F7"/>
    <w:rsid w:val="00DF4374"/>
    <w:rsid w:val="00DF4AD1"/>
    <w:rsid w:val="00DF62B3"/>
    <w:rsid w:val="00DF7CC2"/>
    <w:rsid w:val="00DF7EF7"/>
    <w:rsid w:val="00E00B2E"/>
    <w:rsid w:val="00E00CF0"/>
    <w:rsid w:val="00E0181E"/>
    <w:rsid w:val="00E025D1"/>
    <w:rsid w:val="00E037BF"/>
    <w:rsid w:val="00E04CD7"/>
    <w:rsid w:val="00E060FC"/>
    <w:rsid w:val="00E07853"/>
    <w:rsid w:val="00E1059B"/>
    <w:rsid w:val="00E11554"/>
    <w:rsid w:val="00E11EE4"/>
    <w:rsid w:val="00E13490"/>
    <w:rsid w:val="00E1534C"/>
    <w:rsid w:val="00E1722C"/>
    <w:rsid w:val="00E20401"/>
    <w:rsid w:val="00E21798"/>
    <w:rsid w:val="00E217E7"/>
    <w:rsid w:val="00E21E06"/>
    <w:rsid w:val="00E21F5D"/>
    <w:rsid w:val="00E23E35"/>
    <w:rsid w:val="00E2730A"/>
    <w:rsid w:val="00E27BB3"/>
    <w:rsid w:val="00E30382"/>
    <w:rsid w:val="00E309A2"/>
    <w:rsid w:val="00E31701"/>
    <w:rsid w:val="00E31DC5"/>
    <w:rsid w:val="00E3246E"/>
    <w:rsid w:val="00E3269D"/>
    <w:rsid w:val="00E33515"/>
    <w:rsid w:val="00E338AD"/>
    <w:rsid w:val="00E34E37"/>
    <w:rsid w:val="00E34EFF"/>
    <w:rsid w:val="00E356A3"/>
    <w:rsid w:val="00E358F3"/>
    <w:rsid w:val="00E37FCA"/>
    <w:rsid w:val="00E40437"/>
    <w:rsid w:val="00E40634"/>
    <w:rsid w:val="00E43899"/>
    <w:rsid w:val="00E43A23"/>
    <w:rsid w:val="00E43FF9"/>
    <w:rsid w:val="00E451C0"/>
    <w:rsid w:val="00E45A2A"/>
    <w:rsid w:val="00E45DB8"/>
    <w:rsid w:val="00E45F35"/>
    <w:rsid w:val="00E466D6"/>
    <w:rsid w:val="00E46A1C"/>
    <w:rsid w:val="00E473B5"/>
    <w:rsid w:val="00E475FC"/>
    <w:rsid w:val="00E47879"/>
    <w:rsid w:val="00E514D8"/>
    <w:rsid w:val="00E517D4"/>
    <w:rsid w:val="00E5235B"/>
    <w:rsid w:val="00E523DB"/>
    <w:rsid w:val="00E528DE"/>
    <w:rsid w:val="00E53694"/>
    <w:rsid w:val="00E548C0"/>
    <w:rsid w:val="00E549C0"/>
    <w:rsid w:val="00E54D85"/>
    <w:rsid w:val="00E55589"/>
    <w:rsid w:val="00E56102"/>
    <w:rsid w:val="00E56572"/>
    <w:rsid w:val="00E57202"/>
    <w:rsid w:val="00E57930"/>
    <w:rsid w:val="00E5797D"/>
    <w:rsid w:val="00E57A5D"/>
    <w:rsid w:val="00E60451"/>
    <w:rsid w:val="00E61543"/>
    <w:rsid w:val="00E62B67"/>
    <w:rsid w:val="00E62E3D"/>
    <w:rsid w:val="00E632CB"/>
    <w:rsid w:val="00E63872"/>
    <w:rsid w:val="00E65270"/>
    <w:rsid w:val="00E66650"/>
    <w:rsid w:val="00E67238"/>
    <w:rsid w:val="00E70191"/>
    <w:rsid w:val="00E72996"/>
    <w:rsid w:val="00E73B89"/>
    <w:rsid w:val="00E75AA7"/>
    <w:rsid w:val="00E76204"/>
    <w:rsid w:val="00E77400"/>
    <w:rsid w:val="00E77B40"/>
    <w:rsid w:val="00E83700"/>
    <w:rsid w:val="00E839BC"/>
    <w:rsid w:val="00E85437"/>
    <w:rsid w:val="00E95191"/>
    <w:rsid w:val="00E95C52"/>
    <w:rsid w:val="00E95EA6"/>
    <w:rsid w:val="00E96BEA"/>
    <w:rsid w:val="00EA0695"/>
    <w:rsid w:val="00EA16E7"/>
    <w:rsid w:val="00EA18F9"/>
    <w:rsid w:val="00EA2AAB"/>
    <w:rsid w:val="00EA3022"/>
    <w:rsid w:val="00EA3262"/>
    <w:rsid w:val="00EA3825"/>
    <w:rsid w:val="00EA57BE"/>
    <w:rsid w:val="00EA6BEC"/>
    <w:rsid w:val="00EB0604"/>
    <w:rsid w:val="00EB095A"/>
    <w:rsid w:val="00EB0A19"/>
    <w:rsid w:val="00EB16EE"/>
    <w:rsid w:val="00EB1F6F"/>
    <w:rsid w:val="00EB28D7"/>
    <w:rsid w:val="00EB325E"/>
    <w:rsid w:val="00EB33D9"/>
    <w:rsid w:val="00EB3C27"/>
    <w:rsid w:val="00EB4B2E"/>
    <w:rsid w:val="00EB5179"/>
    <w:rsid w:val="00EB6D08"/>
    <w:rsid w:val="00EB7780"/>
    <w:rsid w:val="00EB7818"/>
    <w:rsid w:val="00EC0988"/>
    <w:rsid w:val="00EC17D3"/>
    <w:rsid w:val="00EC1DF5"/>
    <w:rsid w:val="00EC3C92"/>
    <w:rsid w:val="00EC52D8"/>
    <w:rsid w:val="00EC53DA"/>
    <w:rsid w:val="00EC5715"/>
    <w:rsid w:val="00EC6219"/>
    <w:rsid w:val="00ED1947"/>
    <w:rsid w:val="00ED29DA"/>
    <w:rsid w:val="00ED2C32"/>
    <w:rsid w:val="00ED2F5B"/>
    <w:rsid w:val="00ED4089"/>
    <w:rsid w:val="00ED474E"/>
    <w:rsid w:val="00ED5608"/>
    <w:rsid w:val="00ED64FE"/>
    <w:rsid w:val="00ED6ABE"/>
    <w:rsid w:val="00ED7167"/>
    <w:rsid w:val="00EE1009"/>
    <w:rsid w:val="00EE1562"/>
    <w:rsid w:val="00EE1C42"/>
    <w:rsid w:val="00EE1E89"/>
    <w:rsid w:val="00EE3778"/>
    <w:rsid w:val="00EE46F1"/>
    <w:rsid w:val="00EE48DE"/>
    <w:rsid w:val="00EE4F97"/>
    <w:rsid w:val="00EE5AA4"/>
    <w:rsid w:val="00EE630A"/>
    <w:rsid w:val="00EE647F"/>
    <w:rsid w:val="00EE7678"/>
    <w:rsid w:val="00EE7D48"/>
    <w:rsid w:val="00EE7D7A"/>
    <w:rsid w:val="00EF032F"/>
    <w:rsid w:val="00EF1C29"/>
    <w:rsid w:val="00EF2CF9"/>
    <w:rsid w:val="00EF329A"/>
    <w:rsid w:val="00EF34E0"/>
    <w:rsid w:val="00EF3899"/>
    <w:rsid w:val="00EF3C43"/>
    <w:rsid w:val="00EF4418"/>
    <w:rsid w:val="00EF519F"/>
    <w:rsid w:val="00EF5358"/>
    <w:rsid w:val="00F0075A"/>
    <w:rsid w:val="00F04324"/>
    <w:rsid w:val="00F07026"/>
    <w:rsid w:val="00F07042"/>
    <w:rsid w:val="00F071F1"/>
    <w:rsid w:val="00F07E2B"/>
    <w:rsid w:val="00F10EE8"/>
    <w:rsid w:val="00F11975"/>
    <w:rsid w:val="00F12561"/>
    <w:rsid w:val="00F150F7"/>
    <w:rsid w:val="00F155AE"/>
    <w:rsid w:val="00F175C0"/>
    <w:rsid w:val="00F21D78"/>
    <w:rsid w:val="00F221FA"/>
    <w:rsid w:val="00F224B7"/>
    <w:rsid w:val="00F24624"/>
    <w:rsid w:val="00F25651"/>
    <w:rsid w:val="00F25DD7"/>
    <w:rsid w:val="00F262D1"/>
    <w:rsid w:val="00F27248"/>
    <w:rsid w:val="00F27C8F"/>
    <w:rsid w:val="00F3057B"/>
    <w:rsid w:val="00F30B9A"/>
    <w:rsid w:val="00F31811"/>
    <w:rsid w:val="00F323CC"/>
    <w:rsid w:val="00F35E86"/>
    <w:rsid w:val="00F37282"/>
    <w:rsid w:val="00F37E28"/>
    <w:rsid w:val="00F40295"/>
    <w:rsid w:val="00F41598"/>
    <w:rsid w:val="00F41686"/>
    <w:rsid w:val="00F420A2"/>
    <w:rsid w:val="00F432F6"/>
    <w:rsid w:val="00F43522"/>
    <w:rsid w:val="00F44F32"/>
    <w:rsid w:val="00F4522F"/>
    <w:rsid w:val="00F46F22"/>
    <w:rsid w:val="00F477A2"/>
    <w:rsid w:val="00F47E22"/>
    <w:rsid w:val="00F526AD"/>
    <w:rsid w:val="00F527F8"/>
    <w:rsid w:val="00F533EF"/>
    <w:rsid w:val="00F538F3"/>
    <w:rsid w:val="00F54B6A"/>
    <w:rsid w:val="00F55933"/>
    <w:rsid w:val="00F55B67"/>
    <w:rsid w:val="00F56922"/>
    <w:rsid w:val="00F573AB"/>
    <w:rsid w:val="00F576B7"/>
    <w:rsid w:val="00F5771D"/>
    <w:rsid w:val="00F57AA5"/>
    <w:rsid w:val="00F60DDB"/>
    <w:rsid w:val="00F61A54"/>
    <w:rsid w:val="00F61DCB"/>
    <w:rsid w:val="00F62BA5"/>
    <w:rsid w:val="00F64720"/>
    <w:rsid w:val="00F647DB"/>
    <w:rsid w:val="00F64E05"/>
    <w:rsid w:val="00F65ECD"/>
    <w:rsid w:val="00F66598"/>
    <w:rsid w:val="00F66994"/>
    <w:rsid w:val="00F66B97"/>
    <w:rsid w:val="00F674FF"/>
    <w:rsid w:val="00F6767D"/>
    <w:rsid w:val="00F7037C"/>
    <w:rsid w:val="00F709C7"/>
    <w:rsid w:val="00F71099"/>
    <w:rsid w:val="00F72ACE"/>
    <w:rsid w:val="00F74FC7"/>
    <w:rsid w:val="00F75734"/>
    <w:rsid w:val="00F76D6A"/>
    <w:rsid w:val="00F771C2"/>
    <w:rsid w:val="00F77687"/>
    <w:rsid w:val="00F805AF"/>
    <w:rsid w:val="00F80950"/>
    <w:rsid w:val="00F81873"/>
    <w:rsid w:val="00F835E7"/>
    <w:rsid w:val="00F84741"/>
    <w:rsid w:val="00F85369"/>
    <w:rsid w:val="00F858B2"/>
    <w:rsid w:val="00F8709A"/>
    <w:rsid w:val="00F877A8"/>
    <w:rsid w:val="00F87C45"/>
    <w:rsid w:val="00F90652"/>
    <w:rsid w:val="00F90D19"/>
    <w:rsid w:val="00F910D4"/>
    <w:rsid w:val="00F91159"/>
    <w:rsid w:val="00F91B10"/>
    <w:rsid w:val="00F92B1E"/>
    <w:rsid w:val="00F9350A"/>
    <w:rsid w:val="00F93894"/>
    <w:rsid w:val="00F94FD6"/>
    <w:rsid w:val="00F96022"/>
    <w:rsid w:val="00F96A79"/>
    <w:rsid w:val="00FA10E7"/>
    <w:rsid w:val="00FA3D77"/>
    <w:rsid w:val="00FA3E97"/>
    <w:rsid w:val="00FA420C"/>
    <w:rsid w:val="00FA4324"/>
    <w:rsid w:val="00FA4419"/>
    <w:rsid w:val="00FA534D"/>
    <w:rsid w:val="00FA5C5E"/>
    <w:rsid w:val="00FA5E13"/>
    <w:rsid w:val="00FA6ECB"/>
    <w:rsid w:val="00FB0F33"/>
    <w:rsid w:val="00FB1DCE"/>
    <w:rsid w:val="00FB3518"/>
    <w:rsid w:val="00FB35D1"/>
    <w:rsid w:val="00FB3B5E"/>
    <w:rsid w:val="00FB539F"/>
    <w:rsid w:val="00FB5523"/>
    <w:rsid w:val="00FB67DA"/>
    <w:rsid w:val="00FC0630"/>
    <w:rsid w:val="00FC0F3E"/>
    <w:rsid w:val="00FC19A1"/>
    <w:rsid w:val="00FC340B"/>
    <w:rsid w:val="00FC385F"/>
    <w:rsid w:val="00FC57B1"/>
    <w:rsid w:val="00FC5BA4"/>
    <w:rsid w:val="00FC5C03"/>
    <w:rsid w:val="00FC6277"/>
    <w:rsid w:val="00FC74DB"/>
    <w:rsid w:val="00FD00B4"/>
    <w:rsid w:val="00FD16BE"/>
    <w:rsid w:val="00FD2DB7"/>
    <w:rsid w:val="00FD38C6"/>
    <w:rsid w:val="00FD3933"/>
    <w:rsid w:val="00FD49F1"/>
    <w:rsid w:val="00FD5C96"/>
    <w:rsid w:val="00FD6055"/>
    <w:rsid w:val="00FD7946"/>
    <w:rsid w:val="00FE1735"/>
    <w:rsid w:val="00FE1795"/>
    <w:rsid w:val="00FE26D0"/>
    <w:rsid w:val="00FE2A7C"/>
    <w:rsid w:val="00FE32A7"/>
    <w:rsid w:val="00FE3344"/>
    <w:rsid w:val="00FE3DD6"/>
    <w:rsid w:val="00FE5C97"/>
    <w:rsid w:val="00FE5F00"/>
    <w:rsid w:val="00FE671B"/>
    <w:rsid w:val="00FE75AD"/>
    <w:rsid w:val="00FF0012"/>
    <w:rsid w:val="00FF0464"/>
    <w:rsid w:val="00FF1A17"/>
    <w:rsid w:val="00FF538C"/>
    <w:rsid w:val="00FF6505"/>
    <w:rsid w:val="00FF6651"/>
    <w:rsid w:val="00FF7310"/>
    <w:rsid w:val="01CB45AD"/>
    <w:rsid w:val="01F3A7A5"/>
    <w:rsid w:val="02296B82"/>
    <w:rsid w:val="0285FDA5"/>
    <w:rsid w:val="02917B84"/>
    <w:rsid w:val="0295CB42"/>
    <w:rsid w:val="02D67273"/>
    <w:rsid w:val="031B79AF"/>
    <w:rsid w:val="038A2C0D"/>
    <w:rsid w:val="03B21282"/>
    <w:rsid w:val="03BECD73"/>
    <w:rsid w:val="0544D272"/>
    <w:rsid w:val="05610C44"/>
    <w:rsid w:val="063DA168"/>
    <w:rsid w:val="0681F806"/>
    <w:rsid w:val="071B305B"/>
    <w:rsid w:val="081138CF"/>
    <w:rsid w:val="08AC375D"/>
    <w:rsid w:val="08FB8FF0"/>
    <w:rsid w:val="09483216"/>
    <w:rsid w:val="09C843E9"/>
    <w:rsid w:val="0A058023"/>
    <w:rsid w:val="0A0A0F29"/>
    <w:rsid w:val="0A9FC865"/>
    <w:rsid w:val="0AC885F3"/>
    <w:rsid w:val="0B52E151"/>
    <w:rsid w:val="0B81BB3C"/>
    <w:rsid w:val="0C1660EC"/>
    <w:rsid w:val="0D7B1B36"/>
    <w:rsid w:val="0E751957"/>
    <w:rsid w:val="0E963404"/>
    <w:rsid w:val="0ECD01F3"/>
    <w:rsid w:val="0F917AD5"/>
    <w:rsid w:val="0FAC689F"/>
    <w:rsid w:val="0FBC4FDF"/>
    <w:rsid w:val="10218D17"/>
    <w:rsid w:val="109A02E5"/>
    <w:rsid w:val="11078B2F"/>
    <w:rsid w:val="110CC32E"/>
    <w:rsid w:val="11668B61"/>
    <w:rsid w:val="11D2F905"/>
    <w:rsid w:val="1286464D"/>
    <w:rsid w:val="12D8E530"/>
    <w:rsid w:val="13AC3E66"/>
    <w:rsid w:val="13ACCFE9"/>
    <w:rsid w:val="1416ACEE"/>
    <w:rsid w:val="14589DBC"/>
    <w:rsid w:val="153A27FA"/>
    <w:rsid w:val="15C87593"/>
    <w:rsid w:val="1646BF14"/>
    <w:rsid w:val="166B3B63"/>
    <w:rsid w:val="16BC627E"/>
    <w:rsid w:val="170B0B6D"/>
    <w:rsid w:val="172D69C7"/>
    <w:rsid w:val="1732ABBF"/>
    <w:rsid w:val="1740ADA8"/>
    <w:rsid w:val="18376A58"/>
    <w:rsid w:val="18EA0E42"/>
    <w:rsid w:val="190FCD73"/>
    <w:rsid w:val="196E6806"/>
    <w:rsid w:val="19AD0468"/>
    <w:rsid w:val="19C3DBD6"/>
    <w:rsid w:val="1A27F12E"/>
    <w:rsid w:val="1A2CB786"/>
    <w:rsid w:val="1BD95D1C"/>
    <w:rsid w:val="1CCB2612"/>
    <w:rsid w:val="1D1D6C56"/>
    <w:rsid w:val="1D42B94B"/>
    <w:rsid w:val="1D655467"/>
    <w:rsid w:val="1D959C51"/>
    <w:rsid w:val="1D96A807"/>
    <w:rsid w:val="1E99C2B5"/>
    <w:rsid w:val="1F0C1FAE"/>
    <w:rsid w:val="1F6D56C2"/>
    <w:rsid w:val="1FD201D3"/>
    <w:rsid w:val="1FD2DF90"/>
    <w:rsid w:val="201C3FAC"/>
    <w:rsid w:val="20A5465B"/>
    <w:rsid w:val="20BC0216"/>
    <w:rsid w:val="20ED6D51"/>
    <w:rsid w:val="218C2495"/>
    <w:rsid w:val="21D943B9"/>
    <w:rsid w:val="21F7BE5C"/>
    <w:rsid w:val="2352BE68"/>
    <w:rsid w:val="23AF84F4"/>
    <w:rsid w:val="24CE189B"/>
    <w:rsid w:val="25712F9A"/>
    <w:rsid w:val="259B38BF"/>
    <w:rsid w:val="26684C8C"/>
    <w:rsid w:val="26730375"/>
    <w:rsid w:val="26A4C756"/>
    <w:rsid w:val="2720F9FD"/>
    <w:rsid w:val="27EE896B"/>
    <w:rsid w:val="28C39529"/>
    <w:rsid w:val="28D225B3"/>
    <w:rsid w:val="295F2444"/>
    <w:rsid w:val="2AA030AA"/>
    <w:rsid w:val="2ABFA4FE"/>
    <w:rsid w:val="2B40830C"/>
    <w:rsid w:val="2B43B313"/>
    <w:rsid w:val="2B6D808E"/>
    <w:rsid w:val="2B8FD334"/>
    <w:rsid w:val="2C3C328A"/>
    <w:rsid w:val="2C4C57BD"/>
    <w:rsid w:val="2D190108"/>
    <w:rsid w:val="2D742223"/>
    <w:rsid w:val="2D7B908B"/>
    <w:rsid w:val="2E329567"/>
    <w:rsid w:val="2ED47CB2"/>
    <w:rsid w:val="2F4E33B6"/>
    <w:rsid w:val="2F92EFF6"/>
    <w:rsid w:val="2F9FA23A"/>
    <w:rsid w:val="2FD53C1C"/>
    <w:rsid w:val="2FF9ECB5"/>
    <w:rsid w:val="300C6C4B"/>
    <w:rsid w:val="30316310"/>
    <w:rsid w:val="3067E3B9"/>
    <w:rsid w:val="306EED6A"/>
    <w:rsid w:val="30792DC3"/>
    <w:rsid w:val="30FB0D18"/>
    <w:rsid w:val="31013436"/>
    <w:rsid w:val="3162F9B3"/>
    <w:rsid w:val="31B28E9B"/>
    <w:rsid w:val="31C529B4"/>
    <w:rsid w:val="320C264D"/>
    <w:rsid w:val="321670B8"/>
    <w:rsid w:val="32C4C30A"/>
    <w:rsid w:val="32EBFF10"/>
    <w:rsid w:val="32FE7EA6"/>
    <w:rsid w:val="3370E097"/>
    <w:rsid w:val="3377FAFB"/>
    <w:rsid w:val="3451CA84"/>
    <w:rsid w:val="34B8A168"/>
    <w:rsid w:val="351591C4"/>
    <w:rsid w:val="351D4C79"/>
    <w:rsid w:val="354D7A02"/>
    <w:rsid w:val="355C2F18"/>
    <w:rsid w:val="35842113"/>
    <w:rsid w:val="35CF3E64"/>
    <w:rsid w:val="35E331F8"/>
    <w:rsid w:val="368689BA"/>
    <w:rsid w:val="368F5733"/>
    <w:rsid w:val="36A31EDA"/>
    <w:rsid w:val="36D10DB8"/>
    <w:rsid w:val="37E937FA"/>
    <w:rsid w:val="380F5ED4"/>
    <w:rsid w:val="38623A13"/>
    <w:rsid w:val="3870E1BC"/>
    <w:rsid w:val="3888DB29"/>
    <w:rsid w:val="389B4CBE"/>
    <w:rsid w:val="38F05F0B"/>
    <w:rsid w:val="39777BF6"/>
    <w:rsid w:val="399EF7A6"/>
    <w:rsid w:val="3A8642DF"/>
    <w:rsid w:val="3C0FC61E"/>
    <w:rsid w:val="3CE30AA6"/>
    <w:rsid w:val="3D4A2C5E"/>
    <w:rsid w:val="3DA89122"/>
    <w:rsid w:val="3DD170C4"/>
    <w:rsid w:val="3E1337AC"/>
    <w:rsid w:val="3E8E8342"/>
    <w:rsid w:val="3E8EA52B"/>
    <w:rsid w:val="3EB7DBBD"/>
    <w:rsid w:val="3F47920C"/>
    <w:rsid w:val="402BE8F9"/>
    <w:rsid w:val="40C74CA1"/>
    <w:rsid w:val="41054A07"/>
    <w:rsid w:val="4177ABF8"/>
    <w:rsid w:val="41DADC32"/>
    <w:rsid w:val="41F92EEC"/>
    <w:rsid w:val="42150AC3"/>
    <w:rsid w:val="42B25E18"/>
    <w:rsid w:val="42D80687"/>
    <w:rsid w:val="43615414"/>
    <w:rsid w:val="437DE00D"/>
    <w:rsid w:val="438FCB28"/>
    <w:rsid w:val="43C049B6"/>
    <w:rsid w:val="4437FB74"/>
    <w:rsid w:val="44AEB542"/>
    <w:rsid w:val="44AFE0F2"/>
    <w:rsid w:val="44E5FD2F"/>
    <w:rsid w:val="455EFAD8"/>
    <w:rsid w:val="456D39DA"/>
    <w:rsid w:val="456FF4A3"/>
    <w:rsid w:val="45E58B1E"/>
    <w:rsid w:val="4667087C"/>
    <w:rsid w:val="46D482D1"/>
    <w:rsid w:val="47789247"/>
    <w:rsid w:val="477E4757"/>
    <w:rsid w:val="47E88113"/>
    <w:rsid w:val="4815E437"/>
    <w:rsid w:val="482C0559"/>
    <w:rsid w:val="48644738"/>
    <w:rsid w:val="48DB5E47"/>
    <w:rsid w:val="48ED4EC6"/>
    <w:rsid w:val="4ACD4A0E"/>
    <w:rsid w:val="4AE999AE"/>
    <w:rsid w:val="4B3BDBA7"/>
    <w:rsid w:val="4BA086B8"/>
    <w:rsid w:val="4BBFB135"/>
    <w:rsid w:val="4C323729"/>
    <w:rsid w:val="4CEA82F5"/>
    <w:rsid w:val="4D2A08ED"/>
    <w:rsid w:val="4D579954"/>
    <w:rsid w:val="4D81DA5D"/>
    <w:rsid w:val="4DB4EF36"/>
    <w:rsid w:val="4E473A08"/>
    <w:rsid w:val="4E833681"/>
    <w:rsid w:val="4E8B3CEA"/>
    <w:rsid w:val="4ECD12C6"/>
    <w:rsid w:val="4EF0ED70"/>
    <w:rsid w:val="4F244984"/>
    <w:rsid w:val="4F7E09D9"/>
    <w:rsid w:val="501979AD"/>
    <w:rsid w:val="5032B45B"/>
    <w:rsid w:val="5138B764"/>
    <w:rsid w:val="5157E0BD"/>
    <w:rsid w:val="51C1E7A8"/>
    <w:rsid w:val="52BC1BA8"/>
    <w:rsid w:val="52E505FD"/>
    <w:rsid w:val="52FECD40"/>
    <w:rsid w:val="534BB690"/>
    <w:rsid w:val="5360D400"/>
    <w:rsid w:val="53D3A6CA"/>
    <w:rsid w:val="541CF596"/>
    <w:rsid w:val="544D231F"/>
    <w:rsid w:val="547AFA70"/>
    <w:rsid w:val="54A817DC"/>
    <w:rsid w:val="54EA1521"/>
    <w:rsid w:val="55053C1A"/>
    <w:rsid w:val="55922169"/>
    <w:rsid w:val="55D71858"/>
    <w:rsid w:val="5623C9FC"/>
    <w:rsid w:val="56959A27"/>
    <w:rsid w:val="57B0EF3C"/>
    <w:rsid w:val="57B8B1CF"/>
    <w:rsid w:val="5846E916"/>
    <w:rsid w:val="595E034D"/>
    <w:rsid w:val="59EAE213"/>
    <w:rsid w:val="5A19468A"/>
    <w:rsid w:val="5A423718"/>
    <w:rsid w:val="5A7C3112"/>
    <w:rsid w:val="5A87A3CF"/>
    <w:rsid w:val="5A8F5EA3"/>
    <w:rsid w:val="5AEFBB19"/>
    <w:rsid w:val="5B2A9195"/>
    <w:rsid w:val="5B4BAE38"/>
    <w:rsid w:val="5BD073F4"/>
    <w:rsid w:val="5C5A61D2"/>
    <w:rsid w:val="5C84B23A"/>
    <w:rsid w:val="5C866AC7"/>
    <w:rsid w:val="5C924A10"/>
    <w:rsid w:val="5CA49FC7"/>
    <w:rsid w:val="5E1F01D0"/>
    <w:rsid w:val="5E31B263"/>
    <w:rsid w:val="5E452DD8"/>
    <w:rsid w:val="5F8709E5"/>
    <w:rsid w:val="5FB87451"/>
    <w:rsid w:val="5FD6620B"/>
    <w:rsid w:val="6042622F"/>
    <w:rsid w:val="6087264D"/>
    <w:rsid w:val="6142AA56"/>
    <w:rsid w:val="615C160F"/>
    <w:rsid w:val="61AA44A2"/>
    <w:rsid w:val="624E9971"/>
    <w:rsid w:val="6253EE80"/>
    <w:rsid w:val="637DFF00"/>
    <w:rsid w:val="63BE5B59"/>
    <w:rsid w:val="63F67D77"/>
    <w:rsid w:val="64DA3388"/>
    <w:rsid w:val="652E3240"/>
    <w:rsid w:val="654606D0"/>
    <w:rsid w:val="666BB0A5"/>
    <w:rsid w:val="66EF2743"/>
    <w:rsid w:val="66F5D932"/>
    <w:rsid w:val="68276C62"/>
    <w:rsid w:val="688A7E78"/>
    <w:rsid w:val="694BEEF2"/>
    <w:rsid w:val="69609B0C"/>
    <w:rsid w:val="6968403C"/>
    <w:rsid w:val="69DA34AD"/>
    <w:rsid w:val="69DD3503"/>
    <w:rsid w:val="6A071761"/>
    <w:rsid w:val="6A3BAC6F"/>
    <w:rsid w:val="6A6B2D4D"/>
    <w:rsid w:val="6A9C5347"/>
    <w:rsid w:val="6AA1E412"/>
    <w:rsid w:val="6ADE0C60"/>
    <w:rsid w:val="6B100D51"/>
    <w:rsid w:val="6B9BDF53"/>
    <w:rsid w:val="6BE890F7"/>
    <w:rsid w:val="6C98DA69"/>
    <w:rsid w:val="6CAA3A37"/>
    <w:rsid w:val="6D941171"/>
    <w:rsid w:val="6DBAAD26"/>
    <w:rsid w:val="6DCFB13B"/>
    <w:rsid w:val="6E7B71AB"/>
    <w:rsid w:val="6EA86F9A"/>
    <w:rsid w:val="6EBC8D6D"/>
    <w:rsid w:val="6EDA7381"/>
    <w:rsid w:val="6EEE44E2"/>
    <w:rsid w:val="6F17DF8C"/>
    <w:rsid w:val="6F9C469D"/>
    <w:rsid w:val="6FE32CF1"/>
    <w:rsid w:val="705AB9E1"/>
    <w:rsid w:val="70EF5890"/>
    <w:rsid w:val="70FBCDED"/>
    <w:rsid w:val="71B029B4"/>
    <w:rsid w:val="71BF1708"/>
    <w:rsid w:val="71C42D36"/>
    <w:rsid w:val="71D31E54"/>
    <w:rsid w:val="722DDF06"/>
    <w:rsid w:val="72BB567A"/>
    <w:rsid w:val="72D01FE0"/>
    <w:rsid w:val="732C005F"/>
    <w:rsid w:val="73A68C91"/>
    <w:rsid w:val="73A9BC98"/>
    <w:rsid w:val="74CECF31"/>
    <w:rsid w:val="74F148FC"/>
    <w:rsid w:val="75206A6D"/>
    <w:rsid w:val="7563DF5A"/>
    <w:rsid w:val="75806B53"/>
    <w:rsid w:val="75C6B398"/>
    <w:rsid w:val="7607292A"/>
    <w:rsid w:val="760A5931"/>
    <w:rsid w:val="7616DD0F"/>
    <w:rsid w:val="776F0B9D"/>
    <w:rsid w:val="779F3926"/>
    <w:rsid w:val="77C8D3D0"/>
    <w:rsid w:val="78404218"/>
    <w:rsid w:val="785DAC6A"/>
    <w:rsid w:val="786E1DF3"/>
    <w:rsid w:val="7877889B"/>
    <w:rsid w:val="78874714"/>
    <w:rsid w:val="78C86113"/>
    <w:rsid w:val="791E5432"/>
    <w:rsid w:val="7970F6A3"/>
    <w:rsid w:val="79A2AAB4"/>
    <w:rsid w:val="7A37834E"/>
    <w:rsid w:val="7A6B7731"/>
    <w:rsid w:val="7B18449D"/>
    <w:rsid w:val="7B1D8368"/>
    <w:rsid w:val="7BA264B6"/>
    <w:rsid w:val="7BB3BA29"/>
    <w:rsid w:val="7C67F25E"/>
    <w:rsid w:val="7D79342E"/>
    <w:rsid w:val="7DF291E9"/>
    <w:rsid w:val="7DF5179E"/>
    <w:rsid w:val="7E0D758C"/>
    <w:rsid w:val="7E29CFD5"/>
    <w:rsid w:val="7E4F4573"/>
    <w:rsid w:val="7E79E989"/>
    <w:rsid w:val="7EF3C5A1"/>
    <w:rsid w:val="7F01CA52"/>
    <w:rsid w:val="7F150DCA"/>
    <w:rsid w:val="7F1727AD"/>
    <w:rsid w:val="7F17B49A"/>
    <w:rsid w:val="7F225753"/>
    <w:rsid w:val="7F52EA55"/>
    <w:rsid w:val="7F6FCEF1"/>
    <w:rsid w:val="7FAC77D9"/>
    <w:rsid w:val="7FE4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31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basedOn w:val="DefaultParagraphFont"/>
    <w:uiPriority w:val="99"/>
    <w:semiHidden/>
    <w:unhideWhenUsed/>
    <w:rsid w:val="00B80E11"/>
    <w:rPr>
      <w:sz w:val="16"/>
      <w:szCs w:val="16"/>
    </w:rPr>
  </w:style>
  <w:style w:type="paragraph" w:styleId="CommentText">
    <w:name w:val="annotation text"/>
    <w:basedOn w:val="Normal"/>
    <w:link w:val="CommentTextChar"/>
    <w:uiPriority w:val="99"/>
    <w:semiHidden/>
    <w:unhideWhenUsed/>
    <w:rsid w:val="00B80E11"/>
  </w:style>
  <w:style w:type="character" w:customStyle="1" w:styleId="CommentTextChar">
    <w:name w:val="Comment Text Char"/>
    <w:basedOn w:val="DefaultParagraphFont"/>
    <w:link w:val="CommentText"/>
    <w:uiPriority w:val="99"/>
    <w:semiHidden/>
    <w:rsid w:val="00B80E11"/>
  </w:style>
  <w:style w:type="paragraph" w:styleId="CommentSubject">
    <w:name w:val="annotation subject"/>
    <w:basedOn w:val="CommentText"/>
    <w:next w:val="CommentText"/>
    <w:link w:val="CommentSubjectChar"/>
    <w:uiPriority w:val="99"/>
    <w:semiHidden/>
    <w:unhideWhenUsed/>
    <w:rsid w:val="00B80E11"/>
    <w:rPr>
      <w:b/>
      <w:bCs/>
    </w:rPr>
  </w:style>
  <w:style w:type="character" w:customStyle="1" w:styleId="CommentSubjectChar">
    <w:name w:val="Comment Subject Char"/>
    <w:basedOn w:val="CommentTextChar"/>
    <w:link w:val="CommentSubject"/>
    <w:uiPriority w:val="99"/>
    <w:semiHidden/>
    <w:rsid w:val="00B80E11"/>
    <w:rPr>
      <w:b/>
      <w:bCs/>
    </w:rPr>
  </w:style>
  <w:style w:type="paragraph" w:styleId="Revision">
    <w:name w:val="Revision"/>
    <w:hidden/>
    <w:uiPriority w:val="99"/>
    <w:semiHidden/>
    <w:rsid w:val="00BB6C12"/>
  </w:style>
  <w:style w:type="paragraph" w:styleId="FootnoteText">
    <w:name w:val="footnote text"/>
    <w:basedOn w:val="Normal"/>
    <w:link w:val="FootnoteTextChar"/>
    <w:semiHidden/>
    <w:rsid w:val="00926329"/>
    <w:pPr>
      <w:overflowPunct/>
      <w:autoSpaceDE/>
      <w:autoSpaceDN/>
      <w:adjustRightInd/>
      <w:spacing w:after="200" w:line="276" w:lineRule="auto"/>
      <w:textAlignment w:val="auto"/>
    </w:pPr>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semiHidden/>
    <w:rsid w:val="00926329"/>
    <w:rPr>
      <w:rFonts w:asciiTheme="minorHAnsi" w:eastAsiaTheme="minorEastAsia" w:hAnsiTheme="minorHAnsi" w:cstheme="minorBidi"/>
      <w:sz w:val="22"/>
      <w:szCs w:val="22"/>
    </w:rPr>
  </w:style>
  <w:style w:type="character" w:styleId="FootnoteReference">
    <w:name w:val="footnote reference"/>
    <w:aliases w:val="*Footnote Reference"/>
    <w:basedOn w:val="DefaultParagraphFont"/>
    <w:uiPriority w:val="99"/>
    <w:rsid w:val="00926329"/>
    <w:rPr>
      <w:vertAlign w:val="superscript"/>
    </w:rPr>
  </w:style>
  <w:style w:type="character" w:styleId="UnresolvedMention">
    <w:name w:val="Unresolved Mention"/>
    <w:basedOn w:val="DefaultParagraphFont"/>
    <w:uiPriority w:val="99"/>
    <w:unhideWhenUsed/>
    <w:rsid w:val="00ED5608"/>
    <w:rPr>
      <w:color w:val="605E5C"/>
      <w:shd w:val="clear" w:color="auto" w:fill="E1DFDD"/>
    </w:rPr>
  </w:style>
  <w:style w:type="character" w:styleId="Mention">
    <w:name w:val="Mention"/>
    <w:basedOn w:val="DefaultParagraphFont"/>
    <w:uiPriority w:val="99"/>
    <w:unhideWhenUsed/>
    <w:rsid w:val="00ED5608"/>
    <w:rPr>
      <w:color w:val="2B579A"/>
      <w:shd w:val="clear" w:color="auto" w:fill="E1DFDD"/>
    </w:rPr>
  </w:style>
  <w:style w:type="paragraph" w:styleId="ListParagraph">
    <w:name w:val="List Paragraph"/>
    <w:basedOn w:val="Normal"/>
    <w:uiPriority w:val="34"/>
    <w:qFormat/>
    <w:rsid w:val="007C2572"/>
    <w:pPr>
      <w:ind w:left="720"/>
      <w:contextualSpacing/>
    </w:pPr>
  </w:style>
  <w:style w:type="character" w:customStyle="1" w:styleId="FooterChar">
    <w:name w:val="Footer Char"/>
    <w:basedOn w:val="DefaultParagraphFont"/>
    <w:link w:val="Footer"/>
    <w:uiPriority w:val="99"/>
    <w:rsid w:val="00262DCE"/>
  </w:style>
  <w:style w:type="character" w:styleId="Hyperlink">
    <w:name w:val="Hyperlink"/>
    <w:basedOn w:val="DefaultParagraphFont"/>
    <w:uiPriority w:val="99"/>
    <w:semiHidden/>
    <w:unhideWhenUsed/>
    <w:rsid w:val="007005E3"/>
    <w:rPr>
      <w:color w:val="0000FF"/>
      <w:u w:val="single"/>
    </w:rPr>
  </w:style>
  <w:style w:type="character" w:styleId="FollowedHyperlink">
    <w:name w:val="FollowedHyperlink"/>
    <w:basedOn w:val="DefaultParagraphFont"/>
    <w:uiPriority w:val="99"/>
    <w:semiHidden/>
    <w:unhideWhenUsed/>
    <w:rsid w:val="00700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7440">
      <w:bodyDiv w:val="1"/>
      <w:marLeft w:val="0"/>
      <w:marRight w:val="0"/>
      <w:marTop w:val="0"/>
      <w:marBottom w:val="0"/>
      <w:divBdr>
        <w:top w:val="none" w:sz="0" w:space="0" w:color="auto"/>
        <w:left w:val="none" w:sz="0" w:space="0" w:color="auto"/>
        <w:bottom w:val="none" w:sz="0" w:space="0" w:color="auto"/>
        <w:right w:val="none" w:sz="0" w:space="0" w:color="auto"/>
      </w:divBdr>
    </w:div>
    <w:div w:id="335890944">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546795993">
      <w:bodyDiv w:val="1"/>
      <w:marLeft w:val="0"/>
      <w:marRight w:val="0"/>
      <w:marTop w:val="0"/>
      <w:marBottom w:val="0"/>
      <w:divBdr>
        <w:top w:val="none" w:sz="0" w:space="0" w:color="auto"/>
        <w:left w:val="none" w:sz="0" w:space="0" w:color="auto"/>
        <w:bottom w:val="none" w:sz="0" w:space="0" w:color="auto"/>
        <w:right w:val="none" w:sz="0" w:space="0" w:color="auto"/>
      </w:divBdr>
    </w:div>
    <w:div w:id="577977629">
      <w:bodyDiv w:val="1"/>
      <w:marLeft w:val="0"/>
      <w:marRight w:val="0"/>
      <w:marTop w:val="0"/>
      <w:marBottom w:val="0"/>
      <w:divBdr>
        <w:top w:val="none" w:sz="0" w:space="0" w:color="auto"/>
        <w:left w:val="none" w:sz="0" w:space="0" w:color="auto"/>
        <w:bottom w:val="none" w:sz="0" w:space="0" w:color="auto"/>
        <w:right w:val="none" w:sz="0" w:space="0" w:color="auto"/>
      </w:divBdr>
    </w:div>
    <w:div w:id="578321843">
      <w:bodyDiv w:val="1"/>
      <w:marLeft w:val="0"/>
      <w:marRight w:val="0"/>
      <w:marTop w:val="0"/>
      <w:marBottom w:val="0"/>
      <w:divBdr>
        <w:top w:val="none" w:sz="0" w:space="0" w:color="auto"/>
        <w:left w:val="none" w:sz="0" w:space="0" w:color="auto"/>
        <w:bottom w:val="none" w:sz="0" w:space="0" w:color="auto"/>
        <w:right w:val="none" w:sz="0" w:space="0" w:color="auto"/>
      </w:divBdr>
    </w:div>
    <w:div w:id="731738030">
      <w:bodyDiv w:val="1"/>
      <w:marLeft w:val="0"/>
      <w:marRight w:val="0"/>
      <w:marTop w:val="0"/>
      <w:marBottom w:val="0"/>
      <w:divBdr>
        <w:top w:val="none" w:sz="0" w:space="0" w:color="auto"/>
        <w:left w:val="none" w:sz="0" w:space="0" w:color="auto"/>
        <w:bottom w:val="none" w:sz="0" w:space="0" w:color="auto"/>
        <w:right w:val="none" w:sz="0" w:space="0" w:color="auto"/>
      </w:divBdr>
    </w:div>
    <w:div w:id="1346785422">
      <w:bodyDiv w:val="1"/>
      <w:marLeft w:val="0"/>
      <w:marRight w:val="0"/>
      <w:marTop w:val="0"/>
      <w:marBottom w:val="0"/>
      <w:divBdr>
        <w:top w:val="none" w:sz="0" w:space="0" w:color="auto"/>
        <w:left w:val="none" w:sz="0" w:space="0" w:color="auto"/>
        <w:bottom w:val="none" w:sz="0" w:space="0" w:color="auto"/>
        <w:right w:val="none" w:sz="0" w:space="0" w:color="auto"/>
      </w:divBdr>
    </w:div>
    <w:div w:id="1522469418">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783761121">
      <w:bodyDiv w:val="1"/>
      <w:marLeft w:val="0"/>
      <w:marRight w:val="0"/>
      <w:marTop w:val="0"/>
      <w:marBottom w:val="0"/>
      <w:divBdr>
        <w:top w:val="none" w:sz="0" w:space="0" w:color="auto"/>
        <w:left w:val="none" w:sz="0" w:space="0" w:color="auto"/>
        <w:bottom w:val="none" w:sz="0" w:space="0" w:color="auto"/>
        <w:right w:val="none" w:sz="0" w:space="0" w:color="auto"/>
      </w:divBdr>
    </w:div>
    <w:div w:id="18303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4070E73885AB4FA13D76CC5BED3D2A" ma:contentTypeVersion="6" ma:contentTypeDescription="Create a new document." ma:contentTypeScope="" ma:versionID="c7f58de81c745a628acb57cb5dabb0a0">
  <xsd:schema xmlns:xsd="http://www.w3.org/2001/XMLSchema" xmlns:xs="http://www.w3.org/2001/XMLSchema" xmlns:p="http://schemas.microsoft.com/office/2006/metadata/properties" xmlns:ns2="052db9ba-2cb9-4e31-8ba5-8f92208d8340" targetNamespace="http://schemas.microsoft.com/office/2006/metadata/properties" ma:root="true" ma:fieldsID="72a9ae91ae703eaa807e52a27c19ade3" ns2:_="">
    <xsd:import namespace="052db9ba-2cb9-4e31-8ba5-8f92208d83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db9ba-2cb9-4e31-8ba5-8f92208d8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68D00-A7E8-4C78-8380-EA5C71731B8E}">
  <ds:schemaRefs>
    <ds:schemaRef ds:uri="http://schemas.openxmlformats.org/officeDocument/2006/bibliography"/>
  </ds:schemaRefs>
</ds:datastoreItem>
</file>

<file path=customXml/itemProps2.xml><?xml version="1.0" encoding="utf-8"?>
<ds:datastoreItem xmlns:ds="http://schemas.openxmlformats.org/officeDocument/2006/customXml" ds:itemID="{954B300D-6388-451D-9717-32E80B0DC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db9ba-2cb9-4e31-8ba5-8f92208d8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5E136-6B21-4432-9928-A2C78F7F5794}">
  <ds:schemaRefs>
    <ds:schemaRef ds:uri="http://schemas.microsoft.com/office/2006/metadata/longProperties"/>
  </ds:schemaRefs>
</ds:datastoreItem>
</file>

<file path=customXml/itemProps4.xml><?xml version="1.0" encoding="utf-8"?>
<ds:datastoreItem xmlns:ds="http://schemas.openxmlformats.org/officeDocument/2006/customXml" ds:itemID="{583BEDCA-049E-40D8-8A4F-8E1934A29D7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D1B26C-FD08-4159-8DD1-21F17AE1B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4923</Words>
  <Characters>27728</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32586</CharactersWithSpaces>
  <SharedDoc>false</SharedDoc>
  <HLinks>
    <vt:vector size="6" baseType="variant">
      <vt:variant>
        <vt:i4>7340045</vt:i4>
      </vt:variant>
      <vt:variant>
        <vt:i4>0</vt:i4>
      </vt:variant>
      <vt:variant>
        <vt:i4>0</vt:i4>
      </vt:variant>
      <vt:variant>
        <vt:i4>5</vt:i4>
      </vt:variant>
      <vt:variant>
        <vt:lpwstr>http://www.bls.gov/oes/current/oes_stru.htm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2022-06-22T14:56:00Z</dcterms:created>
  <dcterms:modified xsi:type="dcterms:W3CDTF">2022-06-22T14:56:00Z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0x010100064070E73885AB4FA13D76CC5BED3D2A</vt:lpwstr>
  </property>
</Properties>
</file>