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3D10" w:rsidP="00463D10" w:rsidRDefault="00463D10" w14:paraId="6A0B8E1F" w14:textId="76660600">
      <w:pPr>
        <w:spacing w:after="0" w:line="240" w:lineRule="auto"/>
        <w:jc w:val="center"/>
        <w:rPr>
          <w:rFonts w:ascii="Arial" w:hAnsi="Arial" w:eastAsia="Times New Roman" w:cs="Arial"/>
          <w:b/>
          <w:sz w:val="24"/>
          <w:szCs w:val="24"/>
        </w:rPr>
      </w:pPr>
      <w:r>
        <w:rPr>
          <w:rFonts w:ascii="Arial" w:hAnsi="Arial" w:eastAsia="Times New Roman" w:cs="Arial"/>
          <w:b/>
          <w:sz w:val="24"/>
          <w:szCs w:val="24"/>
        </w:rPr>
        <w:t>SUPPORTING STATEMENT</w:t>
      </w:r>
      <w:r w:rsidR="002A716A">
        <w:rPr>
          <w:rFonts w:ascii="Arial" w:hAnsi="Arial" w:eastAsia="Times New Roman" w:cs="Arial"/>
          <w:b/>
          <w:sz w:val="24"/>
          <w:szCs w:val="24"/>
        </w:rPr>
        <w:t xml:space="preserve"> - 2022</w:t>
      </w:r>
    </w:p>
    <w:p w:rsidR="00463D10" w:rsidP="00463D10" w:rsidRDefault="00463D10" w14:paraId="6A0B8E20"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APPLICATION FOR APPROVAL OF A PROGRAM IN A FOREIGN COUNTRY</w:t>
      </w:r>
    </w:p>
    <w:p w:rsidR="00653F65" w:rsidP="00463D10" w:rsidRDefault="00463D10" w14:paraId="60A254B6" w14:textId="77777777">
      <w:pPr>
        <w:spacing w:after="0" w:line="240" w:lineRule="auto"/>
        <w:jc w:val="center"/>
        <w:rPr>
          <w:rFonts w:ascii="Arial" w:hAnsi="Arial" w:eastAsia="Times New Roman" w:cs="Arial"/>
          <w:b/>
          <w:sz w:val="24"/>
          <w:szCs w:val="24"/>
        </w:rPr>
      </w:pPr>
      <w:r>
        <w:rPr>
          <w:rFonts w:ascii="Arial" w:hAnsi="Arial" w:eastAsia="Times New Roman" w:cs="Arial"/>
          <w:b/>
          <w:sz w:val="24"/>
          <w:szCs w:val="24"/>
        </w:rPr>
        <w:t>OMB 2900-0853</w:t>
      </w:r>
      <w:r>
        <w:rPr>
          <w:rFonts w:ascii="Arial" w:hAnsi="Arial" w:eastAsia="Times New Roman" w:cs="Arial"/>
          <w:b/>
          <w:sz w:val="24"/>
          <w:szCs w:val="24"/>
        </w:rPr>
        <w:br/>
        <w:t>VA FORM 22-0976</w:t>
      </w:r>
    </w:p>
    <w:p w:rsidR="00653F65" w:rsidP="00463D10" w:rsidRDefault="00653F65" w14:paraId="562382A2" w14:textId="77777777">
      <w:pPr>
        <w:spacing w:after="0" w:line="240" w:lineRule="auto"/>
        <w:jc w:val="center"/>
        <w:rPr>
          <w:rFonts w:ascii="Arial" w:hAnsi="Arial" w:eastAsia="Times New Roman" w:cs="Arial"/>
          <w:b/>
          <w:sz w:val="24"/>
          <w:szCs w:val="24"/>
        </w:rPr>
      </w:pPr>
    </w:p>
    <w:p w:rsidR="00463D10" w:rsidP="00463D10" w:rsidRDefault="00C603E3" w14:paraId="6A0B8E21" w14:textId="6D1B8493">
      <w:pPr>
        <w:spacing w:after="0" w:line="240" w:lineRule="auto"/>
        <w:jc w:val="center"/>
        <w:rPr>
          <w:rFonts w:ascii="Arial" w:hAnsi="Arial" w:eastAsia="Times New Roman" w:cs="Arial"/>
          <w:sz w:val="24"/>
          <w:szCs w:val="24"/>
        </w:rPr>
      </w:pPr>
      <w:r>
        <w:rPr>
          <w:rFonts w:ascii="Arial" w:hAnsi="Arial" w:eastAsia="Times New Roman" w:cs="Arial"/>
          <w:b/>
          <w:sz w:val="24"/>
          <w:szCs w:val="24"/>
        </w:rPr>
        <w:t xml:space="preserve"> </w:t>
      </w:r>
    </w:p>
    <w:p w:rsidR="00463D10" w:rsidP="00463D10" w:rsidRDefault="00463D10" w14:paraId="6A0B8E22" w14:textId="77777777">
      <w:pPr>
        <w:tabs>
          <w:tab w:val="left" w:pos="480"/>
          <w:tab w:val="right" w:pos="8640"/>
        </w:tabs>
        <w:spacing w:after="0" w:line="240" w:lineRule="auto"/>
        <w:ind w:right="684"/>
        <w:rPr>
          <w:rFonts w:ascii="Arial" w:hAnsi="Arial" w:eastAsia="Times New Roman" w:cs="Arial"/>
          <w:b/>
          <w:sz w:val="24"/>
          <w:szCs w:val="24"/>
        </w:rPr>
      </w:pPr>
      <w:r>
        <w:rPr>
          <w:rFonts w:ascii="Arial" w:hAnsi="Arial" w:eastAsia="Times New Roman" w:cs="Arial"/>
          <w:b/>
          <w:sz w:val="24"/>
          <w:szCs w:val="24"/>
        </w:rPr>
        <w:t xml:space="preserve">A.  </w:t>
      </w:r>
      <w:r>
        <w:rPr>
          <w:rFonts w:ascii="Arial" w:hAnsi="Arial" w:eastAsia="Times New Roman" w:cs="Arial"/>
          <w:b/>
          <w:sz w:val="24"/>
          <w:szCs w:val="24"/>
          <w:u w:val="single"/>
        </w:rPr>
        <w:t>Justification</w:t>
      </w:r>
    </w:p>
    <w:p w:rsidR="00463D10" w:rsidP="00463D10" w:rsidRDefault="00463D10" w14:paraId="6A0B8E23" w14:textId="77777777">
      <w:pPr>
        <w:tabs>
          <w:tab w:val="left" w:pos="480"/>
          <w:tab w:val="right" w:pos="8640"/>
        </w:tabs>
        <w:spacing w:after="0" w:line="240" w:lineRule="auto"/>
        <w:ind w:right="684"/>
        <w:rPr>
          <w:rFonts w:ascii="Arial" w:hAnsi="Arial" w:eastAsia="Times New Roman" w:cs="Arial"/>
          <w:b/>
          <w:sz w:val="24"/>
          <w:szCs w:val="24"/>
        </w:rPr>
      </w:pPr>
    </w:p>
    <w:p w:rsidR="00463D10" w:rsidP="00463D10" w:rsidRDefault="00463D10" w14:paraId="6A0B8E24" w14:textId="77777777">
      <w:pPr>
        <w:numPr>
          <w:ilvl w:val="0"/>
          <w:numId w:val="1"/>
        </w:numPr>
        <w:spacing w:after="0" w:line="240" w:lineRule="auto"/>
        <w:ind w:right="540"/>
        <w:contextualSpacing/>
        <w:rPr>
          <w:rFonts w:ascii="Arial" w:hAnsi="Arial" w:eastAsia="Times New Roman" w:cs="Arial"/>
          <w:b/>
          <w:sz w:val="24"/>
          <w:szCs w:val="24"/>
        </w:rPr>
      </w:pPr>
      <w:r>
        <w:rPr>
          <w:rFonts w:ascii="Arial" w:hAnsi="Arial" w:eastAsia="Times New Roman" w:cs="Arial"/>
          <w:b/>
          <w:sz w:val="24"/>
          <w:szCs w:val="24"/>
        </w:rPr>
        <w:t xml:space="preserve">Explain the circumstances that make the collection of information necessary.  Identify legal or administrative requirements that necessitate the collection of information.  </w:t>
      </w:r>
    </w:p>
    <w:p w:rsidR="00463D10" w:rsidP="00463D10" w:rsidRDefault="00463D10" w14:paraId="6A0B8E25" w14:textId="77777777">
      <w:pPr>
        <w:spacing w:after="0" w:line="240" w:lineRule="auto"/>
        <w:ind w:left="720" w:right="540"/>
        <w:contextualSpacing/>
        <w:rPr>
          <w:rFonts w:ascii="Arial" w:hAnsi="Arial" w:eastAsia="Times New Roman" w:cs="Arial"/>
          <w:sz w:val="24"/>
          <w:szCs w:val="24"/>
        </w:rPr>
      </w:pPr>
    </w:p>
    <w:p w:rsidR="00463D10" w:rsidP="00463D10" w:rsidRDefault="00463D10" w14:paraId="6A0B8E26" w14:textId="77777777">
      <w:pPr>
        <w:spacing w:after="0" w:line="240" w:lineRule="auto"/>
        <w:ind w:left="720" w:right="540"/>
        <w:contextualSpacing/>
        <w:rPr>
          <w:rFonts w:ascii="Arial" w:hAnsi="Arial" w:eastAsia="Times New Roman" w:cs="Arial"/>
          <w:color w:val="FF0000"/>
          <w:sz w:val="24"/>
          <w:szCs w:val="24"/>
        </w:rPr>
      </w:pPr>
      <w:r>
        <w:rPr>
          <w:rFonts w:ascii="Arial" w:hAnsi="Arial" w:eastAsia="Times New Roman" w:cs="Arial"/>
          <w:sz w:val="24"/>
          <w:szCs w:val="24"/>
        </w:rPr>
        <w:t>Pursuant to CFR 21.4260, the Department of Veterans Affairs (VA) is the approving authority for all postsecondary courses in foreign countries under the benefit programs administered by the VA</w:t>
      </w:r>
      <w:r>
        <w:rPr>
          <w:rFonts w:ascii="Arial" w:hAnsi="Arial" w:eastAsia="Times New Roman" w:cs="Arial"/>
          <w:color w:val="FF0000"/>
          <w:sz w:val="24"/>
          <w:szCs w:val="24"/>
        </w:rPr>
        <w:t>.</w:t>
      </w:r>
    </w:p>
    <w:p w:rsidR="00463D10" w:rsidP="00463D10" w:rsidRDefault="00463D10" w14:paraId="6A0B8E27" w14:textId="77777777">
      <w:pPr>
        <w:spacing w:after="0" w:line="240" w:lineRule="auto"/>
        <w:ind w:left="720"/>
        <w:rPr>
          <w:rFonts w:ascii="Arial" w:hAnsi="Arial" w:eastAsia="Times New Roman" w:cs="Arial"/>
          <w:sz w:val="24"/>
          <w:szCs w:val="24"/>
        </w:rPr>
      </w:pPr>
    </w:p>
    <w:p w:rsidR="00463D10" w:rsidP="00463D10" w:rsidRDefault="00463D10" w14:paraId="6A0B8E29"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Indicate how, by whom, and for what purposes the information is to be used; indicate actual use the agency has made of the information received from current collection.</w:t>
      </w:r>
    </w:p>
    <w:p w:rsidR="00463D10" w:rsidP="00463D10" w:rsidRDefault="00463D10" w14:paraId="6A0B8E2A" w14:textId="77777777">
      <w:pPr>
        <w:spacing w:after="0" w:line="240" w:lineRule="auto"/>
        <w:ind w:left="720"/>
        <w:contextualSpacing/>
        <w:rPr>
          <w:rFonts w:ascii="Arial" w:hAnsi="Arial" w:eastAsia="Times New Roman" w:cs="Arial"/>
          <w:sz w:val="24"/>
          <w:szCs w:val="24"/>
        </w:rPr>
      </w:pPr>
    </w:p>
    <w:p w:rsidR="00463D10" w:rsidP="00463D10" w:rsidRDefault="00463D10" w14:paraId="6A0B8E2B" w14:textId="77CF7A19">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VA will use the information collected to determine if a program in a foreign country is approvable under CFR 21.4260.  In order for a review and decision to be made, the VA needs supporting information from a foreign educational institution.</w:t>
      </w:r>
    </w:p>
    <w:p w:rsidR="00034DF3" w:rsidP="00463D10" w:rsidRDefault="00034DF3" w14:paraId="6D8C06CB" w14:textId="2FED8160">
      <w:pPr>
        <w:spacing w:after="0" w:line="240" w:lineRule="auto"/>
        <w:ind w:left="720"/>
        <w:contextualSpacing/>
        <w:rPr>
          <w:rFonts w:ascii="Arial" w:hAnsi="Arial" w:eastAsia="Times New Roman" w:cs="Arial"/>
          <w:sz w:val="24"/>
          <w:szCs w:val="24"/>
        </w:rPr>
      </w:pPr>
    </w:p>
    <w:p w:rsidR="00034DF3" w:rsidP="00034DF3" w:rsidRDefault="00034DF3" w14:paraId="61DFBCBA" w14:textId="12B4EFCA">
      <w:pPr>
        <w:ind w:left="72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 xml:space="preserve">The Application for Approval of a Program in a Foreign Country, VA Form 22-0976 OMB ICR #2900-0853 is being submitted as a “Revision”.  We are changing the formatting of the form, as well as changing most of the existing questions to be written in the form of a statement. There is no change to the current burden as a result of making these revisions.   </w:t>
      </w:r>
    </w:p>
    <w:p w:rsidR="00034DF3" w:rsidP="00034DF3" w:rsidRDefault="00034DF3" w14:paraId="7DFAB230" w14:textId="77777777">
      <w:pPr>
        <w:ind w:left="720"/>
        <w:rPr>
          <w:rFonts w:ascii="Arial" w:hAnsi="Arial" w:eastAsia="Times New Roman" w:cs="Arial"/>
          <w:color w:val="000000" w:themeColor="text1"/>
          <w:sz w:val="24"/>
          <w:szCs w:val="24"/>
        </w:rPr>
      </w:pPr>
      <w:r>
        <w:rPr>
          <w:rFonts w:ascii="Arial" w:hAnsi="Arial" w:eastAsia="Times New Roman" w:cs="Arial"/>
          <w:color w:val="000000" w:themeColor="text1"/>
          <w:sz w:val="24"/>
          <w:szCs w:val="24"/>
        </w:rPr>
        <w:t>Currently, the VA Form 22-0976 questions are written to solicit YES/NO responses regarding compliance to the current and new provisions established for foreign institutions.  We believe the questions should be instead written and displayed in the form of a statement to indicate the VA requirements necessary for the achievement of compliance for foreign institutions.</w:t>
      </w:r>
    </w:p>
    <w:p w:rsidRPr="00DC0365" w:rsidR="00034DF3" w:rsidP="00034DF3" w:rsidRDefault="00034DF3" w14:paraId="3DE71590" w14:textId="77777777">
      <w:pPr>
        <w:ind w:left="720"/>
        <w:contextualSpacing/>
        <w:rPr>
          <w:rFonts w:ascii="Arial" w:hAnsi="Arial" w:cs="Arial"/>
          <w:iCs/>
          <w:sz w:val="24"/>
          <w:szCs w:val="24"/>
        </w:rPr>
      </w:pPr>
      <w:r w:rsidRPr="00DC0365">
        <w:rPr>
          <w:rFonts w:ascii="Arial" w:hAnsi="Arial" w:cs="Arial"/>
          <w:bCs/>
          <w:iCs/>
          <w:sz w:val="24"/>
          <w:szCs w:val="24"/>
        </w:rPr>
        <w:t xml:space="preserve">Public Law 116-135, Johnny Isakson and David P. Roe, M.D. Veterans Health Care and Benefits Improvement Act of 2020 </w:t>
      </w:r>
      <w:r w:rsidRPr="00DC0365">
        <w:rPr>
          <w:rFonts w:ascii="Arial" w:hAnsi="Arial" w:cs="Arial"/>
          <w:iCs/>
          <w:sz w:val="24"/>
          <w:szCs w:val="24"/>
        </w:rPr>
        <w:t>amended a number of VA benefits that requires the revision of VA Form 22-0976 to comply with these changes. The VA Form 22-0976 is the official application that all foreign institutions outside of the United States must use to formally request foreign program approval for GI Bill benefits from VA.</w:t>
      </w:r>
      <w:r>
        <w:rPr>
          <w:rFonts w:ascii="Arial" w:hAnsi="Arial" w:cs="Arial"/>
          <w:iCs/>
          <w:sz w:val="24"/>
          <w:szCs w:val="24"/>
        </w:rPr>
        <w:t xml:space="preserve">  </w:t>
      </w:r>
    </w:p>
    <w:p w:rsidR="00034DF3" w:rsidP="00034DF3" w:rsidRDefault="00034DF3" w14:paraId="12E1DD7D" w14:textId="22E57FB0">
      <w:pPr>
        <w:ind w:left="720"/>
        <w:rPr>
          <w:rFonts w:ascii="Arial" w:hAnsi="Arial" w:eastAsia="Times New Roman" w:cs="Arial"/>
          <w:color w:val="000000" w:themeColor="text1"/>
          <w:sz w:val="24"/>
          <w:szCs w:val="24"/>
        </w:rPr>
      </w:pPr>
    </w:p>
    <w:p w:rsidRPr="004802A6" w:rsidR="00034DF3" w:rsidP="00034DF3" w:rsidRDefault="00034DF3" w14:paraId="06488F13" w14:textId="2BD032D6">
      <w:pPr>
        <w:ind w:left="720"/>
        <w:contextualSpacing/>
        <w:rPr>
          <w:rFonts w:ascii="Arial" w:hAnsi="Arial" w:cs="Arial"/>
          <w:sz w:val="24"/>
          <w:szCs w:val="24"/>
        </w:rPr>
      </w:pPr>
      <w:r w:rsidRPr="00DC0365">
        <w:rPr>
          <w:rFonts w:ascii="Arial" w:hAnsi="Arial" w:cs="Arial"/>
          <w:iCs/>
          <w:sz w:val="24"/>
          <w:szCs w:val="24"/>
        </w:rPr>
        <w:lastRenderedPageBreak/>
        <w:t xml:space="preserve">The current form is inadequate to comply with </w:t>
      </w:r>
      <w:r>
        <w:rPr>
          <w:rFonts w:ascii="Arial" w:hAnsi="Arial" w:cs="Arial"/>
          <w:iCs/>
          <w:sz w:val="24"/>
          <w:szCs w:val="24"/>
        </w:rPr>
        <w:t xml:space="preserve">both the current and new </w:t>
      </w:r>
      <w:r w:rsidRPr="00DC0365">
        <w:rPr>
          <w:rFonts w:ascii="Arial" w:hAnsi="Arial" w:cs="Arial"/>
          <w:iCs/>
          <w:sz w:val="24"/>
          <w:szCs w:val="24"/>
        </w:rPr>
        <w:t xml:space="preserve">changes in the </w:t>
      </w:r>
      <w:r>
        <w:rPr>
          <w:rFonts w:ascii="Arial" w:hAnsi="Arial" w:cs="Arial"/>
          <w:iCs/>
          <w:sz w:val="24"/>
          <w:szCs w:val="24"/>
        </w:rPr>
        <w:t>law.  Therefore, t</w:t>
      </w:r>
      <w:r>
        <w:rPr>
          <w:rFonts w:ascii="Arial" w:hAnsi="Arial" w:eastAsia="Times New Roman" w:cs="Arial"/>
          <w:bCs/>
          <w:color w:val="000000" w:themeColor="text1"/>
          <w:sz w:val="24"/>
          <w:szCs w:val="24"/>
        </w:rPr>
        <w:t>he p</w:t>
      </w:r>
      <w:r w:rsidRPr="00734768">
        <w:rPr>
          <w:rFonts w:ascii="Arial" w:hAnsi="Arial" w:eastAsia="Times New Roman" w:cs="Arial"/>
          <w:bCs/>
          <w:color w:val="000000" w:themeColor="text1"/>
          <w:sz w:val="24"/>
          <w:szCs w:val="24"/>
        </w:rPr>
        <w:t>urpose of</w:t>
      </w:r>
      <w:r>
        <w:rPr>
          <w:rFonts w:ascii="Arial" w:hAnsi="Arial" w:eastAsia="Times New Roman" w:cs="Arial"/>
          <w:bCs/>
          <w:color w:val="000000" w:themeColor="text1"/>
          <w:sz w:val="24"/>
          <w:szCs w:val="24"/>
        </w:rPr>
        <w:t xml:space="preserve"> revising V</w:t>
      </w:r>
      <w:r w:rsidRPr="00734768">
        <w:rPr>
          <w:rFonts w:ascii="Arial" w:hAnsi="Arial" w:eastAsia="Times New Roman" w:cs="Arial"/>
          <w:bCs/>
          <w:color w:val="000000" w:themeColor="text1"/>
          <w:sz w:val="24"/>
          <w:szCs w:val="24"/>
        </w:rPr>
        <w:t>A Form 22-0976</w:t>
      </w:r>
      <w:r>
        <w:rPr>
          <w:rFonts w:ascii="Arial" w:hAnsi="Arial" w:eastAsia="Times New Roman" w:cs="Arial"/>
          <w:bCs/>
          <w:color w:val="000000" w:themeColor="text1"/>
          <w:sz w:val="24"/>
          <w:szCs w:val="24"/>
        </w:rPr>
        <w:t xml:space="preserve"> is</w:t>
      </w:r>
      <w:r w:rsidRPr="00734768">
        <w:rPr>
          <w:rFonts w:ascii="Arial" w:hAnsi="Arial" w:eastAsia="Times New Roman" w:cs="Arial"/>
          <w:bCs/>
          <w:color w:val="000000" w:themeColor="text1"/>
          <w:sz w:val="24"/>
          <w:szCs w:val="24"/>
        </w:rPr>
        <w:t xml:space="preserve"> to support the provisions of</w:t>
      </w:r>
      <w:r>
        <w:rPr>
          <w:rFonts w:ascii="Arial" w:hAnsi="Arial" w:eastAsia="Times New Roman" w:cs="Arial"/>
          <w:bCs/>
          <w:color w:val="000000" w:themeColor="text1"/>
          <w:sz w:val="24"/>
          <w:szCs w:val="24"/>
        </w:rPr>
        <w:t xml:space="preserve"> Public Law 116-135, and</w:t>
      </w:r>
      <w:r w:rsidRPr="00734768">
        <w:rPr>
          <w:rFonts w:ascii="Arial" w:hAnsi="Arial" w:eastAsia="Times New Roman" w:cs="Arial"/>
          <w:bCs/>
          <w:color w:val="000000" w:themeColor="text1"/>
          <w:sz w:val="24"/>
          <w:szCs w:val="24"/>
        </w:rPr>
        <w:t xml:space="preserve"> </w:t>
      </w:r>
      <w:r>
        <w:rPr>
          <w:rFonts w:ascii="Arial" w:hAnsi="Arial" w:eastAsia="Times New Roman" w:cs="Arial"/>
          <w:bCs/>
          <w:color w:val="000000" w:themeColor="text1"/>
          <w:sz w:val="24"/>
          <w:szCs w:val="24"/>
        </w:rPr>
        <w:t xml:space="preserve">the </w:t>
      </w:r>
      <w:r w:rsidRPr="00734768">
        <w:rPr>
          <w:rFonts w:ascii="Arial" w:hAnsi="Arial" w:cs="Arial"/>
          <w:bCs/>
          <w:sz w:val="24"/>
          <w:szCs w:val="24"/>
        </w:rPr>
        <w:t>Veterans Benefits and Transition Act of 2018, Public Law 115-407“</w:t>
      </w:r>
      <w:r>
        <w:rPr>
          <w:rFonts w:ascii="Arial" w:hAnsi="Arial" w:cs="Arial"/>
          <w:bCs/>
          <w:sz w:val="24"/>
          <w:szCs w:val="24"/>
        </w:rPr>
        <w:t xml:space="preserve"> necessary in order for </w:t>
      </w:r>
      <w:r>
        <w:rPr>
          <w:rFonts w:ascii="Arial" w:hAnsi="Arial" w:cs="Arial"/>
          <w:sz w:val="24"/>
          <w:szCs w:val="24"/>
        </w:rPr>
        <w:t xml:space="preserve">foreign institutions to acknowledge and adhered to the requirement of Section 104 of this law.  The provisions of this law require foreign institutions to </w:t>
      </w:r>
      <w:r w:rsidRPr="004802A6">
        <w:rPr>
          <w:rFonts w:ascii="Arial" w:hAnsi="Arial" w:cs="Arial"/>
          <w:sz w:val="24"/>
          <w:szCs w:val="24"/>
        </w:rPr>
        <w:t xml:space="preserve">allow </w:t>
      </w:r>
      <w:r>
        <w:rPr>
          <w:rFonts w:ascii="Arial" w:hAnsi="Arial" w:cs="Arial"/>
          <w:sz w:val="24"/>
          <w:szCs w:val="24"/>
        </w:rPr>
        <w:t xml:space="preserve">eligible </w:t>
      </w:r>
      <w:r w:rsidRPr="004802A6">
        <w:rPr>
          <w:rFonts w:ascii="Arial" w:hAnsi="Arial" w:cs="Arial"/>
          <w:sz w:val="24"/>
          <w:szCs w:val="24"/>
        </w:rPr>
        <w:t xml:space="preserve">individuals </w:t>
      </w:r>
      <w:r>
        <w:rPr>
          <w:rFonts w:ascii="Arial" w:hAnsi="Arial" w:cs="Arial"/>
          <w:sz w:val="24"/>
          <w:szCs w:val="24"/>
        </w:rPr>
        <w:t>to stay</w:t>
      </w:r>
      <w:r w:rsidRPr="004802A6">
        <w:rPr>
          <w:rFonts w:ascii="Arial" w:hAnsi="Arial" w:cs="Arial"/>
          <w:sz w:val="24"/>
          <w:szCs w:val="24"/>
        </w:rPr>
        <w:t xml:space="preserve"> enrolled in courses of education pending </w:t>
      </w:r>
      <w:r>
        <w:rPr>
          <w:rFonts w:ascii="Arial" w:hAnsi="Arial" w:cs="Arial"/>
          <w:sz w:val="24"/>
          <w:szCs w:val="24"/>
        </w:rPr>
        <w:t xml:space="preserve">the </w:t>
      </w:r>
      <w:r w:rsidRPr="004802A6">
        <w:rPr>
          <w:rFonts w:ascii="Arial" w:hAnsi="Arial" w:cs="Arial"/>
          <w:sz w:val="24"/>
          <w:szCs w:val="24"/>
        </w:rPr>
        <w:t xml:space="preserve">receipt of educational assistance from </w:t>
      </w:r>
      <w:r>
        <w:rPr>
          <w:rFonts w:ascii="Arial" w:hAnsi="Arial" w:cs="Arial"/>
          <w:sz w:val="24"/>
          <w:szCs w:val="24"/>
        </w:rPr>
        <w:t>Department of Veterans Affairs</w:t>
      </w:r>
      <w:r w:rsidRPr="004802A6">
        <w:rPr>
          <w:rFonts w:ascii="Arial" w:hAnsi="Arial" w:cs="Arial"/>
          <w:sz w:val="24"/>
          <w:szCs w:val="24"/>
        </w:rPr>
        <w:t>.</w:t>
      </w:r>
      <w:r>
        <w:rPr>
          <w:rFonts w:ascii="Arial" w:hAnsi="Arial" w:cs="Arial"/>
          <w:sz w:val="24"/>
          <w:szCs w:val="24"/>
        </w:rPr>
        <w:t xml:space="preserve">  The institution’s </w:t>
      </w:r>
      <w:r w:rsidRPr="004802A6">
        <w:rPr>
          <w:rFonts w:ascii="Arial" w:hAnsi="Arial" w:cs="Arial"/>
          <w:sz w:val="24"/>
          <w:szCs w:val="24"/>
        </w:rPr>
        <w:t xml:space="preserve">policy must ensure that </w:t>
      </w:r>
      <w:r>
        <w:rPr>
          <w:rFonts w:ascii="Arial" w:hAnsi="Arial" w:cs="Arial"/>
          <w:sz w:val="24"/>
          <w:szCs w:val="24"/>
        </w:rPr>
        <w:t>they w</w:t>
      </w:r>
      <w:r w:rsidRPr="004802A6">
        <w:rPr>
          <w:rFonts w:ascii="Arial" w:hAnsi="Arial" w:cs="Arial"/>
          <w:sz w:val="24"/>
          <w:szCs w:val="24"/>
        </w:rPr>
        <w:t xml:space="preserve">ill not impose any penalty, including the assessment of late fees, the denial of access to classes, libraries, or other institutional facilities, or </w:t>
      </w:r>
      <w:r>
        <w:rPr>
          <w:rFonts w:ascii="Arial" w:hAnsi="Arial" w:cs="Arial"/>
          <w:sz w:val="24"/>
          <w:szCs w:val="24"/>
        </w:rPr>
        <w:t xml:space="preserve">make it a </w:t>
      </w:r>
      <w:r w:rsidRPr="004802A6">
        <w:rPr>
          <w:rFonts w:ascii="Arial" w:hAnsi="Arial" w:cs="Arial"/>
          <w:sz w:val="24"/>
          <w:szCs w:val="24"/>
        </w:rPr>
        <w:t xml:space="preserve">requirement that a covered individual borrow additional funds because of the individual’s inability to meet his or her financial obligations to the institution due to the delayed disbursement funding from VA under chapter 31 or 33. </w:t>
      </w:r>
    </w:p>
    <w:p w:rsidR="00034DF3" w:rsidP="00034DF3" w:rsidRDefault="00034DF3" w14:paraId="28A58500" w14:textId="77777777">
      <w:pPr>
        <w:rPr>
          <w:rFonts w:ascii="Arial" w:hAnsi="Arial" w:cs="Arial"/>
          <w:b/>
          <w:bCs/>
          <w:sz w:val="24"/>
          <w:szCs w:val="24"/>
          <w:u w:val="single"/>
        </w:rPr>
      </w:pPr>
    </w:p>
    <w:p w:rsidRPr="0094055F" w:rsidR="00034DF3" w:rsidP="00034DF3" w:rsidRDefault="00034DF3" w14:paraId="70EC1435" w14:textId="77777777">
      <w:pPr>
        <w:ind w:left="720"/>
        <w:rPr>
          <w:rFonts w:ascii="Arial" w:hAnsi="Arial" w:cs="Arial"/>
          <w:sz w:val="24"/>
          <w:szCs w:val="24"/>
        </w:rPr>
      </w:pPr>
      <w:r w:rsidRPr="00245F9F">
        <w:rPr>
          <w:rFonts w:ascii="Arial" w:hAnsi="Arial" w:cs="Arial"/>
          <w:sz w:val="24"/>
          <w:szCs w:val="24"/>
        </w:rPr>
        <w:t>The purpose of revising this form also supports the provisions of Isakson and ROE, Public Law 116-315</w:t>
      </w:r>
      <w:r>
        <w:rPr>
          <w:rFonts w:ascii="Arial" w:hAnsi="Arial" w:cs="Arial"/>
          <w:sz w:val="24"/>
          <w:szCs w:val="24"/>
        </w:rPr>
        <w:t xml:space="preserve">, Sections 1019 and 1020.  </w:t>
      </w:r>
      <w:r w:rsidRPr="00A01C12">
        <w:rPr>
          <w:rFonts w:ascii="Arial" w:hAnsi="Arial" w:cs="Arial"/>
          <w:bCs/>
          <w:sz w:val="24"/>
          <w:szCs w:val="24"/>
        </w:rPr>
        <w:t xml:space="preserve">Section 1019 </w:t>
      </w:r>
      <w:bookmarkStart w:name="_Hlk58859985" w:id="0"/>
      <w:r w:rsidRPr="00A01C12">
        <w:rPr>
          <w:rFonts w:ascii="Arial" w:hAnsi="Arial" w:cs="Arial"/>
          <w:bCs/>
          <w:sz w:val="24"/>
          <w:szCs w:val="24"/>
        </w:rPr>
        <w:t xml:space="preserve">requires schools and training programs </w:t>
      </w:r>
      <w:r>
        <w:rPr>
          <w:rFonts w:ascii="Arial" w:hAnsi="Arial" w:cs="Arial"/>
          <w:bCs/>
          <w:sz w:val="24"/>
          <w:szCs w:val="24"/>
        </w:rPr>
        <w:t xml:space="preserve">to </w:t>
      </w:r>
      <w:r w:rsidRPr="00A01C12">
        <w:rPr>
          <w:rFonts w:ascii="Arial" w:hAnsi="Arial" w:cs="Arial"/>
          <w:bCs/>
          <w:sz w:val="24"/>
          <w:szCs w:val="24"/>
        </w:rPr>
        <w:t xml:space="preserve">be financially responsible </w:t>
      </w:r>
      <w:r>
        <w:rPr>
          <w:rFonts w:ascii="Arial" w:hAnsi="Arial" w:cs="Arial"/>
          <w:bCs/>
          <w:sz w:val="24"/>
          <w:szCs w:val="24"/>
        </w:rPr>
        <w:t xml:space="preserve">(School Liability), </w:t>
      </w:r>
      <w:r w:rsidRPr="00A01C12">
        <w:rPr>
          <w:rFonts w:ascii="Arial" w:hAnsi="Arial" w:cs="Arial"/>
          <w:bCs/>
          <w:sz w:val="24"/>
          <w:szCs w:val="24"/>
        </w:rPr>
        <w:t>instead of the student</w:t>
      </w:r>
      <w:r>
        <w:rPr>
          <w:rFonts w:ascii="Arial" w:hAnsi="Arial" w:cs="Arial"/>
          <w:bCs/>
          <w:sz w:val="24"/>
          <w:szCs w:val="24"/>
        </w:rPr>
        <w:t>,</w:t>
      </w:r>
      <w:r w:rsidRPr="00A01C12">
        <w:rPr>
          <w:rFonts w:ascii="Arial" w:hAnsi="Arial" w:cs="Arial"/>
          <w:bCs/>
          <w:sz w:val="24"/>
          <w:szCs w:val="24"/>
        </w:rPr>
        <w:t xml:space="preserve"> for payments </w:t>
      </w:r>
      <w:r>
        <w:rPr>
          <w:rFonts w:ascii="Arial" w:hAnsi="Arial" w:cs="Arial"/>
          <w:bCs/>
          <w:sz w:val="24"/>
          <w:szCs w:val="24"/>
        </w:rPr>
        <w:t xml:space="preserve">which are </w:t>
      </w:r>
      <w:r w:rsidRPr="00A01C12">
        <w:rPr>
          <w:rFonts w:ascii="Arial" w:hAnsi="Arial" w:cs="Arial"/>
          <w:bCs/>
          <w:sz w:val="24"/>
          <w:szCs w:val="24"/>
        </w:rPr>
        <w:t>directly paid to an educational institution pursuant to the Post-9/11 GI Bill,</w:t>
      </w:r>
      <w:r>
        <w:rPr>
          <w:rFonts w:ascii="Arial" w:hAnsi="Arial" w:cs="Arial"/>
          <w:bCs/>
          <w:sz w:val="24"/>
          <w:szCs w:val="24"/>
        </w:rPr>
        <w:t xml:space="preserve"> (i.e.  </w:t>
      </w:r>
      <w:r w:rsidRPr="00A01C12">
        <w:rPr>
          <w:rFonts w:ascii="Arial" w:hAnsi="Arial" w:cs="Arial"/>
          <w:bCs/>
          <w:sz w:val="24"/>
          <w:szCs w:val="24"/>
        </w:rPr>
        <w:t xml:space="preserve">payments paid to an educational institution pursuant to the Yellow Ribbon GI Education Enhancement program and </w:t>
      </w:r>
      <w:r>
        <w:rPr>
          <w:rFonts w:ascii="Arial" w:hAnsi="Arial" w:cs="Arial"/>
          <w:bCs/>
          <w:sz w:val="24"/>
          <w:szCs w:val="24"/>
        </w:rPr>
        <w:t>the A</w:t>
      </w:r>
      <w:r w:rsidRPr="00A01C12">
        <w:rPr>
          <w:rFonts w:ascii="Arial" w:hAnsi="Arial" w:cs="Arial"/>
          <w:bCs/>
          <w:sz w:val="24"/>
          <w:szCs w:val="24"/>
        </w:rPr>
        <w:t xml:space="preserve">dvance payments of </w:t>
      </w:r>
      <w:r>
        <w:rPr>
          <w:rFonts w:ascii="Arial" w:hAnsi="Arial" w:cs="Arial"/>
          <w:bCs/>
          <w:sz w:val="24"/>
          <w:szCs w:val="24"/>
        </w:rPr>
        <w:t xml:space="preserve">the </w:t>
      </w:r>
      <w:r w:rsidRPr="00A01C12">
        <w:rPr>
          <w:rFonts w:ascii="Arial" w:hAnsi="Arial" w:cs="Arial"/>
          <w:bCs/>
          <w:sz w:val="24"/>
          <w:szCs w:val="24"/>
        </w:rPr>
        <w:t>initial educational assistance</w:t>
      </w:r>
      <w:r>
        <w:rPr>
          <w:rFonts w:ascii="Arial" w:hAnsi="Arial" w:cs="Arial"/>
          <w:bCs/>
          <w:sz w:val="24"/>
          <w:szCs w:val="24"/>
        </w:rPr>
        <w:t xml:space="preserve"> to an institution</w:t>
      </w:r>
      <w:r w:rsidRPr="00A01C12">
        <w:rPr>
          <w:rFonts w:ascii="Arial" w:hAnsi="Arial" w:cs="Arial"/>
          <w:bCs/>
          <w:sz w:val="24"/>
          <w:szCs w:val="24"/>
        </w:rPr>
        <w:t>.</w:t>
      </w:r>
      <w:bookmarkEnd w:id="0"/>
      <w:r>
        <w:rPr>
          <w:rFonts w:ascii="Arial" w:hAnsi="Arial" w:cs="Arial"/>
          <w:bCs/>
          <w:sz w:val="24"/>
          <w:szCs w:val="24"/>
        </w:rPr>
        <w:t xml:space="preserve">).  </w:t>
      </w:r>
      <w:r w:rsidRPr="004925AB">
        <w:rPr>
          <w:rFonts w:ascii="Arial" w:hAnsi="Arial" w:cs="Arial"/>
          <w:bCs/>
          <w:sz w:val="24"/>
          <w:szCs w:val="24"/>
        </w:rPr>
        <w:t>Section 1020</w:t>
      </w:r>
      <w:r>
        <w:rPr>
          <w:rFonts w:ascii="Arial" w:hAnsi="Arial" w:cs="Arial"/>
          <w:bCs/>
          <w:sz w:val="24"/>
          <w:szCs w:val="24"/>
        </w:rPr>
        <w:t xml:space="preserve"> limits</w:t>
      </w:r>
      <w:r w:rsidRPr="00616283">
        <w:rPr>
          <w:rFonts w:ascii="Arial" w:hAnsi="Arial" w:cs="Arial"/>
          <w:sz w:val="24"/>
          <w:szCs w:val="24"/>
        </w:rPr>
        <w:t xml:space="preserve"> the type of </w:t>
      </w:r>
      <w:r>
        <w:rPr>
          <w:rFonts w:ascii="Arial" w:hAnsi="Arial" w:cs="Arial"/>
          <w:sz w:val="24"/>
          <w:szCs w:val="24"/>
        </w:rPr>
        <w:t>A</w:t>
      </w:r>
      <w:r w:rsidRPr="00616283">
        <w:rPr>
          <w:rFonts w:ascii="Arial" w:hAnsi="Arial" w:cs="Arial"/>
          <w:sz w:val="24"/>
          <w:szCs w:val="24"/>
        </w:rPr>
        <w:t xml:space="preserve">dvertising, </w:t>
      </w:r>
      <w:r>
        <w:rPr>
          <w:rFonts w:ascii="Arial" w:hAnsi="Arial" w:cs="Arial"/>
          <w:sz w:val="24"/>
          <w:szCs w:val="24"/>
        </w:rPr>
        <w:t>S</w:t>
      </w:r>
      <w:r w:rsidRPr="00616283">
        <w:rPr>
          <w:rFonts w:ascii="Arial" w:hAnsi="Arial" w:cs="Arial"/>
          <w:sz w:val="24"/>
          <w:szCs w:val="24"/>
        </w:rPr>
        <w:t xml:space="preserve">ales, and </w:t>
      </w:r>
      <w:r>
        <w:rPr>
          <w:rFonts w:ascii="Arial" w:hAnsi="Arial" w:cs="Arial"/>
          <w:sz w:val="24"/>
          <w:szCs w:val="24"/>
        </w:rPr>
        <w:t>M</w:t>
      </w:r>
      <w:r w:rsidRPr="00616283">
        <w:rPr>
          <w:rFonts w:ascii="Arial" w:hAnsi="Arial" w:cs="Arial"/>
          <w:sz w:val="24"/>
          <w:szCs w:val="24"/>
        </w:rPr>
        <w:t xml:space="preserve">arketing that schools can conduct and remain eligible for GI Bill funds. This section would also create a tiered penalty system </w:t>
      </w:r>
      <w:r>
        <w:rPr>
          <w:rFonts w:ascii="Arial" w:hAnsi="Arial" w:cs="Arial"/>
          <w:sz w:val="24"/>
          <w:szCs w:val="24"/>
        </w:rPr>
        <w:t xml:space="preserve">against </w:t>
      </w:r>
      <w:r w:rsidRPr="00616283">
        <w:rPr>
          <w:rFonts w:ascii="Arial" w:hAnsi="Arial" w:cs="Arial"/>
          <w:sz w:val="24"/>
          <w:szCs w:val="24"/>
        </w:rPr>
        <w:t>institutions that do not comply with the law and set up a mechanism for institutions to work with the SAAs and VA on coming back into compliance</w:t>
      </w:r>
      <w:r>
        <w:rPr>
          <w:rFonts w:ascii="Arial" w:hAnsi="Arial" w:cs="Arial"/>
          <w:sz w:val="24"/>
          <w:szCs w:val="24"/>
        </w:rPr>
        <w:t>, and for i</w:t>
      </w:r>
      <w:r w:rsidRPr="0094055F">
        <w:rPr>
          <w:rFonts w:ascii="Arial" w:hAnsi="Arial" w:cs="Arial"/>
          <w:sz w:val="24"/>
          <w:szCs w:val="24"/>
        </w:rPr>
        <w:t>nstitution</w:t>
      </w:r>
      <w:r>
        <w:rPr>
          <w:rFonts w:ascii="Arial" w:hAnsi="Arial" w:cs="Arial"/>
          <w:sz w:val="24"/>
          <w:szCs w:val="24"/>
        </w:rPr>
        <w:t>s</w:t>
      </w:r>
      <w:r w:rsidRPr="0094055F">
        <w:rPr>
          <w:rFonts w:ascii="Arial" w:hAnsi="Arial" w:cs="Arial"/>
          <w:sz w:val="24"/>
          <w:szCs w:val="24"/>
        </w:rPr>
        <w:t xml:space="preserve"> </w:t>
      </w:r>
      <w:r>
        <w:rPr>
          <w:rFonts w:ascii="Arial" w:hAnsi="Arial" w:cs="Arial"/>
          <w:sz w:val="24"/>
          <w:szCs w:val="24"/>
        </w:rPr>
        <w:t xml:space="preserve">to </w:t>
      </w:r>
      <w:r w:rsidRPr="0094055F">
        <w:rPr>
          <w:rFonts w:ascii="Arial" w:hAnsi="Arial" w:cs="Arial"/>
          <w:sz w:val="24"/>
          <w:szCs w:val="24"/>
        </w:rPr>
        <w:t>not engage in advertising and/or enrollment practices of any type, which are erroneous, deceptive, or misleading either by actual statement, omission, or intimidation.</w:t>
      </w:r>
    </w:p>
    <w:p w:rsidR="00463D10" w:rsidP="00463D10" w:rsidRDefault="00463D10" w14:paraId="6A0B8E2C" w14:textId="77777777">
      <w:pPr>
        <w:spacing w:after="0" w:line="240" w:lineRule="auto"/>
        <w:ind w:left="720"/>
        <w:contextualSpacing/>
        <w:rPr>
          <w:rFonts w:ascii="Arial" w:hAnsi="Arial" w:eastAsia="Times New Roman" w:cs="Arial"/>
          <w:sz w:val="24"/>
          <w:szCs w:val="24"/>
        </w:rPr>
      </w:pPr>
    </w:p>
    <w:p w:rsidR="00463D10" w:rsidP="00463D10" w:rsidRDefault="00463D10" w14:paraId="6A0B8E2D"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P="00463D10" w:rsidRDefault="00463D10" w14:paraId="6A0B8E2E" w14:textId="77777777">
      <w:pPr>
        <w:spacing w:after="0" w:line="240" w:lineRule="auto"/>
        <w:ind w:left="720"/>
        <w:contextualSpacing/>
        <w:rPr>
          <w:rFonts w:ascii="Arial" w:hAnsi="Arial" w:eastAsia="Times New Roman" w:cs="Arial"/>
          <w:sz w:val="24"/>
          <w:szCs w:val="24"/>
        </w:rPr>
      </w:pPr>
    </w:p>
    <w:p w:rsidRPr="00780EB3" w:rsidR="00034DF3" w:rsidP="00034DF3" w:rsidRDefault="00034DF3" w14:paraId="55770C87" w14:textId="5FFADC0B">
      <w:pPr>
        <w:ind w:left="720"/>
        <w:rPr>
          <w:rFonts w:ascii="Arial" w:hAnsi="Arial" w:eastAsia="Times New Roman" w:cs="Arial"/>
          <w:iCs/>
          <w:sz w:val="24"/>
          <w:szCs w:val="24"/>
        </w:rPr>
      </w:pPr>
      <w:r w:rsidRPr="005B04E5">
        <w:rPr>
          <w:rFonts w:ascii="Arial" w:hAnsi="Arial" w:eastAsia="Times New Roman" w:cs="Arial"/>
          <w:iCs/>
          <w:sz w:val="24"/>
          <w:szCs w:val="24"/>
        </w:rPr>
        <w:t xml:space="preserve">After </w:t>
      </w:r>
      <w:r w:rsidRPr="00780EB3">
        <w:rPr>
          <w:rFonts w:ascii="Arial" w:hAnsi="Arial" w:eastAsia="Times New Roman" w:cs="Arial"/>
          <w:iCs/>
          <w:sz w:val="24"/>
          <w:szCs w:val="24"/>
        </w:rPr>
        <w:t xml:space="preserve">completing the form, foreign institutions will continue to download the VA Form 22-0976 from the GI Bill website and submit it via email to </w:t>
      </w:r>
      <w:hyperlink w:history="1" r:id="rId10">
        <w:r w:rsidRPr="00780EB3">
          <w:rPr>
            <w:rStyle w:val="Hyperlink"/>
            <w:rFonts w:ascii="Arial" w:hAnsi="Arial" w:eastAsia="Times New Roman" w:cs="Arial"/>
            <w:iCs/>
            <w:sz w:val="24"/>
            <w:szCs w:val="24"/>
          </w:rPr>
          <w:t>federal.approvals@va.gov</w:t>
        </w:r>
      </w:hyperlink>
      <w:r w:rsidRPr="00780EB3">
        <w:rPr>
          <w:rFonts w:ascii="Arial" w:hAnsi="Arial" w:eastAsia="Times New Roman" w:cs="Arial"/>
          <w:iCs/>
          <w:sz w:val="24"/>
          <w:szCs w:val="24"/>
        </w:rPr>
        <w:t xml:space="preserve"> </w:t>
      </w:r>
    </w:p>
    <w:p w:rsidR="00463D10" w:rsidP="00463D10" w:rsidRDefault="00463D10" w14:paraId="6A0B8E31" w14:textId="77777777">
      <w:pPr>
        <w:spacing w:after="0" w:line="240" w:lineRule="auto"/>
        <w:rPr>
          <w:rFonts w:ascii="Arial" w:hAnsi="Arial" w:eastAsia="Times New Roman" w:cs="Arial"/>
          <w:color w:val="000000"/>
          <w:sz w:val="24"/>
          <w:szCs w:val="24"/>
        </w:rPr>
      </w:pPr>
    </w:p>
    <w:p w:rsidR="00463D10" w:rsidP="00463D10" w:rsidRDefault="00463D10" w14:paraId="6A0B8E32"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lastRenderedPageBreak/>
        <w:t>Describe efforts to identify duplication.  Show specifically why any similar information already available cannot be used or modified for use for the purposes described in Item 2 above.</w:t>
      </w:r>
    </w:p>
    <w:p w:rsidR="00463D10" w:rsidP="00463D10" w:rsidRDefault="00463D10" w14:paraId="6A0B8E33" w14:textId="77777777">
      <w:pPr>
        <w:spacing w:after="0" w:line="240" w:lineRule="auto"/>
        <w:ind w:left="720"/>
        <w:contextualSpacing/>
        <w:rPr>
          <w:rFonts w:ascii="Arial" w:hAnsi="Arial" w:eastAsia="Times New Roman" w:cs="Arial"/>
          <w:sz w:val="24"/>
          <w:szCs w:val="24"/>
        </w:rPr>
      </w:pPr>
    </w:p>
    <w:p w:rsidR="00463D10" w:rsidP="00463D10" w:rsidRDefault="00463D10" w14:paraId="6A0B8E34"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A review was conducted to identify any potential areas of duplication and none were discovered.  There is no known Department or Agency that maintains this information, nor is it available from other sources within the VA.</w:t>
      </w:r>
    </w:p>
    <w:p w:rsidR="00463D10" w:rsidP="00463D10" w:rsidRDefault="00463D10" w14:paraId="6A0B8E36" w14:textId="77777777">
      <w:pPr>
        <w:spacing w:after="0" w:line="240" w:lineRule="auto"/>
        <w:ind w:left="720"/>
        <w:contextualSpacing/>
        <w:rPr>
          <w:rFonts w:ascii="Arial" w:hAnsi="Arial" w:eastAsia="Times New Roman" w:cs="Arial"/>
          <w:sz w:val="24"/>
          <w:szCs w:val="24"/>
        </w:rPr>
      </w:pPr>
    </w:p>
    <w:p w:rsidR="00463D10" w:rsidP="00463D10" w:rsidRDefault="00463D10" w14:paraId="6A0B8E37"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If the collection of information impacts small businesses or other small entities, describe any methods used to minimize burden.</w:t>
      </w:r>
    </w:p>
    <w:p w:rsidR="00463D10" w:rsidP="00463D10" w:rsidRDefault="00463D10" w14:paraId="6A0B8E38" w14:textId="77777777">
      <w:pPr>
        <w:spacing w:after="0" w:line="240" w:lineRule="auto"/>
        <w:ind w:left="720"/>
        <w:contextualSpacing/>
        <w:rPr>
          <w:rFonts w:ascii="Arial" w:hAnsi="Arial" w:eastAsia="Times New Roman" w:cs="Arial"/>
          <w:sz w:val="24"/>
          <w:szCs w:val="24"/>
        </w:rPr>
      </w:pPr>
    </w:p>
    <w:p w:rsidR="00463D10" w:rsidP="00463D10" w:rsidRDefault="00463D10" w14:paraId="6A0B8E39"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The collection of information does not involve small businesses or entities.</w:t>
      </w:r>
    </w:p>
    <w:p w:rsidR="00463D10" w:rsidP="00463D10" w:rsidRDefault="00463D10" w14:paraId="6A0B8E3A" w14:textId="77777777">
      <w:pPr>
        <w:spacing w:after="0" w:line="240" w:lineRule="auto"/>
        <w:ind w:left="720"/>
        <w:contextualSpacing/>
        <w:rPr>
          <w:rFonts w:ascii="Arial" w:hAnsi="Arial" w:eastAsia="Times New Roman" w:cs="Arial"/>
          <w:sz w:val="24"/>
          <w:szCs w:val="24"/>
        </w:rPr>
      </w:pPr>
    </w:p>
    <w:p w:rsidR="00463D10" w:rsidP="00463D10" w:rsidRDefault="00463D10" w14:paraId="6A0B8E3B" w14:textId="77777777">
      <w:pPr>
        <w:numPr>
          <w:ilvl w:val="0"/>
          <w:numId w:val="1"/>
        </w:numPr>
        <w:spacing w:after="0" w:line="240" w:lineRule="auto"/>
        <w:contextualSpacing/>
        <w:rPr>
          <w:rFonts w:ascii="Arial" w:hAnsi="Arial" w:eastAsia="Times New Roman" w:cs="Arial"/>
          <w:b/>
          <w:sz w:val="24"/>
          <w:szCs w:val="24"/>
        </w:rPr>
      </w:pPr>
      <w:r>
        <w:rPr>
          <w:rFonts w:ascii="Arial" w:hAnsi="Arial" w:eastAsia="Times New Roman" w:cs="Arial"/>
          <w:b/>
          <w:sz w:val="24"/>
          <w:szCs w:val="24"/>
        </w:rPr>
        <w:t>Describe the consequences to Federal program or policy activities if the collection is not conducted or is conducted less frequently as well as any technical or legal obstacles to reducing burden.</w:t>
      </w:r>
    </w:p>
    <w:p w:rsidR="00463D10" w:rsidP="00463D10" w:rsidRDefault="00463D10" w14:paraId="6A0B8E3C" w14:textId="77777777">
      <w:pPr>
        <w:spacing w:after="0" w:line="240" w:lineRule="auto"/>
        <w:contextualSpacing/>
        <w:rPr>
          <w:rFonts w:ascii="Arial" w:hAnsi="Arial" w:eastAsia="Times New Roman" w:cs="Arial"/>
          <w:b/>
          <w:sz w:val="24"/>
          <w:szCs w:val="24"/>
        </w:rPr>
      </w:pPr>
    </w:p>
    <w:p w:rsidR="00463D10" w:rsidP="00463D10" w:rsidRDefault="00463D10" w14:paraId="6A0B8E3D" w14:textId="77777777">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If this information is not collected, a decision regarding the approval of postsecondary courses in foreign countries will not be completed and VA students will not be eligible to receive benefits for educational pursuit.  Collection of the information is the only way the VA may make a decision in regard to CFR 21.4260.</w:t>
      </w:r>
    </w:p>
    <w:p w:rsidR="00463D10" w:rsidP="00463D10" w:rsidRDefault="00463D10" w14:paraId="6A0B8E3F" w14:textId="77777777">
      <w:pPr>
        <w:spacing w:after="0" w:line="240" w:lineRule="auto"/>
        <w:contextualSpacing/>
        <w:rPr>
          <w:rFonts w:ascii="Arial" w:hAnsi="Arial" w:eastAsia="Times New Roman" w:cs="Arial"/>
          <w:b/>
          <w:sz w:val="24"/>
          <w:szCs w:val="24"/>
        </w:rPr>
      </w:pPr>
    </w:p>
    <w:p w:rsidR="00463D10" w:rsidP="00463D10" w:rsidRDefault="00463D10" w14:paraId="6A0B8E40" w14:textId="77777777">
      <w:pPr>
        <w:numPr>
          <w:ilvl w:val="0"/>
          <w:numId w:val="1"/>
        </w:numPr>
        <w:spacing w:after="0" w:line="240" w:lineRule="auto"/>
        <w:contextualSpacing/>
        <w:rPr>
          <w:rFonts w:ascii="Arial" w:hAnsi="Arial" w:eastAsia="Times New Roman" w:cs="Arial"/>
          <w:b/>
          <w:bCs/>
          <w:sz w:val="24"/>
          <w:szCs w:val="24"/>
        </w:rPr>
      </w:pPr>
      <w:r>
        <w:rPr>
          <w:rFonts w:ascii="Arial" w:hAnsi="Arial" w:eastAsia="Times New Roman"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463D10" w:rsidP="00463D10" w:rsidRDefault="00463D10" w14:paraId="6A0B8E41" w14:textId="77777777">
      <w:pPr>
        <w:spacing w:after="0" w:line="240" w:lineRule="auto"/>
        <w:ind w:left="720"/>
        <w:contextualSpacing/>
        <w:rPr>
          <w:rFonts w:ascii="Arial" w:hAnsi="Arial" w:eastAsia="Times New Roman" w:cs="Arial"/>
          <w:bCs/>
          <w:sz w:val="24"/>
          <w:szCs w:val="24"/>
        </w:rPr>
      </w:pPr>
    </w:p>
    <w:p w:rsidR="00463D10" w:rsidP="00463D10" w:rsidRDefault="00463D10" w14:paraId="6A0B8E42" w14:textId="77777777">
      <w:pPr>
        <w:spacing w:after="0" w:line="240" w:lineRule="auto"/>
        <w:ind w:left="720"/>
        <w:contextualSpacing/>
        <w:rPr>
          <w:rFonts w:ascii="Arial" w:hAnsi="Arial" w:eastAsia="Times New Roman" w:cs="Arial"/>
          <w:bCs/>
          <w:sz w:val="24"/>
          <w:szCs w:val="24"/>
        </w:rPr>
      </w:pPr>
      <w:r>
        <w:rPr>
          <w:rFonts w:ascii="Arial" w:hAnsi="Arial" w:eastAsia="Times New Roman" w:cs="Arial"/>
          <w:bCs/>
          <w:sz w:val="24"/>
          <w:szCs w:val="24"/>
        </w:rPr>
        <w:t>There is no special circumstance requiring collection in a manner inconsistent with 5 CFR 1320.6 guidelines.</w:t>
      </w:r>
    </w:p>
    <w:p w:rsidR="00463D10" w:rsidP="00463D10" w:rsidRDefault="00463D10" w14:paraId="6A0B8E43" w14:textId="77777777">
      <w:pPr>
        <w:spacing w:after="0" w:line="240" w:lineRule="auto"/>
        <w:rPr>
          <w:rFonts w:ascii="Arial" w:hAnsi="Arial" w:eastAsia="Times New Roman" w:cs="Arial"/>
          <w:bCs/>
          <w:sz w:val="24"/>
          <w:szCs w:val="24"/>
        </w:rPr>
      </w:pPr>
    </w:p>
    <w:p w:rsidR="00463D10" w:rsidP="00463D10" w:rsidRDefault="00463D10" w14:paraId="6A0B8E44"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63D10" w:rsidP="00463D10" w:rsidRDefault="00463D10" w14:paraId="6A0B8E45"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2F2055" w:rsidR="002F2055" w:rsidP="00034DF3" w:rsidRDefault="00463D10" w14:paraId="5DE6AE6C" w14:textId="35E69318">
      <w:pPr>
        <w:tabs>
          <w:tab w:val="left" w:pos="480"/>
          <w:tab w:val="right" w:pos="8640"/>
        </w:tabs>
        <w:spacing w:after="0" w:line="240" w:lineRule="auto"/>
        <w:ind w:left="720" w:right="684"/>
        <w:contextualSpacing/>
        <w:rPr>
          <w:rFonts w:ascii="Arial" w:hAnsi="Arial" w:eastAsia="Times New Roman" w:cs="Arial"/>
          <w:color w:val="000000" w:themeColor="text1"/>
          <w:sz w:val="24"/>
          <w:szCs w:val="24"/>
        </w:rPr>
      </w:pPr>
      <w:r>
        <w:rPr>
          <w:rFonts w:ascii="Arial" w:hAnsi="Arial" w:eastAsia="Times New Roman" w:cs="Arial"/>
          <w:sz w:val="24"/>
          <w:szCs w:val="24"/>
        </w:rPr>
        <w:lastRenderedPageBreak/>
        <w:t xml:space="preserve">The Department notice was published in the Federal Register on </w:t>
      </w:r>
      <w:r w:rsidR="008A607E">
        <w:rPr>
          <w:rFonts w:ascii="Arial" w:hAnsi="Arial" w:eastAsia="Times New Roman" w:cs="Arial"/>
          <w:sz w:val="24"/>
          <w:szCs w:val="24"/>
        </w:rPr>
        <w:t>May 3, 2022</w:t>
      </w:r>
      <w:r w:rsidR="00034DF3">
        <w:rPr>
          <w:rFonts w:ascii="Arial" w:hAnsi="Arial" w:eastAsia="Times New Roman" w:cs="Arial"/>
          <w:sz w:val="24"/>
          <w:szCs w:val="24"/>
        </w:rPr>
        <w:t xml:space="preserve">, </w:t>
      </w:r>
      <w:r>
        <w:rPr>
          <w:rFonts w:ascii="Arial" w:hAnsi="Arial" w:eastAsia="Times New Roman" w:cs="Arial"/>
          <w:sz w:val="24"/>
          <w:szCs w:val="24"/>
        </w:rPr>
        <w:t xml:space="preserve">Volume </w:t>
      </w:r>
      <w:r w:rsidR="008A607E">
        <w:rPr>
          <w:rFonts w:ascii="Arial" w:hAnsi="Arial" w:eastAsia="Times New Roman" w:cs="Arial"/>
          <w:sz w:val="24"/>
          <w:szCs w:val="24"/>
        </w:rPr>
        <w:t>87</w:t>
      </w:r>
      <w:r>
        <w:rPr>
          <w:rFonts w:ascii="Arial" w:hAnsi="Arial" w:eastAsia="Times New Roman" w:cs="Arial"/>
          <w:sz w:val="24"/>
          <w:szCs w:val="24"/>
        </w:rPr>
        <w:t xml:space="preserve">, No. </w:t>
      </w:r>
      <w:r w:rsidR="008A607E">
        <w:rPr>
          <w:rFonts w:ascii="Arial" w:hAnsi="Arial" w:eastAsia="Times New Roman" w:cs="Arial"/>
          <w:sz w:val="24"/>
          <w:szCs w:val="24"/>
        </w:rPr>
        <w:t>85</w:t>
      </w:r>
      <w:r>
        <w:rPr>
          <w:rFonts w:ascii="Arial" w:hAnsi="Arial" w:eastAsia="Times New Roman" w:cs="Arial"/>
          <w:sz w:val="24"/>
          <w:szCs w:val="24"/>
        </w:rPr>
        <w:t xml:space="preserve">, pages </w:t>
      </w:r>
      <w:r w:rsidR="008A607E">
        <w:rPr>
          <w:rFonts w:ascii="Arial" w:hAnsi="Arial" w:eastAsia="Times New Roman" w:cs="Arial"/>
          <w:sz w:val="24"/>
          <w:szCs w:val="24"/>
        </w:rPr>
        <w:t>26264</w:t>
      </w:r>
      <w:r w:rsidR="00F43544">
        <w:rPr>
          <w:rFonts w:ascii="Arial" w:hAnsi="Arial" w:eastAsia="Times New Roman" w:cs="Arial"/>
          <w:sz w:val="24"/>
          <w:szCs w:val="24"/>
        </w:rPr>
        <w:t>-</w:t>
      </w:r>
      <w:r w:rsidR="008A607E">
        <w:rPr>
          <w:rFonts w:ascii="Arial" w:hAnsi="Arial" w:eastAsia="Times New Roman" w:cs="Arial"/>
          <w:sz w:val="24"/>
          <w:szCs w:val="24"/>
        </w:rPr>
        <w:t>26265</w:t>
      </w:r>
      <w:r>
        <w:rPr>
          <w:rFonts w:ascii="Arial" w:hAnsi="Arial" w:eastAsia="Times New Roman" w:cs="Arial"/>
          <w:sz w:val="24"/>
          <w:szCs w:val="24"/>
        </w:rPr>
        <w:t xml:space="preserve">.  </w:t>
      </w:r>
      <w:r w:rsidRPr="002F2055" w:rsidR="002F2055">
        <w:rPr>
          <w:rFonts w:ascii="Arial" w:hAnsi="Arial" w:eastAsia="Times New Roman" w:cs="Arial"/>
          <w:color w:val="000000" w:themeColor="text1"/>
          <w:sz w:val="24"/>
          <w:szCs w:val="24"/>
        </w:rPr>
        <w:t>There w</w:t>
      </w:r>
      <w:r w:rsidR="00034DF3">
        <w:rPr>
          <w:rFonts w:ascii="Arial" w:hAnsi="Arial" w:eastAsia="Times New Roman" w:cs="Arial"/>
          <w:color w:val="000000" w:themeColor="text1"/>
          <w:sz w:val="24"/>
          <w:szCs w:val="24"/>
        </w:rPr>
        <w:t xml:space="preserve">ere no comments received. </w:t>
      </w:r>
    </w:p>
    <w:p w:rsidRPr="002F2055" w:rsidR="00463D10" w:rsidP="00463D10" w:rsidRDefault="00463D10" w14:paraId="6A0B8E47" w14:textId="77777777">
      <w:pPr>
        <w:spacing w:after="0" w:line="240" w:lineRule="auto"/>
        <w:ind w:left="720"/>
        <w:contextualSpacing/>
        <w:rPr>
          <w:rFonts w:ascii="Arial" w:hAnsi="Arial" w:eastAsia="Times New Roman" w:cs="Arial"/>
          <w:bCs/>
          <w:color w:val="000000" w:themeColor="text1"/>
          <w:sz w:val="24"/>
          <w:szCs w:val="24"/>
        </w:rPr>
      </w:pPr>
    </w:p>
    <w:p w:rsidR="00463D10" w:rsidP="00463D10" w:rsidRDefault="00463D10" w14:paraId="6A0B8E48"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Explain any decision to provide any payment or gift to respondents, other than remuneration of contractors or grantees.</w:t>
      </w:r>
    </w:p>
    <w:p w:rsidR="00463D10" w:rsidP="00463D10" w:rsidRDefault="00463D10" w14:paraId="6A0B8E49"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463D10" w:rsidP="00463D10" w:rsidRDefault="00463D10" w14:paraId="6A0B8E4A"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bCs/>
          <w:sz w:val="24"/>
          <w:szCs w:val="24"/>
        </w:rPr>
        <w:t>No payments or gifts to respondents have been made under this collection of information.</w:t>
      </w:r>
    </w:p>
    <w:p w:rsidR="00463D10" w:rsidP="00463D10" w:rsidRDefault="00463D10" w14:paraId="6A0B8E4B" w14:textId="77777777">
      <w:pPr>
        <w:spacing w:after="0" w:line="240" w:lineRule="auto"/>
        <w:ind w:left="720"/>
        <w:contextualSpacing/>
        <w:rPr>
          <w:rFonts w:ascii="Arial" w:hAnsi="Arial" w:eastAsia="Times New Roman" w:cs="Arial"/>
          <w:sz w:val="24"/>
          <w:szCs w:val="24"/>
        </w:rPr>
      </w:pPr>
    </w:p>
    <w:p w:rsidR="00463D10" w:rsidP="00463D10" w:rsidRDefault="00463D10" w14:paraId="6A0B8E4C"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color w:val="000000"/>
          <w:sz w:val="24"/>
          <w:szCs w:val="24"/>
        </w:rPr>
        <w:t xml:space="preserve">Describe any assurance </w:t>
      </w:r>
      <w:r>
        <w:rPr>
          <w:rFonts w:ascii="Arial" w:hAnsi="Arial" w:eastAsia="Times New Roman" w:cs="Arial"/>
          <w:b/>
          <w:sz w:val="24"/>
          <w:szCs w:val="24"/>
        </w:rPr>
        <w:t xml:space="preserve">of privacy, to the extent permitted by law, </w:t>
      </w:r>
      <w:r>
        <w:rPr>
          <w:rFonts w:ascii="Arial" w:hAnsi="Arial" w:eastAsia="Times New Roman" w:cs="Arial"/>
          <w:b/>
          <w:color w:val="000000"/>
          <w:sz w:val="24"/>
          <w:szCs w:val="24"/>
        </w:rPr>
        <w:t>provided to respondents and the basis for the assurance in statute, regulation, or agency policy.</w:t>
      </w:r>
    </w:p>
    <w:p w:rsidR="00463D10" w:rsidP="00463D10" w:rsidRDefault="00463D10" w14:paraId="6A0B8E4D"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4E" w14:textId="77777777">
      <w:pPr>
        <w:spacing w:after="0" w:line="240" w:lineRule="auto"/>
        <w:ind w:left="720"/>
        <w:contextualSpacing/>
        <w:rPr>
          <w:rFonts w:ascii="Arial" w:hAnsi="Arial" w:eastAsia="Times New Roman" w:cs="Arial"/>
          <w:sz w:val="24"/>
          <w:szCs w:val="24"/>
        </w:rPr>
      </w:pPr>
    </w:p>
    <w:p w:rsidR="00463D10" w:rsidP="00463D10" w:rsidRDefault="00463D10" w14:paraId="6A0B8E4F" w14:textId="0397482C">
      <w:pPr>
        <w:spacing w:after="0" w:line="240" w:lineRule="auto"/>
        <w:ind w:left="720"/>
        <w:contextualSpacing/>
        <w:rPr>
          <w:rFonts w:ascii="Arial" w:hAnsi="Arial" w:eastAsia="Times New Roman" w:cs="Arial"/>
          <w:sz w:val="24"/>
          <w:szCs w:val="24"/>
        </w:rPr>
      </w:pPr>
      <w:r>
        <w:rPr>
          <w:rFonts w:ascii="Arial" w:hAnsi="Arial" w:eastAsia="Times New Roman" w:cs="Arial"/>
          <w:sz w:val="24"/>
          <w:szCs w:val="24"/>
        </w:rPr>
        <w:t xml:space="preserve">VA Form 22-0976 is retained permanently in a folder created specifically for the school and located at the VA Regional Office.  Assurance of confidentiality is covered by 38 U.S.C. 5701 and the VA System of Records, </w:t>
      </w:r>
      <w:r w:rsidRPr="00DB6F48">
        <w:rPr>
          <w:rFonts w:ascii="Arial" w:hAnsi="Arial" w:eastAsia="Times New Roman" w:cs="Arial"/>
          <w:sz w:val="24"/>
          <w:szCs w:val="24"/>
          <w:u w:val="single"/>
        </w:rPr>
        <w:t>Compensation, Pension, Education and V</w:t>
      </w:r>
      <w:r w:rsidR="000D09B6">
        <w:rPr>
          <w:rFonts w:ascii="Arial" w:hAnsi="Arial" w:eastAsia="Times New Roman" w:cs="Arial"/>
          <w:sz w:val="24"/>
          <w:szCs w:val="24"/>
          <w:u w:val="single"/>
        </w:rPr>
        <w:t xml:space="preserve">eteran Readiness and Employment Records – VA </w:t>
      </w:r>
      <w:r w:rsidRPr="00DB6F48">
        <w:rPr>
          <w:rFonts w:ascii="Arial" w:hAnsi="Arial" w:eastAsia="Times New Roman" w:cs="Arial"/>
          <w:sz w:val="24"/>
          <w:szCs w:val="24"/>
          <w:u w:val="single"/>
        </w:rPr>
        <w:t>(58VA21/22/28)</w:t>
      </w:r>
      <w:r>
        <w:rPr>
          <w:rFonts w:ascii="Arial" w:hAnsi="Arial" w:eastAsia="Times New Roman" w:cs="Arial"/>
          <w:sz w:val="24"/>
          <w:szCs w:val="24"/>
        </w:rPr>
        <w:t>, which are contained in the Privacy Act Issuances, 201</w:t>
      </w:r>
      <w:r w:rsidR="00F43544">
        <w:rPr>
          <w:rFonts w:ascii="Arial" w:hAnsi="Arial" w:eastAsia="Times New Roman" w:cs="Arial"/>
          <w:sz w:val="24"/>
          <w:szCs w:val="24"/>
        </w:rPr>
        <w:t>2</w:t>
      </w:r>
      <w:r>
        <w:rPr>
          <w:rFonts w:ascii="Arial" w:hAnsi="Arial" w:eastAsia="Times New Roman" w:cs="Arial"/>
          <w:sz w:val="24"/>
          <w:szCs w:val="24"/>
        </w:rPr>
        <w:t xml:space="preserve"> Compilation.</w:t>
      </w:r>
    </w:p>
    <w:p w:rsidR="00463D10" w:rsidP="00463D10" w:rsidRDefault="00463D10" w14:paraId="6A0B8E50" w14:textId="77777777">
      <w:pPr>
        <w:spacing w:after="0" w:line="240" w:lineRule="auto"/>
        <w:ind w:left="720"/>
        <w:contextualSpacing/>
        <w:rPr>
          <w:rFonts w:ascii="Arial" w:hAnsi="Arial" w:eastAsia="Times New Roman" w:cs="Arial"/>
          <w:sz w:val="24"/>
          <w:szCs w:val="24"/>
        </w:rPr>
      </w:pPr>
    </w:p>
    <w:p w:rsidR="00463D10" w:rsidP="00463D10" w:rsidRDefault="00463D10" w14:paraId="6A0B8E51"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additional justification for any questions of a sensitive nature</w:t>
      </w:r>
      <w:r>
        <w:rPr>
          <w:rFonts w:ascii="Arial" w:hAnsi="Arial" w:eastAsia="Times New Roman" w:cs="Arial"/>
          <w:b/>
          <w:color w:val="0000FF"/>
          <w:sz w:val="24"/>
          <w:szCs w:val="24"/>
        </w:rPr>
        <w:t xml:space="preserve"> </w:t>
      </w:r>
      <w:r>
        <w:rPr>
          <w:rFonts w:ascii="Arial" w:hAnsi="Arial" w:eastAsia="Times New Roman" w:cs="Arial"/>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463D10" w:rsidP="00463D10" w:rsidRDefault="00463D10" w14:paraId="6A0B8E52"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3"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There are no questions of a sensitive nature.</w:t>
      </w:r>
    </w:p>
    <w:p w:rsidR="00463D10" w:rsidP="00463D10" w:rsidRDefault="00463D10" w14:paraId="6A0B8E54" w14:textId="77777777">
      <w:pPr>
        <w:spacing w:after="0" w:line="240" w:lineRule="auto"/>
        <w:ind w:left="720"/>
        <w:contextualSpacing/>
        <w:rPr>
          <w:rFonts w:ascii="Arial" w:hAnsi="Arial" w:eastAsia="Times New Roman" w:cs="Arial"/>
          <w:sz w:val="24"/>
          <w:szCs w:val="24"/>
        </w:rPr>
      </w:pPr>
    </w:p>
    <w:p w:rsidR="00463D10" w:rsidP="00463D10" w:rsidRDefault="00463D10" w14:paraId="6A0B8E55"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Estimate of the hour burden of the collection of information:</w:t>
      </w:r>
    </w:p>
    <w:p w:rsidR="00463D10" w:rsidP="00463D10" w:rsidRDefault="00463D10" w14:paraId="6A0B8E56"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57"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Estimate of Information Collection Burden.</w:t>
      </w:r>
    </w:p>
    <w:p w:rsidR="00463D10" w:rsidP="00463D10" w:rsidRDefault="00463D10" w14:paraId="6A0B8E58" w14:textId="77777777">
      <w:pPr>
        <w:spacing w:after="0" w:line="240" w:lineRule="auto"/>
        <w:rPr>
          <w:rFonts w:ascii="Arial" w:hAnsi="Arial" w:eastAsia="Times New Roman" w:cs="Arial"/>
          <w:sz w:val="24"/>
          <w:szCs w:val="24"/>
        </w:rPr>
      </w:pPr>
    </w:p>
    <w:p w:rsidR="00463D10" w:rsidP="00463D10" w:rsidRDefault="00463D10" w14:paraId="6A0B8E59" w14:textId="55433B2C">
      <w:pPr>
        <w:numPr>
          <w:ilvl w:val="0"/>
          <w:numId w:val="2"/>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 xml:space="preserve">Number of Respondents: </w:t>
      </w:r>
      <w:r w:rsidR="00F43544">
        <w:rPr>
          <w:rFonts w:ascii="Arial" w:hAnsi="Arial" w:eastAsia="Times New Roman" w:cs="Arial"/>
          <w:sz w:val="24"/>
          <w:szCs w:val="24"/>
        </w:rPr>
        <w:t>1014</w:t>
      </w:r>
      <w:r w:rsidR="006D11F3">
        <w:rPr>
          <w:rFonts w:ascii="Arial" w:hAnsi="Arial" w:eastAsia="Times New Roman" w:cs="Arial"/>
          <w:sz w:val="24"/>
          <w:szCs w:val="24"/>
        </w:rPr>
        <w:t xml:space="preserve"> </w:t>
      </w:r>
    </w:p>
    <w:p w:rsidR="00463D10" w:rsidP="00463D10" w:rsidRDefault="00463D10" w14:paraId="6A0B8E5A" w14:textId="77777777">
      <w:pPr>
        <w:tabs>
          <w:tab w:val="left" w:pos="480"/>
          <w:tab w:val="right" w:pos="8640"/>
        </w:tabs>
        <w:spacing w:after="0" w:line="240" w:lineRule="auto"/>
        <w:ind w:left="1440" w:right="684"/>
        <w:rPr>
          <w:rFonts w:ascii="Arial" w:hAnsi="Arial" w:eastAsia="Times New Roman" w:cs="Arial"/>
          <w:sz w:val="24"/>
          <w:szCs w:val="24"/>
        </w:rPr>
      </w:pPr>
    </w:p>
    <w:p w:rsidR="00463D10" w:rsidP="00463D10" w:rsidRDefault="00463D10" w14:paraId="6A0B8E5B" w14:textId="33FD41F9">
      <w:pPr>
        <w:numPr>
          <w:ilvl w:val="0"/>
          <w:numId w:val="3"/>
        </w:numPr>
        <w:tabs>
          <w:tab w:val="left" w:pos="480"/>
          <w:tab w:val="right" w:pos="8640"/>
        </w:tabs>
        <w:spacing w:after="0" w:line="240" w:lineRule="auto"/>
        <w:ind w:right="684"/>
        <w:contextualSpacing/>
        <w:rPr>
          <w:rFonts w:ascii="Arial" w:hAnsi="Arial" w:eastAsia="Times New Roman" w:cs="Arial"/>
          <w:sz w:val="24"/>
          <w:szCs w:val="24"/>
        </w:rPr>
      </w:pPr>
      <w:r>
        <w:rPr>
          <w:rFonts w:ascii="Arial" w:hAnsi="Arial" w:eastAsia="Times New Roman" w:cs="Arial"/>
          <w:sz w:val="24"/>
          <w:szCs w:val="24"/>
        </w:rPr>
        <w:t>Frequency of Response:  Once</w:t>
      </w:r>
      <w:r w:rsidR="006D11F3">
        <w:rPr>
          <w:rFonts w:ascii="Arial" w:hAnsi="Arial" w:eastAsia="Times New Roman" w:cs="Arial"/>
          <w:sz w:val="24"/>
          <w:szCs w:val="24"/>
        </w:rPr>
        <w:t xml:space="preserve"> [1014 X 20 / 60</w:t>
      </w:r>
      <w:r w:rsidR="00DE3E87">
        <w:rPr>
          <w:rFonts w:ascii="Arial" w:hAnsi="Arial" w:eastAsia="Times New Roman" w:cs="Arial"/>
          <w:sz w:val="24"/>
          <w:szCs w:val="24"/>
        </w:rPr>
        <w:t>]</w:t>
      </w:r>
      <w:r w:rsidR="006D11F3">
        <w:rPr>
          <w:rFonts w:ascii="Arial" w:hAnsi="Arial" w:eastAsia="Times New Roman" w:cs="Arial"/>
          <w:sz w:val="24"/>
          <w:szCs w:val="24"/>
        </w:rPr>
        <w:t xml:space="preserve"> = 338</w:t>
      </w:r>
    </w:p>
    <w:p w:rsidR="00463D10" w:rsidP="00463D10" w:rsidRDefault="00463D10" w14:paraId="6A0B8E5C" w14:textId="77777777">
      <w:pPr>
        <w:spacing w:after="0" w:line="240" w:lineRule="auto"/>
        <w:ind w:left="720"/>
        <w:rPr>
          <w:rFonts w:ascii="Arial" w:hAnsi="Arial" w:eastAsia="Times New Roman" w:cs="Arial"/>
          <w:sz w:val="24"/>
          <w:szCs w:val="24"/>
        </w:rPr>
      </w:pPr>
    </w:p>
    <w:p w:rsidR="00463D10" w:rsidP="00463D10" w:rsidRDefault="00463D10" w14:paraId="6A0B8E5D" w14:textId="607E7358">
      <w:pPr>
        <w:numPr>
          <w:ilvl w:val="0"/>
          <w:numId w:val="3"/>
        </w:numPr>
        <w:spacing w:after="0" w:line="240" w:lineRule="auto"/>
        <w:contextualSpacing/>
        <w:rPr>
          <w:rFonts w:ascii="Arial" w:hAnsi="Arial" w:eastAsia="Times New Roman" w:cs="Arial"/>
          <w:sz w:val="24"/>
          <w:szCs w:val="24"/>
        </w:rPr>
      </w:pPr>
      <w:r>
        <w:rPr>
          <w:rFonts w:ascii="Arial" w:hAnsi="Arial" w:eastAsia="Times New Roman" w:cs="Arial"/>
          <w:sz w:val="24"/>
          <w:szCs w:val="24"/>
        </w:rPr>
        <w:t xml:space="preserve">Annual Burden Hours:  </w:t>
      </w:r>
      <w:r w:rsidR="006D11F3">
        <w:rPr>
          <w:rFonts w:ascii="Arial" w:hAnsi="Arial" w:eastAsia="Times New Roman" w:cs="Arial"/>
          <w:sz w:val="24"/>
          <w:szCs w:val="24"/>
        </w:rPr>
        <w:t>338</w:t>
      </w:r>
    </w:p>
    <w:p w:rsidR="00463D10" w:rsidP="00463D10" w:rsidRDefault="00463D10" w14:paraId="6A0B8E5E" w14:textId="77777777">
      <w:pPr>
        <w:spacing w:after="0" w:line="240" w:lineRule="auto"/>
        <w:rPr>
          <w:rFonts w:ascii="Arial" w:hAnsi="Arial" w:eastAsia="Times New Roman" w:cs="Arial"/>
          <w:sz w:val="24"/>
          <w:szCs w:val="24"/>
        </w:rPr>
      </w:pPr>
    </w:p>
    <w:p w:rsidR="00463D10" w:rsidP="00463D10" w:rsidRDefault="00463D10" w14:paraId="6A0B8E5F" w14:textId="77777777">
      <w:pPr>
        <w:numPr>
          <w:ilvl w:val="0"/>
          <w:numId w:val="3"/>
        </w:numPr>
        <w:tabs>
          <w:tab w:val="left" w:pos="480"/>
          <w:tab w:val="right" w:pos="8640"/>
        </w:tabs>
        <w:spacing w:after="0" w:line="240" w:lineRule="auto"/>
        <w:ind w:right="684"/>
        <w:rPr>
          <w:rFonts w:ascii="Arial" w:hAnsi="Arial" w:eastAsia="Times New Roman" w:cs="Arial"/>
          <w:sz w:val="24"/>
          <w:szCs w:val="24"/>
        </w:rPr>
      </w:pPr>
      <w:r>
        <w:rPr>
          <w:rFonts w:ascii="Arial" w:hAnsi="Arial" w:eastAsia="Times New Roman" w:cs="Arial"/>
          <w:sz w:val="24"/>
          <w:szCs w:val="24"/>
        </w:rPr>
        <w:t>Estimated Completion Time:  20 minutes</w:t>
      </w:r>
    </w:p>
    <w:p w:rsidR="00463D10" w:rsidP="00463D10" w:rsidRDefault="00463D10" w14:paraId="6A0B8E60" w14:textId="77777777">
      <w:pPr>
        <w:pStyle w:val="ListParagraph"/>
        <w:spacing w:after="0" w:line="240" w:lineRule="auto"/>
        <w:ind w:left="1440"/>
        <w:rPr>
          <w:rFonts w:ascii="Arial" w:hAnsi="Arial" w:eastAsia="Times New Roman" w:cs="Arial"/>
          <w:sz w:val="24"/>
          <w:szCs w:val="24"/>
        </w:rPr>
      </w:pPr>
    </w:p>
    <w:p w:rsidR="000D09B6" w:rsidP="00B90E79" w:rsidRDefault="00255A1C" w14:paraId="1ED16F57" w14:textId="77777777">
      <w:pPr>
        <w:pStyle w:val="ListParagraph"/>
        <w:numPr>
          <w:ilvl w:val="0"/>
          <w:numId w:val="3"/>
        </w:numPr>
        <w:tabs>
          <w:tab w:val="left" w:pos="480"/>
          <w:tab w:val="right" w:pos="8640"/>
        </w:tabs>
        <w:spacing w:after="240" w:line="240" w:lineRule="auto"/>
        <w:ind w:right="691"/>
        <w:rPr>
          <w:rFonts w:ascii="Arial" w:hAnsi="Arial" w:cs="Arial"/>
          <w:sz w:val="24"/>
          <w:szCs w:val="24"/>
        </w:rPr>
      </w:pPr>
      <w:r w:rsidRPr="00B90E79">
        <w:rPr>
          <w:rFonts w:ascii="Arial" w:hAnsi="Arial" w:cs="Arial"/>
          <w:sz w:val="24"/>
          <w:szCs w:val="24"/>
        </w:rPr>
        <w:lastRenderedPageBreak/>
        <w:t>T</w:t>
      </w:r>
      <w:r w:rsidR="00B90E79">
        <w:rPr>
          <w:rFonts w:ascii="Arial" w:hAnsi="Arial" w:cs="Arial"/>
          <w:sz w:val="24"/>
          <w:szCs w:val="24"/>
        </w:rPr>
        <w:t>h</w:t>
      </w:r>
      <w:r w:rsidRPr="00B90E79">
        <w:rPr>
          <w:rFonts w:ascii="Arial" w:hAnsi="Arial" w:cs="Arial"/>
          <w:sz w:val="24"/>
          <w:szCs w:val="24"/>
        </w:rPr>
        <w:t xml:space="preserve">e respondent population for the Submission of School Catalog to the State Approving Agency is composed of accredited educational institutions, with the exceptions of elementary and secondary schools.  </w:t>
      </w:r>
    </w:p>
    <w:p w:rsidRPr="000D09B6" w:rsidR="000D09B6" w:rsidP="000D09B6" w:rsidRDefault="000D09B6" w14:paraId="63A92476" w14:textId="77777777">
      <w:pPr>
        <w:pStyle w:val="ListParagraph"/>
        <w:rPr>
          <w:rFonts w:ascii="Arial" w:hAnsi="Arial" w:cs="Arial"/>
          <w:sz w:val="24"/>
          <w:szCs w:val="24"/>
        </w:rPr>
      </w:pPr>
    </w:p>
    <w:p w:rsidRPr="00B90E79" w:rsidR="00255A1C" w:rsidP="000D09B6" w:rsidRDefault="00255A1C" w14:paraId="5A156668" w14:textId="373C4936">
      <w:pPr>
        <w:pStyle w:val="ListParagraph"/>
        <w:tabs>
          <w:tab w:val="left" w:pos="480"/>
          <w:tab w:val="right" w:pos="8640"/>
        </w:tabs>
        <w:spacing w:after="240" w:line="240" w:lineRule="auto"/>
        <w:ind w:left="1080" w:right="691"/>
        <w:rPr>
          <w:rFonts w:ascii="Arial" w:hAnsi="Arial" w:cs="Arial"/>
          <w:sz w:val="24"/>
          <w:szCs w:val="24"/>
        </w:rPr>
      </w:pPr>
      <w:r w:rsidRPr="00B90E79">
        <w:rPr>
          <w:rFonts w:ascii="Arial" w:hAnsi="Arial" w:cs="Arial"/>
          <w:sz w:val="24"/>
          <w:szCs w:val="24"/>
        </w:rPr>
        <w:t xml:space="preserve">The VBA cannot make further assumptions about the population of respondents because of the variability of factors such as the educational background and wage potential of </w:t>
      </w:r>
      <w:r w:rsidR="000D09B6">
        <w:rPr>
          <w:rFonts w:ascii="Arial" w:hAnsi="Arial" w:cs="Arial"/>
          <w:sz w:val="24"/>
          <w:szCs w:val="24"/>
        </w:rPr>
        <w:t>r</w:t>
      </w:r>
      <w:r w:rsidRPr="00B90E79">
        <w:rPr>
          <w:rFonts w:ascii="Arial" w:hAnsi="Arial" w:cs="Arial"/>
          <w:sz w:val="24"/>
          <w:szCs w:val="24"/>
        </w:rPr>
        <w:t xml:space="preserve">espondents.  Therefore, VBA used general wage data to estimate the respondents’ costs associated with completing the information collection. </w:t>
      </w:r>
    </w:p>
    <w:p w:rsidRPr="00D14825" w:rsidR="00D14825" w:rsidP="00D14825" w:rsidRDefault="00D14825" w14:paraId="307744DD" w14:textId="5E12960A">
      <w:pPr>
        <w:tabs>
          <w:tab w:val="left" w:pos="480"/>
          <w:tab w:val="left" w:pos="1080"/>
          <w:tab w:val="left" w:pos="1680"/>
        </w:tabs>
        <w:jc w:val="both"/>
        <w:rPr>
          <w:rFonts w:ascii="Arial" w:hAnsi="Arial" w:cs="Arial"/>
          <w:sz w:val="24"/>
          <w:szCs w:val="24"/>
        </w:rPr>
      </w:pPr>
      <w:r w:rsidRPr="00D14825">
        <w:rPr>
          <w:rFonts w:ascii="Arial" w:hAnsi="Arial" w:cs="Arial"/>
          <w:sz w:val="24"/>
          <w:szCs w:val="24"/>
        </w:rPr>
        <w:t>The Bureau of Labor Statistics (BLS) gathers information on full-time wage and salary workers.  According to the latest available BLS data, the mean weekly earnings of full-time wage and salary workers are $1,</w:t>
      </w:r>
      <w:r w:rsidR="00C603E3">
        <w:rPr>
          <w:rFonts w:ascii="Arial" w:hAnsi="Arial" w:cs="Arial"/>
          <w:sz w:val="24"/>
          <w:szCs w:val="24"/>
        </w:rPr>
        <w:t>120.40</w:t>
      </w:r>
      <w:r w:rsidRPr="00D14825">
        <w:rPr>
          <w:rFonts w:ascii="Arial" w:hAnsi="Arial" w:cs="Arial"/>
          <w:sz w:val="24"/>
          <w:szCs w:val="24"/>
        </w:rPr>
        <w:t xml:space="preserve">.  Assuming a forty (40) hour work week, the </w:t>
      </w:r>
      <w:r w:rsidRPr="00D14825">
        <w:rPr>
          <w:rStyle w:val="Heading2Char"/>
          <w:rFonts w:ascii="Arial" w:hAnsi="Arial" w:cs="Arial" w:eastAsiaTheme="minorHAnsi"/>
          <w:bCs/>
          <w:szCs w:val="24"/>
        </w:rPr>
        <w:t>mean hourly wage is $2</w:t>
      </w:r>
      <w:r w:rsidR="00C603E3">
        <w:rPr>
          <w:rStyle w:val="Heading2Char"/>
          <w:rFonts w:ascii="Arial" w:hAnsi="Arial" w:cs="Arial" w:eastAsiaTheme="minorHAnsi"/>
          <w:bCs/>
          <w:szCs w:val="24"/>
        </w:rPr>
        <w:t>8.01</w:t>
      </w:r>
      <w:r w:rsidRPr="00D14825">
        <w:rPr>
          <w:rStyle w:val="Heading2Char"/>
          <w:rFonts w:ascii="Arial" w:hAnsi="Arial" w:cs="Arial" w:eastAsiaTheme="minorHAnsi"/>
          <w:bCs/>
          <w:szCs w:val="24"/>
        </w:rPr>
        <w:t xml:space="preserve"> based on the BLS wage code – “00-0000 All Occupations.”  ($</w:t>
      </w:r>
      <w:r w:rsidR="00C603E3">
        <w:rPr>
          <w:rStyle w:val="Heading2Char"/>
          <w:rFonts w:ascii="Arial" w:hAnsi="Arial" w:cs="Arial" w:eastAsiaTheme="minorHAnsi"/>
          <w:bCs/>
          <w:szCs w:val="24"/>
        </w:rPr>
        <w:t xml:space="preserve">28.01 </w:t>
      </w:r>
      <w:r w:rsidRPr="00D14825">
        <w:rPr>
          <w:rStyle w:val="Heading2Char"/>
          <w:rFonts w:ascii="Arial" w:hAnsi="Arial" w:cs="Arial" w:eastAsiaTheme="minorHAnsi"/>
          <w:bCs/>
          <w:szCs w:val="24"/>
        </w:rPr>
        <w:t>X 40 hours). This</w:t>
      </w:r>
      <w:r w:rsidRPr="00D14825">
        <w:rPr>
          <w:rFonts w:ascii="Arial" w:hAnsi="Arial" w:cs="Arial"/>
          <w:sz w:val="24"/>
          <w:szCs w:val="24"/>
        </w:rPr>
        <w:t xml:space="preserve"> information was taken from the following website:  </w:t>
      </w:r>
      <w:hyperlink w:history="1" r:id="rId11">
        <w:r w:rsidR="00780EB3">
          <w:rPr>
            <w:rStyle w:val="Hyperlink"/>
            <w:rFonts w:ascii="Arial" w:hAnsi="Arial" w:cs="Arial"/>
            <w:sz w:val="24"/>
            <w:szCs w:val="24"/>
          </w:rPr>
          <w:t>https://www.bls.gov/oes/current/oes_nat.htm</w:t>
        </w:r>
      </w:hyperlink>
      <w:r w:rsidR="00780EB3">
        <w:rPr>
          <w:rStyle w:val="Hyperlink"/>
          <w:rFonts w:ascii="Arial" w:hAnsi="Arial" w:cs="Arial"/>
          <w:sz w:val="24"/>
          <w:szCs w:val="24"/>
        </w:rPr>
        <w:t xml:space="preserve">, </w:t>
      </w:r>
      <w:r w:rsidRPr="00D14825">
        <w:rPr>
          <w:rFonts w:ascii="Arial" w:hAnsi="Arial" w:cs="Arial"/>
          <w:sz w:val="24"/>
          <w:szCs w:val="24"/>
        </w:rPr>
        <w:t>May 2021).</w:t>
      </w:r>
    </w:p>
    <w:p w:rsidRPr="006041A3" w:rsidR="00255A1C" w:rsidP="00255A1C" w:rsidRDefault="00255A1C" w14:paraId="475BD8A7" w14:textId="46ED7C8D">
      <w:pPr>
        <w:spacing w:after="240" w:line="240" w:lineRule="auto"/>
        <w:contextualSpacing/>
        <w:rPr>
          <w:rFonts w:ascii="Arial" w:hAnsi="Arial" w:cs="Arial"/>
          <w:sz w:val="24"/>
          <w:szCs w:val="24"/>
        </w:rPr>
      </w:pPr>
      <w:r w:rsidRPr="006041A3">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F703E2">
        <w:rPr>
          <w:rFonts w:ascii="Arial" w:hAnsi="Arial" w:cs="Arial"/>
          <w:sz w:val="24"/>
          <w:szCs w:val="24"/>
        </w:rPr>
        <w:t>9,</w:t>
      </w:r>
      <w:r w:rsidR="00780EB3">
        <w:rPr>
          <w:rFonts w:ascii="Arial" w:hAnsi="Arial" w:cs="Arial"/>
          <w:sz w:val="24"/>
          <w:szCs w:val="24"/>
        </w:rPr>
        <w:t>467.38</w:t>
      </w:r>
      <w:r w:rsidRPr="006041A3">
        <w:rPr>
          <w:rFonts w:ascii="Arial" w:hAnsi="Arial" w:cs="Arial"/>
          <w:sz w:val="24"/>
          <w:szCs w:val="24"/>
        </w:rPr>
        <w:t xml:space="preserve"> (</w:t>
      </w:r>
      <w:r w:rsidR="00E45518">
        <w:rPr>
          <w:rFonts w:ascii="Arial" w:hAnsi="Arial" w:cs="Arial"/>
          <w:sz w:val="24"/>
          <w:szCs w:val="24"/>
        </w:rPr>
        <w:t>338</w:t>
      </w:r>
      <w:r>
        <w:rPr>
          <w:rFonts w:ascii="Arial" w:hAnsi="Arial" w:cs="Arial"/>
          <w:sz w:val="24"/>
          <w:szCs w:val="24"/>
        </w:rPr>
        <w:t xml:space="preserve"> b</w:t>
      </w:r>
      <w:r w:rsidRPr="006041A3">
        <w:rPr>
          <w:rFonts w:ascii="Arial" w:hAnsi="Arial" w:cs="Arial"/>
          <w:sz w:val="24"/>
          <w:szCs w:val="24"/>
        </w:rPr>
        <w:t>urden hours x $</w:t>
      </w:r>
      <w:r w:rsidR="00780EB3">
        <w:rPr>
          <w:rFonts w:ascii="Arial" w:hAnsi="Arial" w:cs="Arial"/>
          <w:sz w:val="24"/>
          <w:szCs w:val="24"/>
        </w:rPr>
        <w:t>28.01</w:t>
      </w:r>
      <w:r w:rsidRPr="006041A3">
        <w:rPr>
          <w:rFonts w:ascii="Arial" w:hAnsi="Arial" w:cs="Arial"/>
          <w:sz w:val="24"/>
          <w:szCs w:val="24"/>
        </w:rPr>
        <w:t xml:space="preserve"> per hour).</w:t>
      </w:r>
    </w:p>
    <w:p w:rsidR="00463D10" w:rsidP="00255A1C" w:rsidRDefault="00463D10" w14:paraId="6A0B8E6C" w14:textId="75CAF9F1">
      <w:pPr>
        <w:tabs>
          <w:tab w:val="left" w:pos="480"/>
          <w:tab w:val="left" w:pos="1080"/>
          <w:tab w:val="left" w:pos="1680"/>
        </w:tabs>
        <w:spacing w:line="240" w:lineRule="auto"/>
        <w:jc w:val="both"/>
        <w:rPr>
          <w:rFonts w:ascii="Arial" w:hAnsi="Arial" w:eastAsia="Times New Roman" w:cs="Arial"/>
          <w:b/>
          <w:sz w:val="24"/>
          <w:szCs w:val="24"/>
        </w:rPr>
      </w:pPr>
      <w:r>
        <w:rPr>
          <w:rFonts w:ascii="Arial" w:hAnsi="Arial" w:cs="Arial"/>
          <w:sz w:val="24"/>
          <w:szCs w:val="24"/>
        </w:rPr>
        <w:tab/>
        <w:t xml:space="preserve">   </w:t>
      </w:r>
      <w:r w:rsidR="00255A1C">
        <w:rPr>
          <w:rFonts w:ascii="Arial" w:hAnsi="Arial" w:cs="Arial"/>
          <w:sz w:val="24"/>
          <w:szCs w:val="24"/>
        </w:rPr>
        <w:t xml:space="preserve"> </w:t>
      </w:r>
    </w:p>
    <w:p w:rsidR="00463D10" w:rsidP="00463D10" w:rsidRDefault="00463D10" w14:paraId="6A0B8E6D"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an estimate of the total annual cost burden to respondents or record-keepers resulting from the collection of information.  (Do not include the cost of any hour burden shown in Items 12 and 14).</w:t>
      </w:r>
    </w:p>
    <w:p w:rsidR="00463D10" w:rsidP="00463D10" w:rsidRDefault="00463D10" w14:paraId="6A0B8E6E"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6F"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t>This submission does not involve any recordkeeping costs.</w:t>
      </w:r>
    </w:p>
    <w:p w:rsidR="00463D10" w:rsidP="00463D10" w:rsidRDefault="00463D10" w14:paraId="6A0B8E70" w14:textId="77777777">
      <w:pPr>
        <w:spacing w:after="0" w:line="240" w:lineRule="auto"/>
        <w:rPr>
          <w:rFonts w:ascii="Arial" w:hAnsi="Arial" w:eastAsia="Times New Roman" w:cs="Arial"/>
          <w:sz w:val="24"/>
          <w:szCs w:val="24"/>
        </w:rPr>
      </w:pPr>
    </w:p>
    <w:p w:rsidRPr="004814CC" w:rsidR="00463D10" w:rsidP="00463D10" w:rsidRDefault="00463D10" w14:paraId="6A0B8E71" w14:textId="117EDBEA">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513C4" w:rsidP="000513C4" w:rsidRDefault="000513C4" w14:paraId="4AC756B5" w14:textId="7A8F0B1A">
      <w:pPr>
        <w:tabs>
          <w:tab w:val="left" w:pos="480"/>
          <w:tab w:val="right" w:pos="8640"/>
        </w:tabs>
        <w:spacing w:after="0" w:line="240" w:lineRule="auto"/>
        <w:ind w:left="720" w:right="684"/>
        <w:contextualSpacing/>
        <w:rPr>
          <w:rFonts w:ascii="Arial" w:hAnsi="Arial" w:eastAsia="Times New Roman" w:cs="Arial"/>
          <w:b/>
          <w:sz w:val="24"/>
          <w:szCs w:val="24"/>
        </w:rPr>
      </w:pPr>
    </w:p>
    <w:p w:rsidR="00D14825" w:rsidP="000513C4" w:rsidRDefault="00D14825" w14:paraId="5CA9DD4E" w14:textId="7B9BD2B9">
      <w:pPr>
        <w:tabs>
          <w:tab w:val="left" w:pos="480"/>
          <w:tab w:val="right" w:pos="8640"/>
        </w:tabs>
        <w:spacing w:after="0" w:line="240" w:lineRule="auto"/>
        <w:ind w:left="720" w:right="684"/>
        <w:contextualSpacing/>
        <w:rPr>
          <w:rFonts w:ascii="Arial" w:hAnsi="Arial" w:eastAsia="Times New Roman" w:cs="Arial"/>
          <w:b/>
          <w:sz w:val="24"/>
          <w:szCs w:val="24"/>
        </w:rPr>
      </w:pPr>
    </w:p>
    <w:p w:rsidR="00D14825" w:rsidP="000513C4" w:rsidRDefault="00D14825" w14:paraId="23EFF7CC" w14:textId="480218DD">
      <w:pPr>
        <w:tabs>
          <w:tab w:val="left" w:pos="480"/>
          <w:tab w:val="right" w:pos="8640"/>
        </w:tabs>
        <w:spacing w:after="0" w:line="240" w:lineRule="auto"/>
        <w:ind w:left="720" w:right="684"/>
        <w:contextualSpacing/>
        <w:rPr>
          <w:rFonts w:ascii="Arial" w:hAnsi="Arial" w:eastAsia="Times New Roman" w:cs="Arial"/>
          <w:b/>
          <w:sz w:val="24"/>
          <w:szCs w:val="24"/>
        </w:rPr>
      </w:pPr>
    </w:p>
    <w:p w:rsidR="00D14825" w:rsidP="000513C4" w:rsidRDefault="00D14825" w14:paraId="1380A244" w14:textId="48DDC539">
      <w:pPr>
        <w:tabs>
          <w:tab w:val="left" w:pos="480"/>
          <w:tab w:val="right" w:pos="8640"/>
        </w:tabs>
        <w:spacing w:after="0" w:line="240" w:lineRule="auto"/>
        <w:ind w:left="720" w:right="684"/>
        <w:contextualSpacing/>
        <w:rPr>
          <w:rFonts w:ascii="Arial" w:hAnsi="Arial" w:eastAsia="Times New Roman" w:cs="Arial"/>
          <w:b/>
          <w:sz w:val="24"/>
          <w:szCs w:val="24"/>
        </w:rPr>
      </w:pPr>
    </w:p>
    <w:p w:rsidR="00D14825" w:rsidP="000513C4" w:rsidRDefault="00D14825" w14:paraId="7EE3F039" w14:textId="0983B6B8">
      <w:pPr>
        <w:tabs>
          <w:tab w:val="left" w:pos="480"/>
          <w:tab w:val="right" w:pos="8640"/>
        </w:tabs>
        <w:spacing w:after="0" w:line="240" w:lineRule="auto"/>
        <w:ind w:left="720" w:right="684"/>
        <w:contextualSpacing/>
        <w:rPr>
          <w:rFonts w:ascii="Arial" w:hAnsi="Arial" w:eastAsia="Times New Roman" w:cs="Arial"/>
          <w:b/>
          <w:sz w:val="24"/>
          <w:szCs w:val="24"/>
        </w:rPr>
      </w:pPr>
    </w:p>
    <w:p w:rsidRPr="004814CC" w:rsidR="00D14825" w:rsidP="000513C4" w:rsidRDefault="00D14825" w14:paraId="1D0555A3" w14:textId="77777777">
      <w:pPr>
        <w:tabs>
          <w:tab w:val="left" w:pos="480"/>
          <w:tab w:val="right" w:pos="8640"/>
        </w:tabs>
        <w:spacing w:after="0" w:line="240" w:lineRule="auto"/>
        <w:ind w:left="720" w:right="684"/>
        <w:contextualSpacing/>
        <w:rPr>
          <w:rFonts w:ascii="Arial" w:hAnsi="Arial" w:eastAsia="Times New Roman" w:cs="Arial"/>
          <w:b/>
          <w:sz w:val="24"/>
          <w:szCs w:val="24"/>
        </w:rPr>
      </w:pPr>
    </w:p>
    <w:p w:rsidRPr="004814CC" w:rsidR="004814CC" w:rsidP="004814CC" w:rsidRDefault="006D11F3" w14:paraId="178A5B93" w14:textId="73D13AB0">
      <w:pPr>
        <w:pStyle w:val="BodyText"/>
        <w:rPr>
          <w:rFonts w:ascii="Arial" w:hAnsi="Arial" w:cs="Arial"/>
        </w:rPr>
      </w:pPr>
      <w:r w:rsidRPr="00D14825">
        <w:rPr>
          <w:rFonts w:ascii="Arial" w:hAnsi="Arial" w:cs="Arial"/>
          <w:b/>
          <w:bCs/>
          <w:szCs w:val="24"/>
        </w:rPr>
        <w:t>Estimated</w:t>
      </w:r>
      <w:r w:rsidRPr="00D14825">
        <w:rPr>
          <w:rFonts w:ascii="Arial" w:hAnsi="Arial" w:cs="Arial"/>
          <w:b/>
          <w:bCs/>
          <w:spacing w:val="26"/>
          <w:szCs w:val="24"/>
        </w:rPr>
        <w:t xml:space="preserve"> </w:t>
      </w:r>
      <w:r w:rsidRPr="00D14825">
        <w:rPr>
          <w:rFonts w:ascii="Arial" w:hAnsi="Arial" w:cs="Arial"/>
          <w:b/>
          <w:bCs/>
          <w:szCs w:val="24"/>
        </w:rPr>
        <w:t>Costs</w:t>
      </w:r>
      <w:r w:rsidRPr="00D14825">
        <w:rPr>
          <w:rFonts w:ascii="Arial" w:hAnsi="Arial" w:cs="Arial"/>
          <w:b/>
          <w:bCs/>
          <w:spacing w:val="13"/>
          <w:szCs w:val="24"/>
        </w:rPr>
        <w:t xml:space="preserve"> </w:t>
      </w:r>
      <w:r w:rsidRPr="00D14825">
        <w:rPr>
          <w:rFonts w:ascii="Arial" w:hAnsi="Arial" w:cs="Arial"/>
          <w:b/>
          <w:bCs/>
          <w:szCs w:val="24"/>
        </w:rPr>
        <w:t>to</w:t>
      </w:r>
      <w:r w:rsidRPr="00D14825">
        <w:rPr>
          <w:rFonts w:ascii="Arial" w:hAnsi="Arial" w:cs="Arial"/>
          <w:b/>
          <w:bCs/>
          <w:spacing w:val="21"/>
          <w:szCs w:val="24"/>
        </w:rPr>
        <w:t xml:space="preserve"> </w:t>
      </w:r>
      <w:r w:rsidRPr="00D14825">
        <w:rPr>
          <w:rFonts w:ascii="Arial" w:hAnsi="Arial" w:cs="Arial"/>
          <w:b/>
          <w:bCs/>
          <w:szCs w:val="24"/>
        </w:rPr>
        <w:t>the</w:t>
      </w:r>
      <w:r w:rsidRPr="00D14825">
        <w:rPr>
          <w:rFonts w:ascii="Arial" w:hAnsi="Arial" w:cs="Arial"/>
          <w:b/>
          <w:bCs/>
          <w:spacing w:val="32"/>
          <w:szCs w:val="24"/>
        </w:rPr>
        <w:t xml:space="preserve"> </w:t>
      </w:r>
      <w:r w:rsidRPr="00D14825">
        <w:rPr>
          <w:rFonts w:ascii="Arial" w:hAnsi="Arial" w:cs="Arial"/>
          <w:b/>
          <w:bCs/>
          <w:szCs w:val="24"/>
        </w:rPr>
        <w:t>Federal</w:t>
      </w:r>
      <w:r w:rsidRPr="00D14825">
        <w:rPr>
          <w:rFonts w:ascii="Arial" w:hAnsi="Arial" w:cs="Arial"/>
          <w:b/>
          <w:bCs/>
          <w:spacing w:val="16"/>
          <w:szCs w:val="24"/>
        </w:rPr>
        <w:t xml:space="preserve"> </w:t>
      </w:r>
      <w:r w:rsidRPr="00D14825">
        <w:rPr>
          <w:rFonts w:ascii="Arial" w:hAnsi="Arial" w:cs="Arial"/>
          <w:b/>
          <w:bCs/>
          <w:szCs w:val="24"/>
        </w:rPr>
        <w:t>Government</w:t>
      </w:r>
      <w:r w:rsidR="00D14825">
        <w:rPr>
          <w:rFonts w:ascii="Arial" w:hAnsi="Arial" w:cs="Arial"/>
          <w:szCs w:val="24"/>
        </w:rPr>
        <w:t xml:space="preserve"> is $</w:t>
      </w:r>
      <w:r w:rsidR="00ED6DBA">
        <w:rPr>
          <w:rFonts w:ascii="Arial" w:hAnsi="Arial" w:cs="Arial"/>
          <w:szCs w:val="24"/>
        </w:rPr>
        <w:t>10,</w:t>
      </w:r>
      <w:r w:rsidR="00780EB3">
        <w:rPr>
          <w:rFonts w:ascii="Arial" w:hAnsi="Arial" w:cs="Arial"/>
          <w:szCs w:val="24"/>
        </w:rPr>
        <w:t>454.34</w:t>
      </w:r>
      <w:r w:rsidR="00D14825">
        <w:rPr>
          <w:rFonts w:ascii="Arial" w:hAnsi="Arial" w:cs="Arial"/>
          <w:szCs w:val="24"/>
        </w:rPr>
        <w:t>.</w:t>
      </w:r>
    </w:p>
    <w:p w:rsidR="00463D10" w:rsidP="00463D10" w:rsidRDefault="00463D10" w14:paraId="6A0B8E72" w14:textId="77777777">
      <w:pPr>
        <w:tabs>
          <w:tab w:val="left" w:pos="480"/>
          <w:tab w:val="right" w:pos="8640"/>
        </w:tabs>
        <w:spacing w:after="0" w:line="240" w:lineRule="auto"/>
        <w:ind w:left="720" w:right="684"/>
        <w:contextualSpacing/>
        <w:rPr>
          <w:rFonts w:ascii="Arial" w:hAnsi="Arial" w:eastAsia="Times New Roman" w:cs="Arial"/>
          <w:sz w:val="24"/>
          <w:szCs w:val="24"/>
        </w:rPr>
      </w:pPr>
    </w:p>
    <w:tbl>
      <w:tblPr>
        <w:tblStyle w:val="TableGrid"/>
        <w:tblW w:w="0" w:type="auto"/>
        <w:tblInd w:w="136" w:type="dxa"/>
        <w:tblLook w:val="04A0" w:firstRow="1" w:lastRow="0" w:firstColumn="1" w:lastColumn="0" w:noHBand="0" w:noVBand="1"/>
      </w:tblPr>
      <w:tblGrid>
        <w:gridCol w:w="1256"/>
        <w:gridCol w:w="845"/>
        <w:gridCol w:w="1352"/>
        <w:gridCol w:w="951"/>
        <w:gridCol w:w="1463"/>
        <w:gridCol w:w="1417"/>
        <w:gridCol w:w="1930"/>
      </w:tblGrid>
      <w:tr w:rsidRPr="006041A3" w:rsidR="00780EB3" w:rsidTr="00ED6DBA" w14:paraId="689A5ED8" w14:textId="77777777">
        <w:tc>
          <w:tcPr>
            <w:tcW w:w="1270" w:type="dxa"/>
          </w:tcPr>
          <w:p w:rsidRPr="006041A3" w:rsidR="000513C4" w:rsidP="003F345A" w:rsidRDefault="000513C4" w14:paraId="6875D713" w14:textId="77777777">
            <w:pPr>
              <w:pStyle w:val="BodyText"/>
              <w:rPr>
                <w:rStyle w:val="Hyperlink"/>
                <w:rFonts w:ascii="Arial" w:hAnsi="Arial" w:cs="Arial"/>
                <w:szCs w:val="24"/>
              </w:rPr>
            </w:pPr>
            <w:r w:rsidRPr="006041A3">
              <w:rPr>
                <w:rStyle w:val="Hyperlink"/>
                <w:rFonts w:ascii="Arial" w:hAnsi="Arial" w:cs="Arial"/>
                <w:szCs w:val="24"/>
              </w:rPr>
              <w:lastRenderedPageBreak/>
              <w:t>Grade</w:t>
            </w:r>
          </w:p>
        </w:tc>
        <w:tc>
          <w:tcPr>
            <w:tcW w:w="851" w:type="dxa"/>
          </w:tcPr>
          <w:p w:rsidRPr="006041A3" w:rsidR="000513C4" w:rsidP="003F345A" w:rsidRDefault="000513C4" w14:paraId="0BC8DCCE" w14:textId="77777777">
            <w:pPr>
              <w:pStyle w:val="BodyText"/>
              <w:rPr>
                <w:rStyle w:val="Hyperlink"/>
                <w:rFonts w:ascii="Arial" w:hAnsi="Arial" w:cs="Arial"/>
                <w:szCs w:val="24"/>
              </w:rPr>
            </w:pPr>
            <w:r w:rsidRPr="006041A3">
              <w:rPr>
                <w:rStyle w:val="Hyperlink"/>
                <w:rFonts w:ascii="Arial" w:hAnsi="Arial" w:cs="Arial"/>
                <w:szCs w:val="24"/>
              </w:rPr>
              <w:t>Step</w:t>
            </w:r>
          </w:p>
        </w:tc>
        <w:tc>
          <w:tcPr>
            <w:tcW w:w="1355" w:type="dxa"/>
          </w:tcPr>
          <w:p w:rsidRPr="006041A3" w:rsidR="000513C4" w:rsidP="003F345A" w:rsidRDefault="000513C4" w14:paraId="33CB89B4" w14:textId="77777777">
            <w:pPr>
              <w:pStyle w:val="BodyText"/>
              <w:rPr>
                <w:rStyle w:val="Hyperlink"/>
                <w:rFonts w:ascii="Arial" w:hAnsi="Arial" w:cs="Arial"/>
                <w:szCs w:val="24"/>
              </w:rPr>
            </w:pPr>
            <w:r w:rsidRPr="006041A3">
              <w:rPr>
                <w:rStyle w:val="Hyperlink"/>
                <w:rFonts w:ascii="Arial" w:hAnsi="Arial" w:cs="Arial"/>
                <w:szCs w:val="24"/>
              </w:rPr>
              <w:t>Burden Time Employee</w:t>
            </w:r>
          </w:p>
        </w:tc>
        <w:tc>
          <w:tcPr>
            <w:tcW w:w="900" w:type="dxa"/>
          </w:tcPr>
          <w:p w:rsidRPr="006041A3" w:rsidR="000513C4" w:rsidP="003F345A" w:rsidRDefault="000513C4" w14:paraId="226E8114" w14:textId="77777777">
            <w:pPr>
              <w:pStyle w:val="BodyText"/>
              <w:rPr>
                <w:rStyle w:val="Hyperlink"/>
                <w:rFonts w:ascii="Arial" w:hAnsi="Arial" w:cs="Arial"/>
                <w:szCs w:val="24"/>
              </w:rPr>
            </w:pPr>
            <w:r w:rsidRPr="006041A3">
              <w:rPr>
                <w:rStyle w:val="Hyperlink"/>
                <w:rFonts w:ascii="Arial" w:hAnsi="Arial" w:cs="Arial"/>
                <w:szCs w:val="24"/>
              </w:rPr>
              <w:t>Hourly Wage Rate</w:t>
            </w:r>
          </w:p>
        </w:tc>
        <w:tc>
          <w:tcPr>
            <w:tcW w:w="1470" w:type="dxa"/>
          </w:tcPr>
          <w:p w:rsidRPr="006041A3" w:rsidR="000513C4" w:rsidP="003F345A" w:rsidRDefault="000513C4" w14:paraId="045AA912" w14:textId="77777777">
            <w:pPr>
              <w:pStyle w:val="BodyText"/>
              <w:rPr>
                <w:rStyle w:val="Hyperlink"/>
                <w:rFonts w:ascii="Arial" w:hAnsi="Arial" w:cs="Arial"/>
                <w:szCs w:val="24"/>
              </w:rPr>
            </w:pPr>
            <w:r w:rsidRPr="006041A3">
              <w:rPr>
                <w:rStyle w:val="Hyperlink"/>
                <w:rFonts w:ascii="Arial" w:hAnsi="Arial" w:cs="Arial"/>
                <w:szCs w:val="24"/>
              </w:rPr>
              <w:t>Cost per Response</w:t>
            </w:r>
          </w:p>
        </w:tc>
        <w:tc>
          <w:tcPr>
            <w:tcW w:w="1417" w:type="dxa"/>
          </w:tcPr>
          <w:p w:rsidRPr="006041A3" w:rsidR="000513C4" w:rsidP="003F345A" w:rsidRDefault="000513C4" w14:paraId="2514D1FC" w14:textId="77777777">
            <w:pPr>
              <w:pStyle w:val="BodyText"/>
              <w:rPr>
                <w:rStyle w:val="Hyperlink"/>
                <w:rFonts w:ascii="Arial" w:hAnsi="Arial" w:cs="Arial"/>
                <w:szCs w:val="24"/>
              </w:rPr>
            </w:pPr>
            <w:r w:rsidRPr="006041A3">
              <w:rPr>
                <w:rStyle w:val="Hyperlink"/>
                <w:rFonts w:ascii="Arial" w:hAnsi="Arial" w:cs="Arial"/>
                <w:szCs w:val="24"/>
              </w:rPr>
              <w:t>Total Responses</w:t>
            </w:r>
          </w:p>
        </w:tc>
        <w:tc>
          <w:tcPr>
            <w:tcW w:w="1951" w:type="dxa"/>
          </w:tcPr>
          <w:p w:rsidRPr="006041A3" w:rsidR="000513C4" w:rsidP="003F345A" w:rsidRDefault="000513C4" w14:paraId="2AC87E19" w14:textId="77777777">
            <w:pPr>
              <w:pStyle w:val="BodyText"/>
              <w:rPr>
                <w:rStyle w:val="Hyperlink"/>
                <w:rFonts w:ascii="Arial" w:hAnsi="Arial" w:cs="Arial"/>
                <w:szCs w:val="24"/>
              </w:rPr>
            </w:pPr>
            <w:r w:rsidRPr="006041A3">
              <w:rPr>
                <w:rStyle w:val="Hyperlink"/>
                <w:rFonts w:ascii="Arial" w:hAnsi="Arial" w:cs="Arial"/>
                <w:szCs w:val="24"/>
              </w:rPr>
              <w:t>Gov. Cost</w:t>
            </w:r>
          </w:p>
        </w:tc>
      </w:tr>
      <w:tr w:rsidRPr="006041A3" w:rsidR="00780EB3" w:rsidTr="00ED6DBA" w14:paraId="7987886A" w14:textId="77777777">
        <w:tc>
          <w:tcPr>
            <w:tcW w:w="1270" w:type="dxa"/>
          </w:tcPr>
          <w:p w:rsidRPr="00E45518" w:rsidR="000513C4" w:rsidP="00E45518" w:rsidRDefault="00215DC3" w14:paraId="0535758A" w14:textId="3E393BF1">
            <w:pPr>
              <w:pStyle w:val="BodyText"/>
              <w:jc w:val="center"/>
              <w:rPr>
                <w:rStyle w:val="Hyperlink"/>
                <w:rFonts w:ascii="Arial" w:hAnsi="Arial" w:cs="Arial"/>
                <w:szCs w:val="24"/>
                <w:u w:val="none"/>
              </w:rPr>
            </w:pPr>
            <w:r w:rsidRPr="00E45518">
              <w:rPr>
                <w:rStyle w:val="Hyperlink"/>
                <w:rFonts w:ascii="Arial" w:hAnsi="Arial" w:cs="Arial"/>
                <w:szCs w:val="24"/>
                <w:u w:val="none"/>
              </w:rPr>
              <w:t>11</w:t>
            </w:r>
          </w:p>
        </w:tc>
        <w:tc>
          <w:tcPr>
            <w:tcW w:w="851" w:type="dxa"/>
          </w:tcPr>
          <w:p w:rsidRPr="00E45518" w:rsidR="000513C4" w:rsidP="00E45518" w:rsidRDefault="00E45518" w14:paraId="6EEAE647" w14:textId="2601FF85">
            <w:pPr>
              <w:pStyle w:val="BodyText"/>
              <w:jc w:val="center"/>
              <w:rPr>
                <w:rStyle w:val="Hyperlink"/>
                <w:rFonts w:ascii="Arial" w:hAnsi="Arial" w:cs="Arial"/>
                <w:szCs w:val="24"/>
                <w:u w:val="none"/>
              </w:rPr>
            </w:pPr>
            <w:r w:rsidRPr="00E45518">
              <w:rPr>
                <w:rStyle w:val="Hyperlink"/>
                <w:rFonts w:ascii="Arial" w:hAnsi="Arial" w:cs="Arial"/>
                <w:szCs w:val="24"/>
                <w:u w:val="none"/>
              </w:rPr>
              <w:t>10</w:t>
            </w:r>
          </w:p>
        </w:tc>
        <w:tc>
          <w:tcPr>
            <w:tcW w:w="1355" w:type="dxa"/>
          </w:tcPr>
          <w:p w:rsidRPr="00E45518" w:rsidR="000513C4" w:rsidP="00E45518" w:rsidRDefault="00E45518" w14:paraId="44912602" w14:textId="744E4BE0">
            <w:pPr>
              <w:pStyle w:val="BodyText"/>
              <w:jc w:val="center"/>
              <w:rPr>
                <w:rStyle w:val="Hyperlink"/>
                <w:rFonts w:ascii="Arial" w:hAnsi="Arial" w:cs="Arial"/>
                <w:szCs w:val="24"/>
                <w:u w:val="none"/>
              </w:rPr>
            </w:pPr>
            <w:r w:rsidRPr="00E45518">
              <w:rPr>
                <w:rStyle w:val="Hyperlink"/>
                <w:rFonts w:ascii="Arial" w:hAnsi="Arial" w:cs="Arial"/>
                <w:szCs w:val="24"/>
                <w:u w:val="none"/>
              </w:rPr>
              <w:t>15min</w:t>
            </w:r>
          </w:p>
        </w:tc>
        <w:tc>
          <w:tcPr>
            <w:tcW w:w="900" w:type="dxa"/>
          </w:tcPr>
          <w:p w:rsidRPr="00780EB3" w:rsidR="000513C4" w:rsidP="00E45518" w:rsidRDefault="000513C4" w14:paraId="0F6BEA14" w14:textId="77874D3F">
            <w:pPr>
              <w:pStyle w:val="BodyText"/>
              <w:jc w:val="center"/>
              <w:rPr>
                <w:rStyle w:val="Hyperlink"/>
                <w:rFonts w:ascii="Arial" w:hAnsi="Arial" w:cs="Arial"/>
                <w:szCs w:val="24"/>
                <w:u w:val="none"/>
              </w:rPr>
            </w:pPr>
            <w:r w:rsidRPr="00780EB3">
              <w:rPr>
                <w:rStyle w:val="Hyperlink"/>
                <w:rFonts w:ascii="Arial" w:hAnsi="Arial" w:cs="Arial"/>
                <w:szCs w:val="24"/>
                <w:u w:val="none"/>
              </w:rPr>
              <w:t>$</w:t>
            </w:r>
            <w:r w:rsidRPr="00780EB3" w:rsidR="00780EB3">
              <w:rPr>
                <w:rStyle w:val="Hyperlink"/>
                <w:rFonts w:ascii="Arial" w:hAnsi="Arial" w:cs="Arial"/>
                <w:szCs w:val="24"/>
                <w:u w:val="none"/>
              </w:rPr>
              <w:t>41.24</w:t>
            </w:r>
          </w:p>
        </w:tc>
        <w:tc>
          <w:tcPr>
            <w:tcW w:w="1470" w:type="dxa"/>
          </w:tcPr>
          <w:p w:rsidRPr="00E45518" w:rsidR="000513C4" w:rsidP="00E45518" w:rsidRDefault="00ED6DBA" w14:paraId="39FFC274" w14:textId="0B051564">
            <w:pPr>
              <w:pStyle w:val="BodyText"/>
              <w:jc w:val="center"/>
              <w:rPr>
                <w:rStyle w:val="Hyperlink"/>
                <w:rFonts w:ascii="Arial" w:hAnsi="Arial" w:cs="Arial"/>
                <w:szCs w:val="24"/>
                <w:u w:val="none"/>
              </w:rPr>
            </w:pPr>
            <w:r>
              <w:rPr>
                <w:rStyle w:val="Hyperlink"/>
                <w:rFonts w:ascii="Arial" w:hAnsi="Arial" w:cs="Arial"/>
                <w:szCs w:val="24"/>
                <w:u w:val="none"/>
              </w:rPr>
              <w:t>$10.</w:t>
            </w:r>
            <w:r w:rsidR="00780EB3">
              <w:rPr>
                <w:rStyle w:val="Hyperlink"/>
                <w:rFonts w:ascii="Arial" w:hAnsi="Arial" w:cs="Arial"/>
                <w:szCs w:val="24"/>
                <w:u w:val="none"/>
              </w:rPr>
              <w:t>31</w:t>
            </w:r>
          </w:p>
        </w:tc>
        <w:tc>
          <w:tcPr>
            <w:tcW w:w="1417" w:type="dxa"/>
          </w:tcPr>
          <w:p w:rsidRPr="00ED6DBA" w:rsidR="000513C4" w:rsidP="00E45518" w:rsidRDefault="00ED6DBA" w14:paraId="23D3B708" w14:textId="7035AB80">
            <w:pPr>
              <w:pStyle w:val="BodyText"/>
              <w:jc w:val="center"/>
              <w:rPr>
                <w:rStyle w:val="Hyperlink"/>
                <w:rFonts w:ascii="Arial" w:hAnsi="Arial" w:cs="Arial"/>
                <w:szCs w:val="24"/>
                <w:u w:val="none"/>
              </w:rPr>
            </w:pPr>
            <w:r w:rsidRPr="00ED6DBA">
              <w:rPr>
                <w:rStyle w:val="Hyperlink"/>
                <w:rFonts w:ascii="Arial" w:hAnsi="Arial" w:cs="Arial"/>
                <w:szCs w:val="24"/>
                <w:u w:val="none"/>
              </w:rPr>
              <w:t>1</w:t>
            </w:r>
            <w:r>
              <w:rPr>
                <w:rStyle w:val="Hyperlink"/>
                <w:rFonts w:ascii="Arial" w:hAnsi="Arial" w:cs="Arial"/>
                <w:szCs w:val="24"/>
                <w:u w:val="none"/>
              </w:rPr>
              <w:t>,</w:t>
            </w:r>
            <w:r w:rsidRPr="00ED6DBA">
              <w:rPr>
                <w:rStyle w:val="Hyperlink"/>
                <w:rFonts w:ascii="Arial" w:hAnsi="Arial" w:cs="Arial"/>
                <w:u w:val="none"/>
              </w:rPr>
              <w:t>014</w:t>
            </w:r>
          </w:p>
        </w:tc>
        <w:tc>
          <w:tcPr>
            <w:tcW w:w="1951" w:type="dxa"/>
          </w:tcPr>
          <w:p w:rsidRPr="00ED6DBA" w:rsidR="000513C4" w:rsidP="00E45518" w:rsidRDefault="000513C4" w14:paraId="0C216E0C" w14:textId="4E2444C2">
            <w:pPr>
              <w:pStyle w:val="BodyText"/>
              <w:jc w:val="center"/>
              <w:rPr>
                <w:rStyle w:val="Hyperlink"/>
                <w:rFonts w:ascii="Arial" w:hAnsi="Arial" w:cs="Arial"/>
                <w:szCs w:val="24"/>
                <w:u w:val="none"/>
              </w:rPr>
            </w:pPr>
            <w:r w:rsidRPr="00ED6DBA">
              <w:rPr>
                <w:rStyle w:val="Hyperlink"/>
                <w:rFonts w:ascii="Arial" w:hAnsi="Arial" w:cs="Arial"/>
                <w:szCs w:val="24"/>
                <w:u w:val="none"/>
              </w:rPr>
              <w:t xml:space="preserve">$ </w:t>
            </w:r>
            <w:r w:rsidRPr="00F703E2" w:rsidR="00ED6DBA">
              <w:rPr>
                <w:rStyle w:val="Hyperlink"/>
                <w:rFonts w:ascii="Arial" w:hAnsi="Arial" w:cs="Arial"/>
                <w:szCs w:val="24"/>
                <w:u w:val="none"/>
              </w:rPr>
              <w:t>1</w:t>
            </w:r>
            <w:r w:rsidRPr="00F703E2" w:rsidR="00ED6DBA">
              <w:rPr>
                <w:rStyle w:val="Hyperlink"/>
                <w:rFonts w:ascii="Arial" w:hAnsi="Arial" w:cs="Arial"/>
                <w:u w:val="none"/>
              </w:rPr>
              <w:t>0,</w:t>
            </w:r>
            <w:r w:rsidRPr="00780EB3" w:rsidR="00780EB3">
              <w:rPr>
                <w:rStyle w:val="Hyperlink"/>
                <w:rFonts w:ascii="Arial" w:hAnsi="Arial" w:cs="Arial"/>
                <w:u w:val="none"/>
              </w:rPr>
              <w:t>454.34</w:t>
            </w:r>
            <w:r w:rsidRPr="00ED6DBA" w:rsidR="00E45518">
              <w:rPr>
                <w:rStyle w:val="Hyperlink"/>
                <w:rFonts w:ascii="Arial" w:hAnsi="Arial" w:cs="Arial"/>
                <w:szCs w:val="24"/>
                <w:u w:val="none"/>
              </w:rPr>
              <w:t xml:space="preserve"> </w:t>
            </w:r>
            <w:r w:rsidRPr="00ED6DBA">
              <w:rPr>
                <w:rStyle w:val="Hyperlink"/>
                <w:rFonts w:ascii="Arial" w:hAnsi="Arial" w:cs="Arial"/>
                <w:szCs w:val="24"/>
                <w:u w:val="none"/>
              </w:rPr>
              <w:t>(</w:t>
            </w:r>
            <w:r w:rsidRPr="00ED6DBA" w:rsidR="00ED6DBA">
              <w:rPr>
                <w:rStyle w:val="Hyperlink"/>
                <w:rFonts w:ascii="Arial" w:hAnsi="Arial" w:cs="Arial"/>
                <w:szCs w:val="24"/>
                <w:u w:val="none"/>
              </w:rPr>
              <w:t>1</w:t>
            </w:r>
            <w:r w:rsidRPr="00ED6DBA" w:rsidR="00ED6DBA">
              <w:rPr>
                <w:rStyle w:val="Hyperlink"/>
                <w:rFonts w:ascii="Arial" w:hAnsi="Arial" w:cs="Arial"/>
                <w:u w:val="none"/>
              </w:rPr>
              <w:t>014</w:t>
            </w:r>
            <w:r w:rsidRPr="00ED6DBA">
              <w:rPr>
                <w:rStyle w:val="Hyperlink"/>
                <w:rFonts w:ascii="Arial" w:hAnsi="Arial" w:cs="Arial"/>
                <w:szCs w:val="24"/>
                <w:u w:val="none"/>
              </w:rPr>
              <w:t xml:space="preserve"> X $</w:t>
            </w:r>
            <w:r w:rsidRPr="00ED6DBA" w:rsidR="00ED6DBA">
              <w:rPr>
                <w:rStyle w:val="Hyperlink"/>
                <w:rFonts w:ascii="Arial" w:hAnsi="Arial" w:cs="Arial"/>
                <w:szCs w:val="24"/>
                <w:u w:val="none"/>
              </w:rPr>
              <w:t>4</w:t>
            </w:r>
            <w:r w:rsidR="00780EB3">
              <w:rPr>
                <w:rStyle w:val="Hyperlink"/>
                <w:rFonts w:ascii="Arial" w:hAnsi="Arial" w:cs="Arial"/>
                <w:szCs w:val="24"/>
                <w:u w:val="none"/>
              </w:rPr>
              <w:t>1.24</w:t>
            </w:r>
            <w:r w:rsidRPr="00ED6DBA">
              <w:rPr>
                <w:rStyle w:val="Hyperlink"/>
                <w:rFonts w:ascii="Arial" w:hAnsi="Arial" w:cs="Arial"/>
                <w:szCs w:val="24"/>
                <w:u w:val="none"/>
              </w:rPr>
              <w:t xml:space="preserve"> X </w:t>
            </w:r>
            <w:r w:rsidRPr="00ED6DBA" w:rsidR="00E45518">
              <w:rPr>
                <w:rStyle w:val="Hyperlink"/>
                <w:rFonts w:ascii="Arial" w:hAnsi="Arial" w:cs="Arial"/>
                <w:szCs w:val="24"/>
                <w:u w:val="none"/>
              </w:rPr>
              <w:t>15</w:t>
            </w:r>
            <w:r w:rsidRPr="00ED6DBA">
              <w:rPr>
                <w:rStyle w:val="Hyperlink"/>
                <w:rFonts w:ascii="Arial" w:hAnsi="Arial" w:cs="Arial"/>
                <w:szCs w:val="24"/>
                <w:u w:val="none"/>
              </w:rPr>
              <w:t xml:space="preserve"> / 60)</w:t>
            </w:r>
          </w:p>
        </w:tc>
      </w:tr>
      <w:tr w:rsidRPr="006041A3" w:rsidR="00780EB3" w:rsidTr="003F345A" w14:paraId="567213B3" w14:textId="77777777">
        <w:tc>
          <w:tcPr>
            <w:tcW w:w="1270" w:type="dxa"/>
          </w:tcPr>
          <w:p w:rsidRPr="00E45518" w:rsidR="000513C4" w:rsidP="00E45518" w:rsidRDefault="000513C4" w14:paraId="5F894457" w14:textId="77777777">
            <w:pPr>
              <w:pStyle w:val="BodyText"/>
              <w:jc w:val="center"/>
              <w:rPr>
                <w:rStyle w:val="Hyperlink"/>
                <w:rFonts w:ascii="Arial" w:hAnsi="Arial" w:cs="Arial"/>
                <w:szCs w:val="24"/>
                <w:u w:val="none"/>
              </w:rPr>
            </w:pPr>
          </w:p>
        </w:tc>
        <w:tc>
          <w:tcPr>
            <w:tcW w:w="5993" w:type="dxa"/>
            <w:gridSpan w:val="5"/>
          </w:tcPr>
          <w:p w:rsidRPr="00E45518" w:rsidR="000513C4" w:rsidP="00E45518" w:rsidRDefault="000513C4" w14:paraId="300FA4EF" w14:textId="2DC6DD26">
            <w:pPr>
              <w:pStyle w:val="BodyText"/>
              <w:jc w:val="center"/>
              <w:rPr>
                <w:rStyle w:val="Hyperlink"/>
                <w:rFonts w:ascii="Arial" w:hAnsi="Arial" w:cs="Arial"/>
                <w:szCs w:val="24"/>
                <w:u w:val="none"/>
              </w:rPr>
            </w:pPr>
            <w:r w:rsidRPr="00E45518">
              <w:rPr>
                <w:rStyle w:val="Hyperlink"/>
                <w:rFonts w:ascii="Arial" w:hAnsi="Arial" w:cs="Arial"/>
                <w:szCs w:val="24"/>
                <w:u w:val="none"/>
              </w:rPr>
              <w:t>Overhead at 100%.  Overhead costs are 100% of salary</w:t>
            </w:r>
            <w:r w:rsidR="00B82092">
              <w:rPr>
                <w:rStyle w:val="Hyperlink"/>
                <w:rFonts w:ascii="Arial" w:hAnsi="Arial" w:cs="Arial"/>
                <w:szCs w:val="24"/>
                <w:u w:val="none"/>
              </w:rPr>
              <w:t>,</w:t>
            </w:r>
            <w:r w:rsidRPr="00E45518">
              <w:rPr>
                <w:rStyle w:val="Hyperlink"/>
                <w:rFonts w:ascii="Arial" w:hAnsi="Arial" w:cs="Arial"/>
                <w:szCs w:val="24"/>
                <w:u w:val="none"/>
              </w:rPr>
              <w:t xml:space="preserve"> </w:t>
            </w:r>
            <w:r w:rsidR="00B82092">
              <w:rPr>
                <w:rStyle w:val="Hyperlink"/>
                <w:rFonts w:ascii="Arial" w:hAnsi="Arial" w:cs="Arial"/>
                <w:szCs w:val="24"/>
                <w:u w:val="none"/>
              </w:rPr>
              <w:t>which</w:t>
            </w:r>
            <w:r w:rsidRPr="00E45518">
              <w:rPr>
                <w:rStyle w:val="Hyperlink"/>
                <w:rFonts w:ascii="Arial" w:hAnsi="Arial" w:cs="Arial"/>
                <w:szCs w:val="24"/>
                <w:u w:val="none"/>
              </w:rPr>
              <w:t xml:space="preserve"> are also the same as the wage listed above; and the amount is included in the total.</w:t>
            </w:r>
          </w:p>
        </w:tc>
        <w:tc>
          <w:tcPr>
            <w:tcW w:w="1951" w:type="dxa"/>
          </w:tcPr>
          <w:p w:rsidRPr="00E45518" w:rsidR="000513C4" w:rsidP="00E45518" w:rsidRDefault="000513C4" w14:paraId="63372ACE" w14:textId="77777777">
            <w:pPr>
              <w:pStyle w:val="BodyText"/>
              <w:jc w:val="center"/>
              <w:rPr>
                <w:rStyle w:val="Hyperlink"/>
                <w:rFonts w:ascii="Arial" w:hAnsi="Arial" w:cs="Arial"/>
                <w:szCs w:val="24"/>
                <w:u w:val="none"/>
              </w:rPr>
            </w:pPr>
          </w:p>
        </w:tc>
      </w:tr>
      <w:tr w:rsidRPr="006041A3" w:rsidR="00780EB3" w:rsidTr="003F345A" w14:paraId="19396E0E" w14:textId="77777777">
        <w:tc>
          <w:tcPr>
            <w:tcW w:w="1270" w:type="dxa"/>
          </w:tcPr>
          <w:p w:rsidRPr="00E45518" w:rsidR="000513C4" w:rsidP="00E45518" w:rsidRDefault="000513C4" w14:paraId="716AA552" w14:textId="7AC1CF13">
            <w:pPr>
              <w:pStyle w:val="BodyText"/>
              <w:jc w:val="center"/>
              <w:rPr>
                <w:rStyle w:val="Hyperlink"/>
                <w:rFonts w:ascii="Arial" w:hAnsi="Arial" w:cs="Arial"/>
                <w:szCs w:val="24"/>
                <w:u w:val="none"/>
              </w:rPr>
            </w:pPr>
          </w:p>
        </w:tc>
        <w:tc>
          <w:tcPr>
            <w:tcW w:w="5993" w:type="dxa"/>
            <w:gridSpan w:val="5"/>
          </w:tcPr>
          <w:p w:rsidRPr="00E45518" w:rsidR="000513C4" w:rsidP="00E45518" w:rsidRDefault="00B82092" w14:paraId="23553F30" w14:textId="2B6699C0">
            <w:pPr>
              <w:pStyle w:val="BodyText"/>
              <w:jc w:val="center"/>
              <w:rPr>
                <w:rStyle w:val="Hyperlink"/>
                <w:rFonts w:ascii="Arial" w:hAnsi="Arial" w:cs="Arial"/>
                <w:szCs w:val="24"/>
                <w:u w:val="none"/>
              </w:rPr>
            </w:pPr>
            <w:r>
              <w:rPr>
                <w:rStyle w:val="Hyperlink"/>
                <w:rFonts w:ascii="Arial" w:hAnsi="Arial" w:cs="Arial"/>
                <w:szCs w:val="24"/>
                <w:u w:val="none"/>
              </w:rPr>
              <w:t xml:space="preserve">Education Liaison Representative </w:t>
            </w:r>
            <w:r w:rsidRPr="00E45518" w:rsidR="000513C4">
              <w:rPr>
                <w:rStyle w:val="Hyperlink"/>
                <w:rFonts w:ascii="Arial" w:hAnsi="Arial" w:cs="Arial"/>
                <w:szCs w:val="24"/>
                <w:u w:val="none"/>
              </w:rPr>
              <w:t>Processing / Analyzing Cost</w:t>
            </w:r>
          </w:p>
        </w:tc>
        <w:tc>
          <w:tcPr>
            <w:tcW w:w="1951" w:type="dxa"/>
          </w:tcPr>
          <w:p w:rsidRPr="00E45518" w:rsidR="000513C4" w:rsidP="00E45518" w:rsidRDefault="00B82092" w14:paraId="1865ECC8" w14:textId="7038D30A">
            <w:pPr>
              <w:pStyle w:val="BodyText"/>
              <w:jc w:val="center"/>
              <w:rPr>
                <w:rStyle w:val="Hyperlink"/>
                <w:rFonts w:ascii="Arial" w:hAnsi="Arial" w:cs="Arial"/>
                <w:szCs w:val="24"/>
                <w:u w:val="none"/>
              </w:rPr>
            </w:pPr>
            <w:r>
              <w:rPr>
                <w:rStyle w:val="Hyperlink"/>
                <w:rFonts w:ascii="Arial" w:hAnsi="Arial" w:cs="Arial"/>
                <w:szCs w:val="24"/>
                <w:u w:val="none"/>
              </w:rPr>
              <w:t>$</w:t>
            </w:r>
            <w:r w:rsidR="00780EB3">
              <w:rPr>
                <w:rStyle w:val="Hyperlink"/>
                <w:rFonts w:ascii="Arial" w:hAnsi="Arial" w:cs="Arial"/>
                <w:szCs w:val="24"/>
                <w:u w:val="none"/>
              </w:rPr>
              <w:t>10,454.34</w:t>
            </w:r>
          </w:p>
        </w:tc>
      </w:tr>
      <w:tr w:rsidRPr="006041A3" w:rsidR="00780EB3" w:rsidTr="003F345A" w14:paraId="21FA769C" w14:textId="77777777">
        <w:tc>
          <w:tcPr>
            <w:tcW w:w="1270" w:type="dxa"/>
          </w:tcPr>
          <w:p w:rsidRPr="00E45518" w:rsidR="000513C4" w:rsidP="00E45518" w:rsidRDefault="000513C4" w14:paraId="4B3FC7CE" w14:textId="77777777">
            <w:pPr>
              <w:pStyle w:val="BodyText"/>
              <w:jc w:val="center"/>
              <w:rPr>
                <w:rStyle w:val="Hyperlink"/>
                <w:rFonts w:ascii="Arial" w:hAnsi="Arial" w:cs="Arial"/>
                <w:szCs w:val="24"/>
                <w:u w:val="none"/>
              </w:rPr>
            </w:pPr>
          </w:p>
        </w:tc>
        <w:tc>
          <w:tcPr>
            <w:tcW w:w="5993" w:type="dxa"/>
            <w:gridSpan w:val="5"/>
          </w:tcPr>
          <w:p w:rsidRPr="00E45518" w:rsidR="000513C4" w:rsidP="00E45518" w:rsidRDefault="000513C4" w14:paraId="68E116EE" w14:textId="33ED2F36">
            <w:pPr>
              <w:pStyle w:val="BodyText"/>
              <w:jc w:val="center"/>
              <w:rPr>
                <w:rStyle w:val="Hyperlink"/>
                <w:rFonts w:ascii="Arial" w:hAnsi="Arial" w:cs="Arial"/>
                <w:szCs w:val="24"/>
                <w:u w:val="none"/>
              </w:rPr>
            </w:pPr>
            <w:r w:rsidRPr="00E45518">
              <w:rPr>
                <w:rStyle w:val="Hyperlink"/>
                <w:rFonts w:ascii="Arial" w:hAnsi="Arial" w:cs="Arial"/>
                <w:szCs w:val="24"/>
                <w:u w:val="none"/>
              </w:rPr>
              <w:t>Printing and Production Cost</w:t>
            </w:r>
          </w:p>
        </w:tc>
        <w:tc>
          <w:tcPr>
            <w:tcW w:w="1951" w:type="dxa"/>
          </w:tcPr>
          <w:p w:rsidRPr="00E45518" w:rsidR="000513C4" w:rsidP="00E45518" w:rsidRDefault="000513C4" w14:paraId="1E399449" w14:textId="77777777">
            <w:pPr>
              <w:pStyle w:val="BodyText"/>
              <w:jc w:val="center"/>
              <w:rPr>
                <w:rStyle w:val="Hyperlink"/>
                <w:rFonts w:ascii="Arial" w:hAnsi="Arial" w:cs="Arial"/>
                <w:szCs w:val="24"/>
                <w:u w:val="none"/>
              </w:rPr>
            </w:pPr>
            <w:r w:rsidRPr="00E45518">
              <w:rPr>
                <w:rStyle w:val="Hyperlink"/>
                <w:rFonts w:ascii="Arial" w:hAnsi="Arial" w:cs="Arial"/>
                <w:szCs w:val="24"/>
                <w:u w:val="none"/>
              </w:rPr>
              <w:t>-0-</w:t>
            </w:r>
          </w:p>
        </w:tc>
      </w:tr>
      <w:tr w:rsidRPr="006041A3" w:rsidR="00780EB3" w:rsidTr="003F345A" w14:paraId="4F9E931F" w14:textId="77777777">
        <w:tc>
          <w:tcPr>
            <w:tcW w:w="7263" w:type="dxa"/>
            <w:gridSpan w:val="6"/>
          </w:tcPr>
          <w:p w:rsidRPr="00E45518" w:rsidR="000513C4" w:rsidP="00E45518" w:rsidRDefault="000513C4" w14:paraId="20A4FA18" w14:textId="2D38F446">
            <w:pPr>
              <w:pStyle w:val="BodyText"/>
              <w:jc w:val="center"/>
              <w:rPr>
                <w:rStyle w:val="Hyperlink"/>
                <w:rFonts w:ascii="Arial" w:hAnsi="Arial" w:cs="Arial"/>
                <w:szCs w:val="24"/>
                <w:u w:val="none"/>
              </w:rPr>
            </w:pPr>
            <w:r w:rsidRPr="00E45518">
              <w:rPr>
                <w:rStyle w:val="Hyperlink"/>
                <w:rFonts w:ascii="Arial" w:hAnsi="Arial" w:cs="Arial"/>
                <w:szCs w:val="24"/>
                <w:u w:val="none"/>
              </w:rPr>
              <w:t>Total Cost to Government</w:t>
            </w:r>
          </w:p>
        </w:tc>
        <w:tc>
          <w:tcPr>
            <w:tcW w:w="1951" w:type="dxa"/>
          </w:tcPr>
          <w:p w:rsidRPr="00E45518" w:rsidR="000513C4" w:rsidP="00E45518" w:rsidRDefault="00B82092" w14:paraId="741B1FC4" w14:textId="50D30D10">
            <w:pPr>
              <w:pStyle w:val="BodyText"/>
              <w:jc w:val="center"/>
              <w:rPr>
                <w:rStyle w:val="Hyperlink"/>
                <w:rFonts w:ascii="Arial" w:hAnsi="Arial" w:cs="Arial"/>
                <w:szCs w:val="24"/>
                <w:u w:val="none"/>
              </w:rPr>
            </w:pPr>
            <w:r>
              <w:rPr>
                <w:rStyle w:val="Hyperlink"/>
                <w:rFonts w:ascii="Arial" w:hAnsi="Arial" w:cs="Arial"/>
                <w:szCs w:val="24"/>
                <w:u w:val="none"/>
              </w:rPr>
              <w:t>$</w:t>
            </w:r>
            <w:r w:rsidR="00ED6DBA">
              <w:rPr>
                <w:rStyle w:val="Hyperlink"/>
                <w:rFonts w:ascii="Arial" w:hAnsi="Arial" w:cs="Arial"/>
                <w:szCs w:val="24"/>
                <w:u w:val="none"/>
              </w:rPr>
              <w:t>10,</w:t>
            </w:r>
            <w:r w:rsidR="00780EB3">
              <w:rPr>
                <w:rStyle w:val="Hyperlink"/>
                <w:rFonts w:ascii="Arial" w:hAnsi="Arial" w:cs="Arial"/>
                <w:szCs w:val="24"/>
                <w:u w:val="none"/>
              </w:rPr>
              <w:t>454.34</w:t>
            </w:r>
          </w:p>
        </w:tc>
      </w:tr>
    </w:tbl>
    <w:p w:rsidR="00D14825" w:rsidP="00D14825" w:rsidRDefault="00D14825" w14:paraId="1F858388" w14:textId="77777777">
      <w:pPr>
        <w:rPr>
          <w:rFonts w:ascii="Arial" w:hAnsi="Arial" w:cs="Arial"/>
          <w:b/>
          <w:sz w:val="24"/>
          <w:szCs w:val="24"/>
        </w:rPr>
      </w:pPr>
    </w:p>
    <w:p w:rsidRPr="00195AC2" w:rsidR="00D14825" w:rsidP="00D14825" w:rsidRDefault="00D14825" w14:paraId="3D37E5AC" w14:textId="74DB14F3">
      <w:pPr>
        <w:rPr>
          <w:rFonts w:ascii="Arial" w:hAnsi="Arial" w:cs="Arial"/>
          <w:sz w:val="24"/>
          <w:szCs w:val="24"/>
        </w:rPr>
      </w:pPr>
      <w:r w:rsidRPr="00195AC2">
        <w:rPr>
          <w:rFonts w:ascii="Arial" w:hAnsi="Arial" w:cs="Arial"/>
          <w:b/>
          <w:sz w:val="24"/>
          <w:szCs w:val="24"/>
        </w:rPr>
        <w:t>Note:</w:t>
      </w:r>
      <w:r w:rsidRPr="00195AC2">
        <w:rPr>
          <w:rFonts w:ascii="Arial" w:hAnsi="Arial" w:cs="Arial"/>
          <w:sz w:val="24"/>
          <w:szCs w:val="24"/>
        </w:rPr>
        <w:t xml:space="preserve"> The hourly wage information above is based on the hourly 202</w:t>
      </w:r>
      <w:r w:rsidRPr="00195AC2" w:rsidR="00C603E3">
        <w:rPr>
          <w:rFonts w:ascii="Arial" w:hAnsi="Arial" w:cs="Arial"/>
          <w:sz w:val="24"/>
          <w:szCs w:val="24"/>
        </w:rPr>
        <w:t>2</w:t>
      </w:r>
      <w:r w:rsidRPr="00195AC2">
        <w:rPr>
          <w:rFonts w:ascii="Arial" w:hAnsi="Arial" w:cs="Arial"/>
          <w:sz w:val="24"/>
          <w:szCs w:val="24"/>
        </w:rPr>
        <w:t xml:space="preserve"> General Schedule (Base) Pay</w:t>
      </w:r>
    </w:p>
    <w:p w:rsidRPr="00195AC2" w:rsidR="00D14825" w:rsidP="00D14825" w:rsidRDefault="008A607E" w14:paraId="2472C590" w14:textId="676A91C9">
      <w:pPr>
        <w:contextualSpacing/>
        <w:rPr>
          <w:rFonts w:ascii="Arial" w:hAnsi="Arial" w:cs="Arial"/>
          <w:sz w:val="24"/>
          <w:szCs w:val="24"/>
        </w:rPr>
      </w:pPr>
      <w:hyperlink w:history="1" r:id="rId12">
        <w:r w:rsidRPr="0082546F" w:rsidR="00A55E41">
          <w:rPr>
            <w:rStyle w:val="Hyperlink"/>
            <w:rFonts w:ascii="Arial" w:hAnsi="Arial" w:cs="Arial"/>
            <w:sz w:val="24"/>
            <w:szCs w:val="24"/>
          </w:rPr>
          <w:t>https://www.opm.gov/policy-data-oversight/pay-leave/salaries-wages/salary-tables/pdf/2022/RUS_h.pdf</w:t>
        </w:r>
      </w:hyperlink>
      <w:r w:rsidR="00A55E41">
        <w:rPr>
          <w:rFonts w:ascii="Arial" w:hAnsi="Arial" w:cs="Arial"/>
          <w:sz w:val="24"/>
          <w:szCs w:val="24"/>
        </w:rPr>
        <w:t xml:space="preserve">. </w:t>
      </w:r>
      <w:r w:rsidRPr="00195AC2" w:rsidR="00D14825">
        <w:rPr>
          <w:rFonts w:ascii="Arial" w:hAnsi="Arial" w:cs="Arial"/>
          <w:sz w:val="24"/>
          <w:szCs w:val="24"/>
        </w:rPr>
        <w:t xml:space="preserve">This rate does not include any locality adjustment as applicable. </w:t>
      </w:r>
    </w:p>
    <w:p w:rsidRPr="00195AC2" w:rsidR="00D14825" w:rsidP="00D14825" w:rsidRDefault="00D14825" w14:paraId="6211E320" w14:textId="77777777">
      <w:pPr>
        <w:ind w:left="720"/>
        <w:contextualSpacing/>
        <w:rPr>
          <w:rFonts w:ascii="Arial" w:hAnsi="Arial" w:cs="Arial"/>
          <w:sz w:val="24"/>
          <w:szCs w:val="24"/>
        </w:rPr>
      </w:pPr>
    </w:p>
    <w:p w:rsidRPr="00EF57DA" w:rsidR="00D14825" w:rsidP="00D14825" w:rsidRDefault="00D14825" w14:paraId="63433D35" w14:textId="77777777">
      <w:pPr>
        <w:contextualSpacing/>
        <w:rPr>
          <w:rFonts w:ascii="Arial" w:hAnsi="Arial" w:cs="Arial"/>
          <w:sz w:val="24"/>
          <w:szCs w:val="24"/>
        </w:rPr>
      </w:pPr>
      <w:r w:rsidRPr="00EF57DA">
        <w:rPr>
          <w:rFonts w:ascii="Arial" w:hAnsi="Arial" w:cs="Arial"/>
          <w:sz w:val="24"/>
          <w:szCs w:val="24"/>
        </w:rPr>
        <w:t xml:space="preserve">The processing time estimates above are based on the actual amount of time employees of the grade level spend to process to completion a claim received on this form.  </w:t>
      </w:r>
    </w:p>
    <w:p w:rsidR="00463D10" w:rsidP="00463D10" w:rsidRDefault="00463D10" w14:paraId="6A0B8E82" w14:textId="77777777">
      <w:pPr>
        <w:tabs>
          <w:tab w:val="left" w:pos="480"/>
          <w:tab w:val="right" w:pos="8640"/>
        </w:tabs>
        <w:spacing w:after="0" w:line="240" w:lineRule="auto"/>
        <w:ind w:right="684"/>
        <w:rPr>
          <w:rFonts w:ascii="Arial" w:hAnsi="Arial" w:eastAsia="Times New Roman" w:cs="Arial"/>
          <w:sz w:val="24"/>
          <w:szCs w:val="24"/>
        </w:rPr>
      </w:pPr>
    </w:p>
    <w:p w:rsidRPr="004814CC" w:rsidR="00463D10" w:rsidP="00463D10" w:rsidRDefault="00463D10" w14:paraId="6A0B8E83"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sidRPr="004814CC">
        <w:rPr>
          <w:rFonts w:ascii="Arial" w:hAnsi="Arial" w:eastAsia="Times New Roman" w:cs="Arial"/>
          <w:b/>
          <w:sz w:val="24"/>
          <w:szCs w:val="24"/>
        </w:rPr>
        <w:t>Explain the reason for any burden hour changes since the last submission.</w:t>
      </w:r>
    </w:p>
    <w:p w:rsidRPr="004814CC" w:rsidR="00463D10" w:rsidP="00463D10" w:rsidRDefault="00463D10" w14:paraId="6A0B8E84"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00030167" w:rsidP="006C7A43" w:rsidRDefault="004814CC" w14:paraId="0129DAA4" w14:textId="77777777">
      <w:pPr>
        <w:spacing w:after="0" w:line="240" w:lineRule="auto"/>
        <w:ind w:firstLine="720"/>
        <w:rPr>
          <w:rFonts w:ascii="Arial" w:hAnsi="Arial" w:eastAsia="Times New Roman" w:cs="Arial"/>
          <w:sz w:val="24"/>
          <w:szCs w:val="24"/>
        </w:rPr>
      </w:pPr>
      <w:r w:rsidRPr="004814CC">
        <w:rPr>
          <w:rFonts w:ascii="Arial" w:hAnsi="Arial" w:eastAsia="Times New Roman" w:cs="Arial"/>
          <w:sz w:val="24"/>
          <w:szCs w:val="24"/>
        </w:rPr>
        <w:t xml:space="preserve">There has been </w:t>
      </w:r>
      <w:r w:rsidR="00030167">
        <w:rPr>
          <w:rFonts w:ascii="Arial" w:hAnsi="Arial" w:eastAsia="Times New Roman" w:cs="Arial"/>
          <w:sz w:val="24"/>
          <w:szCs w:val="24"/>
        </w:rPr>
        <w:t xml:space="preserve">no burden </w:t>
      </w:r>
      <w:r w:rsidRPr="004814CC">
        <w:rPr>
          <w:rFonts w:ascii="Arial" w:hAnsi="Arial" w:eastAsia="Times New Roman" w:cs="Arial"/>
          <w:sz w:val="24"/>
          <w:szCs w:val="24"/>
        </w:rPr>
        <w:t>increase in foreign educational institutions seeking</w:t>
      </w:r>
    </w:p>
    <w:p w:rsidR="004814CC" w:rsidP="006C7A43" w:rsidRDefault="004814CC" w14:paraId="117537C6" w14:textId="0313606C">
      <w:pPr>
        <w:spacing w:after="0" w:line="240" w:lineRule="auto"/>
        <w:ind w:firstLine="720"/>
        <w:rPr>
          <w:rFonts w:ascii="Arial" w:hAnsi="Arial" w:cs="Arial"/>
          <w:sz w:val="24"/>
          <w:szCs w:val="24"/>
        </w:rPr>
      </w:pPr>
      <w:r w:rsidRPr="004814CC">
        <w:rPr>
          <w:rFonts w:ascii="Arial" w:hAnsi="Arial" w:eastAsia="Times New Roman" w:cs="Arial"/>
          <w:sz w:val="24"/>
          <w:szCs w:val="24"/>
        </w:rPr>
        <w:t>approval</w:t>
      </w:r>
      <w:r w:rsidR="006C7A43">
        <w:rPr>
          <w:rFonts w:ascii="Arial" w:hAnsi="Arial" w:eastAsia="Times New Roman" w:cs="Arial"/>
          <w:sz w:val="24"/>
          <w:szCs w:val="24"/>
        </w:rPr>
        <w:t xml:space="preserve"> </w:t>
      </w:r>
      <w:r w:rsidRPr="004814CC">
        <w:rPr>
          <w:rFonts w:ascii="Arial" w:hAnsi="Arial" w:eastAsia="Times New Roman" w:cs="Arial"/>
          <w:sz w:val="24"/>
          <w:szCs w:val="24"/>
        </w:rPr>
        <w:t>for their post-secondary</w:t>
      </w:r>
      <w:r w:rsidR="006C7A43">
        <w:rPr>
          <w:rFonts w:ascii="Arial" w:hAnsi="Arial" w:cs="Arial"/>
          <w:sz w:val="24"/>
          <w:szCs w:val="24"/>
        </w:rPr>
        <w:t xml:space="preserve"> p</w:t>
      </w:r>
      <w:r w:rsidRPr="004814CC">
        <w:rPr>
          <w:rFonts w:ascii="Arial" w:hAnsi="Arial" w:cs="Arial"/>
          <w:sz w:val="24"/>
          <w:szCs w:val="24"/>
        </w:rPr>
        <w:t>rograms</w:t>
      </w:r>
      <w:r w:rsidR="00030167">
        <w:rPr>
          <w:rFonts w:ascii="Arial" w:hAnsi="Arial" w:cs="Arial"/>
          <w:sz w:val="24"/>
          <w:szCs w:val="24"/>
        </w:rPr>
        <w:t xml:space="preserve"> based on this </w:t>
      </w:r>
      <w:r w:rsidR="00C603E3">
        <w:rPr>
          <w:rFonts w:ascii="Arial" w:hAnsi="Arial" w:cs="Arial"/>
          <w:sz w:val="24"/>
          <w:szCs w:val="24"/>
        </w:rPr>
        <w:t>submission.</w:t>
      </w:r>
      <w:r w:rsidR="00030167">
        <w:rPr>
          <w:rFonts w:ascii="Arial" w:hAnsi="Arial" w:cs="Arial"/>
          <w:sz w:val="24"/>
          <w:szCs w:val="24"/>
        </w:rPr>
        <w:t xml:space="preserve">  </w:t>
      </w:r>
    </w:p>
    <w:p w:rsidRPr="004814CC" w:rsidR="006C7A43" w:rsidP="00B9372E" w:rsidRDefault="006C7A43" w14:paraId="48DC1D5B" w14:textId="77777777">
      <w:pPr>
        <w:spacing w:after="0" w:line="240" w:lineRule="auto"/>
        <w:ind w:firstLine="720"/>
        <w:rPr>
          <w:rFonts w:ascii="Arial" w:hAnsi="Arial" w:cs="Arial"/>
          <w:sz w:val="24"/>
          <w:szCs w:val="24"/>
        </w:rPr>
      </w:pPr>
    </w:p>
    <w:p w:rsidR="00463D10" w:rsidP="00463D10" w:rsidRDefault="00463D10" w14:paraId="6A0B8E87"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63D10" w:rsidP="00463D10" w:rsidRDefault="00463D10" w14:paraId="6A0B8E88" w14:textId="77777777">
      <w:pPr>
        <w:tabs>
          <w:tab w:val="left" w:pos="480"/>
          <w:tab w:val="right" w:pos="8640"/>
        </w:tabs>
        <w:spacing w:after="0" w:line="240" w:lineRule="auto"/>
        <w:ind w:left="720" w:right="684"/>
        <w:contextualSpacing/>
        <w:rPr>
          <w:rFonts w:ascii="Arial" w:hAnsi="Arial" w:eastAsia="Times New Roman" w:cs="Arial"/>
          <w:color w:val="FF0000"/>
          <w:sz w:val="24"/>
          <w:szCs w:val="24"/>
        </w:rPr>
      </w:pPr>
    </w:p>
    <w:p w:rsidRPr="006041A3" w:rsidR="000513C4" w:rsidP="000513C4" w:rsidRDefault="000513C4" w14:paraId="7C078EDE" w14:textId="77777777">
      <w:pPr>
        <w:pStyle w:val="BodyText"/>
        <w:ind w:firstLine="720"/>
        <w:rPr>
          <w:rFonts w:ascii="Arial" w:hAnsi="Arial" w:cs="Arial"/>
          <w:szCs w:val="24"/>
        </w:rPr>
      </w:pPr>
      <w:r>
        <w:rPr>
          <w:rFonts w:ascii="Arial" w:hAnsi="Arial" w:cs="Arial"/>
          <w:szCs w:val="24"/>
        </w:rPr>
        <w:t>VA does not publish this information or make it available for publication.</w:t>
      </w:r>
    </w:p>
    <w:p w:rsidR="00463D10" w:rsidP="00463D10" w:rsidRDefault="00463D10" w14:paraId="6A0B8E8A" w14:textId="77777777">
      <w:pPr>
        <w:spacing w:after="0" w:line="240" w:lineRule="auto"/>
        <w:ind w:left="720"/>
        <w:contextualSpacing/>
        <w:rPr>
          <w:rFonts w:ascii="Arial" w:hAnsi="Arial" w:eastAsia="Times New Roman" w:cs="Arial"/>
          <w:color w:val="A6A6A6" w:themeColor="background1" w:themeShade="A6"/>
          <w:sz w:val="24"/>
          <w:szCs w:val="24"/>
        </w:rPr>
      </w:pPr>
    </w:p>
    <w:p w:rsidR="00463D10" w:rsidP="00463D10" w:rsidRDefault="00463D10" w14:paraId="6A0B8E8B" w14:textId="77777777">
      <w:pPr>
        <w:numPr>
          <w:ilvl w:val="0"/>
          <w:numId w:val="1"/>
        </w:numPr>
        <w:tabs>
          <w:tab w:val="left" w:pos="480"/>
          <w:tab w:val="right" w:pos="8640"/>
        </w:tabs>
        <w:spacing w:after="0" w:line="240" w:lineRule="auto"/>
        <w:ind w:right="684"/>
        <w:contextualSpacing/>
        <w:rPr>
          <w:rFonts w:ascii="Arial" w:hAnsi="Arial" w:eastAsia="Times New Roman" w:cs="Arial"/>
          <w:b/>
          <w:sz w:val="24"/>
          <w:szCs w:val="24"/>
        </w:rPr>
      </w:pPr>
      <w:r>
        <w:rPr>
          <w:rFonts w:ascii="Arial" w:hAnsi="Arial" w:eastAsia="Times New Roman" w:cs="Arial"/>
          <w:b/>
          <w:sz w:val="24"/>
          <w:szCs w:val="24"/>
        </w:rPr>
        <w:t>If seeking approval to not display the expiration date</w:t>
      </w:r>
      <w:r>
        <w:rPr>
          <w:rFonts w:ascii="Arial" w:hAnsi="Arial" w:eastAsia="Times New Roman" w:cs="Arial"/>
          <w:b/>
          <w:color w:val="0000FF"/>
          <w:sz w:val="24"/>
          <w:szCs w:val="24"/>
        </w:rPr>
        <w:t xml:space="preserve"> </w:t>
      </w:r>
      <w:r>
        <w:rPr>
          <w:rFonts w:ascii="Arial" w:hAnsi="Arial" w:eastAsia="Times New Roman" w:cs="Arial"/>
          <w:b/>
          <w:sz w:val="24"/>
          <w:szCs w:val="24"/>
        </w:rPr>
        <w:t>for OMB approval of the information collection, explain the reasons that display would be inappropriate.</w:t>
      </w:r>
    </w:p>
    <w:p w:rsidR="00463D10" w:rsidP="00463D10" w:rsidRDefault="00463D10" w14:paraId="6A0B8E8C"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00463D10" w:rsidP="00463D10" w:rsidRDefault="00463D10" w14:paraId="6A0B8E8D" w14:textId="77777777">
      <w:pPr>
        <w:tabs>
          <w:tab w:val="left" w:pos="480"/>
          <w:tab w:val="right" w:pos="8640"/>
        </w:tabs>
        <w:spacing w:after="0" w:line="240" w:lineRule="auto"/>
        <w:ind w:left="720" w:right="684"/>
        <w:contextualSpacing/>
        <w:rPr>
          <w:rFonts w:ascii="Arial" w:hAnsi="Arial" w:eastAsia="Times New Roman" w:cs="Arial"/>
          <w:sz w:val="24"/>
          <w:szCs w:val="24"/>
        </w:rPr>
      </w:pPr>
      <w:r>
        <w:rPr>
          <w:rFonts w:ascii="Arial" w:hAnsi="Arial" w:eastAsia="Times New Roman" w:cs="Arial"/>
          <w:sz w:val="24"/>
          <w:szCs w:val="24"/>
        </w:rPr>
        <w:lastRenderedPageBreak/>
        <w:t>We are not seeking approval to omit the expiration date for OMB approval.</w:t>
      </w:r>
    </w:p>
    <w:p w:rsidR="00463D10" w:rsidP="00463D10" w:rsidRDefault="00463D10" w14:paraId="6A0B8E8F" w14:textId="77777777">
      <w:pPr>
        <w:pStyle w:val="ListParagraph"/>
        <w:numPr>
          <w:ilvl w:val="0"/>
          <w:numId w:val="1"/>
        </w:numPr>
        <w:rPr>
          <w:rFonts w:ascii="Arial" w:hAnsi="Arial" w:eastAsia="Times New Roman" w:cs="Arial"/>
          <w:b/>
          <w:sz w:val="24"/>
          <w:szCs w:val="24"/>
        </w:rPr>
      </w:pPr>
      <w:r>
        <w:rPr>
          <w:rFonts w:ascii="Arial" w:hAnsi="Arial" w:eastAsia="Times New Roman" w:cs="Arial"/>
          <w:b/>
          <w:sz w:val="24"/>
          <w:szCs w:val="24"/>
        </w:rPr>
        <w:t>Explain each exception to the certification statement identified in Item 19, “Certification for Paperwork Reduction Act Submissions,” of OMB 83-I.</w:t>
      </w:r>
    </w:p>
    <w:p w:rsidR="00463D10" w:rsidP="00463D10" w:rsidRDefault="00463D10" w14:paraId="6A0B8E90" w14:textId="77777777">
      <w:pPr>
        <w:tabs>
          <w:tab w:val="left" w:pos="480"/>
          <w:tab w:val="right" w:pos="8640"/>
        </w:tabs>
        <w:spacing w:after="0" w:line="240" w:lineRule="auto"/>
        <w:ind w:left="720" w:right="684"/>
        <w:contextualSpacing/>
        <w:rPr>
          <w:rFonts w:ascii="Arial" w:hAnsi="Arial" w:eastAsia="Times New Roman" w:cs="Arial"/>
          <w:sz w:val="24"/>
          <w:szCs w:val="24"/>
        </w:rPr>
      </w:pPr>
    </w:p>
    <w:p w:rsidRPr="006041A3" w:rsidR="000513C4" w:rsidP="000513C4" w:rsidRDefault="000513C4" w14:paraId="26F44C2A" w14:textId="051AAC32">
      <w:pPr>
        <w:pStyle w:val="BodyText"/>
        <w:ind w:firstLine="720"/>
        <w:rPr>
          <w:rFonts w:ascii="Arial" w:hAnsi="Arial" w:cs="Arial"/>
          <w:szCs w:val="24"/>
        </w:rPr>
      </w:pPr>
      <w:r>
        <w:rPr>
          <w:rFonts w:ascii="Arial" w:hAnsi="Arial" w:cs="Arial"/>
          <w:szCs w:val="24"/>
        </w:rPr>
        <w:t>This information collection fully complies with all the requirements of 5 CFR 1</w:t>
      </w:r>
      <w:r>
        <w:rPr>
          <w:rFonts w:ascii="Arial" w:hAnsi="Arial" w:cs="Arial"/>
          <w:szCs w:val="24"/>
        </w:rPr>
        <w:tab/>
        <w:t>320.8(b)(3).</w:t>
      </w:r>
    </w:p>
    <w:p w:rsidR="00463D10" w:rsidP="00463D10" w:rsidRDefault="00463D10" w14:paraId="6A0B8E92" w14:textId="77777777">
      <w:pPr>
        <w:tabs>
          <w:tab w:val="left" w:pos="480"/>
          <w:tab w:val="right" w:pos="8640"/>
        </w:tabs>
        <w:spacing w:after="0" w:line="240" w:lineRule="auto"/>
        <w:ind w:right="684"/>
        <w:rPr>
          <w:rFonts w:ascii="Arial" w:hAnsi="Arial" w:eastAsia="Times New Roman" w:cs="Arial"/>
          <w:bCs/>
          <w:sz w:val="24"/>
          <w:szCs w:val="24"/>
        </w:rPr>
      </w:pPr>
    </w:p>
    <w:p w:rsidR="00463D10" w:rsidP="00463D10" w:rsidRDefault="00463D10" w14:paraId="6A0B8E93" w14:textId="77777777">
      <w:pPr>
        <w:spacing w:after="0" w:line="240" w:lineRule="auto"/>
        <w:ind w:firstLine="360"/>
        <w:rPr>
          <w:rFonts w:ascii="Arial" w:hAnsi="Arial" w:eastAsia="Times New Roman" w:cs="Arial"/>
          <w:b/>
          <w:sz w:val="24"/>
          <w:szCs w:val="24"/>
        </w:rPr>
      </w:pPr>
      <w:r>
        <w:rPr>
          <w:rFonts w:ascii="Arial" w:hAnsi="Arial" w:eastAsia="Times New Roman" w:cs="Arial"/>
          <w:b/>
          <w:sz w:val="24"/>
          <w:szCs w:val="24"/>
        </w:rPr>
        <w:t xml:space="preserve">B.  </w:t>
      </w:r>
      <w:r>
        <w:rPr>
          <w:rFonts w:ascii="Arial" w:hAnsi="Arial" w:eastAsia="Times New Roman" w:cs="Arial"/>
          <w:b/>
          <w:sz w:val="24"/>
          <w:szCs w:val="24"/>
          <w:u w:val="single"/>
        </w:rPr>
        <w:t>Collection of Information Employing  Statistical Methods</w:t>
      </w:r>
    </w:p>
    <w:p w:rsidR="00463D10" w:rsidP="00463D10" w:rsidRDefault="00463D10" w14:paraId="6A0B8E94" w14:textId="77777777">
      <w:pPr>
        <w:spacing w:after="0" w:line="240" w:lineRule="auto"/>
        <w:rPr>
          <w:rFonts w:ascii="Arial" w:hAnsi="Arial" w:eastAsia="Times New Roman" w:cs="Arial"/>
          <w:sz w:val="24"/>
          <w:szCs w:val="24"/>
        </w:rPr>
      </w:pPr>
    </w:p>
    <w:p w:rsidRPr="006041A3" w:rsidR="000513C4" w:rsidP="000513C4" w:rsidRDefault="000513C4" w14:paraId="11FE20AB" w14:textId="77777777">
      <w:pPr>
        <w:pStyle w:val="BodyText"/>
        <w:ind w:left="720"/>
        <w:rPr>
          <w:rFonts w:ascii="Arial" w:hAnsi="Arial" w:cs="Arial"/>
          <w:szCs w:val="24"/>
        </w:rPr>
      </w:pPr>
      <w:r>
        <w:rPr>
          <w:rFonts w:ascii="Arial" w:hAnsi="Arial" w:cs="Arial"/>
          <w:szCs w:val="24"/>
        </w:rPr>
        <w:t>This collection of information by the Veterans Benefits Administration does not employ statistical methods.</w:t>
      </w:r>
    </w:p>
    <w:p w:rsidRPr="006041A3" w:rsidR="000513C4" w:rsidP="000513C4" w:rsidRDefault="000513C4" w14:paraId="5D380AF9" w14:textId="77777777">
      <w:pPr>
        <w:spacing w:line="240" w:lineRule="auto"/>
        <w:rPr>
          <w:rFonts w:ascii="Arial" w:hAnsi="Arial" w:cs="Arial"/>
          <w:sz w:val="24"/>
          <w:szCs w:val="24"/>
        </w:rPr>
      </w:pPr>
    </w:p>
    <w:p w:rsidR="00463D10" w:rsidP="00463D10" w:rsidRDefault="00463D10" w14:paraId="6A0B8E96" w14:textId="77777777">
      <w:pPr>
        <w:spacing w:after="0" w:line="240" w:lineRule="auto"/>
        <w:ind w:firstLine="360"/>
        <w:rPr>
          <w:rFonts w:ascii="Arial" w:hAnsi="Arial" w:eastAsia="Times New Roman" w:cs="Arial"/>
          <w:color w:val="FF0000"/>
          <w:sz w:val="24"/>
          <w:szCs w:val="24"/>
        </w:rPr>
      </w:pPr>
    </w:p>
    <w:p w:rsidR="00463D10" w:rsidP="00463D10" w:rsidRDefault="00463D10" w14:paraId="6A0B8E97" w14:textId="77777777"/>
    <w:p w:rsidR="000F7B91" w:rsidRDefault="008A607E" w14:paraId="6A0B8E98" w14:textId="77777777"/>
    <w:sectPr w:rsidR="000F7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2A0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1A2820A3"/>
    <w:multiLevelType w:val="hybridMultilevel"/>
    <w:tmpl w:val="14602E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B6B87"/>
    <w:multiLevelType w:val="hybridMultilevel"/>
    <w:tmpl w:val="EFB6D0D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2F8D6B4E"/>
    <w:multiLevelType w:val="hybridMultilevel"/>
    <w:tmpl w:val="0F70A6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87549A6"/>
    <w:multiLevelType w:val="hybridMultilevel"/>
    <w:tmpl w:val="45C28184"/>
    <w:lvl w:ilvl="0" w:tplc="04090019">
      <w:start w:val="2"/>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5" w15:restartNumberingAfterBreak="0">
    <w:nsid w:val="61C17C82"/>
    <w:multiLevelType w:val="hybridMultilevel"/>
    <w:tmpl w:val="DB96B454"/>
    <w:lvl w:ilvl="0" w:tplc="F9969C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7D48043A"/>
    <w:multiLevelType w:val="hybridMultilevel"/>
    <w:tmpl w:val="B300BC6C"/>
    <w:lvl w:ilvl="0" w:tplc="B02C1B02">
      <w:start w:val="1"/>
      <w:numFmt w:val="lowerLetter"/>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30167"/>
    <w:rsid w:val="00034DF3"/>
    <w:rsid w:val="000513C4"/>
    <w:rsid w:val="000D09B6"/>
    <w:rsid w:val="00195AC2"/>
    <w:rsid w:val="00206E36"/>
    <w:rsid w:val="00215DC3"/>
    <w:rsid w:val="00255A1C"/>
    <w:rsid w:val="002A716A"/>
    <w:rsid w:val="002F2055"/>
    <w:rsid w:val="004557DA"/>
    <w:rsid w:val="00463D10"/>
    <w:rsid w:val="004814CC"/>
    <w:rsid w:val="004C2042"/>
    <w:rsid w:val="005F7370"/>
    <w:rsid w:val="00646C5F"/>
    <w:rsid w:val="00653F65"/>
    <w:rsid w:val="006C7A43"/>
    <w:rsid w:val="006D11F3"/>
    <w:rsid w:val="00780EB3"/>
    <w:rsid w:val="007977A3"/>
    <w:rsid w:val="007F0162"/>
    <w:rsid w:val="008A2A7A"/>
    <w:rsid w:val="008A607E"/>
    <w:rsid w:val="008F4CE8"/>
    <w:rsid w:val="00A2152D"/>
    <w:rsid w:val="00A55E41"/>
    <w:rsid w:val="00A92A5E"/>
    <w:rsid w:val="00AA212B"/>
    <w:rsid w:val="00AE799C"/>
    <w:rsid w:val="00B572A2"/>
    <w:rsid w:val="00B82092"/>
    <w:rsid w:val="00B90E79"/>
    <w:rsid w:val="00B9372E"/>
    <w:rsid w:val="00BF1095"/>
    <w:rsid w:val="00C01356"/>
    <w:rsid w:val="00C17DA8"/>
    <w:rsid w:val="00C27463"/>
    <w:rsid w:val="00C33BAE"/>
    <w:rsid w:val="00C603E3"/>
    <w:rsid w:val="00CB7E10"/>
    <w:rsid w:val="00D14825"/>
    <w:rsid w:val="00DB6F48"/>
    <w:rsid w:val="00DE3E87"/>
    <w:rsid w:val="00E11ADD"/>
    <w:rsid w:val="00E42ED3"/>
    <w:rsid w:val="00E45518"/>
    <w:rsid w:val="00ED6DBA"/>
    <w:rsid w:val="00F1030C"/>
    <w:rsid w:val="00F43544"/>
    <w:rsid w:val="00F703E2"/>
    <w:rsid w:val="00F9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E1F"/>
  <w15:docId w15:val="{A389213B-43EB-4F13-AC62-A640DD9F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10"/>
  </w:style>
  <w:style w:type="paragraph" w:styleId="Heading2">
    <w:name w:val="heading 2"/>
    <w:basedOn w:val="Normal"/>
    <w:next w:val="Normal"/>
    <w:link w:val="Heading2Char"/>
    <w:unhideWhenUsed/>
    <w:qFormat/>
    <w:rsid w:val="00D1482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line="240" w:lineRule="auto"/>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semiHidden/>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semiHidden/>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character" w:styleId="UnresolvedMention">
    <w:name w:val="Unresolved Mention"/>
    <w:basedOn w:val="DefaultParagraphFont"/>
    <w:uiPriority w:val="99"/>
    <w:semiHidden/>
    <w:unhideWhenUsed/>
    <w:rsid w:val="00034DF3"/>
    <w:rPr>
      <w:color w:val="605E5C"/>
      <w:shd w:val="clear" w:color="auto" w:fill="E1DFDD"/>
    </w:rPr>
  </w:style>
  <w:style w:type="character" w:customStyle="1" w:styleId="Heading2Char">
    <w:name w:val="Heading 2 Char"/>
    <w:basedOn w:val="DefaultParagraphFont"/>
    <w:link w:val="Heading2"/>
    <w:rsid w:val="00D1482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942">
      <w:bodyDiv w:val="1"/>
      <w:marLeft w:val="0"/>
      <w:marRight w:val="0"/>
      <w:marTop w:val="0"/>
      <w:marBottom w:val="0"/>
      <w:divBdr>
        <w:top w:val="none" w:sz="0" w:space="0" w:color="auto"/>
        <w:left w:val="none" w:sz="0" w:space="0" w:color="auto"/>
        <w:bottom w:val="none" w:sz="0" w:space="0" w:color="auto"/>
        <w:right w:val="none" w:sz="0" w:space="0" w:color="auto"/>
      </w:divBdr>
    </w:div>
    <w:div w:id="216666620">
      <w:bodyDiv w:val="1"/>
      <w:marLeft w:val="0"/>
      <w:marRight w:val="0"/>
      <w:marTop w:val="0"/>
      <w:marBottom w:val="0"/>
      <w:divBdr>
        <w:top w:val="none" w:sz="0" w:space="0" w:color="auto"/>
        <w:left w:val="none" w:sz="0" w:space="0" w:color="auto"/>
        <w:bottom w:val="none" w:sz="0" w:space="0" w:color="auto"/>
        <w:right w:val="none" w:sz="0" w:space="0" w:color="auto"/>
      </w:divBdr>
    </w:div>
    <w:div w:id="730074983">
      <w:bodyDiv w:val="1"/>
      <w:marLeft w:val="0"/>
      <w:marRight w:val="0"/>
      <w:marTop w:val="0"/>
      <w:marBottom w:val="0"/>
      <w:divBdr>
        <w:top w:val="none" w:sz="0" w:space="0" w:color="auto"/>
        <w:left w:val="none" w:sz="0" w:space="0" w:color="auto"/>
        <w:bottom w:val="none" w:sz="0" w:space="0" w:color="auto"/>
        <w:right w:val="none" w:sz="0" w:space="0" w:color="auto"/>
      </w:divBdr>
    </w:div>
    <w:div w:id="7534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pdf/2022/RU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gcc02.safelinks.protection.outlook.com/?url=https%3A%2F%2Fwww.bls.gov%2Foes%2Fcurrent%2Foes_nat.htm&amp;data=04%7C01%7C%7Cd46824eeafc7432f7bea08da18bb8110%7Ce95f1b23abaf45ee821db7ab251ab3bf%7C0%7C0%7C637849490835731295%7CUnknown%7CTWFpbGZsb3d8eyJWIjoiMC4wLjAwMDAiLCJQIjoiV2luMzIiLCJBTiI6Ik1haWwiLCJXVCI6Mn0%3D%7C3000&amp;sdata=179jxC04%2BzLtvZTyzpieSoZtbQyZwRb4aBPsl1d1DmU%3D&amp;reserved=0" TargetMode="External"/><Relationship Id="rId5" Type="http://schemas.openxmlformats.org/officeDocument/2006/relationships/customXml" Target="../customXml/item5.xml"/><Relationship Id="rId10" Type="http://schemas.openxmlformats.org/officeDocument/2006/relationships/hyperlink" Target="mailto:federal.approvals@va.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bd292c5024f97ac058701dd4a5e25192">
  <xsd:schema xmlns:xsd="http://www.w3.org/2001/XMLSchema" xmlns:xs="http://www.w3.org/2001/XMLSchema" xmlns:p="http://schemas.microsoft.com/office/2006/metadata/properties" xmlns:ns2="ced1f988-d16c-4eb7-9443-312b8723c36c" targetNamespace="http://schemas.microsoft.com/office/2006/metadata/properties" ma:root="true" ma:fieldsID="b9e8872b0bb522c8451d1b047622989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EDUSHARE-207-1284</_dlc_DocId>
    <_dlc_DocIdUrl xmlns="ced1f988-d16c-4eb7-9443-312b8723c36c">
      <Url>https://vaww.infoshare.va.gov/sites/educationservice/225/225C/_layouts/15/DocIdRedir.aspx?ID=EDUSHARE-207-1284</Url>
      <Description>EDUSHARE-207-1284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7A5B8-5941-4FDE-A164-AB66BDECB859}">
  <ds:schemaRefs>
    <ds:schemaRef ds:uri="http://schemas.microsoft.com/sharepoint/events"/>
  </ds:schemaRefs>
</ds:datastoreItem>
</file>

<file path=customXml/itemProps2.xml><?xml version="1.0" encoding="utf-8"?>
<ds:datastoreItem xmlns:ds="http://schemas.openxmlformats.org/officeDocument/2006/customXml" ds:itemID="{C62D9A60-4EDF-4775-9E7E-205F638AD44F}">
  <ds:schemaRefs>
    <ds:schemaRef ds:uri="http://schemas.openxmlformats.org/officeDocument/2006/bibliography"/>
  </ds:schemaRefs>
</ds:datastoreItem>
</file>

<file path=customXml/itemProps3.xml><?xml version="1.0" encoding="utf-8"?>
<ds:datastoreItem xmlns:ds="http://schemas.openxmlformats.org/officeDocument/2006/customXml" ds:itemID="{ADBC49F4-8B7D-4FEC-92D0-1A30ACD68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ced1f988-d16c-4eb7-9443-312b8723c36c"/>
  </ds:schemaRefs>
</ds:datastoreItem>
</file>

<file path=customXml/itemProps5.xml><?xml version="1.0" encoding="utf-8"?>
<ds:datastoreItem xmlns:ds="http://schemas.openxmlformats.org/officeDocument/2006/customXml" ds:itemID="{6F795959-B9E4-487E-AA2B-13B87BB19D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7</Pages>
  <Words>2071</Words>
  <Characters>11807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subject/>
  <dc:creator>Hopkins, Rodney, VBAVACO</dc:creator>
  <cp:keywords/>
  <dc:description/>
  <cp:lastModifiedBy>Hopkins, Rodney, VBAVACO</cp:lastModifiedBy>
  <cp:revision>8</cp:revision>
  <dcterms:created xsi:type="dcterms:W3CDTF">2022-02-24T21:41:00Z</dcterms:created>
  <dcterms:modified xsi:type="dcterms:W3CDTF">2022-05-04T15:53:00Z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597cdca1-c2ce-4bfb-a905-6851913e9eb5</vt:lpwstr>
  </property>
</Properties>
</file>