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A25D47" w:rsidP="00A25D47" w:rsidRDefault="00A9765D" w14:paraId="7FF98B2A" w14:textId="7ECECDCF">
      <w:pPr>
        <w:ind w:left="360"/>
        <w:rPr>
          <w:sz w:val="24"/>
          <w:szCs w:val="24"/>
        </w:rPr>
      </w:pPr>
      <w:r w:rsidRPr="00A9765D">
        <w:rPr>
          <w:sz w:val="24"/>
          <w:szCs w:val="24"/>
        </w:rPr>
        <w:t>The Department of Veterans Affairs (VA), through its Veterans Benefits Administration (VBA), administers an integrated program of benefits and services, established by law, for veterans, service personnel and their survivors.  38 U.S.C. 108 requires a formal "presumption of death" when a veteran has been missing for seven years.  Entitlement to death benefits cannot be determined in these cases until VA has made a decision of presumption of death.</w:t>
      </w:r>
    </w:p>
    <w:p w:rsidRPr="00A25D47" w:rsidR="00A9765D" w:rsidP="00A25D47" w:rsidRDefault="00A9765D" w14:paraId="39546DF0" w14:textId="77777777">
      <w:pPr>
        <w:ind w:left="360"/>
        <w:rPr>
          <w:sz w:val="24"/>
          <w:szCs w:val="24"/>
          <w:highlight w:val="yellow"/>
        </w:rPr>
      </w:pPr>
    </w:p>
    <w:p w:rsidRPr="00A9765D" w:rsidR="0051524F" w:rsidP="00A9765D" w:rsidRDefault="00A25D47" w14:paraId="05A129E5" w14:textId="643F2F79">
      <w:pPr>
        <w:ind w:left="360" w:right="540"/>
        <w:rPr>
          <w:sz w:val="24"/>
          <w:szCs w:val="24"/>
        </w:rPr>
      </w:pPr>
      <w:r w:rsidRPr="00A9765D">
        <w:rPr>
          <w:sz w:val="24"/>
          <w:szCs w:val="24"/>
        </w:rPr>
        <w:t xml:space="preserve">No changes have been made to this form.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142589" w:rsidR="00E36537" w:rsidP="00651FB2" w:rsidRDefault="00142589" w14:paraId="1A0A5A60" w14:textId="02C34BBA">
      <w:pPr>
        <w:tabs>
          <w:tab w:val="left" w:pos="480"/>
          <w:tab w:val="right" w:pos="8640"/>
        </w:tabs>
        <w:ind w:left="360" w:right="684"/>
        <w:rPr>
          <w:sz w:val="24"/>
          <w:szCs w:val="24"/>
        </w:rPr>
      </w:pPr>
      <w:r w:rsidRPr="00A9765D">
        <w:rPr>
          <w:bCs/>
          <w:sz w:val="24"/>
        </w:rPr>
        <w:t>VA Form 21</w:t>
      </w:r>
      <w:r w:rsidRPr="00A9765D" w:rsidR="00A9765D">
        <w:rPr>
          <w:bCs/>
          <w:sz w:val="24"/>
        </w:rPr>
        <w:t>P-1775</w:t>
      </w:r>
      <w:r w:rsidRPr="00A9765D">
        <w:rPr>
          <w:bCs/>
          <w:sz w:val="24"/>
        </w:rPr>
        <w:t xml:space="preserve"> </w:t>
      </w:r>
      <w:r w:rsidRPr="00A9765D" w:rsidR="00A9765D">
        <w:rPr>
          <w:bCs/>
          <w:sz w:val="24"/>
        </w:rPr>
        <w:t>is used to gather the necessary information to determine if a decision of presumptive death can be made for benefit payment purposes.  It would be impossible to administer the survivor benefits program without this collection of information.</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6211B096">
      <w:pPr>
        <w:tabs>
          <w:tab w:val="left" w:pos="630"/>
        </w:tabs>
        <w:ind w:left="360"/>
        <w:rPr>
          <w:sz w:val="24"/>
          <w:szCs w:val="24"/>
        </w:rPr>
      </w:pPr>
      <w:r w:rsidRPr="00617D2B">
        <w:rPr>
          <w:color w:val="000000"/>
          <w:sz w:val="24"/>
          <w:szCs w:val="24"/>
        </w:rPr>
        <w:t xml:space="preserve">VA </w:t>
      </w:r>
      <w:r w:rsidRPr="00B93279">
        <w:rPr>
          <w:color w:val="000000"/>
          <w:sz w:val="24"/>
          <w:szCs w:val="24"/>
        </w:rPr>
        <w:t>Form 21</w:t>
      </w:r>
      <w:r w:rsidRPr="00B93279" w:rsidR="00A9765D">
        <w:rPr>
          <w:color w:val="000000"/>
          <w:sz w:val="24"/>
          <w:szCs w:val="24"/>
        </w:rPr>
        <w:t>P-1775</w:t>
      </w:r>
      <w:r w:rsidRPr="00B93279">
        <w:rPr>
          <w:color w:val="000000"/>
          <w:sz w:val="24"/>
          <w:szCs w:val="24"/>
        </w:rPr>
        <w:t xml:space="preserve"> is</w:t>
      </w:r>
      <w:r w:rsidRPr="00617D2B">
        <w:rPr>
          <w:color w:val="000000"/>
          <w:sz w:val="24"/>
          <w:szCs w:val="24"/>
        </w:rPr>
        <w:t xml:space="preserve"> available on the </w:t>
      </w:r>
      <w:r w:rsidR="00A9765D">
        <w:rPr>
          <w:color w:val="000000"/>
          <w:sz w:val="24"/>
          <w:szCs w:val="24"/>
        </w:rPr>
        <w:t>va.gov w</w:t>
      </w:r>
      <w:r w:rsidRPr="00617D2B">
        <w:rPr>
          <w:color w:val="000000"/>
          <w:sz w:val="24"/>
          <w:szCs w:val="24"/>
        </w:rPr>
        <w:t xml:space="preserve">ebsite in a fillable electronic format.  </w:t>
      </w:r>
      <w:r w:rsidRPr="00A9765D" w:rsidR="00A9765D">
        <w:rPr>
          <w:color w:val="000000"/>
          <w:sz w:val="24"/>
          <w:szCs w:val="24"/>
        </w:rPr>
        <w:t>VA does not currently have a technology solution in place to allow for the electronic submission of this form, though VA may develop this ability in the future.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P="00A9765D" w:rsidRDefault="00142589" w14:paraId="58DB5468" w14:textId="01E2B0DD">
      <w:pPr>
        <w:tabs>
          <w:tab w:val="left" w:pos="480"/>
          <w:tab w:val="right" w:pos="8640"/>
        </w:tabs>
        <w:ind w:left="360" w:right="684"/>
        <w:rPr>
          <w:bCs/>
          <w:sz w:val="24"/>
        </w:rPr>
      </w:pPr>
      <w:r w:rsidRPr="001D52F4">
        <w:rPr>
          <w:bCs/>
          <w:sz w:val="24"/>
        </w:rPr>
        <w:t>VA Form 21</w:t>
      </w:r>
      <w:r w:rsidR="00A9765D">
        <w:rPr>
          <w:bCs/>
          <w:sz w:val="24"/>
        </w:rPr>
        <w:t>P-1775</w:t>
      </w:r>
      <w:r w:rsidRPr="001D52F4">
        <w:rPr>
          <w:bCs/>
          <w:sz w:val="24"/>
        </w:rPr>
        <w:t xml:space="preserve"> </w:t>
      </w:r>
      <w:r w:rsidRPr="00A9765D" w:rsidR="00A9765D">
        <w:rPr>
          <w:bCs/>
          <w:sz w:val="24"/>
        </w:rPr>
        <w:t>is used to gather the necessary information to determine if a decision of presumptive death can be made for benefit payment purposes. VBA would be unable to properly administer benefits for the surviving dependents of Veterans without this form as there would be no mechanism to determine the presumption of death, a requirement for granting survivor’s benefits.</w:t>
      </w:r>
    </w:p>
    <w:p w:rsidRPr="00495C22" w:rsidR="00A9765D" w:rsidP="00A9765D" w:rsidRDefault="00A9765D" w14:paraId="447BF5DA" w14:textId="77777777">
      <w:pPr>
        <w:tabs>
          <w:tab w:val="left" w:pos="480"/>
          <w:tab w:val="right" w:pos="8640"/>
        </w:tabs>
        <w:ind w:left="360" w:right="684"/>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7DC9E2A8">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8D158E">
        <w:rPr>
          <w:sz w:val="24"/>
          <w:szCs w:val="24"/>
        </w:rPr>
        <w:t xml:space="preserve">May 5, 2022; </w:t>
      </w:r>
      <w:r w:rsidRPr="0095533E">
        <w:rPr>
          <w:sz w:val="24"/>
          <w:szCs w:val="24"/>
        </w:rPr>
        <w:t>Volum</w:t>
      </w:r>
      <w:r w:rsidR="008D158E">
        <w:rPr>
          <w:sz w:val="24"/>
          <w:szCs w:val="24"/>
        </w:rPr>
        <w:t>e 87</w:t>
      </w:r>
      <w:r w:rsidRPr="0095533E">
        <w:rPr>
          <w:sz w:val="24"/>
          <w:szCs w:val="24"/>
        </w:rPr>
        <w:t xml:space="preserve">, No. </w:t>
      </w:r>
      <w:r w:rsidR="008D158E">
        <w:rPr>
          <w:sz w:val="24"/>
          <w:szCs w:val="24"/>
        </w:rPr>
        <w:t xml:space="preserve">87; </w:t>
      </w:r>
      <w:r w:rsidRPr="0095533E">
        <w:rPr>
          <w:sz w:val="24"/>
          <w:szCs w:val="24"/>
        </w:rPr>
        <w:t>page</w:t>
      </w:r>
      <w:r w:rsidR="008D158E">
        <w:rPr>
          <w:sz w:val="24"/>
          <w:szCs w:val="24"/>
        </w:rPr>
        <w:t xml:space="preserve"> 26804</w:t>
      </w:r>
      <w:r w:rsidRPr="0095533E">
        <w:rPr>
          <w:sz w:val="24"/>
          <w:szCs w:val="24"/>
        </w:rPr>
        <w:t xml:space="preserve">.  </w:t>
      </w:r>
      <w:r w:rsidR="008D158E">
        <w:rPr>
          <w:sz w:val="24"/>
          <w:szCs w:val="24"/>
        </w:rPr>
        <w:t xml:space="preserve">No </w:t>
      </w:r>
      <w:r w:rsidRPr="0095533E">
        <w:rPr>
          <w:sz w:val="24"/>
          <w:szCs w:val="24"/>
        </w:rPr>
        <w:t>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7323EDE7">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A9765D">
        <w:rPr>
          <w:sz w:val="24"/>
          <w:szCs w:val="24"/>
        </w:rPr>
        <w:t>10</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3F8F96AC">
      <w:pPr>
        <w:pStyle w:val="ListParagraph"/>
        <w:numPr>
          <w:ilvl w:val="0"/>
          <w:numId w:val="8"/>
        </w:numPr>
        <w:tabs>
          <w:tab w:val="left" w:pos="480"/>
          <w:tab w:val="right" w:pos="8640"/>
        </w:tabs>
        <w:ind w:right="684"/>
        <w:rPr>
          <w:sz w:val="24"/>
          <w:szCs w:val="24"/>
        </w:rPr>
      </w:pPr>
      <w:r w:rsidRPr="00A411DD">
        <w:rPr>
          <w:sz w:val="24"/>
          <w:szCs w:val="24"/>
        </w:rPr>
        <w:t>Frequency of Response is on</w:t>
      </w:r>
      <w:r w:rsidR="00181CD3">
        <w:rPr>
          <w:sz w:val="24"/>
          <w:szCs w:val="24"/>
        </w:rPr>
        <w:t>ce</w:t>
      </w:r>
      <w:r w:rsidRPr="00A411DD">
        <w:rPr>
          <w:sz w:val="24"/>
          <w:szCs w:val="24"/>
        </w:rPr>
        <w:t xml:space="preserv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0F0F5D12">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0B0649">
        <w:rPr>
          <w:sz w:val="24"/>
          <w:szCs w:val="24"/>
        </w:rPr>
        <w:t>28</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05485FC1">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A9765D">
        <w:rPr>
          <w:sz w:val="24"/>
          <w:szCs w:val="24"/>
        </w:rPr>
        <w:t>2 hours, 45 minutes</w:t>
      </w:r>
      <w:r w:rsidR="00181CD3">
        <w:rPr>
          <w:sz w:val="24"/>
          <w:szCs w:val="24"/>
        </w:rPr>
        <w:t xml:space="preserve"> (2.75 hours)</w:t>
      </w:r>
      <w:r w:rsidRPr="00A411DD">
        <w:rPr>
          <w:sz w:val="24"/>
          <w:szCs w:val="24"/>
        </w:rPr>
        <w:t>.</w:t>
      </w:r>
    </w:p>
    <w:p w:rsidRPr="00A411DD" w:rsidR="00312610" w:rsidP="00312610" w:rsidRDefault="00312610" w14:paraId="4992F149" w14:textId="77777777">
      <w:pPr>
        <w:pStyle w:val="ListParagraph"/>
        <w:rPr>
          <w:sz w:val="24"/>
          <w:szCs w:val="24"/>
        </w:rPr>
      </w:pPr>
    </w:p>
    <w:p w:rsidRPr="00782C13" w:rsidR="00782C13" w:rsidP="00782C13" w:rsidRDefault="00782C13" w14:paraId="3C294A41" w14:textId="11547141">
      <w:pPr>
        <w:pStyle w:val="ListParagraph"/>
        <w:numPr>
          <w:ilvl w:val="0"/>
          <w:numId w:val="8"/>
        </w:numPr>
        <w:tabs>
          <w:tab w:val="left" w:pos="480"/>
          <w:tab w:val="right" w:pos="720"/>
        </w:tabs>
        <w:ind w:right="684"/>
        <w:rPr>
          <w:sz w:val="24"/>
        </w:rPr>
      </w:pPr>
      <w:r w:rsidRPr="00181CD3">
        <w:rPr>
          <w:sz w:val="24"/>
          <w:szCs w:val="24"/>
        </w:rPr>
        <w:t xml:space="preserve">The respondent population for </w:t>
      </w:r>
      <w:r w:rsidRPr="00181CD3">
        <w:rPr>
          <w:color w:val="000000"/>
          <w:sz w:val="24"/>
          <w:szCs w:val="24"/>
        </w:rPr>
        <w:t>VA Form 2</w:t>
      </w:r>
      <w:r w:rsidRPr="00181CD3" w:rsidR="00181CD3">
        <w:rPr>
          <w:color w:val="000000"/>
          <w:sz w:val="24"/>
          <w:szCs w:val="24"/>
        </w:rPr>
        <w:t>1P-1775</w:t>
      </w:r>
      <w:r w:rsidRPr="00181CD3">
        <w:rPr>
          <w:sz w:val="24"/>
          <w:szCs w:val="24"/>
        </w:rPr>
        <w:t xml:space="preserve"> is composed of </w:t>
      </w:r>
      <w:r w:rsidRPr="00181CD3" w:rsidR="00181CD3">
        <w:rPr>
          <w:sz w:val="24"/>
          <w:szCs w:val="24"/>
        </w:rPr>
        <w:t>surviving dependents of deceased Veterans</w:t>
      </w:r>
      <w:r w:rsidRPr="00181CD3" w:rsidR="007D14AB">
        <w:rPr>
          <w:bCs/>
          <w:sz w:val="24"/>
        </w:rPr>
        <w:t>.</w:t>
      </w:r>
      <w:r w:rsidRPr="00A411DD">
        <w:rPr>
          <w:sz w:val="24"/>
          <w:szCs w:val="24"/>
        </w:rPr>
        <w:t xml:space="preserve">  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217CDC" w:rsidP="00217CDC" w:rsidRDefault="00217CDC" w14:paraId="331CC726" w14:textId="77777777">
      <w:pPr>
        <w:tabs>
          <w:tab w:val="left" w:pos="720"/>
        </w:tabs>
        <w:ind w:left="720" w:right="684"/>
        <w:contextualSpacing/>
        <w:rPr>
          <w:sz w:val="24"/>
          <w:szCs w:val="24"/>
        </w:rPr>
      </w:pPr>
      <w:r>
        <w:rPr>
          <w:sz w:val="24"/>
          <w:szCs w:val="24"/>
        </w:rPr>
        <w:t xml:space="preserve">The Bureau of Labor Statistics (BLS) gathers information on full-time wage and salary workers.  According to the latest available BLS data, </w:t>
      </w:r>
      <w:r w:rsidRPr="00181CD3">
        <w:rPr>
          <w:sz w:val="24"/>
          <w:szCs w:val="24"/>
        </w:rPr>
        <w:t>the mean hourly wage is $28.01 based on the BLS wage code – “00-0000 All Occupations.”  This information was taken from the following website:</w:t>
      </w:r>
      <w:r>
        <w:rPr>
          <w:sz w:val="24"/>
          <w:szCs w:val="24"/>
        </w:rPr>
        <w:t xml:space="preserve"> </w:t>
      </w:r>
      <w:hyperlink w:history="1" r:id="rId11">
        <w:r>
          <w:rPr>
            <w:rStyle w:val="Hyperlink"/>
            <w:sz w:val="24"/>
            <w:szCs w:val="24"/>
          </w:rPr>
          <w:t>https://www.bls.gov/oes/current/oes_nat.htm</w:t>
        </w:r>
      </w:hyperlink>
      <w:r>
        <w:rPr>
          <w:sz w:val="24"/>
          <w:szCs w:val="24"/>
        </w:rPr>
        <w:t>.   </w:t>
      </w:r>
    </w:p>
    <w:p w:rsidR="00217CDC" w:rsidP="00217CDC" w:rsidRDefault="00217CDC" w14:paraId="7210DA03" w14:textId="77777777">
      <w:pPr>
        <w:tabs>
          <w:tab w:val="left" w:pos="720"/>
        </w:tabs>
        <w:ind w:left="720" w:right="684"/>
        <w:contextualSpacing/>
        <w:rPr>
          <w:sz w:val="24"/>
          <w:szCs w:val="24"/>
        </w:rPr>
      </w:pPr>
    </w:p>
    <w:p w:rsidRPr="00217CDC" w:rsidR="001E2E15" w:rsidP="00217CDC" w:rsidRDefault="00217CDC" w14:paraId="39FE56FC" w14:textId="3C164F3D">
      <w:pPr>
        <w:tabs>
          <w:tab w:val="left" w:pos="720"/>
        </w:tabs>
        <w:ind w:left="720" w:right="684"/>
        <w:contextualSpacing/>
        <w:rPr>
          <w:sz w:val="24"/>
          <w:szCs w:val="24"/>
        </w:rPr>
      </w:pPr>
      <w:r w:rsidRPr="00181CD3">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261496">
        <w:rPr>
          <w:sz w:val="24"/>
          <w:szCs w:val="24"/>
        </w:rPr>
        <w:t>784</w:t>
      </w:r>
      <w:r w:rsidRPr="00181CD3">
        <w:rPr>
          <w:sz w:val="24"/>
          <w:szCs w:val="24"/>
        </w:rPr>
        <w:t xml:space="preserve"> (</w:t>
      </w:r>
      <w:r w:rsidR="00261496">
        <w:rPr>
          <w:sz w:val="24"/>
          <w:szCs w:val="24"/>
        </w:rPr>
        <w:t>28</w:t>
      </w:r>
      <w:r w:rsidRPr="00181CD3">
        <w:rPr>
          <w:sz w:val="24"/>
          <w:szCs w:val="24"/>
        </w:rPr>
        <w:t xml:space="preserve"> burden hours x $28.01 per hour).</w:t>
      </w:r>
      <w:r>
        <w:rPr>
          <w:sz w:val="24"/>
          <w:szCs w:val="24"/>
        </w:rPr>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0"/>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0"/>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B93279">
        <w:rPr>
          <w:sz w:val="24"/>
        </w:rPr>
        <w:t>Estimated Costs to the Federal Government:</w:t>
      </w:r>
    </w:p>
    <w:p w:rsidR="00E3211D" w:rsidP="00F54C17" w:rsidRDefault="00E3211D" w14:paraId="5E5ED5E9" w14:textId="77777777">
      <w:pPr>
        <w:tabs>
          <w:tab w:val="left" w:pos="480"/>
          <w:tab w:val="right" w:pos="8640"/>
        </w:tabs>
        <w:ind w:left="360" w:right="684"/>
        <w:rPr>
          <w:sz w:val="24"/>
        </w:rPr>
      </w:pPr>
    </w:p>
    <w:tbl>
      <w:tblPr>
        <w:tblW w:w="7770" w:type="dxa"/>
        <w:tblInd w:w="785" w:type="dxa"/>
        <w:tblLook w:val="04A0" w:firstRow="1" w:lastRow="0" w:firstColumn="1" w:lastColumn="0" w:noHBand="0" w:noVBand="1"/>
      </w:tblPr>
      <w:tblGrid>
        <w:gridCol w:w="706"/>
        <w:gridCol w:w="557"/>
        <w:gridCol w:w="797"/>
        <w:gridCol w:w="1103"/>
        <w:gridCol w:w="821"/>
        <w:gridCol w:w="940"/>
        <w:gridCol w:w="1035"/>
        <w:gridCol w:w="1811"/>
      </w:tblGrid>
      <w:tr w:rsidRPr="00B93279" w:rsidR="00B93279" w:rsidTr="00B93279" w14:paraId="2D6BFA7D"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93279" w:rsidR="00B93279" w:rsidP="00B93279" w:rsidRDefault="00B93279" w14:paraId="2DFE14C1" w14:textId="77777777">
            <w:pPr>
              <w:jc w:val="center"/>
              <w:rPr>
                <w:b/>
                <w:bCs/>
                <w:color w:val="000000"/>
                <w:sz w:val="18"/>
                <w:szCs w:val="18"/>
              </w:rPr>
            </w:pPr>
            <w:r w:rsidRPr="00B93279">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076EF0A1" w14:textId="77777777">
            <w:pPr>
              <w:jc w:val="center"/>
              <w:rPr>
                <w:b/>
                <w:bCs/>
                <w:color w:val="000000"/>
                <w:sz w:val="18"/>
                <w:szCs w:val="18"/>
              </w:rPr>
            </w:pPr>
            <w:r w:rsidRPr="00B93279">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46121306" w14:textId="77777777">
            <w:pPr>
              <w:jc w:val="center"/>
              <w:rPr>
                <w:b/>
                <w:bCs/>
                <w:color w:val="000000"/>
                <w:sz w:val="18"/>
                <w:szCs w:val="18"/>
              </w:rPr>
            </w:pPr>
            <w:r w:rsidRPr="00B93279">
              <w:rPr>
                <w:b/>
                <w:bCs/>
                <w:color w:val="000000"/>
                <w:sz w:val="18"/>
                <w:szCs w:val="18"/>
              </w:rPr>
              <w:t>Burden Time</w:t>
            </w:r>
          </w:p>
        </w:tc>
        <w:tc>
          <w:tcPr>
            <w:tcW w:w="1103"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3E70B269" w14:textId="77777777">
            <w:pPr>
              <w:jc w:val="center"/>
              <w:rPr>
                <w:b/>
                <w:bCs/>
                <w:color w:val="000000"/>
                <w:sz w:val="18"/>
                <w:szCs w:val="18"/>
              </w:rPr>
            </w:pPr>
            <w:r w:rsidRPr="00B93279">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047928D6" w14:textId="77777777">
            <w:pPr>
              <w:jc w:val="center"/>
              <w:rPr>
                <w:b/>
                <w:bCs/>
                <w:color w:val="000000"/>
                <w:sz w:val="18"/>
                <w:szCs w:val="18"/>
              </w:rPr>
            </w:pPr>
            <w:r w:rsidRPr="00B93279">
              <w:rPr>
                <w:b/>
                <w:bCs/>
                <w:color w:val="000000"/>
                <w:sz w:val="18"/>
                <w:szCs w:val="18"/>
              </w:rPr>
              <w:t>Hourly Rate</w:t>
            </w:r>
          </w:p>
        </w:tc>
        <w:tc>
          <w:tcPr>
            <w:tcW w:w="940"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3720402E" w14:textId="77777777">
            <w:pPr>
              <w:jc w:val="center"/>
              <w:rPr>
                <w:b/>
                <w:bCs/>
                <w:color w:val="000000"/>
                <w:sz w:val="18"/>
                <w:szCs w:val="18"/>
              </w:rPr>
            </w:pPr>
            <w:r w:rsidRPr="00B93279">
              <w:rPr>
                <w:b/>
                <w:bCs/>
                <w:color w:val="000000"/>
                <w:sz w:val="18"/>
                <w:szCs w:val="18"/>
              </w:rPr>
              <w:t>Cost Per Response</w:t>
            </w:r>
          </w:p>
        </w:tc>
        <w:tc>
          <w:tcPr>
            <w:tcW w:w="1035"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6B4B0584" w14:textId="77777777">
            <w:pPr>
              <w:jc w:val="center"/>
              <w:rPr>
                <w:b/>
                <w:bCs/>
                <w:color w:val="000000"/>
                <w:sz w:val="18"/>
                <w:szCs w:val="18"/>
              </w:rPr>
            </w:pPr>
            <w:r w:rsidRPr="00B93279">
              <w:rPr>
                <w:b/>
                <w:bCs/>
                <w:color w:val="000000"/>
                <w:sz w:val="18"/>
                <w:szCs w:val="18"/>
              </w:rPr>
              <w:t>Total Responses</w:t>
            </w:r>
          </w:p>
        </w:tc>
        <w:tc>
          <w:tcPr>
            <w:tcW w:w="1811" w:type="dxa"/>
            <w:tcBorders>
              <w:top w:val="single" w:color="auto" w:sz="8" w:space="0"/>
              <w:left w:val="nil"/>
              <w:bottom w:val="single" w:color="auto" w:sz="8" w:space="0"/>
              <w:right w:val="single" w:color="auto" w:sz="8" w:space="0"/>
            </w:tcBorders>
            <w:shd w:val="clear" w:color="auto" w:fill="auto"/>
            <w:vAlign w:val="center"/>
            <w:hideMark/>
          </w:tcPr>
          <w:p w:rsidRPr="00B93279" w:rsidR="00B93279" w:rsidP="00B93279" w:rsidRDefault="00B93279" w14:paraId="381F8CDE" w14:textId="77777777">
            <w:pPr>
              <w:jc w:val="center"/>
              <w:rPr>
                <w:b/>
                <w:bCs/>
                <w:color w:val="000000"/>
                <w:sz w:val="18"/>
                <w:szCs w:val="18"/>
              </w:rPr>
            </w:pPr>
            <w:r w:rsidRPr="00B93279">
              <w:rPr>
                <w:b/>
                <w:bCs/>
                <w:color w:val="000000"/>
                <w:sz w:val="18"/>
                <w:szCs w:val="18"/>
              </w:rPr>
              <w:t>Total</w:t>
            </w:r>
          </w:p>
        </w:tc>
      </w:tr>
      <w:tr w:rsidRPr="00B93279" w:rsidR="00B93279" w:rsidTr="00B93279" w14:paraId="75497C1D"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B93279" w:rsidR="00B93279" w:rsidP="00B93279" w:rsidRDefault="00B93279" w14:paraId="22755F16" w14:textId="77777777">
            <w:pPr>
              <w:jc w:val="center"/>
              <w:rPr>
                <w:color w:val="000000"/>
                <w:sz w:val="22"/>
                <w:szCs w:val="22"/>
              </w:rPr>
            </w:pPr>
            <w:r w:rsidRPr="00B93279">
              <w:rPr>
                <w:color w:val="000000"/>
                <w:sz w:val="22"/>
                <w:szCs w:val="22"/>
              </w:rPr>
              <w:t>5</w:t>
            </w:r>
          </w:p>
        </w:tc>
        <w:tc>
          <w:tcPr>
            <w:tcW w:w="557"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0BCD8206" w14:textId="77777777">
            <w:pPr>
              <w:jc w:val="center"/>
              <w:rPr>
                <w:color w:val="000000"/>
                <w:sz w:val="22"/>
                <w:szCs w:val="22"/>
              </w:rPr>
            </w:pPr>
            <w:r w:rsidRPr="00B93279">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6601C80A" w14:textId="77777777">
            <w:pPr>
              <w:jc w:val="center"/>
              <w:rPr>
                <w:color w:val="000000"/>
                <w:sz w:val="22"/>
                <w:szCs w:val="22"/>
              </w:rPr>
            </w:pPr>
            <w:r w:rsidRPr="00B93279">
              <w:rPr>
                <w:color w:val="000000"/>
                <w:sz w:val="22"/>
                <w:szCs w:val="22"/>
              </w:rPr>
              <w:t>5</w:t>
            </w:r>
          </w:p>
        </w:tc>
        <w:tc>
          <w:tcPr>
            <w:tcW w:w="1103"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6D6419BF" w14:textId="77777777">
            <w:pPr>
              <w:jc w:val="center"/>
              <w:rPr>
                <w:color w:val="000000"/>
                <w:sz w:val="22"/>
                <w:szCs w:val="22"/>
              </w:rPr>
            </w:pPr>
            <w:r w:rsidRPr="00B93279">
              <w:rPr>
                <w:color w:val="000000"/>
                <w:sz w:val="22"/>
                <w:szCs w:val="22"/>
              </w:rPr>
              <w:t>0.08</w:t>
            </w:r>
          </w:p>
        </w:tc>
        <w:tc>
          <w:tcPr>
            <w:tcW w:w="821"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343CA6BA" w14:textId="77777777">
            <w:pPr>
              <w:jc w:val="center"/>
              <w:rPr>
                <w:color w:val="000000"/>
                <w:sz w:val="22"/>
                <w:szCs w:val="22"/>
              </w:rPr>
            </w:pPr>
            <w:r w:rsidRPr="00B93279">
              <w:rPr>
                <w:color w:val="000000"/>
                <w:sz w:val="22"/>
                <w:szCs w:val="22"/>
              </w:rPr>
              <w:t xml:space="preserve"> $15.89 </w:t>
            </w:r>
          </w:p>
        </w:tc>
        <w:tc>
          <w:tcPr>
            <w:tcW w:w="940"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15D50E9B" w14:textId="77777777">
            <w:pPr>
              <w:jc w:val="center"/>
              <w:rPr>
                <w:color w:val="000000"/>
                <w:sz w:val="22"/>
                <w:szCs w:val="22"/>
              </w:rPr>
            </w:pPr>
            <w:r w:rsidRPr="00B93279">
              <w:rPr>
                <w:color w:val="000000"/>
                <w:sz w:val="22"/>
                <w:szCs w:val="22"/>
              </w:rPr>
              <w:t>1.324</w:t>
            </w:r>
          </w:p>
        </w:tc>
        <w:tc>
          <w:tcPr>
            <w:tcW w:w="1035"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299E0C67" w14:textId="77777777">
            <w:pPr>
              <w:jc w:val="center"/>
              <w:rPr>
                <w:color w:val="000000"/>
                <w:sz w:val="22"/>
                <w:szCs w:val="22"/>
              </w:rPr>
            </w:pPr>
            <w:r w:rsidRPr="00B93279">
              <w:rPr>
                <w:color w:val="000000"/>
                <w:sz w:val="22"/>
                <w:szCs w:val="22"/>
              </w:rPr>
              <w:t xml:space="preserve">           10 </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2F4E98D2" w14:textId="77777777">
            <w:pPr>
              <w:jc w:val="center"/>
              <w:rPr>
                <w:color w:val="000000"/>
                <w:sz w:val="22"/>
                <w:szCs w:val="22"/>
              </w:rPr>
            </w:pPr>
            <w:r w:rsidRPr="00B93279">
              <w:rPr>
                <w:color w:val="000000"/>
                <w:sz w:val="22"/>
                <w:szCs w:val="22"/>
              </w:rPr>
              <w:t xml:space="preserve"> $              13.24 </w:t>
            </w:r>
          </w:p>
        </w:tc>
      </w:tr>
      <w:tr w:rsidRPr="00B93279" w:rsidR="00B93279" w:rsidTr="00B93279" w14:paraId="10FE0034" w14:textId="77777777">
        <w:trPr>
          <w:trHeight w:val="289"/>
        </w:trPr>
        <w:tc>
          <w:tcPr>
            <w:tcW w:w="595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93279" w:rsidR="00B93279" w:rsidP="00B93279" w:rsidRDefault="00B93279" w14:paraId="1F2B5DD9" w14:textId="77777777">
            <w:pPr>
              <w:rPr>
                <w:color w:val="000000"/>
                <w:sz w:val="22"/>
                <w:szCs w:val="22"/>
              </w:rPr>
            </w:pPr>
            <w:r w:rsidRPr="00B93279">
              <w:rPr>
                <w:color w:val="000000"/>
                <w:sz w:val="22"/>
                <w:szCs w:val="22"/>
              </w:rPr>
              <w:t>Overhead at 100% Salary</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5DBC044E" w14:textId="77777777">
            <w:pPr>
              <w:jc w:val="center"/>
              <w:rPr>
                <w:color w:val="000000"/>
                <w:sz w:val="22"/>
                <w:szCs w:val="22"/>
              </w:rPr>
            </w:pPr>
            <w:r w:rsidRPr="00B93279">
              <w:rPr>
                <w:color w:val="000000"/>
                <w:sz w:val="22"/>
                <w:szCs w:val="22"/>
              </w:rPr>
              <w:t xml:space="preserve"> $              13.24 </w:t>
            </w:r>
          </w:p>
        </w:tc>
      </w:tr>
      <w:tr w:rsidRPr="00B93279" w:rsidR="00B93279" w:rsidTr="00B93279" w14:paraId="157E7395"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B93279" w:rsidR="00B93279" w:rsidP="00B93279" w:rsidRDefault="00B93279" w14:paraId="7B5A7286" w14:textId="77777777">
            <w:pPr>
              <w:jc w:val="center"/>
              <w:rPr>
                <w:color w:val="000000"/>
                <w:sz w:val="22"/>
                <w:szCs w:val="22"/>
              </w:rPr>
            </w:pPr>
            <w:r w:rsidRPr="00B93279">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57E88241" w14:textId="77777777">
            <w:pPr>
              <w:jc w:val="center"/>
              <w:rPr>
                <w:color w:val="000000"/>
                <w:sz w:val="22"/>
                <w:szCs w:val="22"/>
              </w:rPr>
            </w:pPr>
            <w:r w:rsidRPr="00B93279">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0DD9CFF5" w14:textId="77777777">
            <w:pPr>
              <w:jc w:val="center"/>
              <w:rPr>
                <w:color w:val="000000"/>
                <w:sz w:val="22"/>
                <w:szCs w:val="22"/>
              </w:rPr>
            </w:pPr>
            <w:r w:rsidRPr="00B93279">
              <w:rPr>
                <w:color w:val="000000"/>
                <w:sz w:val="22"/>
                <w:szCs w:val="22"/>
              </w:rPr>
              <w:t>45</w:t>
            </w:r>
          </w:p>
        </w:tc>
        <w:tc>
          <w:tcPr>
            <w:tcW w:w="1103"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780BA365" w14:textId="77777777">
            <w:pPr>
              <w:jc w:val="center"/>
              <w:rPr>
                <w:color w:val="000000"/>
                <w:sz w:val="22"/>
                <w:szCs w:val="22"/>
              </w:rPr>
            </w:pPr>
            <w:r w:rsidRPr="00B93279">
              <w:rPr>
                <w:color w:val="000000"/>
                <w:sz w:val="22"/>
                <w:szCs w:val="22"/>
              </w:rPr>
              <w:t>0.75</w:t>
            </w:r>
          </w:p>
        </w:tc>
        <w:tc>
          <w:tcPr>
            <w:tcW w:w="821"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71885F23" w14:textId="77777777">
            <w:pPr>
              <w:jc w:val="center"/>
              <w:rPr>
                <w:color w:val="000000"/>
                <w:sz w:val="22"/>
                <w:szCs w:val="22"/>
              </w:rPr>
            </w:pPr>
            <w:r w:rsidRPr="00B93279">
              <w:rPr>
                <w:color w:val="000000"/>
                <w:sz w:val="22"/>
                <w:szCs w:val="22"/>
              </w:rPr>
              <w:t xml:space="preserve"> $24.07 </w:t>
            </w:r>
          </w:p>
        </w:tc>
        <w:tc>
          <w:tcPr>
            <w:tcW w:w="940"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17B6AEE3" w14:textId="77777777">
            <w:pPr>
              <w:jc w:val="center"/>
              <w:rPr>
                <w:color w:val="000000"/>
                <w:sz w:val="22"/>
                <w:szCs w:val="22"/>
              </w:rPr>
            </w:pPr>
            <w:r w:rsidRPr="00B93279">
              <w:rPr>
                <w:color w:val="000000"/>
                <w:sz w:val="22"/>
                <w:szCs w:val="22"/>
              </w:rPr>
              <w:t>18.053</w:t>
            </w:r>
          </w:p>
        </w:tc>
        <w:tc>
          <w:tcPr>
            <w:tcW w:w="1035"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566006F7" w14:textId="77777777">
            <w:pPr>
              <w:jc w:val="center"/>
              <w:rPr>
                <w:color w:val="000000"/>
                <w:sz w:val="22"/>
                <w:szCs w:val="22"/>
              </w:rPr>
            </w:pPr>
            <w:r w:rsidRPr="00B93279">
              <w:rPr>
                <w:color w:val="000000"/>
                <w:sz w:val="22"/>
                <w:szCs w:val="22"/>
              </w:rPr>
              <w:t xml:space="preserve">           10 </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3CF81D07" w14:textId="77777777">
            <w:pPr>
              <w:jc w:val="center"/>
              <w:rPr>
                <w:color w:val="000000"/>
                <w:sz w:val="22"/>
                <w:szCs w:val="22"/>
              </w:rPr>
            </w:pPr>
            <w:r w:rsidRPr="00B93279">
              <w:rPr>
                <w:color w:val="000000"/>
                <w:sz w:val="22"/>
                <w:szCs w:val="22"/>
              </w:rPr>
              <w:t xml:space="preserve"> $            180.53 </w:t>
            </w:r>
          </w:p>
        </w:tc>
      </w:tr>
      <w:tr w:rsidRPr="00B93279" w:rsidR="00B93279" w:rsidTr="00B93279" w14:paraId="272183DF" w14:textId="77777777">
        <w:trPr>
          <w:trHeight w:val="289"/>
        </w:trPr>
        <w:tc>
          <w:tcPr>
            <w:tcW w:w="595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93279" w:rsidR="00B93279" w:rsidP="00B93279" w:rsidRDefault="00B93279" w14:paraId="2F24CD08" w14:textId="77777777">
            <w:pPr>
              <w:rPr>
                <w:color w:val="000000"/>
                <w:sz w:val="22"/>
                <w:szCs w:val="22"/>
              </w:rPr>
            </w:pPr>
            <w:r w:rsidRPr="00B93279">
              <w:rPr>
                <w:color w:val="000000"/>
                <w:sz w:val="22"/>
                <w:szCs w:val="22"/>
              </w:rPr>
              <w:t>Overhead at 100% Salary</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31DA84B3" w14:textId="77777777">
            <w:pPr>
              <w:jc w:val="center"/>
              <w:rPr>
                <w:color w:val="000000"/>
                <w:sz w:val="22"/>
                <w:szCs w:val="22"/>
              </w:rPr>
            </w:pPr>
            <w:r w:rsidRPr="00B93279">
              <w:rPr>
                <w:color w:val="000000"/>
                <w:sz w:val="22"/>
                <w:szCs w:val="22"/>
              </w:rPr>
              <w:t xml:space="preserve"> $            180.53 </w:t>
            </w:r>
          </w:p>
        </w:tc>
      </w:tr>
      <w:tr w:rsidRPr="00B93279" w:rsidR="00B93279" w:rsidTr="00B93279" w14:paraId="0D1DE55F"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B93279" w:rsidR="00B93279" w:rsidP="00B93279" w:rsidRDefault="00B93279" w14:paraId="4BCCC85E" w14:textId="77777777">
            <w:pPr>
              <w:jc w:val="center"/>
              <w:rPr>
                <w:color w:val="000000"/>
                <w:sz w:val="22"/>
                <w:szCs w:val="22"/>
              </w:rPr>
            </w:pPr>
            <w:r w:rsidRPr="00B93279">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0A2FAD7F" w14:textId="77777777">
            <w:pPr>
              <w:jc w:val="center"/>
              <w:rPr>
                <w:color w:val="000000"/>
                <w:sz w:val="22"/>
                <w:szCs w:val="22"/>
              </w:rPr>
            </w:pPr>
            <w:r w:rsidRPr="00B93279">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621F9177" w14:textId="77777777">
            <w:pPr>
              <w:jc w:val="center"/>
              <w:rPr>
                <w:color w:val="000000"/>
                <w:sz w:val="22"/>
                <w:szCs w:val="22"/>
              </w:rPr>
            </w:pPr>
            <w:r w:rsidRPr="00B93279">
              <w:rPr>
                <w:color w:val="000000"/>
                <w:sz w:val="22"/>
                <w:szCs w:val="22"/>
              </w:rPr>
              <w:t>15</w:t>
            </w:r>
          </w:p>
        </w:tc>
        <w:tc>
          <w:tcPr>
            <w:tcW w:w="1103"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701C6223" w14:textId="77777777">
            <w:pPr>
              <w:jc w:val="center"/>
              <w:rPr>
                <w:color w:val="000000"/>
                <w:sz w:val="22"/>
                <w:szCs w:val="22"/>
              </w:rPr>
            </w:pPr>
            <w:r w:rsidRPr="00B93279">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0BEDC5BD" w14:textId="77777777">
            <w:pPr>
              <w:jc w:val="center"/>
              <w:rPr>
                <w:color w:val="000000"/>
                <w:sz w:val="22"/>
                <w:szCs w:val="22"/>
              </w:rPr>
            </w:pPr>
            <w:r w:rsidRPr="00B93279">
              <w:rPr>
                <w:color w:val="000000"/>
                <w:sz w:val="22"/>
                <w:szCs w:val="22"/>
              </w:rPr>
              <w:t xml:space="preserve"> $29.12 </w:t>
            </w:r>
          </w:p>
        </w:tc>
        <w:tc>
          <w:tcPr>
            <w:tcW w:w="940"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3BC7A23A" w14:textId="77777777">
            <w:pPr>
              <w:jc w:val="center"/>
              <w:rPr>
                <w:color w:val="000000"/>
                <w:sz w:val="22"/>
                <w:szCs w:val="22"/>
              </w:rPr>
            </w:pPr>
            <w:r w:rsidRPr="00B93279">
              <w:rPr>
                <w:color w:val="000000"/>
                <w:sz w:val="22"/>
                <w:szCs w:val="22"/>
              </w:rPr>
              <w:t>7.280</w:t>
            </w:r>
          </w:p>
        </w:tc>
        <w:tc>
          <w:tcPr>
            <w:tcW w:w="1035" w:type="dxa"/>
            <w:tcBorders>
              <w:top w:val="nil"/>
              <w:left w:val="nil"/>
              <w:bottom w:val="single" w:color="auto" w:sz="4" w:space="0"/>
              <w:right w:val="single" w:color="auto" w:sz="4" w:space="0"/>
            </w:tcBorders>
            <w:shd w:val="clear" w:color="auto" w:fill="auto"/>
            <w:vAlign w:val="bottom"/>
            <w:hideMark/>
          </w:tcPr>
          <w:p w:rsidRPr="00B93279" w:rsidR="00B93279" w:rsidP="00B93279" w:rsidRDefault="00B93279" w14:paraId="74A7583E" w14:textId="77777777">
            <w:pPr>
              <w:jc w:val="center"/>
              <w:rPr>
                <w:color w:val="000000"/>
                <w:sz w:val="22"/>
                <w:szCs w:val="22"/>
              </w:rPr>
            </w:pPr>
            <w:r w:rsidRPr="00B93279">
              <w:rPr>
                <w:color w:val="000000"/>
                <w:sz w:val="22"/>
                <w:szCs w:val="22"/>
              </w:rPr>
              <w:t xml:space="preserve">           10 </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52F1462C" w14:textId="77777777">
            <w:pPr>
              <w:jc w:val="center"/>
              <w:rPr>
                <w:color w:val="000000"/>
                <w:sz w:val="22"/>
                <w:szCs w:val="22"/>
              </w:rPr>
            </w:pPr>
            <w:r w:rsidRPr="00B93279">
              <w:rPr>
                <w:color w:val="000000"/>
                <w:sz w:val="22"/>
                <w:szCs w:val="22"/>
              </w:rPr>
              <w:t xml:space="preserve"> $              72.80 </w:t>
            </w:r>
          </w:p>
        </w:tc>
      </w:tr>
      <w:tr w:rsidRPr="00B93279" w:rsidR="00B93279" w:rsidTr="00B93279" w14:paraId="4197A1BA" w14:textId="77777777">
        <w:trPr>
          <w:trHeight w:val="289"/>
        </w:trPr>
        <w:tc>
          <w:tcPr>
            <w:tcW w:w="595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93279" w:rsidR="00B93279" w:rsidP="00B93279" w:rsidRDefault="00B93279" w14:paraId="4EF529C1" w14:textId="77777777">
            <w:pPr>
              <w:rPr>
                <w:color w:val="000000"/>
                <w:sz w:val="22"/>
                <w:szCs w:val="22"/>
              </w:rPr>
            </w:pPr>
            <w:r w:rsidRPr="00B93279">
              <w:rPr>
                <w:color w:val="000000"/>
                <w:sz w:val="22"/>
                <w:szCs w:val="22"/>
              </w:rPr>
              <w:t>Overhead at 100% Salary</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2E4FAC74" w14:textId="77777777">
            <w:pPr>
              <w:jc w:val="center"/>
              <w:rPr>
                <w:color w:val="000000"/>
                <w:sz w:val="22"/>
                <w:szCs w:val="22"/>
              </w:rPr>
            </w:pPr>
            <w:r w:rsidRPr="00B93279">
              <w:rPr>
                <w:color w:val="000000"/>
                <w:sz w:val="22"/>
                <w:szCs w:val="22"/>
              </w:rPr>
              <w:t xml:space="preserve"> $              72.80 </w:t>
            </w:r>
          </w:p>
        </w:tc>
      </w:tr>
      <w:tr w:rsidRPr="00B93279" w:rsidR="00B93279" w:rsidTr="00B93279" w14:paraId="3A37DF48" w14:textId="77777777">
        <w:trPr>
          <w:trHeight w:val="289"/>
        </w:trPr>
        <w:tc>
          <w:tcPr>
            <w:tcW w:w="595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93279" w:rsidR="00B93279" w:rsidP="00B93279" w:rsidRDefault="00B93279" w14:paraId="71243043" w14:textId="77777777">
            <w:pPr>
              <w:jc w:val="center"/>
              <w:rPr>
                <w:color w:val="000000"/>
                <w:sz w:val="22"/>
                <w:szCs w:val="22"/>
              </w:rPr>
            </w:pPr>
            <w:r w:rsidRPr="00B93279">
              <w:rPr>
                <w:color w:val="000000"/>
                <w:sz w:val="22"/>
                <w:szCs w:val="22"/>
              </w:rPr>
              <w:t> </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145C766D" w14:textId="77777777">
            <w:pPr>
              <w:jc w:val="center"/>
              <w:rPr>
                <w:color w:val="000000"/>
                <w:sz w:val="22"/>
                <w:szCs w:val="22"/>
              </w:rPr>
            </w:pPr>
            <w:r w:rsidRPr="00B93279">
              <w:rPr>
                <w:color w:val="000000"/>
                <w:sz w:val="22"/>
                <w:szCs w:val="22"/>
              </w:rPr>
              <w:t> </w:t>
            </w:r>
          </w:p>
        </w:tc>
      </w:tr>
      <w:tr w:rsidRPr="00B93279" w:rsidR="00B93279" w:rsidTr="00B93279" w14:paraId="277401E3" w14:textId="77777777">
        <w:trPr>
          <w:trHeight w:val="289"/>
        </w:trPr>
        <w:tc>
          <w:tcPr>
            <w:tcW w:w="595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93279" w:rsidR="00B93279" w:rsidP="00B93279" w:rsidRDefault="00B93279" w14:paraId="0C7DA307" w14:textId="77777777">
            <w:pPr>
              <w:rPr>
                <w:color w:val="000000"/>
                <w:sz w:val="22"/>
                <w:szCs w:val="22"/>
              </w:rPr>
            </w:pPr>
            <w:r w:rsidRPr="00B93279">
              <w:rPr>
                <w:color w:val="000000"/>
                <w:sz w:val="22"/>
                <w:szCs w:val="22"/>
              </w:rPr>
              <w:t>Processing / Analyzing Costs</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4AE3FD2A" w14:textId="77777777">
            <w:pPr>
              <w:jc w:val="center"/>
              <w:rPr>
                <w:color w:val="000000"/>
                <w:sz w:val="22"/>
                <w:szCs w:val="22"/>
              </w:rPr>
            </w:pPr>
            <w:r w:rsidRPr="00B93279">
              <w:rPr>
                <w:color w:val="000000"/>
                <w:sz w:val="22"/>
                <w:szCs w:val="22"/>
              </w:rPr>
              <w:t xml:space="preserve"> $            533.13 </w:t>
            </w:r>
          </w:p>
        </w:tc>
      </w:tr>
      <w:tr w:rsidRPr="00B93279" w:rsidR="00B93279" w:rsidTr="00B93279" w14:paraId="7778F909" w14:textId="77777777">
        <w:trPr>
          <w:trHeight w:val="289"/>
        </w:trPr>
        <w:tc>
          <w:tcPr>
            <w:tcW w:w="595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93279" w:rsidR="00B93279" w:rsidP="00B93279" w:rsidRDefault="00B93279" w14:paraId="28791BD6" w14:textId="77777777">
            <w:pPr>
              <w:rPr>
                <w:color w:val="000000"/>
                <w:sz w:val="22"/>
                <w:szCs w:val="22"/>
              </w:rPr>
            </w:pPr>
            <w:r w:rsidRPr="00B93279">
              <w:rPr>
                <w:color w:val="000000"/>
                <w:sz w:val="22"/>
                <w:szCs w:val="22"/>
              </w:rPr>
              <w:t>Printing and Production Cost</w:t>
            </w:r>
          </w:p>
        </w:tc>
        <w:tc>
          <w:tcPr>
            <w:tcW w:w="1811" w:type="dxa"/>
            <w:tcBorders>
              <w:top w:val="nil"/>
              <w:left w:val="nil"/>
              <w:bottom w:val="single" w:color="auto" w:sz="4" w:space="0"/>
              <w:right w:val="single" w:color="auto" w:sz="8" w:space="0"/>
            </w:tcBorders>
            <w:shd w:val="clear" w:color="auto" w:fill="auto"/>
            <w:vAlign w:val="bottom"/>
            <w:hideMark/>
          </w:tcPr>
          <w:p w:rsidRPr="00B93279" w:rsidR="00B93279" w:rsidP="00B93279" w:rsidRDefault="00B93279" w14:paraId="492DA753" w14:textId="77777777">
            <w:pPr>
              <w:jc w:val="center"/>
              <w:rPr>
                <w:color w:val="000000"/>
                <w:sz w:val="22"/>
                <w:szCs w:val="22"/>
              </w:rPr>
            </w:pPr>
            <w:r w:rsidRPr="00B93279">
              <w:rPr>
                <w:color w:val="000000"/>
                <w:sz w:val="22"/>
                <w:szCs w:val="22"/>
              </w:rPr>
              <w:t xml:space="preserve"> $                5.92 </w:t>
            </w:r>
          </w:p>
        </w:tc>
      </w:tr>
      <w:tr w:rsidRPr="00B93279" w:rsidR="00B93279" w:rsidTr="00B93279" w14:paraId="32635F96" w14:textId="77777777">
        <w:trPr>
          <w:trHeight w:val="300"/>
        </w:trPr>
        <w:tc>
          <w:tcPr>
            <w:tcW w:w="5959"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B93279" w:rsidR="00B93279" w:rsidP="00B93279" w:rsidRDefault="00B93279" w14:paraId="76F6BEF5" w14:textId="77777777">
            <w:pPr>
              <w:rPr>
                <w:color w:val="000000"/>
                <w:sz w:val="22"/>
                <w:szCs w:val="22"/>
              </w:rPr>
            </w:pPr>
            <w:r w:rsidRPr="00B93279">
              <w:rPr>
                <w:color w:val="000000"/>
                <w:sz w:val="22"/>
                <w:szCs w:val="22"/>
              </w:rPr>
              <w:t>Total Cost to Government</w:t>
            </w:r>
          </w:p>
        </w:tc>
        <w:tc>
          <w:tcPr>
            <w:tcW w:w="1811" w:type="dxa"/>
            <w:tcBorders>
              <w:top w:val="nil"/>
              <w:left w:val="nil"/>
              <w:bottom w:val="single" w:color="auto" w:sz="8" w:space="0"/>
              <w:right w:val="single" w:color="auto" w:sz="8" w:space="0"/>
            </w:tcBorders>
            <w:shd w:val="clear" w:color="auto" w:fill="auto"/>
            <w:vAlign w:val="bottom"/>
            <w:hideMark/>
          </w:tcPr>
          <w:p w:rsidRPr="00B93279" w:rsidR="00B93279" w:rsidP="00B93279" w:rsidRDefault="00B93279" w14:paraId="7308C466" w14:textId="77777777">
            <w:pPr>
              <w:jc w:val="center"/>
              <w:rPr>
                <w:color w:val="000000"/>
                <w:sz w:val="22"/>
                <w:szCs w:val="22"/>
              </w:rPr>
            </w:pPr>
            <w:r w:rsidRPr="00B93279">
              <w:rPr>
                <w:color w:val="000000"/>
                <w:sz w:val="22"/>
                <w:szCs w:val="22"/>
              </w:rPr>
              <w:t xml:space="preserve"> $            539.06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3D0AC3" w:rsidP="003D0AC3" w:rsidRDefault="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rsidRDefault="003D0AC3" w14:paraId="3820ECDA" w14:textId="77777777">
      <w:pPr>
        <w:pStyle w:val="ListParagraph"/>
        <w:ind w:left="360" w:right="576"/>
        <w:rPr>
          <w:sz w:val="24"/>
          <w:szCs w:val="24"/>
        </w:rPr>
      </w:pPr>
    </w:p>
    <w:p w:rsidR="003D0AC3" w:rsidP="003D0AC3" w:rsidRDefault="003D0AC3" w14:paraId="622B4860"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3D0AC3" w:rsidP="003D0AC3" w:rsidRDefault="003D0AC3" w14:paraId="31847B45" w14:textId="77777777">
      <w:pPr>
        <w:pStyle w:val="ListParagraph"/>
        <w:ind w:left="0" w:right="576"/>
        <w:jc w:val="both"/>
        <w:rPr>
          <w:sz w:val="24"/>
          <w:szCs w:val="24"/>
        </w:rPr>
      </w:pPr>
    </w:p>
    <w:p w:rsidR="00EB1D66" w:rsidP="00EB1D66" w:rsidRDefault="00EB1D66" w14:paraId="61E393F2" w14:textId="77777777">
      <w:pPr>
        <w:ind w:left="360"/>
        <w:rPr>
          <w:sz w:val="24"/>
          <w:szCs w:val="24"/>
        </w:rPr>
      </w:pPr>
      <w:bookmarkStart w:name="_Hlk29579534" w:id="1"/>
      <w:r w:rsidRPr="00C07A8A">
        <w:rPr>
          <w:sz w:val="24"/>
          <w:szCs w:val="24"/>
        </w:rPr>
        <w:t>Note: The hourly wage information above is based on the hourly 2022 General Schedule (Base) Pay (</w:t>
      </w:r>
      <w:hyperlink w:history="1" r:id="rId12">
        <w:r w:rsidRPr="00C07A8A">
          <w:rPr>
            <w:rStyle w:val="Hyperlink"/>
            <w:sz w:val="24"/>
            <w:szCs w:val="24"/>
          </w:rPr>
          <w:t>SALARY TABLE 2022-GS (opm.gov)</w:t>
        </w:r>
      </w:hyperlink>
      <w:r w:rsidRPr="00C07A8A">
        <w:rPr>
          <w:sz w:val="24"/>
          <w:szCs w:val="24"/>
        </w:rPr>
        <w:t>). This rate does not include any locality adjustment as applicable.</w:t>
      </w:r>
    </w:p>
    <w:bookmarkEnd w:id="1"/>
    <w:p w:rsidR="003D0AC3" w:rsidP="003D0AC3" w:rsidRDefault="003D0AC3" w14:paraId="55763CA5" w14:textId="77777777">
      <w:pPr>
        <w:ind w:left="360"/>
        <w:rPr>
          <w:sz w:val="24"/>
          <w:szCs w:val="24"/>
        </w:rPr>
      </w:pPr>
    </w:p>
    <w:p w:rsidR="003D0AC3" w:rsidP="003D0AC3" w:rsidRDefault="003D0AC3" w14:paraId="34017835" w14:textId="77777777">
      <w:pPr>
        <w:ind w:left="360" w:right="684"/>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B93279" w:rsidRDefault="00710DDD" w14:paraId="412A96EF" w14:textId="359A977C">
      <w:pPr>
        <w:ind w:left="360" w:right="540"/>
        <w:rPr>
          <w:sz w:val="24"/>
          <w:szCs w:val="24"/>
        </w:rPr>
      </w:pPr>
      <w:r w:rsidRPr="00B93279">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9F0B" w14:textId="77777777" w:rsidR="00D7676A" w:rsidRDefault="00D7676A" w:rsidP="00606AD2">
      <w:r>
        <w:separator/>
      </w:r>
    </w:p>
  </w:endnote>
  <w:endnote w:type="continuationSeparator" w:id="0">
    <w:p w14:paraId="6ECD5EF7" w14:textId="77777777" w:rsidR="00D7676A" w:rsidRDefault="00D7676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4A51" w14:textId="77777777" w:rsidR="00D7676A" w:rsidRDefault="00D7676A" w:rsidP="00606AD2">
      <w:r>
        <w:separator/>
      </w:r>
    </w:p>
  </w:footnote>
  <w:footnote w:type="continuationSeparator" w:id="0">
    <w:p w14:paraId="60433F5E" w14:textId="77777777" w:rsidR="00D7676A" w:rsidRDefault="00D7676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E30" w14:textId="3196CEB3" w:rsidR="00F81B22" w:rsidRPr="00F81B22" w:rsidRDefault="00726753" w:rsidP="00F81B22">
    <w:pPr>
      <w:jc w:val="center"/>
      <w:rPr>
        <w:b/>
        <w:sz w:val="24"/>
        <w:szCs w:val="24"/>
      </w:rPr>
    </w:pPr>
    <w:r w:rsidRPr="00F81B22">
      <w:rPr>
        <w:sz w:val="24"/>
        <w:szCs w:val="24"/>
      </w:rPr>
      <w:t>Supporting Statement for VA Form 21</w:t>
    </w:r>
    <w:r w:rsidR="00A9765D">
      <w:rPr>
        <w:sz w:val="24"/>
        <w:szCs w:val="24"/>
      </w:rPr>
      <w:t>P-1775</w:t>
    </w:r>
    <w:r w:rsidRPr="00F81B22">
      <w:rPr>
        <w:sz w:val="24"/>
        <w:szCs w:val="24"/>
      </w:rPr>
      <w:t>,</w:t>
    </w:r>
  </w:p>
  <w:p w14:paraId="64D6ED19" w14:textId="01846BF1" w:rsidR="00A9765D" w:rsidRDefault="00A9765D" w:rsidP="00F81B22">
    <w:pPr>
      <w:jc w:val="center"/>
      <w:rPr>
        <w:sz w:val="24"/>
        <w:szCs w:val="24"/>
      </w:rPr>
    </w:pPr>
    <w:r w:rsidRPr="00A9765D">
      <w:rPr>
        <w:sz w:val="24"/>
        <w:szCs w:val="24"/>
      </w:rPr>
      <w:t xml:space="preserve">Statement of Disappearance </w:t>
    </w:r>
  </w:p>
  <w:p w14:paraId="75B0C283" w14:textId="43E1746E" w:rsidR="00726753" w:rsidRPr="00F81B22" w:rsidRDefault="00F81B22" w:rsidP="00F81B22">
    <w:pPr>
      <w:jc w:val="center"/>
      <w:rPr>
        <w:sz w:val="24"/>
        <w:szCs w:val="24"/>
      </w:rPr>
    </w:pPr>
    <w:r>
      <w:rPr>
        <w:sz w:val="24"/>
        <w:szCs w:val="24"/>
      </w:rPr>
      <w:t>OMB #</w:t>
    </w:r>
    <w:r w:rsidR="00726753" w:rsidRPr="00F81B22">
      <w:rPr>
        <w:sz w:val="24"/>
        <w:szCs w:val="24"/>
      </w:rPr>
      <w:t>2900-</w:t>
    </w:r>
    <w:r w:rsidR="00A9765D">
      <w:rPr>
        <w:sz w:val="24"/>
        <w:szCs w:val="24"/>
      </w:rPr>
      <w:t>0036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B0649"/>
    <w:rsid w:val="00142589"/>
    <w:rsid w:val="0016376A"/>
    <w:rsid w:val="00171C87"/>
    <w:rsid w:val="00174B1F"/>
    <w:rsid w:val="00181CD3"/>
    <w:rsid w:val="001968BC"/>
    <w:rsid w:val="001D52F4"/>
    <w:rsid w:val="001D6D11"/>
    <w:rsid w:val="001E2E15"/>
    <w:rsid w:val="00217CDC"/>
    <w:rsid w:val="00261496"/>
    <w:rsid w:val="00272B57"/>
    <w:rsid w:val="00295605"/>
    <w:rsid w:val="00303259"/>
    <w:rsid w:val="00310573"/>
    <w:rsid w:val="00312610"/>
    <w:rsid w:val="00313EED"/>
    <w:rsid w:val="003210D0"/>
    <w:rsid w:val="00334E84"/>
    <w:rsid w:val="00347A7B"/>
    <w:rsid w:val="003A209D"/>
    <w:rsid w:val="003B6D49"/>
    <w:rsid w:val="003B797D"/>
    <w:rsid w:val="003D0AC3"/>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B76E8"/>
    <w:rsid w:val="008C254F"/>
    <w:rsid w:val="008D158E"/>
    <w:rsid w:val="009135FA"/>
    <w:rsid w:val="0094691E"/>
    <w:rsid w:val="0095533E"/>
    <w:rsid w:val="00993FA5"/>
    <w:rsid w:val="009A5278"/>
    <w:rsid w:val="009B5624"/>
    <w:rsid w:val="009D1D80"/>
    <w:rsid w:val="009E3506"/>
    <w:rsid w:val="00A073C3"/>
    <w:rsid w:val="00A21543"/>
    <w:rsid w:val="00A22565"/>
    <w:rsid w:val="00A25D47"/>
    <w:rsid w:val="00A411DD"/>
    <w:rsid w:val="00A9765D"/>
    <w:rsid w:val="00B03501"/>
    <w:rsid w:val="00B32D2A"/>
    <w:rsid w:val="00B37719"/>
    <w:rsid w:val="00B40113"/>
    <w:rsid w:val="00B6651E"/>
    <w:rsid w:val="00B713C7"/>
    <w:rsid w:val="00B82974"/>
    <w:rsid w:val="00B93279"/>
    <w:rsid w:val="00BA0556"/>
    <w:rsid w:val="00BD7201"/>
    <w:rsid w:val="00C17C77"/>
    <w:rsid w:val="00C34486"/>
    <w:rsid w:val="00C47978"/>
    <w:rsid w:val="00C75126"/>
    <w:rsid w:val="00CA418A"/>
    <w:rsid w:val="00CA7E43"/>
    <w:rsid w:val="00D20A37"/>
    <w:rsid w:val="00D656BB"/>
    <w:rsid w:val="00D7449F"/>
    <w:rsid w:val="00D7676A"/>
    <w:rsid w:val="00D944D7"/>
    <w:rsid w:val="00D94A38"/>
    <w:rsid w:val="00D975C9"/>
    <w:rsid w:val="00DC0CDA"/>
    <w:rsid w:val="00DD0140"/>
    <w:rsid w:val="00DD5D06"/>
    <w:rsid w:val="00E3211D"/>
    <w:rsid w:val="00E36537"/>
    <w:rsid w:val="00E87FDC"/>
    <w:rsid w:val="00E915F3"/>
    <w:rsid w:val="00E948A8"/>
    <w:rsid w:val="00EB1D66"/>
    <w:rsid w:val="00EC2E2D"/>
    <w:rsid w:val="00F01D5F"/>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7285">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013415117">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 w:id="20035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opm.gov%2Fpolicy-data-oversight%2Fpay-leave%2Fsalaries-wages%2Fsalary-tables%2Fpdf%2F2022%2FGS_h.pdf&amp;data=04%7C01%7C%7C039fe5ef575d4a0b9d7208d9cfa10fb4%7Ce95f1b23abaf45ee821db7ab251ab3bf%7C0%7C0%7C637769112923176759%7CUnknown%7CTWFpbGZsb3d8eyJWIjoiMC4wLjAwMDAiLCJQIjoiV2luMzIiLCJBTiI6Ik1haWwiLCJXVCI6Mn0%3D%7C3000&amp;sdata=DYw2hnw7LTY%2BhzO8knUfW4FnIui%2B8V2SKRmnBQEB6C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8a3346c32460405bf10a08da18a1aeb7%7Ce95f1b23abaf45ee821db7ab251ab3bf%7C0%7C0%7C637849379937848747%7CUnknown%7CTWFpbGZsb3d8eyJWIjoiMC4wLjAwMDAiLCJQIjoiV2luMzIiLCJBTiI6Ik1haWwiLCJXVCI6Mn0%3D%7C3000&amp;sdata=qS55dVlxCncm7orC1QpuGkiPKGnOOvetGjhA%2BtVsdzo%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11052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2022-04-28T16:58:00Z</dcterms:created>
  <dcterms:modified xsi:type="dcterms:W3CDTF">2022-05-09T13:41:00Z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