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CA350A" w:rsidP="00A25D47" w:rsidRDefault="00425807" w14:paraId="7DC4B7A1" w14:textId="7AC45DFA">
      <w:pPr>
        <w:ind w:left="360"/>
        <w:rPr>
          <w:sz w:val="24"/>
          <w:szCs w:val="24"/>
        </w:rPr>
      </w:pPr>
      <w:r w:rsidRPr="00142589">
        <w:rPr>
          <w:sz w:val="24"/>
          <w:szCs w:val="24"/>
        </w:rPr>
        <w:t>The Department of Veterans Affairs (VA) through its Veterans Benefits Administration (VBA) administers an integrated program of benefits and ser</w:t>
      </w:r>
      <w:r>
        <w:rPr>
          <w:sz w:val="24"/>
          <w:szCs w:val="24"/>
        </w:rPr>
        <w:t>vices, established by law, for V</w:t>
      </w:r>
      <w:r w:rsidRPr="00142589">
        <w:rPr>
          <w:sz w:val="24"/>
          <w:szCs w:val="24"/>
        </w:rPr>
        <w:t xml:space="preserve">eterans, service personnel, and their dependents and/or beneficiaries. </w:t>
      </w:r>
      <w:r>
        <w:rPr>
          <w:sz w:val="24"/>
          <w:szCs w:val="24"/>
        </w:rPr>
        <w:t>U</w:t>
      </w:r>
      <w:r w:rsidRPr="00CA350A" w:rsidR="00A25D47">
        <w:rPr>
          <w:sz w:val="24"/>
          <w:szCs w:val="24"/>
        </w:rPr>
        <w:t xml:space="preserve">nder the authority of </w:t>
      </w:r>
      <w:r w:rsidRPr="00CA350A" w:rsidR="00CA350A">
        <w:rPr>
          <w:sz w:val="24"/>
          <w:szCs w:val="24"/>
        </w:rPr>
        <w:t>5 C</w:t>
      </w:r>
      <w:r>
        <w:rPr>
          <w:sz w:val="24"/>
          <w:szCs w:val="24"/>
        </w:rPr>
        <w:t>.</w:t>
      </w:r>
      <w:r w:rsidR="0056552E">
        <w:rPr>
          <w:sz w:val="24"/>
          <w:szCs w:val="24"/>
        </w:rPr>
        <w:t>F</w:t>
      </w:r>
      <w:r>
        <w:rPr>
          <w:sz w:val="24"/>
          <w:szCs w:val="24"/>
        </w:rPr>
        <w:t>.</w:t>
      </w:r>
      <w:r w:rsidR="0056552E">
        <w:rPr>
          <w:sz w:val="24"/>
          <w:szCs w:val="24"/>
        </w:rPr>
        <w:t>R</w:t>
      </w:r>
      <w:r>
        <w:rPr>
          <w:sz w:val="24"/>
          <w:szCs w:val="24"/>
        </w:rPr>
        <w:t>.</w:t>
      </w:r>
      <w:r w:rsidR="0056552E">
        <w:rPr>
          <w:sz w:val="24"/>
          <w:szCs w:val="24"/>
        </w:rPr>
        <w:t xml:space="preserve"> Part</w:t>
      </w:r>
      <w:r w:rsidRPr="00CA350A" w:rsidR="00CA350A">
        <w:rPr>
          <w:sz w:val="24"/>
          <w:szCs w:val="24"/>
        </w:rPr>
        <w:t xml:space="preserve"> 731</w:t>
      </w:r>
      <w:r w:rsidRPr="00CA350A" w:rsidR="00A25D47">
        <w:rPr>
          <w:sz w:val="24"/>
          <w:szCs w:val="24"/>
        </w:rPr>
        <w:t>,</w:t>
      </w:r>
      <w:r w:rsidRPr="00CA350A" w:rsidR="00CA350A">
        <w:rPr>
          <w:sz w:val="24"/>
          <w:szCs w:val="24"/>
        </w:rPr>
        <w:t xml:space="preserve"> requires </w:t>
      </w:r>
      <w:r w:rsidR="00CA350A">
        <w:rPr>
          <w:sz w:val="24"/>
          <w:szCs w:val="24"/>
        </w:rPr>
        <w:t xml:space="preserve">that </w:t>
      </w:r>
      <w:r w:rsidRPr="00CA350A" w:rsidR="00CA350A">
        <w:rPr>
          <w:sz w:val="24"/>
          <w:szCs w:val="24"/>
        </w:rPr>
        <w:t xml:space="preserve">every </w:t>
      </w:r>
      <w:r w:rsidR="00EA0BDC">
        <w:rPr>
          <w:sz w:val="24"/>
          <w:szCs w:val="24"/>
        </w:rPr>
        <w:t xml:space="preserve">contractor employee </w:t>
      </w:r>
      <w:r w:rsidRPr="00CA350A" w:rsidR="00CA350A">
        <w:rPr>
          <w:sz w:val="24"/>
          <w:szCs w:val="24"/>
        </w:rPr>
        <w:t>applicant be screene</w:t>
      </w:r>
      <w:r w:rsidR="00CA350A">
        <w:rPr>
          <w:sz w:val="24"/>
          <w:szCs w:val="24"/>
        </w:rPr>
        <w:t xml:space="preserve">d or have a background </w:t>
      </w:r>
      <w:r w:rsidRPr="00A60AD2" w:rsidR="00CA350A">
        <w:rPr>
          <w:sz w:val="24"/>
          <w:szCs w:val="24"/>
        </w:rPr>
        <w:t>investigation conducted</w:t>
      </w:r>
      <w:r w:rsidR="00CA350A">
        <w:rPr>
          <w:sz w:val="24"/>
          <w:szCs w:val="24"/>
        </w:rPr>
        <w:t xml:space="preserve"> based on the </w:t>
      </w:r>
      <w:r w:rsidRPr="00A60AD2" w:rsidR="00CA350A">
        <w:rPr>
          <w:sz w:val="24"/>
          <w:szCs w:val="24"/>
        </w:rPr>
        <w:t>risk and sensitivity level determined for t</w:t>
      </w:r>
      <w:r w:rsidR="007B7883">
        <w:rPr>
          <w:sz w:val="24"/>
          <w:szCs w:val="24"/>
        </w:rPr>
        <w:t>he</w:t>
      </w:r>
      <w:r w:rsidRPr="00A60AD2" w:rsidR="00CA350A">
        <w:rPr>
          <w:sz w:val="24"/>
          <w:szCs w:val="24"/>
        </w:rPr>
        <w:t xml:space="preserve"> position</w:t>
      </w:r>
      <w:r w:rsidR="007B7883">
        <w:rPr>
          <w:sz w:val="24"/>
          <w:szCs w:val="24"/>
        </w:rPr>
        <w:t xml:space="preserve"> being </w:t>
      </w:r>
      <w:r w:rsidR="004C6A11">
        <w:rPr>
          <w:sz w:val="24"/>
          <w:szCs w:val="24"/>
        </w:rPr>
        <w:t>applied</w:t>
      </w:r>
      <w:r w:rsidR="00E07541">
        <w:rPr>
          <w:sz w:val="24"/>
          <w:szCs w:val="24"/>
        </w:rPr>
        <w:t xml:space="preserve"> for</w:t>
      </w:r>
      <w:r w:rsidR="004C6A11">
        <w:rPr>
          <w:sz w:val="24"/>
          <w:szCs w:val="24"/>
        </w:rPr>
        <w:t>,</w:t>
      </w:r>
      <w:r w:rsidRPr="00A60AD2" w:rsidR="00CA350A">
        <w:rPr>
          <w:sz w:val="24"/>
          <w:szCs w:val="24"/>
        </w:rPr>
        <w:t xml:space="preserve"> and if needed access to classified information.  Federal Investigative Standards established requirements for conducting background investigations to determine eligibility for logical and physical access, </w:t>
      </w:r>
      <w:r w:rsidR="00EA0BDC">
        <w:rPr>
          <w:sz w:val="24"/>
          <w:szCs w:val="24"/>
        </w:rPr>
        <w:t xml:space="preserve">and the </w:t>
      </w:r>
      <w:r w:rsidRPr="00A60AD2" w:rsidR="00CA350A">
        <w:rPr>
          <w:sz w:val="24"/>
          <w:szCs w:val="24"/>
        </w:rPr>
        <w:t>suitability for employment</w:t>
      </w:r>
      <w:r w:rsidR="00E52DD5">
        <w:rPr>
          <w:sz w:val="24"/>
          <w:szCs w:val="24"/>
        </w:rPr>
        <w:t xml:space="preserve"> with the</w:t>
      </w:r>
      <w:r w:rsidRPr="00E52DD5" w:rsidR="00E52DD5">
        <w:rPr>
          <w:color w:val="000000"/>
          <w:sz w:val="24"/>
          <w:szCs w:val="24"/>
        </w:rPr>
        <w:t xml:space="preserve"> </w:t>
      </w:r>
      <w:r w:rsidRPr="00D00F69" w:rsidR="00E52DD5">
        <w:rPr>
          <w:color w:val="000000"/>
          <w:sz w:val="24"/>
          <w:szCs w:val="24"/>
        </w:rPr>
        <w:t>VBA</w:t>
      </w:r>
      <w:r w:rsidR="00EA0BDC">
        <w:rPr>
          <w:color w:val="000000"/>
          <w:sz w:val="24"/>
          <w:szCs w:val="24"/>
        </w:rPr>
        <w:t xml:space="preserve">. </w:t>
      </w:r>
      <w:r w:rsidR="004C6A11">
        <w:rPr>
          <w:sz w:val="24"/>
          <w:szCs w:val="24"/>
        </w:rPr>
        <w:t xml:space="preserve">Personal identifiable </w:t>
      </w:r>
      <w:r w:rsidRPr="00A60AD2" w:rsidR="00CA350A">
        <w:rPr>
          <w:sz w:val="24"/>
          <w:szCs w:val="24"/>
        </w:rPr>
        <w:t xml:space="preserve">information must be collected and then processed for </w:t>
      </w:r>
      <w:r w:rsidR="00EA0BDC">
        <w:rPr>
          <w:sz w:val="24"/>
          <w:szCs w:val="24"/>
        </w:rPr>
        <w:t xml:space="preserve">determination of eligibility. </w:t>
      </w:r>
    </w:p>
    <w:p w:rsidR="00425807" w:rsidP="00A25D47" w:rsidRDefault="00425807" w14:paraId="484577EE" w14:textId="2C16D003">
      <w:pPr>
        <w:ind w:left="360"/>
        <w:rPr>
          <w:sz w:val="24"/>
          <w:szCs w:val="24"/>
        </w:rPr>
      </w:pPr>
    </w:p>
    <w:p w:rsidR="00425807" w:rsidP="00A25D47" w:rsidRDefault="00425807" w14:paraId="0236C1CF" w14:textId="5D801E9F">
      <w:pPr>
        <w:ind w:left="360"/>
        <w:rPr>
          <w:sz w:val="24"/>
          <w:szCs w:val="24"/>
          <w:highlight w:val="yellow"/>
        </w:rPr>
      </w:pPr>
      <w:r>
        <w:rPr>
          <w:sz w:val="24"/>
          <w:szCs w:val="24"/>
        </w:rPr>
        <w:t xml:space="preserve">This is a new collection.  </w:t>
      </w:r>
    </w:p>
    <w:p w:rsidR="00CA350A" w:rsidP="00A25D47" w:rsidRDefault="00CA350A" w14:paraId="7F1D9998" w14:textId="77777777">
      <w:pPr>
        <w:ind w:left="360"/>
        <w:rPr>
          <w:sz w:val="24"/>
          <w:szCs w:val="24"/>
          <w:highlight w:val="yellow"/>
        </w:rPr>
      </w:pPr>
    </w:p>
    <w:p w:rsidR="00334E84" w:rsidP="00334E84" w:rsidRDefault="00334E84" w14:paraId="7AD27333" w14:textId="70224E82">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r w:rsidR="00E52DD5">
        <w:rPr>
          <w:b/>
          <w:sz w:val="24"/>
          <w:szCs w:val="24"/>
        </w:rPr>
        <w:t xml:space="preserve"> </w:t>
      </w:r>
    </w:p>
    <w:p w:rsidR="00E52DD5" w:rsidP="00E52DD5" w:rsidRDefault="00E52DD5" w14:paraId="6F2ABFA0" w14:textId="56065B61">
      <w:pPr>
        <w:pStyle w:val="ListParagraph"/>
        <w:tabs>
          <w:tab w:val="left" w:pos="480"/>
          <w:tab w:val="right" w:pos="8640"/>
        </w:tabs>
        <w:ind w:left="360" w:right="684"/>
        <w:rPr>
          <w:b/>
          <w:sz w:val="24"/>
          <w:szCs w:val="24"/>
        </w:rPr>
      </w:pPr>
    </w:p>
    <w:p w:rsidRPr="000D4B27" w:rsidR="00E52DD5" w:rsidP="00E52DD5" w:rsidRDefault="00E52DD5" w14:paraId="7689BCE2" w14:textId="0EFB841B">
      <w:pPr>
        <w:pStyle w:val="ListParagraph"/>
        <w:tabs>
          <w:tab w:val="left" w:pos="480"/>
          <w:tab w:val="right" w:pos="8640"/>
        </w:tabs>
        <w:ind w:left="360" w:right="684"/>
        <w:rPr>
          <w:sz w:val="24"/>
          <w:szCs w:val="24"/>
        </w:rPr>
      </w:pPr>
      <w:r w:rsidRPr="000D4B27">
        <w:rPr>
          <w:bCs/>
          <w:sz w:val="24"/>
        </w:rPr>
        <w:t xml:space="preserve">VA Form 20-10276 </w:t>
      </w:r>
      <w:r>
        <w:rPr>
          <w:bCs/>
          <w:sz w:val="24"/>
        </w:rPr>
        <w:t>will be</w:t>
      </w:r>
      <w:r w:rsidRPr="000D4B27">
        <w:rPr>
          <w:bCs/>
          <w:sz w:val="24"/>
        </w:rPr>
        <w:t xml:space="preserve"> used to </w:t>
      </w:r>
      <w:r>
        <w:rPr>
          <w:bCs/>
          <w:sz w:val="24"/>
        </w:rPr>
        <w:t xml:space="preserve">request information </w:t>
      </w:r>
      <w:r w:rsidRPr="000D4B27">
        <w:rPr>
          <w:bCs/>
          <w:sz w:val="24"/>
        </w:rPr>
        <w:t xml:space="preserve">necessary for the </w:t>
      </w:r>
      <w:r>
        <w:rPr>
          <w:bCs/>
          <w:sz w:val="24"/>
        </w:rPr>
        <w:t xml:space="preserve">validation and </w:t>
      </w:r>
      <w:r w:rsidRPr="000D4B27">
        <w:rPr>
          <w:bCs/>
          <w:sz w:val="24"/>
        </w:rPr>
        <w:t xml:space="preserve">determination </w:t>
      </w:r>
      <w:r>
        <w:rPr>
          <w:bCs/>
          <w:sz w:val="24"/>
        </w:rPr>
        <w:t xml:space="preserve">of suitability and trustworthiness to </w:t>
      </w:r>
      <w:r w:rsidRPr="000D4B27">
        <w:rPr>
          <w:bCs/>
          <w:sz w:val="24"/>
        </w:rPr>
        <w:t>adjudica</w:t>
      </w:r>
      <w:r>
        <w:rPr>
          <w:bCs/>
          <w:sz w:val="24"/>
        </w:rPr>
        <w:t>te</w:t>
      </w:r>
      <w:r w:rsidRPr="000D4B27">
        <w:rPr>
          <w:bCs/>
          <w:sz w:val="24"/>
        </w:rPr>
        <w:t xml:space="preserve"> background investigation </w:t>
      </w:r>
      <w:r>
        <w:rPr>
          <w:bCs/>
          <w:sz w:val="24"/>
        </w:rPr>
        <w:t xml:space="preserve">requirements </w:t>
      </w:r>
      <w:r w:rsidRPr="000D4B27">
        <w:rPr>
          <w:bCs/>
          <w:sz w:val="24"/>
        </w:rPr>
        <w:t xml:space="preserve">so that the </w:t>
      </w:r>
      <w:r>
        <w:rPr>
          <w:bCs/>
          <w:sz w:val="24"/>
        </w:rPr>
        <w:t xml:space="preserve">applicant </w:t>
      </w:r>
      <w:r w:rsidRPr="000D4B27">
        <w:rPr>
          <w:bCs/>
          <w:sz w:val="24"/>
        </w:rPr>
        <w:t xml:space="preserve">can </w:t>
      </w:r>
      <w:r>
        <w:rPr>
          <w:bCs/>
          <w:sz w:val="24"/>
        </w:rPr>
        <w:t xml:space="preserve">receive a personal identity verification (PIV) Card and </w:t>
      </w:r>
      <w:r w:rsidRPr="000D4B27">
        <w:rPr>
          <w:bCs/>
          <w:sz w:val="24"/>
        </w:rPr>
        <w:t xml:space="preserve">access VA systems. </w:t>
      </w:r>
    </w:p>
    <w:p w:rsidRPr="00495C22" w:rsidR="00334E84" w:rsidRDefault="00334E84" w14:paraId="769A570C" w14:textId="77777777">
      <w:pPr>
        <w:tabs>
          <w:tab w:val="left" w:pos="480"/>
          <w:tab w:val="right" w:pos="8640"/>
        </w:tabs>
        <w:ind w:right="684"/>
        <w:rPr>
          <w:sz w:val="24"/>
          <w:szCs w:val="24"/>
        </w:rPr>
      </w:pPr>
    </w:p>
    <w:p w:rsidRPr="00E52DD5" w:rsidR="00334E84" w:rsidP="00334E84" w:rsidRDefault="00334E84" w14:paraId="3A7F400D" w14:textId="10994FF5">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495C22">
        <w:rPr>
          <w:b/>
          <w:sz w:val="24"/>
          <w:szCs w:val="24"/>
        </w:rPr>
        <w:t>e.g.</w:t>
      </w:r>
      <w:proofErr w:type="gramEnd"/>
      <w:r w:rsidRPr="00495C22">
        <w:rPr>
          <w:b/>
          <w:sz w:val="24"/>
          <w:szCs w:val="24"/>
        </w:rPr>
        <w:t xml:space="preserve">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E52DD5" w:rsidR="00E52DD5" w:rsidP="00E52DD5" w:rsidRDefault="00E52DD5" w14:paraId="649D2A5E" w14:textId="77777777">
      <w:pPr>
        <w:pStyle w:val="ListParagraph"/>
        <w:tabs>
          <w:tab w:val="left" w:pos="547"/>
          <w:tab w:val="left" w:pos="1080"/>
          <w:tab w:val="left" w:pos="1627"/>
          <w:tab w:val="left" w:pos="2160"/>
          <w:tab w:val="left" w:pos="2880"/>
        </w:tabs>
        <w:ind w:left="360"/>
        <w:rPr>
          <w:sz w:val="24"/>
          <w:szCs w:val="24"/>
        </w:rPr>
      </w:pPr>
    </w:p>
    <w:p w:rsidRPr="00D00F69" w:rsidR="00E52DD5" w:rsidP="00E52DD5" w:rsidRDefault="00E52DD5" w14:paraId="48093DBC" w14:textId="1156C9BB">
      <w:pPr>
        <w:pStyle w:val="ListParagraph"/>
        <w:tabs>
          <w:tab w:val="left" w:pos="547"/>
          <w:tab w:val="left" w:pos="630"/>
          <w:tab w:val="left" w:pos="1080"/>
          <w:tab w:val="left" w:pos="1627"/>
          <w:tab w:val="left" w:pos="2160"/>
          <w:tab w:val="left" w:pos="2880"/>
        </w:tabs>
        <w:ind w:left="360"/>
        <w:rPr>
          <w:sz w:val="24"/>
          <w:szCs w:val="24"/>
        </w:rPr>
      </w:pPr>
      <w:r w:rsidRPr="000D4B27">
        <w:rPr>
          <w:color w:val="000000"/>
          <w:sz w:val="24"/>
          <w:szCs w:val="24"/>
        </w:rPr>
        <w:t xml:space="preserve">VA Form 20-10276 </w:t>
      </w:r>
      <w:r>
        <w:rPr>
          <w:color w:val="000000"/>
          <w:sz w:val="24"/>
          <w:szCs w:val="24"/>
        </w:rPr>
        <w:t>will be</w:t>
      </w:r>
      <w:r w:rsidRPr="000D4B27">
        <w:rPr>
          <w:color w:val="000000"/>
          <w:sz w:val="24"/>
          <w:szCs w:val="24"/>
        </w:rPr>
        <w:t xml:space="preserve"> available on the</w:t>
      </w:r>
      <w:r>
        <w:rPr>
          <w:color w:val="000000"/>
          <w:sz w:val="24"/>
          <w:szCs w:val="24"/>
        </w:rPr>
        <w:t xml:space="preserve"> VBA’s Personnel Security Office’s web-based program called the </w:t>
      </w:r>
      <w:r w:rsidRPr="00D00F69">
        <w:rPr>
          <w:color w:val="000000"/>
          <w:sz w:val="24"/>
          <w:szCs w:val="24"/>
        </w:rPr>
        <w:t>Personnel Security Investigation Portal (PSIP)</w:t>
      </w:r>
      <w:r>
        <w:rPr>
          <w:color w:val="000000"/>
          <w:sz w:val="24"/>
          <w:szCs w:val="24"/>
        </w:rPr>
        <w:t>.  This</w:t>
      </w:r>
      <w:r w:rsidRPr="00D00F69">
        <w:rPr>
          <w:color w:val="000000"/>
          <w:sz w:val="24"/>
          <w:szCs w:val="24"/>
        </w:rPr>
        <w:t xml:space="preserve"> is a Salesforce-enabled self-service portal for </w:t>
      </w:r>
      <w:r>
        <w:rPr>
          <w:color w:val="000000"/>
          <w:sz w:val="24"/>
          <w:szCs w:val="24"/>
        </w:rPr>
        <w:t>personnel security specialists</w:t>
      </w:r>
      <w:r w:rsidRPr="00D00F69">
        <w:rPr>
          <w:color w:val="000000"/>
          <w:sz w:val="24"/>
          <w:szCs w:val="24"/>
        </w:rPr>
        <w:t xml:space="preserve"> to </w:t>
      </w:r>
      <w:r>
        <w:rPr>
          <w:color w:val="000000"/>
          <w:sz w:val="24"/>
          <w:szCs w:val="24"/>
        </w:rPr>
        <w:t xml:space="preserve">receive and </w:t>
      </w:r>
      <w:r w:rsidRPr="00D00F69">
        <w:rPr>
          <w:color w:val="000000"/>
          <w:sz w:val="24"/>
          <w:szCs w:val="24"/>
        </w:rPr>
        <w:t xml:space="preserve">process </w:t>
      </w:r>
      <w:r>
        <w:rPr>
          <w:color w:val="000000"/>
          <w:sz w:val="24"/>
          <w:szCs w:val="24"/>
        </w:rPr>
        <w:t>b</w:t>
      </w:r>
      <w:r w:rsidRPr="00D00F69">
        <w:rPr>
          <w:color w:val="000000"/>
          <w:sz w:val="24"/>
          <w:szCs w:val="24"/>
        </w:rPr>
        <w:t xml:space="preserve">ackground </w:t>
      </w:r>
      <w:r>
        <w:rPr>
          <w:color w:val="000000"/>
          <w:sz w:val="24"/>
          <w:szCs w:val="24"/>
        </w:rPr>
        <w:t>i</w:t>
      </w:r>
      <w:r w:rsidRPr="00D00F69">
        <w:rPr>
          <w:color w:val="000000"/>
          <w:sz w:val="24"/>
          <w:szCs w:val="24"/>
        </w:rPr>
        <w:t xml:space="preserve">nvestigations for </w:t>
      </w:r>
      <w:r>
        <w:rPr>
          <w:color w:val="000000"/>
          <w:sz w:val="24"/>
          <w:szCs w:val="24"/>
        </w:rPr>
        <w:t>VBA C</w:t>
      </w:r>
      <w:r w:rsidRPr="00D00F69">
        <w:rPr>
          <w:color w:val="000000"/>
          <w:sz w:val="24"/>
          <w:szCs w:val="24"/>
        </w:rPr>
        <w:t>ontractors. It is an enterprise level solution built on a secure platform that is FedRAMP and 508 compliant and customized to meet VBA’s specific business needs</w:t>
      </w:r>
    </w:p>
    <w:p w:rsidRPr="00E52DD5" w:rsidR="00E52DD5" w:rsidP="00E52DD5" w:rsidRDefault="00E52DD5" w14:paraId="50A794EE" w14:textId="77777777">
      <w:pPr>
        <w:pStyle w:val="ListParagraph"/>
        <w:tabs>
          <w:tab w:val="left" w:pos="547"/>
          <w:tab w:val="left" w:pos="1080"/>
          <w:tab w:val="left" w:pos="1627"/>
          <w:tab w:val="left" w:pos="2160"/>
          <w:tab w:val="left" w:pos="2880"/>
        </w:tabs>
        <w:ind w:left="360"/>
        <w:rPr>
          <w:sz w:val="24"/>
          <w:szCs w:val="24"/>
        </w:rPr>
      </w:pPr>
    </w:p>
    <w:p w:rsidR="005E4CE3" w:rsidP="005E4CE3" w:rsidRDefault="005E4CE3" w14:paraId="62EE4D07" w14:textId="51A5525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007E49BC" w:rsidP="007E49BC" w:rsidRDefault="007E49BC" w14:paraId="4E55EEB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0D4B27" w:rsidR="007E49BC" w:rsidP="007E49BC" w:rsidRDefault="007E49BC" w14:paraId="77440E2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0D4B27">
        <w:rPr>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00310573" w:rsidP="00310573" w:rsidRDefault="00310573" w14:paraId="18AFDD4D" w14:textId="17D9908C">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7E49BC" w:rsidR="007E49BC" w:rsidP="007E49BC" w:rsidRDefault="007E49BC" w14:paraId="108B144B" w14:textId="77777777">
      <w:pPr>
        <w:tabs>
          <w:tab w:val="left" w:pos="547"/>
          <w:tab w:val="left" w:pos="1080"/>
          <w:tab w:val="left" w:pos="1627"/>
          <w:tab w:val="left" w:pos="2160"/>
          <w:tab w:val="left" w:pos="2880"/>
        </w:tabs>
        <w:rPr>
          <w:b/>
          <w:sz w:val="24"/>
          <w:szCs w:val="24"/>
        </w:rPr>
      </w:pPr>
    </w:p>
    <w:p w:rsidRPr="00C17C77" w:rsidR="00E36537" w:rsidP="00C17C77" w:rsidRDefault="007E49BC" w14:paraId="2973C1B7" w14:textId="78B33C68">
      <w:pPr>
        <w:tabs>
          <w:tab w:val="left" w:pos="480"/>
          <w:tab w:val="right" w:pos="8640"/>
        </w:tabs>
        <w:ind w:left="360" w:right="684"/>
        <w:rPr>
          <w:sz w:val="24"/>
        </w:rPr>
      </w:pPr>
      <w:r w:rsidRPr="007E49BC">
        <w:rPr>
          <w:bCs/>
          <w:sz w:val="24"/>
        </w:rPr>
        <w:t xml:space="preserve"> </w:t>
      </w:r>
      <w:r w:rsidRPr="000D4B27">
        <w:rPr>
          <w:bCs/>
          <w:sz w:val="24"/>
        </w:rPr>
        <w:t xml:space="preserve">VA 20-10276 </w:t>
      </w:r>
      <w:r w:rsidR="00425807">
        <w:rPr>
          <w:bCs/>
          <w:sz w:val="24"/>
        </w:rPr>
        <w:t xml:space="preserve">will be </w:t>
      </w:r>
      <w:r w:rsidRPr="000D4B27">
        <w:rPr>
          <w:bCs/>
          <w:sz w:val="24"/>
        </w:rPr>
        <w:t>used to gather the necessary information to determine eligibility for adjudicated background investigations so that the Contractor can receive a PIV Card to access VA systems</w:t>
      </w:r>
      <w:r w:rsidR="00425807">
        <w:rPr>
          <w:bCs/>
          <w:sz w:val="24"/>
        </w:rPr>
        <w:t xml:space="preserve">.  Without this information eligibility to receive a PIV Card to access VA systems cannot be given.  </w:t>
      </w:r>
      <w:r w:rsidRPr="001D52F4">
        <w:rPr>
          <w:bCs/>
          <w:sz w:val="24"/>
        </w:rPr>
        <w:t xml:space="preserve">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0F1C366B">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 xml:space="preserve">There is no special circumstance requiring collection in a manner inconsistent with 5 </w:t>
      </w:r>
      <w:r w:rsidR="0056552E">
        <w:rPr>
          <w:sz w:val="24"/>
          <w:szCs w:val="24"/>
        </w:rPr>
        <w:t>CFR Part</w:t>
      </w:r>
      <w:r w:rsidRPr="00726753">
        <w:rPr>
          <w:sz w:val="24"/>
          <w:szCs w:val="24"/>
        </w:rPr>
        <w:t xml:space="preserve"> </w:t>
      </w:r>
      <w:r w:rsidR="007E49BC">
        <w:rPr>
          <w:sz w:val="24"/>
          <w:szCs w:val="24"/>
        </w:rPr>
        <w:t>731</w:t>
      </w:r>
      <w:r w:rsidRPr="00726753">
        <w:rPr>
          <w:sz w:val="24"/>
          <w:szCs w:val="24"/>
        </w:rPr>
        <w:t xml:space="preserve">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E87FDC">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5769FA5C">
      <w:pPr>
        <w:pStyle w:val="ListParagraph"/>
        <w:tabs>
          <w:tab w:val="left" w:pos="547"/>
          <w:tab w:val="left" w:pos="1080"/>
          <w:tab w:val="left" w:pos="1627"/>
          <w:tab w:val="left" w:pos="2160"/>
          <w:tab w:val="left" w:pos="2880"/>
        </w:tabs>
        <w:ind w:left="360"/>
        <w:rPr>
          <w:b/>
          <w:sz w:val="24"/>
          <w:szCs w:val="24"/>
        </w:rPr>
      </w:pPr>
      <w:r w:rsidRPr="0095533E">
        <w:rPr>
          <w:sz w:val="24"/>
          <w:szCs w:val="24"/>
        </w:rPr>
        <w:t>The Department notice was published in the Federal Register on (Insert Date) (Volume___, No. ___)(page/pages) (Insert Page Number(s)).  (No or number)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lastRenderedPageBreak/>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Pr="00495C22" w:rsidR="00E36537" w:rsidP="64ED2074" w:rsidRDefault="00581C1C" w14:paraId="45CE1490" w14:textId="5C50AF0A">
      <w:pPr>
        <w:ind w:left="360"/>
        <w:rPr>
          <w:sz w:val="24"/>
          <w:szCs w:val="24"/>
          <w:highlight w:val="yellow"/>
        </w:rPr>
      </w:pPr>
      <w:r w:rsidRPr="64ED2074">
        <w:rPr>
          <w:sz w:val="24"/>
          <w:szCs w:val="24"/>
        </w:rPr>
        <w:t xml:space="preserve">The records are maintained in the appropriate Privacy Act System of Records identified as “Police and Security Records – VA (103VA07B)” as set forth in 67 FR 77737, dated December 19, 2002, </w:t>
      </w:r>
      <w:r w:rsidRPr="64ED2074" w:rsidR="0057258A">
        <w:rPr>
          <w:sz w:val="24"/>
          <w:szCs w:val="24"/>
        </w:rPr>
        <w:t xml:space="preserve">and last amended </w:t>
      </w:r>
      <w:r w:rsidR="00425807">
        <w:rPr>
          <w:sz w:val="24"/>
          <w:szCs w:val="24"/>
        </w:rPr>
        <w:t>at</w:t>
      </w:r>
      <w:r w:rsidRPr="64ED2074" w:rsidR="0057258A">
        <w:rPr>
          <w:sz w:val="24"/>
          <w:szCs w:val="24"/>
        </w:rPr>
        <w:t xml:space="preserve"> 73</w:t>
      </w:r>
      <w:r w:rsidR="00425807">
        <w:rPr>
          <w:sz w:val="24"/>
          <w:szCs w:val="24"/>
        </w:rPr>
        <w:t xml:space="preserve"> </w:t>
      </w:r>
      <w:r w:rsidRPr="64ED2074" w:rsidR="0057258A">
        <w:rPr>
          <w:sz w:val="24"/>
          <w:szCs w:val="24"/>
        </w:rPr>
        <w:t>FR 74580 (December 8, 2008).</w:t>
      </w:r>
    </w:p>
    <w:p w:rsidR="64ED2074" w:rsidP="64ED2074" w:rsidRDefault="64ED2074" w14:paraId="31EEE191" w14:textId="4131F038">
      <w:pPr>
        <w:ind w:left="360"/>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bookmarkStart w:name="_Hlk100146812" w:id="0"/>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A411DD" w:rsidR="003B6D49" w:rsidP="00310573" w:rsidRDefault="00E36537" w14:paraId="283C193F" w14:textId="59A34DF6">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7E49BC">
        <w:rPr>
          <w:sz w:val="24"/>
          <w:szCs w:val="24"/>
        </w:rPr>
        <w:t>5,000</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2E86E92E">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7E49BC">
        <w:rPr>
          <w:sz w:val="24"/>
          <w:szCs w:val="24"/>
        </w:rPr>
        <w:t xml:space="preserve">833 </w:t>
      </w:r>
      <w:r w:rsidRPr="00A411DD">
        <w:rPr>
          <w:sz w:val="24"/>
          <w:szCs w:val="24"/>
        </w:rPr>
        <w:t>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73160FA3">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7E49BC">
        <w:rPr>
          <w:sz w:val="24"/>
          <w:szCs w:val="24"/>
        </w:rPr>
        <w:t>10</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E49BC" w:rsidP="007E49BC" w:rsidRDefault="007E49BC" w14:paraId="41A6A570" w14:textId="1E57FC5C">
      <w:pPr>
        <w:pStyle w:val="ListParagraph"/>
        <w:numPr>
          <w:ilvl w:val="0"/>
          <w:numId w:val="8"/>
        </w:numPr>
        <w:tabs>
          <w:tab w:val="left" w:pos="480"/>
          <w:tab w:val="right" w:pos="720"/>
        </w:tabs>
        <w:ind w:right="684"/>
        <w:rPr>
          <w:sz w:val="24"/>
        </w:rPr>
      </w:pPr>
      <w:bookmarkStart w:name="_Hlk100146777" w:id="1"/>
      <w:r w:rsidRPr="000D4B27">
        <w:rPr>
          <w:sz w:val="24"/>
          <w:szCs w:val="24"/>
        </w:rPr>
        <w:t xml:space="preserve">The respondent population for </w:t>
      </w:r>
      <w:r w:rsidRPr="000D4B27">
        <w:rPr>
          <w:color w:val="000000"/>
          <w:sz w:val="24"/>
          <w:szCs w:val="24"/>
        </w:rPr>
        <w:t>VA Form 20-10276</w:t>
      </w:r>
      <w:r w:rsidRPr="000D4B27">
        <w:rPr>
          <w:sz w:val="24"/>
          <w:szCs w:val="24"/>
        </w:rPr>
        <w:t xml:space="preserve"> is composed of individuals who are </w:t>
      </w:r>
      <w:r>
        <w:rPr>
          <w:sz w:val="24"/>
          <w:szCs w:val="24"/>
        </w:rPr>
        <w:t>requesting that a background investigation be conducted</w:t>
      </w:r>
      <w:r w:rsidR="00EA0BDC">
        <w:rPr>
          <w:sz w:val="24"/>
          <w:szCs w:val="24"/>
        </w:rPr>
        <w:t xml:space="preserve"> so that a </w:t>
      </w:r>
      <w:r>
        <w:rPr>
          <w:sz w:val="24"/>
          <w:szCs w:val="24"/>
        </w:rPr>
        <w:t xml:space="preserve">determination </w:t>
      </w:r>
      <w:r w:rsidR="00EA0BDC">
        <w:rPr>
          <w:sz w:val="24"/>
          <w:szCs w:val="24"/>
        </w:rPr>
        <w:t xml:space="preserve">can be made on their eligibility for </w:t>
      </w:r>
      <w:r>
        <w:rPr>
          <w:sz w:val="24"/>
          <w:szCs w:val="24"/>
        </w:rPr>
        <w:t>p</w:t>
      </w:r>
      <w:r w:rsidR="00EA0BDC">
        <w:rPr>
          <w:sz w:val="24"/>
          <w:szCs w:val="24"/>
        </w:rPr>
        <w:t>hysical</w:t>
      </w:r>
      <w:r>
        <w:rPr>
          <w:sz w:val="24"/>
          <w:szCs w:val="24"/>
        </w:rPr>
        <w:t xml:space="preserve"> and or logical access to VA systems. </w:t>
      </w:r>
      <w:r w:rsidRPr="00A411DD">
        <w:rPr>
          <w:sz w:val="24"/>
          <w:szCs w:val="24"/>
        </w:rPr>
        <w:t xml:space="preserve"> VA cannot make further assumptions about 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E49BC" w:rsidP="007E49BC" w:rsidRDefault="007E49BC" w14:paraId="3125812C" w14:textId="77777777">
      <w:pPr>
        <w:tabs>
          <w:tab w:val="right" w:pos="720"/>
        </w:tabs>
        <w:ind w:left="720"/>
        <w:rPr>
          <w:sz w:val="24"/>
          <w:szCs w:val="24"/>
        </w:rPr>
      </w:pPr>
    </w:p>
    <w:p w:rsidR="001E2E15" w:rsidP="001E2E15" w:rsidRDefault="001E2E15" w14:paraId="784F1753" w14:textId="51E74245">
      <w:pPr>
        <w:tabs>
          <w:tab w:val="left" w:pos="480"/>
          <w:tab w:val="right" w:pos="8640"/>
          <w:tab w:val="left" w:pos="9504"/>
        </w:tabs>
        <w:ind w:left="720" w:right="54"/>
        <w:rPr>
          <w:sz w:val="24"/>
          <w:szCs w:val="24"/>
        </w:rPr>
      </w:pPr>
      <w:bookmarkStart w:name="_Hlk2954761" w:id="2"/>
      <w:r w:rsidRPr="00823C3C">
        <w:rPr>
          <w:sz w:val="24"/>
          <w:szCs w:val="24"/>
        </w:rPr>
        <w:t xml:space="preserve">The Bureau of Labor Statistics (BLS) gathers information on full-time wage and salary workers.  According to the latest available BLS data, the </w:t>
      </w:r>
      <w:r w:rsidRPr="007E49BC">
        <w:rPr>
          <w:sz w:val="24"/>
          <w:szCs w:val="24"/>
        </w:rPr>
        <w:t>mean hourly wage is $</w:t>
      </w:r>
      <w:r w:rsidRPr="007E49BC" w:rsidR="00DC0CDA">
        <w:rPr>
          <w:sz w:val="24"/>
          <w:szCs w:val="24"/>
        </w:rPr>
        <w:t>2</w:t>
      </w:r>
      <w:r w:rsidRPr="007E49BC" w:rsidR="00145314">
        <w:rPr>
          <w:sz w:val="24"/>
          <w:szCs w:val="24"/>
        </w:rPr>
        <w:t>8.01</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Pr>
            <w:rStyle w:val="Hyperlink"/>
            <w:sz w:val="24"/>
            <w:szCs w:val="24"/>
          </w:rPr>
          <w:t>https://www.bls.gov/oes/current/oes_nat.htm</w:t>
        </w:r>
      </w:hyperlink>
      <w:r>
        <w:t xml:space="preserve">.  </w:t>
      </w:r>
      <w:r>
        <w:rPr>
          <w:sz w:val="24"/>
          <w:szCs w:val="24"/>
        </w:rPr>
        <w:t xml:space="preserve"> </w:t>
      </w:r>
    </w:p>
    <w:p w:rsidRPr="00A5603E" w:rsidR="001E2E15" w:rsidP="001E2E15" w:rsidRDefault="001E2E15" w14:paraId="0D3EB6FA" w14:textId="77777777">
      <w:pPr>
        <w:tabs>
          <w:tab w:val="left" w:pos="480"/>
          <w:tab w:val="right" w:pos="8640"/>
          <w:tab w:val="left" w:pos="9504"/>
        </w:tabs>
        <w:ind w:left="720" w:right="54"/>
        <w:rPr>
          <w:sz w:val="24"/>
          <w:szCs w:val="24"/>
          <w:vertAlign w:val="subscript"/>
        </w:rPr>
      </w:pPr>
    </w:p>
    <w:p w:rsidRPr="00782C13" w:rsidR="001E2E15" w:rsidP="001E2E15" w:rsidRDefault="001E2E15" w14:paraId="39FE56FC" w14:textId="6D1000E2">
      <w:pPr>
        <w:pStyle w:val="NoSpacing"/>
        <w:ind w:left="720"/>
      </w:pPr>
      <w:r w:rsidRPr="00F174D2">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sidR="00AF3D66">
        <w:t>23,332.33</w:t>
      </w:r>
      <w:r w:rsidRPr="00F174D2">
        <w:t xml:space="preserve"> (</w:t>
      </w:r>
      <w:r w:rsidR="007E49BC">
        <w:t>833</w:t>
      </w:r>
      <w:r w:rsidRPr="00F174D2">
        <w:t xml:space="preserve"> burden hours x </w:t>
      </w:r>
      <w:r w:rsidRPr="007E49BC">
        <w:t>$</w:t>
      </w:r>
      <w:r w:rsidRPr="007E49BC" w:rsidR="00DC0CDA">
        <w:t>2</w:t>
      </w:r>
      <w:r w:rsidRPr="007E49BC" w:rsidR="00145314">
        <w:t>8.01</w:t>
      </w:r>
      <w:r w:rsidRPr="00F174D2">
        <w:t xml:space="preserve"> per hour). </w:t>
      </w:r>
      <w:bookmarkEnd w:id="1"/>
      <w:bookmarkEnd w:id="2"/>
      <w:r w:rsidRPr="00F174D2">
        <w:t xml:space="preserve"> </w:t>
      </w:r>
      <w:bookmarkEnd w:id="0"/>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3"/>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bookmarkStart w:name="_Hlk92179753" w:id="4"/>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15FCA551">
      <w:pPr>
        <w:tabs>
          <w:tab w:val="left" w:pos="480"/>
          <w:tab w:val="right" w:pos="8640"/>
        </w:tabs>
        <w:ind w:left="360" w:right="684"/>
        <w:rPr>
          <w:sz w:val="24"/>
        </w:rPr>
      </w:pPr>
      <w:r w:rsidRPr="00794474">
        <w:rPr>
          <w:sz w:val="24"/>
        </w:rPr>
        <w:t>Estimated Costs to the Federal Government:</w:t>
      </w:r>
    </w:p>
    <w:p w:rsidR="00E3211D" w:rsidP="00F54C17" w:rsidRDefault="00E3211D" w14:paraId="5E5ED5E9" w14:textId="77777777">
      <w:pPr>
        <w:tabs>
          <w:tab w:val="left" w:pos="480"/>
          <w:tab w:val="right" w:pos="8640"/>
        </w:tabs>
        <w:ind w:left="360" w:right="684"/>
        <w:rPr>
          <w:sz w:val="24"/>
        </w:rPr>
      </w:pPr>
    </w:p>
    <w:tbl>
      <w:tblPr>
        <w:tblW w:w="8730" w:type="dxa"/>
        <w:tblInd w:w="558" w:type="dxa"/>
        <w:tblLook w:val="04A0" w:firstRow="1" w:lastRow="0" w:firstColumn="1" w:lastColumn="0" w:noHBand="0" w:noVBand="1"/>
      </w:tblPr>
      <w:tblGrid>
        <w:gridCol w:w="878"/>
        <w:gridCol w:w="703"/>
        <w:gridCol w:w="804"/>
        <w:gridCol w:w="892"/>
        <w:gridCol w:w="1117"/>
        <w:gridCol w:w="1310"/>
        <w:gridCol w:w="976"/>
        <w:gridCol w:w="2050"/>
      </w:tblGrid>
      <w:tr w:rsidRPr="00E3211D" w:rsidR="00E3211D" w:rsidTr="003D0AC3" w14:paraId="148F91E5" w14:textId="77777777">
        <w:trPr>
          <w:trHeight w:val="585"/>
        </w:trPr>
        <w:tc>
          <w:tcPr>
            <w:tcW w:w="883" w:type="dxa"/>
            <w:tcBorders>
              <w:top w:val="single" w:color="auto" w:sz="8" w:space="0"/>
              <w:left w:val="single" w:color="auto" w:sz="8" w:space="0"/>
              <w:bottom w:val="single" w:color="auto" w:sz="8" w:space="0"/>
              <w:right w:val="single" w:color="auto" w:sz="8" w:space="0"/>
            </w:tcBorders>
            <w:shd w:val="clear" w:color="auto" w:fill="DBE5F1" w:themeFill="accent1" w:themeFillTint="33"/>
            <w:vAlign w:val="center"/>
            <w:hideMark/>
          </w:tcPr>
          <w:p w:rsidRPr="00E3211D" w:rsidR="00E3211D" w:rsidP="003D0AC3" w:rsidRDefault="00E3211D" w14:paraId="18D7AE62" w14:textId="77777777">
            <w:pPr>
              <w:jc w:val="center"/>
              <w:rPr>
                <w:color w:val="000000"/>
                <w:sz w:val="18"/>
                <w:szCs w:val="18"/>
              </w:rPr>
            </w:pPr>
            <w:r w:rsidRPr="00E3211D">
              <w:rPr>
                <w:color w:val="000000"/>
                <w:sz w:val="18"/>
                <w:szCs w:val="18"/>
              </w:rPr>
              <w:t>Grade</w:t>
            </w:r>
          </w:p>
        </w:tc>
        <w:tc>
          <w:tcPr>
            <w:tcW w:w="707" w:type="dxa"/>
            <w:tcBorders>
              <w:top w:val="single" w:color="auto" w:sz="8" w:space="0"/>
              <w:left w:val="nil"/>
              <w:bottom w:val="single" w:color="auto" w:sz="8" w:space="0"/>
              <w:right w:val="single" w:color="auto" w:sz="8" w:space="0"/>
            </w:tcBorders>
            <w:shd w:val="clear" w:color="auto" w:fill="DBE5F1" w:themeFill="accent1" w:themeFillTint="33"/>
            <w:vAlign w:val="center"/>
            <w:hideMark/>
          </w:tcPr>
          <w:p w:rsidRPr="00E3211D" w:rsidR="00E3211D" w:rsidP="003D0AC3" w:rsidRDefault="00E3211D" w14:paraId="25499362" w14:textId="77777777">
            <w:pPr>
              <w:jc w:val="center"/>
              <w:rPr>
                <w:color w:val="000000"/>
                <w:sz w:val="18"/>
                <w:szCs w:val="18"/>
              </w:rPr>
            </w:pPr>
            <w:r w:rsidRPr="00E3211D">
              <w:rPr>
                <w:color w:val="000000"/>
                <w:sz w:val="18"/>
                <w:szCs w:val="18"/>
              </w:rPr>
              <w:t>Step</w:t>
            </w:r>
          </w:p>
        </w:tc>
        <w:tc>
          <w:tcPr>
            <w:tcW w:w="805" w:type="dxa"/>
            <w:tcBorders>
              <w:top w:val="single" w:color="auto" w:sz="8" w:space="0"/>
              <w:left w:val="nil"/>
              <w:bottom w:val="single" w:color="auto" w:sz="8" w:space="0"/>
              <w:right w:val="single" w:color="auto" w:sz="8" w:space="0"/>
            </w:tcBorders>
            <w:shd w:val="clear" w:color="auto" w:fill="DBE5F1" w:themeFill="accent1" w:themeFillTint="33"/>
            <w:vAlign w:val="center"/>
            <w:hideMark/>
          </w:tcPr>
          <w:p w:rsidRPr="00E3211D" w:rsidR="00E3211D" w:rsidP="003D0AC3" w:rsidRDefault="00E3211D" w14:paraId="12A7EFC5" w14:textId="77777777">
            <w:pPr>
              <w:jc w:val="center"/>
              <w:rPr>
                <w:color w:val="000000"/>
                <w:sz w:val="18"/>
                <w:szCs w:val="18"/>
              </w:rPr>
            </w:pPr>
            <w:r w:rsidRPr="00E3211D">
              <w:rPr>
                <w:color w:val="000000"/>
                <w:sz w:val="18"/>
                <w:szCs w:val="18"/>
              </w:rPr>
              <w:t>Burden Time</w:t>
            </w:r>
          </w:p>
        </w:tc>
        <w:tc>
          <w:tcPr>
            <w:tcW w:w="894" w:type="dxa"/>
            <w:tcBorders>
              <w:top w:val="single" w:color="auto" w:sz="8" w:space="0"/>
              <w:left w:val="nil"/>
              <w:bottom w:val="single" w:color="auto" w:sz="8" w:space="0"/>
              <w:right w:val="single" w:color="auto" w:sz="8" w:space="0"/>
            </w:tcBorders>
            <w:shd w:val="clear" w:color="auto" w:fill="DBE5F1" w:themeFill="accent1" w:themeFillTint="33"/>
            <w:vAlign w:val="center"/>
            <w:hideMark/>
          </w:tcPr>
          <w:p w:rsidRPr="00E3211D" w:rsidR="00E3211D" w:rsidP="003D0AC3" w:rsidRDefault="00E3211D" w14:paraId="4FA611E3" w14:textId="77777777">
            <w:pPr>
              <w:jc w:val="center"/>
              <w:rPr>
                <w:color w:val="000000"/>
                <w:sz w:val="18"/>
                <w:szCs w:val="18"/>
              </w:rPr>
            </w:pPr>
            <w:r w:rsidRPr="00E3211D">
              <w:rPr>
                <w:color w:val="000000"/>
                <w:sz w:val="18"/>
                <w:szCs w:val="18"/>
              </w:rPr>
              <w:t>Fraction of Hour</w:t>
            </w:r>
          </w:p>
        </w:tc>
        <w:tc>
          <w:tcPr>
            <w:tcW w:w="1124" w:type="dxa"/>
            <w:tcBorders>
              <w:top w:val="single" w:color="auto" w:sz="8" w:space="0"/>
              <w:left w:val="nil"/>
              <w:bottom w:val="single" w:color="auto" w:sz="8" w:space="0"/>
              <w:right w:val="single" w:color="auto" w:sz="8" w:space="0"/>
            </w:tcBorders>
            <w:shd w:val="clear" w:color="auto" w:fill="DBE5F1" w:themeFill="accent1" w:themeFillTint="33"/>
            <w:vAlign w:val="center"/>
            <w:hideMark/>
          </w:tcPr>
          <w:p w:rsidRPr="00E3211D" w:rsidR="00E3211D" w:rsidP="003D0AC3" w:rsidRDefault="00E3211D" w14:paraId="31090995" w14:textId="77777777">
            <w:pPr>
              <w:jc w:val="center"/>
              <w:rPr>
                <w:color w:val="000000"/>
                <w:sz w:val="18"/>
                <w:szCs w:val="18"/>
              </w:rPr>
            </w:pPr>
            <w:r w:rsidRPr="00E3211D">
              <w:rPr>
                <w:color w:val="000000"/>
                <w:sz w:val="18"/>
                <w:szCs w:val="18"/>
              </w:rPr>
              <w:t>Hourly Rate</w:t>
            </w:r>
          </w:p>
        </w:tc>
        <w:tc>
          <w:tcPr>
            <w:tcW w:w="1319" w:type="dxa"/>
            <w:tcBorders>
              <w:top w:val="single" w:color="auto" w:sz="8" w:space="0"/>
              <w:left w:val="nil"/>
              <w:bottom w:val="single" w:color="auto" w:sz="8" w:space="0"/>
              <w:right w:val="single" w:color="auto" w:sz="8" w:space="0"/>
            </w:tcBorders>
            <w:shd w:val="clear" w:color="auto" w:fill="DBE5F1" w:themeFill="accent1" w:themeFillTint="33"/>
            <w:vAlign w:val="center"/>
            <w:hideMark/>
          </w:tcPr>
          <w:p w:rsidRPr="00E3211D" w:rsidR="00E3211D" w:rsidP="003D0AC3" w:rsidRDefault="00E3211D" w14:paraId="42C163FC" w14:textId="77777777">
            <w:pPr>
              <w:jc w:val="center"/>
              <w:rPr>
                <w:color w:val="000000"/>
                <w:sz w:val="18"/>
                <w:szCs w:val="18"/>
              </w:rPr>
            </w:pPr>
            <w:r w:rsidRPr="00E3211D">
              <w:rPr>
                <w:color w:val="000000"/>
                <w:sz w:val="18"/>
                <w:szCs w:val="18"/>
              </w:rPr>
              <w:t>Cost Per Response</w:t>
            </w:r>
          </w:p>
        </w:tc>
        <w:tc>
          <w:tcPr>
            <w:tcW w:w="928" w:type="dxa"/>
            <w:tcBorders>
              <w:top w:val="single" w:color="auto" w:sz="8" w:space="0"/>
              <w:left w:val="nil"/>
              <w:bottom w:val="single" w:color="auto" w:sz="8" w:space="0"/>
              <w:right w:val="single" w:color="auto" w:sz="8" w:space="0"/>
            </w:tcBorders>
            <w:shd w:val="clear" w:color="auto" w:fill="DBE5F1" w:themeFill="accent1" w:themeFillTint="33"/>
            <w:vAlign w:val="center"/>
            <w:hideMark/>
          </w:tcPr>
          <w:p w:rsidRPr="00E3211D" w:rsidR="00E3211D" w:rsidP="003D0AC3" w:rsidRDefault="00E3211D" w14:paraId="10257FA2" w14:textId="77777777">
            <w:pPr>
              <w:jc w:val="center"/>
              <w:rPr>
                <w:color w:val="000000"/>
                <w:sz w:val="18"/>
                <w:szCs w:val="18"/>
              </w:rPr>
            </w:pPr>
            <w:r w:rsidRPr="00E3211D">
              <w:rPr>
                <w:color w:val="000000"/>
                <w:sz w:val="18"/>
                <w:szCs w:val="18"/>
              </w:rPr>
              <w:t>Total Responses</w:t>
            </w:r>
          </w:p>
        </w:tc>
        <w:tc>
          <w:tcPr>
            <w:tcW w:w="2070" w:type="dxa"/>
            <w:tcBorders>
              <w:top w:val="single" w:color="auto" w:sz="8" w:space="0"/>
              <w:left w:val="nil"/>
              <w:bottom w:val="single" w:color="auto" w:sz="8" w:space="0"/>
              <w:right w:val="single" w:color="auto" w:sz="8" w:space="0"/>
            </w:tcBorders>
            <w:shd w:val="clear" w:color="auto" w:fill="DBE5F1" w:themeFill="accent1" w:themeFillTint="33"/>
            <w:vAlign w:val="center"/>
            <w:hideMark/>
          </w:tcPr>
          <w:p w:rsidRPr="00E3211D" w:rsidR="00E3211D" w:rsidP="003D0AC3" w:rsidRDefault="00E3211D" w14:paraId="099E2F77" w14:textId="77777777">
            <w:pPr>
              <w:jc w:val="center"/>
              <w:rPr>
                <w:color w:val="000000"/>
                <w:sz w:val="18"/>
                <w:szCs w:val="18"/>
              </w:rPr>
            </w:pPr>
            <w:r w:rsidRPr="00E3211D">
              <w:rPr>
                <w:color w:val="000000"/>
                <w:sz w:val="18"/>
                <w:szCs w:val="18"/>
              </w:rPr>
              <w:t>Total</w:t>
            </w:r>
          </w:p>
        </w:tc>
      </w:tr>
      <w:tr w:rsidRPr="00E3211D" w:rsidR="00E3211D" w:rsidTr="007F4953" w14:paraId="68BE48C7" w14:textId="77777777">
        <w:trPr>
          <w:trHeight w:val="300"/>
        </w:trPr>
        <w:tc>
          <w:tcPr>
            <w:tcW w:w="883"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00E3211D" w:rsidRDefault="007E49BC" w14:paraId="62DCB15E" w14:textId="7E675EE1">
            <w:pPr>
              <w:jc w:val="center"/>
              <w:rPr>
                <w:color w:val="000000"/>
                <w:sz w:val="22"/>
                <w:szCs w:val="22"/>
              </w:rPr>
            </w:pPr>
            <w:r>
              <w:rPr>
                <w:color w:val="000000"/>
                <w:sz w:val="22"/>
                <w:szCs w:val="22"/>
              </w:rPr>
              <w:t>11</w:t>
            </w:r>
          </w:p>
        </w:tc>
        <w:tc>
          <w:tcPr>
            <w:tcW w:w="707"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7E49BC" w14:paraId="478D3F4F" w14:textId="1A38CB71">
            <w:pPr>
              <w:jc w:val="center"/>
              <w:rPr>
                <w:color w:val="000000"/>
                <w:sz w:val="22"/>
                <w:szCs w:val="22"/>
              </w:rPr>
            </w:pPr>
            <w:r>
              <w:rPr>
                <w:color w:val="000000"/>
                <w:sz w:val="22"/>
                <w:szCs w:val="22"/>
              </w:rPr>
              <w:t>2</w:t>
            </w:r>
          </w:p>
        </w:tc>
        <w:tc>
          <w:tcPr>
            <w:tcW w:w="805"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10C2A393" w14:textId="77777777">
            <w:pPr>
              <w:jc w:val="center"/>
              <w:rPr>
                <w:color w:val="000000"/>
                <w:sz w:val="22"/>
                <w:szCs w:val="22"/>
              </w:rPr>
            </w:pPr>
            <w:r w:rsidRPr="00E3211D">
              <w:rPr>
                <w:color w:val="000000"/>
                <w:sz w:val="22"/>
                <w:szCs w:val="22"/>
              </w:rPr>
              <w:t>30</w:t>
            </w:r>
          </w:p>
        </w:tc>
        <w:tc>
          <w:tcPr>
            <w:tcW w:w="89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160A0B22" w14:textId="77777777">
            <w:pPr>
              <w:jc w:val="center"/>
              <w:rPr>
                <w:color w:val="000000"/>
                <w:sz w:val="22"/>
                <w:szCs w:val="22"/>
              </w:rPr>
            </w:pPr>
            <w:r w:rsidRPr="00E3211D">
              <w:rPr>
                <w:color w:val="000000"/>
                <w:sz w:val="22"/>
                <w:szCs w:val="22"/>
              </w:rPr>
              <w:t>0.50</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541318" w14:paraId="1A59CAD4" w14:textId="5A2A7ACA">
            <w:pPr>
              <w:jc w:val="center"/>
              <w:rPr>
                <w:color w:val="000000"/>
                <w:sz w:val="22"/>
                <w:szCs w:val="22"/>
              </w:rPr>
            </w:pPr>
            <w:r w:rsidRPr="007E49BC">
              <w:rPr>
                <w:color w:val="000000"/>
                <w:sz w:val="22"/>
                <w:szCs w:val="22"/>
              </w:rPr>
              <w:t>$</w:t>
            </w:r>
            <w:r w:rsidRPr="007E49BC" w:rsidR="007E49BC">
              <w:rPr>
                <w:color w:val="000000"/>
                <w:sz w:val="22"/>
                <w:szCs w:val="22"/>
              </w:rPr>
              <w:t>3</w:t>
            </w:r>
            <w:r w:rsidR="007E49BC">
              <w:rPr>
                <w:color w:val="000000"/>
                <w:sz w:val="22"/>
                <w:szCs w:val="22"/>
              </w:rPr>
              <w:t>7.11</w:t>
            </w:r>
          </w:p>
        </w:tc>
        <w:tc>
          <w:tcPr>
            <w:tcW w:w="1319"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7E49BC" w14:paraId="01C6F8B1" w14:textId="535EC9D4">
            <w:pPr>
              <w:jc w:val="center"/>
              <w:rPr>
                <w:color w:val="000000"/>
                <w:sz w:val="22"/>
                <w:szCs w:val="22"/>
              </w:rPr>
            </w:pPr>
            <w:r>
              <w:rPr>
                <w:color w:val="000000"/>
                <w:sz w:val="22"/>
                <w:szCs w:val="22"/>
              </w:rPr>
              <w:t>18</w:t>
            </w:r>
            <w:r w:rsidR="0056552E">
              <w:rPr>
                <w:color w:val="000000"/>
                <w:sz w:val="22"/>
                <w:szCs w:val="22"/>
              </w:rPr>
              <w:t>.</w:t>
            </w:r>
            <w:r>
              <w:rPr>
                <w:color w:val="000000"/>
                <w:sz w:val="22"/>
                <w:szCs w:val="22"/>
              </w:rPr>
              <w:t>555</w:t>
            </w:r>
          </w:p>
        </w:tc>
        <w:tc>
          <w:tcPr>
            <w:tcW w:w="928"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493F5154" w14:textId="6C1F5C4C">
            <w:pPr>
              <w:jc w:val="center"/>
              <w:rPr>
                <w:color w:val="000000"/>
                <w:sz w:val="22"/>
                <w:szCs w:val="22"/>
              </w:rPr>
            </w:pPr>
            <w:r w:rsidRPr="00E3211D">
              <w:rPr>
                <w:color w:val="000000"/>
                <w:sz w:val="22"/>
                <w:szCs w:val="22"/>
              </w:rPr>
              <w:t xml:space="preserve">        </w:t>
            </w:r>
            <w:r w:rsidR="007E49BC">
              <w:rPr>
                <w:color w:val="000000"/>
                <w:sz w:val="22"/>
                <w:szCs w:val="22"/>
              </w:rPr>
              <w:t>5,000</w:t>
            </w:r>
            <w:r w:rsidRPr="00E3211D">
              <w:rPr>
                <w:color w:val="000000"/>
                <w:sz w:val="22"/>
                <w:szCs w:val="22"/>
              </w:rPr>
              <w:t xml:space="preserve"> </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1D1FD1BF" w14:textId="0B61CA02">
            <w:pPr>
              <w:jc w:val="center"/>
              <w:rPr>
                <w:color w:val="000000"/>
                <w:sz w:val="22"/>
                <w:szCs w:val="22"/>
              </w:rPr>
            </w:pPr>
            <w:r w:rsidRPr="00E3211D">
              <w:rPr>
                <w:color w:val="000000"/>
                <w:sz w:val="22"/>
                <w:szCs w:val="22"/>
              </w:rPr>
              <w:t xml:space="preserve"> $      </w:t>
            </w:r>
            <w:r w:rsidR="007E49BC">
              <w:rPr>
                <w:color w:val="000000"/>
                <w:sz w:val="22"/>
                <w:szCs w:val="22"/>
              </w:rPr>
              <w:t>92,775.00</w:t>
            </w:r>
            <w:r w:rsidRPr="00E3211D">
              <w:rPr>
                <w:color w:val="000000"/>
                <w:sz w:val="22"/>
                <w:szCs w:val="22"/>
              </w:rPr>
              <w:t xml:space="preserve"> </w:t>
            </w:r>
          </w:p>
        </w:tc>
      </w:tr>
      <w:tr w:rsidRPr="00E3211D" w:rsidR="00E3211D" w:rsidTr="007F4953" w14:paraId="0B696B0D"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66FAE391" w14:textId="77777777">
            <w:pPr>
              <w:rPr>
                <w:color w:val="000000"/>
                <w:sz w:val="22"/>
                <w:szCs w:val="22"/>
              </w:rPr>
            </w:pPr>
            <w:r w:rsidRPr="00E3211D">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41F91362" w14:textId="1DEE7BB9">
            <w:pPr>
              <w:jc w:val="center"/>
              <w:rPr>
                <w:color w:val="000000"/>
                <w:sz w:val="22"/>
                <w:szCs w:val="22"/>
              </w:rPr>
            </w:pPr>
            <w:r w:rsidRPr="00E3211D">
              <w:rPr>
                <w:color w:val="000000"/>
                <w:sz w:val="22"/>
                <w:szCs w:val="22"/>
              </w:rPr>
              <w:t xml:space="preserve"> $      </w:t>
            </w:r>
            <w:r w:rsidR="007E49BC">
              <w:rPr>
                <w:color w:val="000000"/>
                <w:sz w:val="22"/>
                <w:szCs w:val="22"/>
              </w:rPr>
              <w:t>92,775.00</w:t>
            </w:r>
            <w:r w:rsidRPr="00E3211D">
              <w:rPr>
                <w:color w:val="000000"/>
                <w:sz w:val="22"/>
                <w:szCs w:val="22"/>
              </w:rPr>
              <w:t xml:space="preserve"> </w:t>
            </w:r>
          </w:p>
        </w:tc>
      </w:tr>
      <w:tr w:rsidRPr="00E3211D" w:rsidR="00E3211D" w:rsidTr="007F4953" w14:paraId="1EC7A8FE" w14:textId="77777777">
        <w:trPr>
          <w:trHeight w:val="300"/>
        </w:trPr>
        <w:tc>
          <w:tcPr>
            <w:tcW w:w="883"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007E49BC" w:rsidRDefault="007E49BC" w14:paraId="663C7A08" w14:textId="1D99CDC9">
            <w:pPr>
              <w:rPr>
                <w:color w:val="000000"/>
                <w:sz w:val="22"/>
                <w:szCs w:val="22"/>
              </w:rPr>
            </w:pPr>
            <w:r>
              <w:rPr>
                <w:color w:val="000000"/>
                <w:sz w:val="22"/>
                <w:szCs w:val="22"/>
              </w:rPr>
              <w:t xml:space="preserve">     12</w:t>
            </w:r>
          </w:p>
        </w:tc>
        <w:tc>
          <w:tcPr>
            <w:tcW w:w="707"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7E49BC" w14:paraId="39227A78" w14:textId="163687CC">
            <w:pPr>
              <w:jc w:val="center"/>
              <w:rPr>
                <w:color w:val="000000"/>
                <w:sz w:val="22"/>
                <w:szCs w:val="22"/>
              </w:rPr>
            </w:pPr>
            <w:r>
              <w:rPr>
                <w:color w:val="000000"/>
                <w:sz w:val="22"/>
                <w:szCs w:val="22"/>
              </w:rPr>
              <w:t>2</w:t>
            </w:r>
          </w:p>
        </w:tc>
        <w:tc>
          <w:tcPr>
            <w:tcW w:w="805"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7E49BC" w14:paraId="7AC12734" w14:textId="52E22B1E">
            <w:pPr>
              <w:jc w:val="center"/>
              <w:rPr>
                <w:color w:val="000000"/>
                <w:sz w:val="22"/>
                <w:szCs w:val="22"/>
              </w:rPr>
            </w:pPr>
            <w:r>
              <w:rPr>
                <w:color w:val="000000"/>
                <w:sz w:val="22"/>
                <w:szCs w:val="22"/>
              </w:rPr>
              <w:t>30</w:t>
            </w:r>
          </w:p>
        </w:tc>
        <w:tc>
          <w:tcPr>
            <w:tcW w:w="89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5F09FF62" w14:textId="34AF2923">
            <w:pPr>
              <w:jc w:val="center"/>
              <w:rPr>
                <w:color w:val="000000"/>
                <w:sz w:val="22"/>
                <w:szCs w:val="22"/>
              </w:rPr>
            </w:pPr>
            <w:r w:rsidRPr="00E3211D">
              <w:rPr>
                <w:color w:val="000000"/>
                <w:sz w:val="22"/>
                <w:szCs w:val="22"/>
              </w:rPr>
              <w:t>0.</w:t>
            </w:r>
            <w:r w:rsidR="00570A16">
              <w:rPr>
                <w:color w:val="000000"/>
                <w:sz w:val="22"/>
                <w:szCs w:val="22"/>
              </w:rPr>
              <w:t>50</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1D97386E" w14:textId="10E995A9">
            <w:pPr>
              <w:jc w:val="center"/>
              <w:rPr>
                <w:color w:val="000000"/>
                <w:sz w:val="22"/>
                <w:szCs w:val="22"/>
              </w:rPr>
            </w:pPr>
            <w:r w:rsidRPr="00E3211D">
              <w:rPr>
                <w:color w:val="000000"/>
                <w:sz w:val="22"/>
                <w:szCs w:val="22"/>
              </w:rPr>
              <w:t xml:space="preserve"> </w:t>
            </w:r>
            <w:r w:rsidR="007E49BC">
              <w:rPr>
                <w:color w:val="000000"/>
                <w:sz w:val="22"/>
                <w:szCs w:val="22"/>
              </w:rPr>
              <w:t>$4</w:t>
            </w:r>
            <w:r w:rsidR="00305203">
              <w:rPr>
                <w:color w:val="000000"/>
                <w:sz w:val="22"/>
                <w:szCs w:val="22"/>
              </w:rPr>
              <w:t>5</w:t>
            </w:r>
            <w:r w:rsidR="007E49BC">
              <w:rPr>
                <w:color w:val="000000"/>
                <w:sz w:val="22"/>
                <w:szCs w:val="22"/>
              </w:rPr>
              <w:t>.04</w:t>
            </w:r>
            <w:r w:rsidRPr="00E3211D">
              <w:rPr>
                <w:color w:val="000000"/>
                <w:sz w:val="22"/>
                <w:szCs w:val="22"/>
              </w:rPr>
              <w:t xml:space="preserve"> </w:t>
            </w:r>
          </w:p>
        </w:tc>
        <w:tc>
          <w:tcPr>
            <w:tcW w:w="1319" w:type="dxa"/>
            <w:tcBorders>
              <w:top w:val="nil"/>
              <w:left w:val="nil"/>
              <w:bottom w:val="single" w:color="auto" w:sz="4" w:space="0"/>
              <w:right w:val="single" w:color="auto" w:sz="4" w:space="0"/>
            </w:tcBorders>
            <w:shd w:val="clear" w:color="auto" w:fill="auto"/>
            <w:vAlign w:val="bottom"/>
            <w:hideMark/>
          </w:tcPr>
          <w:p w:rsidRPr="00E3211D" w:rsidR="00E3211D" w:rsidP="0056552E" w:rsidRDefault="0056552E" w14:paraId="4D5CA808" w14:textId="58658415">
            <w:pPr>
              <w:rPr>
                <w:color w:val="000000"/>
                <w:sz w:val="22"/>
                <w:szCs w:val="22"/>
              </w:rPr>
            </w:pPr>
            <w:r>
              <w:rPr>
                <w:color w:val="000000"/>
                <w:sz w:val="22"/>
                <w:szCs w:val="22"/>
              </w:rPr>
              <w:t xml:space="preserve">     2</w:t>
            </w:r>
            <w:r w:rsidR="00305203">
              <w:rPr>
                <w:color w:val="000000"/>
                <w:sz w:val="22"/>
                <w:szCs w:val="22"/>
              </w:rPr>
              <w:t>2.520</w:t>
            </w:r>
          </w:p>
        </w:tc>
        <w:tc>
          <w:tcPr>
            <w:tcW w:w="928"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76A70D19" w14:textId="0CEC3FC1">
            <w:pPr>
              <w:jc w:val="center"/>
              <w:rPr>
                <w:color w:val="000000"/>
                <w:sz w:val="22"/>
                <w:szCs w:val="22"/>
              </w:rPr>
            </w:pPr>
            <w:r w:rsidRPr="00E3211D">
              <w:rPr>
                <w:color w:val="000000"/>
                <w:sz w:val="22"/>
                <w:szCs w:val="22"/>
              </w:rPr>
              <w:t xml:space="preserve">        </w:t>
            </w:r>
            <w:r w:rsidR="007E49BC">
              <w:rPr>
                <w:color w:val="000000"/>
                <w:sz w:val="22"/>
                <w:szCs w:val="22"/>
              </w:rPr>
              <w:t>5,000</w:t>
            </w:r>
            <w:r w:rsidRPr="00E3211D">
              <w:rPr>
                <w:color w:val="000000"/>
                <w:sz w:val="22"/>
                <w:szCs w:val="22"/>
              </w:rPr>
              <w:t xml:space="preserve"> </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01AE8241" w14:textId="26612F39">
            <w:pPr>
              <w:jc w:val="center"/>
              <w:rPr>
                <w:color w:val="000000"/>
                <w:sz w:val="22"/>
                <w:szCs w:val="22"/>
              </w:rPr>
            </w:pPr>
            <w:r w:rsidRPr="00E3211D">
              <w:rPr>
                <w:color w:val="000000"/>
                <w:sz w:val="22"/>
                <w:szCs w:val="22"/>
              </w:rPr>
              <w:t xml:space="preserve"> $        </w:t>
            </w:r>
            <w:r w:rsidR="00A5603E">
              <w:rPr>
                <w:color w:val="000000"/>
                <w:sz w:val="22"/>
                <w:szCs w:val="22"/>
              </w:rPr>
              <w:t>1</w:t>
            </w:r>
            <w:r w:rsidR="00305203">
              <w:rPr>
                <w:color w:val="000000"/>
                <w:sz w:val="22"/>
                <w:szCs w:val="22"/>
              </w:rPr>
              <w:t>1</w:t>
            </w:r>
            <w:r w:rsidR="00A5603E">
              <w:rPr>
                <w:color w:val="000000"/>
                <w:sz w:val="22"/>
                <w:szCs w:val="22"/>
              </w:rPr>
              <w:t>2,600.00</w:t>
            </w:r>
            <w:r w:rsidRPr="00E3211D">
              <w:rPr>
                <w:color w:val="000000"/>
                <w:sz w:val="22"/>
                <w:szCs w:val="22"/>
              </w:rPr>
              <w:t xml:space="preserve"> </w:t>
            </w:r>
          </w:p>
        </w:tc>
      </w:tr>
      <w:tr w:rsidRPr="00E3211D" w:rsidR="00E3211D" w:rsidTr="007F4953" w14:paraId="2CCC3DAC"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6CAAE6A6" w14:textId="77777777">
            <w:pPr>
              <w:rPr>
                <w:color w:val="000000"/>
                <w:sz w:val="22"/>
                <w:szCs w:val="22"/>
              </w:rPr>
            </w:pPr>
            <w:r w:rsidRPr="00E3211D">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735F5EFE" w14:textId="1097F4DB">
            <w:pPr>
              <w:jc w:val="center"/>
              <w:rPr>
                <w:color w:val="000000"/>
                <w:sz w:val="22"/>
                <w:szCs w:val="22"/>
              </w:rPr>
            </w:pPr>
            <w:r w:rsidRPr="00E3211D">
              <w:rPr>
                <w:color w:val="000000"/>
                <w:sz w:val="22"/>
                <w:szCs w:val="22"/>
              </w:rPr>
              <w:t xml:space="preserve"> $        </w:t>
            </w:r>
            <w:r w:rsidR="00A5603E">
              <w:rPr>
                <w:color w:val="000000"/>
                <w:sz w:val="22"/>
                <w:szCs w:val="22"/>
              </w:rPr>
              <w:t>1</w:t>
            </w:r>
            <w:r w:rsidR="00305203">
              <w:rPr>
                <w:color w:val="000000"/>
                <w:sz w:val="22"/>
                <w:szCs w:val="22"/>
              </w:rPr>
              <w:t>1</w:t>
            </w:r>
            <w:r w:rsidR="00A5603E">
              <w:rPr>
                <w:color w:val="000000"/>
                <w:sz w:val="22"/>
                <w:szCs w:val="22"/>
              </w:rPr>
              <w:t>2,600</w:t>
            </w:r>
            <w:r w:rsidRPr="00E3211D">
              <w:rPr>
                <w:color w:val="000000"/>
                <w:sz w:val="22"/>
                <w:szCs w:val="22"/>
              </w:rPr>
              <w:t xml:space="preserve">.00 </w:t>
            </w:r>
          </w:p>
        </w:tc>
      </w:tr>
      <w:tr w:rsidRPr="00E3211D" w:rsidR="00E3211D" w:rsidTr="007F4953" w14:paraId="35B7D1A1" w14:textId="77777777">
        <w:trPr>
          <w:trHeight w:val="300"/>
        </w:trPr>
        <w:tc>
          <w:tcPr>
            <w:tcW w:w="883"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00E3211D" w:rsidRDefault="00570A16" w14:paraId="3266ABA7" w14:textId="26F7F9F7">
            <w:pPr>
              <w:jc w:val="center"/>
              <w:rPr>
                <w:color w:val="000000"/>
                <w:sz w:val="22"/>
                <w:szCs w:val="22"/>
              </w:rPr>
            </w:pPr>
            <w:r>
              <w:rPr>
                <w:color w:val="000000"/>
                <w:sz w:val="22"/>
                <w:szCs w:val="22"/>
              </w:rPr>
              <w:t>13</w:t>
            </w:r>
          </w:p>
        </w:tc>
        <w:tc>
          <w:tcPr>
            <w:tcW w:w="707" w:type="dxa"/>
            <w:tcBorders>
              <w:top w:val="nil"/>
              <w:left w:val="nil"/>
              <w:bottom w:val="single" w:color="auto" w:sz="4" w:space="0"/>
              <w:right w:val="single" w:color="auto" w:sz="4" w:space="0"/>
            </w:tcBorders>
            <w:shd w:val="clear" w:color="auto" w:fill="auto"/>
            <w:vAlign w:val="bottom"/>
            <w:hideMark/>
          </w:tcPr>
          <w:p w:rsidRPr="00E3211D" w:rsidR="00E3211D" w:rsidP="00570A16" w:rsidRDefault="00570A16" w14:paraId="27D3FA0A" w14:textId="72968D31">
            <w:pPr>
              <w:rPr>
                <w:color w:val="000000"/>
                <w:sz w:val="22"/>
                <w:szCs w:val="22"/>
              </w:rPr>
            </w:pPr>
            <w:r>
              <w:rPr>
                <w:color w:val="000000"/>
                <w:sz w:val="22"/>
                <w:szCs w:val="22"/>
              </w:rPr>
              <w:t xml:space="preserve">   2</w:t>
            </w:r>
          </w:p>
        </w:tc>
        <w:tc>
          <w:tcPr>
            <w:tcW w:w="805"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0A2C1958" w14:textId="77777777">
            <w:pPr>
              <w:jc w:val="center"/>
              <w:rPr>
                <w:color w:val="000000"/>
                <w:sz w:val="22"/>
                <w:szCs w:val="22"/>
              </w:rPr>
            </w:pPr>
            <w:r w:rsidRPr="00E3211D">
              <w:rPr>
                <w:color w:val="000000"/>
                <w:sz w:val="22"/>
                <w:szCs w:val="22"/>
              </w:rPr>
              <w:t>15</w:t>
            </w:r>
          </w:p>
        </w:tc>
        <w:tc>
          <w:tcPr>
            <w:tcW w:w="89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58D4F1ED" w14:textId="77777777">
            <w:pPr>
              <w:jc w:val="center"/>
              <w:rPr>
                <w:color w:val="000000"/>
                <w:sz w:val="22"/>
                <w:szCs w:val="22"/>
              </w:rPr>
            </w:pPr>
            <w:r w:rsidRPr="00E3211D">
              <w:rPr>
                <w:color w:val="000000"/>
                <w:sz w:val="22"/>
                <w:szCs w:val="22"/>
              </w:rPr>
              <w:t>0.25</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7C51EA55" w14:textId="41A4188B">
            <w:pPr>
              <w:jc w:val="center"/>
              <w:rPr>
                <w:color w:val="000000"/>
                <w:sz w:val="22"/>
                <w:szCs w:val="22"/>
              </w:rPr>
            </w:pPr>
            <w:r w:rsidRPr="00E3211D">
              <w:rPr>
                <w:color w:val="000000"/>
                <w:sz w:val="22"/>
                <w:szCs w:val="22"/>
              </w:rPr>
              <w:t xml:space="preserve"> </w:t>
            </w:r>
            <w:r w:rsidRPr="00570A16">
              <w:rPr>
                <w:color w:val="000000"/>
                <w:sz w:val="22"/>
                <w:szCs w:val="22"/>
              </w:rPr>
              <w:t>$</w:t>
            </w:r>
            <w:r w:rsidR="00305203">
              <w:rPr>
                <w:color w:val="000000"/>
                <w:sz w:val="22"/>
                <w:szCs w:val="22"/>
              </w:rPr>
              <w:t>54.60</w:t>
            </w:r>
            <w:r w:rsidRPr="00E3211D">
              <w:rPr>
                <w:color w:val="000000"/>
                <w:sz w:val="22"/>
                <w:szCs w:val="22"/>
              </w:rPr>
              <w:t xml:space="preserve"> </w:t>
            </w:r>
          </w:p>
        </w:tc>
        <w:tc>
          <w:tcPr>
            <w:tcW w:w="1319"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570A16" w14:paraId="6D97CBE4" w14:textId="49C42F15">
            <w:pPr>
              <w:jc w:val="center"/>
              <w:rPr>
                <w:color w:val="000000"/>
                <w:sz w:val="22"/>
                <w:szCs w:val="22"/>
              </w:rPr>
            </w:pPr>
            <w:r>
              <w:rPr>
                <w:color w:val="000000"/>
                <w:sz w:val="22"/>
                <w:szCs w:val="22"/>
              </w:rPr>
              <w:t>13.</w:t>
            </w:r>
            <w:r w:rsidR="00305203">
              <w:rPr>
                <w:color w:val="000000"/>
                <w:sz w:val="22"/>
                <w:szCs w:val="22"/>
              </w:rPr>
              <w:t>650</w:t>
            </w:r>
          </w:p>
        </w:tc>
        <w:tc>
          <w:tcPr>
            <w:tcW w:w="928" w:type="dxa"/>
            <w:tcBorders>
              <w:top w:val="nil"/>
              <w:left w:val="nil"/>
              <w:bottom w:val="single" w:color="auto" w:sz="4" w:space="0"/>
              <w:right w:val="single" w:color="auto" w:sz="4" w:space="0"/>
            </w:tcBorders>
            <w:shd w:val="clear" w:color="auto" w:fill="auto"/>
            <w:vAlign w:val="bottom"/>
            <w:hideMark/>
          </w:tcPr>
          <w:p w:rsidRPr="00E3211D" w:rsidR="00E3211D" w:rsidP="00E3211D" w:rsidRDefault="00E3211D" w14:paraId="7375E42F" w14:textId="624ABBD6">
            <w:pPr>
              <w:jc w:val="center"/>
              <w:rPr>
                <w:color w:val="000000"/>
                <w:sz w:val="22"/>
                <w:szCs w:val="22"/>
              </w:rPr>
            </w:pPr>
            <w:r w:rsidRPr="00E3211D">
              <w:rPr>
                <w:color w:val="000000"/>
                <w:sz w:val="22"/>
                <w:szCs w:val="22"/>
              </w:rPr>
              <w:t xml:space="preserve">        </w:t>
            </w:r>
            <w:r w:rsidR="00570A16">
              <w:rPr>
                <w:color w:val="000000"/>
                <w:sz w:val="22"/>
                <w:szCs w:val="22"/>
              </w:rPr>
              <w:t>5,000</w:t>
            </w:r>
            <w:r w:rsidRPr="00E3211D">
              <w:rPr>
                <w:color w:val="000000"/>
                <w:sz w:val="22"/>
                <w:szCs w:val="22"/>
              </w:rPr>
              <w:t xml:space="preserve"> </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0CBFD0BE" w14:textId="42B1BD0F">
            <w:pPr>
              <w:jc w:val="center"/>
              <w:rPr>
                <w:color w:val="000000"/>
                <w:sz w:val="22"/>
                <w:szCs w:val="22"/>
              </w:rPr>
            </w:pPr>
            <w:r w:rsidRPr="00E3211D">
              <w:rPr>
                <w:color w:val="000000"/>
                <w:sz w:val="22"/>
                <w:szCs w:val="22"/>
              </w:rPr>
              <w:t xml:space="preserve"> $        </w:t>
            </w:r>
            <w:r w:rsidR="00570A16">
              <w:rPr>
                <w:color w:val="000000"/>
                <w:sz w:val="22"/>
                <w:szCs w:val="22"/>
              </w:rPr>
              <w:t>6</w:t>
            </w:r>
            <w:r w:rsidR="00305203">
              <w:rPr>
                <w:color w:val="000000"/>
                <w:sz w:val="22"/>
                <w:szCs w:val="22"/>
              </w:rPr>
              <w:t>8,250.00</w:t>
            </w:r>
          </w:p>
        </w:tc>
      </w:tr>
      <w:tr w:rsidRPr="00E3211D" w:rsidR="00E3211D" w:rsidTr="007F4953" w14:paraId="6D984347"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67F1E7B3" w14:textId="77777777">
            <w:pPr>
              <w:rPr>
                <w:color w:val="000000"/>
                <w:sz w:val="22"/>
                <w:szCs w:val="22"/>
              </w:rPr>
            </w:pPr>
            <w:r w:rsidRPr="00E3211D">
              <w:rPr>
                <w:color w:val="000000"/>
                <w:sz w:val="22"/>
                <w:szCs w:val="22"/>
              </w:rPr>
              <w:t>Overhead at 100% Salary</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4652B28A" w14:textId="15CDC4C6">
            <w:pPr>
              <w:jc w:val="center"/>
              <w:rPr>
                <w:color w:val="000000"/>
                <w:sz w:val="22"/>
                <w:szCs w:val="22"/>
              </w:rPr>
            </w:pPr>
            <w:r w:rsidRPr="00E3211D">
              <w:rPr>
                <w:color w:val="000000"/>
                <w:sz w:val="22"/>
                <w:szCs w:val="22"/>
              </w:rPr>
              <w:t xml:space="preserve"> $        </w:t>
            </w:r>
            <w:r w:rsidR="00A5603E">
              <w:rPr>
                <w:color w:val="000000"/>
                <w:sz w:val="22"/>
                <w:szCs w:val="22"/>
              </w:rPr>
              <w:t>6</w:t>
            </w:r>
            <w:r w:rsidR="00305203">
              <w:rPr>
                <w:color w:val="000000"/>
                <w:sz w:val="22"/>
                <w:szCs w:val="22"/>
              </w:rPr>
              <w:t>8,250.00</w:t>
            </w:r>
          </w:p>
        </w:tc>
      </w:tr>
      <w:tr w:rsidRPr="00E3211D" w:rsidR="00E3211D" w:rsidTr="007F4953" w14:paraId="374AFC2D"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0559F142" w14:textId="77777777">
            <w:pPr>
              <w:jc w:val="center"/>
              <w:rPr>
                <w:color w:val="000000"/>
                <w:sz w:val="22"/>
                <w:szCs w:val="22"/>
              </w:rPr>
            </w:pPr>
            <w:r w:rsidRPr="00E3211D">
              <w:rPr>
                <w:color w:val="000000"/>
                <w:sz w:val="22"/>
                <w:szCs w:val="22"/>
              </w:rPr>
              <w:t> </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66892B32" w14:textId="77777777">
            <w:pPr>
              <w:jc w:val="center"/>
              <w:rPr>
                <w:color w:val="000000"/>
                <w:sz w:val="22"/>
                <w:szCs w:val="22"/>
              </w:rPr>
            </w:pPr>
            <w:r w:rsidRPr="00E3211D">
              <w:rPr>
                <w:color w:val="000000"/>
                <w:sz w:val="22"/>
                <w:szCs w:val="22"/>
              </w:rPr>
              <w:t> </w:t>
            </w:r>
          </w:p>
        </w:tc>
      </w:tr>
      <w:tr w:rsidRPr="00E3211D" w:rsidR="00E3211D" w:rsidTr="007F4953" w14:paraId="0101749D"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52B90A1C" w14:textId="77777777">
            <w:pPr>
              <w:rPr>
                <w:color w:val="000000"/>
                <w:sz w:val="22"/>
                <w:szCs w:val="22"/>
              </w:rPr>
            </w:pPr>
            <w:r w:rsidRPr="00E3211D">
              <w:rPr>
                <w:color w:val="000000"/>
                <w:sz w:val="22"/>
                <w:szCs w:val="22"/>
              </w:rPr>
              <w:t>Processing / Analyzing Costs</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1FC5C41E" w14:textId="51B622FF">
            <w:pPr>
              <w:jc w:val="center"/>
              <w:rPr>
                <w:color w:val="000000"/>
                <w:sz w:val="22"/>
                <w:szCs w:val="22"/>
              </w:rPr>
            </w:pPr>
            <w:r w:rsidRPr="00E3211D">
              <w:rPr>
                <w:color w:val="000000"/>
                <w:sz w:val="22"/>
                <w:szCs w:val="22"/>
              </w:rPr>
              <w:t xml:space="preserve"> $      </w:t>
            </w:r>
            <w:r w:rsidR="00A5603E">
              <w:rPr>
                <w:color w:val="000000"/>
                <w:sz w:val="22"/>
                <w:szCs w:val="22"/>
              </w:rPr>
              <w:t>5</w:t>
            </w:r>
            <w:r w:rsidR="00305203">
              <w:rPr>
                <w:color w:val="000000"/>
                <w:sz w:val="22"/>
                <w:szCs w:val="22"/>
              </w:rPr>
              <w:t>47,250</w:t>
            </w:r>
            <w:r w:rsidR="00A5603E">
              <w:rPr>
                <w:color w:val="000000"/>
                <w:sz w:val="22"/>
                <w:szCs w:val="22"/>
              </w:rPr>
              <w:t>.00</w:t>
            </w:r>
            <w:r w:rsidRPr="00E3211D">
              <w:rPr>
                <w:color w:val="000000"/>
                <w:sz w:val="22"/>
                <w:szCs w:val="22"/>
              </w:rPr>
              <w:t xml:space="preserve"> </w:t>
            </w:r>
          </w:p>
        </w:tc>
      </w:tr>
      <w:tr w:rsidRPr="00E3211D" w:rsidR="00E3211D" w:rsidTr="007F4953" w14:paraId="46F2CD81" w14:textId="77777777">
        <w:trPr>
          <w:trHeight w:val="289"/>
        </w:trPr>
        <w:tc>
          <w:tcPr>
            <w:tcW w:w="666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E3211D" w:rsidR="00E3211D" w:rsidP="00E3211D" w:rsidRDefault="00E3211D" w14:paraId="2FE369FA" w14:textId="77777777">
            <w:pPr>
              <w:rPr>
                <w:color w:val="000000"/>
                <w:sz w:val="22"/>
                <w:szCs w:val="22"/>
              </w:rPr>
            </w:pPr>
            <w:r w:rsidRPr="00E3211D">
              <w:rPr>
                <w:color w:val="000000"/>
                <w:sz w:val="22"/>
                <w:szCs w:val="22"/>
              </w:rPr>
              <w:t>Printing and Production Cost</w:t>
            </w:r>
          </w:p>
        </w:tc>
        <w:tc>
          <w:tcPr>
            <w:tcW w:w="2070" w:type="dxa"/>
            <w:tcBorders>
              <w:top w:val="nil"/>
              <w:left w:val="nil"/>
              <w:bottom w:val="single" w:color="auto" w:sz="4" w:space="0"/>
              <w:right w:val="single" w:color="auto" w:sz="8" w:space="0"/>
            </w:tcBorders>
            <w:shd w:val="clear" w:color="auto" w:fill="auto"/>
            <w:vAlign w:val="bottom"/>
            <w:hideMark/>
          </w:tcPr>
          <w:p w:rsidRPr="00E3211D" w:rsidR="00E3211D" w:rsidP="00E3211D" w:rsidRDefault="00E3211D" w14:paraId="4265657A" w14:textId="36EF102E">
            <w:pPr>
              <w:jc w:val="center"/>
              <w:rPr>
                <w:color w:val="000000"/>
                <w:sz w:val="22"/>
                <w:szCs w:val="22"/>
              </w:rPr>
            </w:pPr>
            <w:r w:rsidRPr="00E3211D">
              <w:rPr>
                <w:color w:val="000000"/>
                <w:sz w:val="22"/>
                <w:szCs w:val="22"/>
              </w:rPr>
              <w:t xml:space="preserve"> $          </w:t>
            </w:r>
            <w:r w:rsidR="00A5603E">
              <w:rPr>
                <w:color w:val="000000"/>
                <w:sz w:val="22"/>
                <w:szCs w:val="22"/>
              </w:rPr>
              <w:t>6,</w:t>
            </w:r>
            <w:r w:rsidR="00305203">
              <w:rPr>
                <w:color w:val="000000"/>
                <w:sz w:val="22"/>
                <w:szCs w:val="22"/>
              </w:rPr>
              <w:t>080</w:t>
            </w:r>
            <w:r w:rsidR="00A5603E">
              <w:rPr>
                <w:color w:val="000000"/>
                <w:sz w:val="22"/>
                <w:szCs w:val="22"/>
              </w:rPr>
              <w:t>.</w:t>
            </w:r>
            <w:r w:rsidR="00305203">
              <w:rPr>
                <w:color w:val="000000"/>
                <w:sz w:val="22"/>
                <w:szCs w:val="22"/>
              </w:rPr>
              <w:t>5</w:t>
            </w:r>
            <w:r w:rsidR="00A5603E">
              <w:rPr>
                <w:color w:val="000000"/>
                <w:sz w:val="22"/>
                <w:szCs w:val="22"/>
              </w:rPr>
              <w:t>6</w:t>
            </w:r>
          </w:p>
        </w:tc>
      </w:tr>
      <w:tr w:rsidRPr="00E3211D" w:rsidR="00E3211D" w:rsidTr="007F4953" w14:paraId="62CFF109" w14:textId="77777777">
        <w:trPr>
          <w:trHeight w:val="300"/>
        </w:trPr>
        <w:tc>
          <w:tcPr>
            <w:tcW w:w="666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E3211D" w:rsidR="00E3211D" w:rsidP="00E3211D" w:rsidRDefault="00E3211D" w14:paraId="6BC2975E" w14:textId="77777777">
            <w:pPr>
              <w:rPr>
                <w:color w:val="000000"/>
                <w:sz w:val="22"/>
                <w:szCs w:val="22"/>
              </w:rPr>
            </w:pPr>
            <w:r w:rsidRPr="00E3211D">
              <w:rPr>
                <w:color w:val="000000"/>
                <w:sz w:val="22"/>
                <w:szCs w:val="22"/>
              </w:rPr>
              <w:t>Total Cost to Government</w:t>
            </w:r>
          </w:p>
        </w:tc>
        <w:tc>
          <w:tcPr>
            <w:tcW w:w="2070" w:type="dxa"/>
            <w:tcBorders>
              <w:top w:val="nil"/>
              <w:left w:val="nil"/>
              <w:bottom w:val="single" w:color="auto" w:sz="8" w:space="0"/>
              <w:right w:val="single" w:color="auto" w:sz="8" w:space="0"/>
            </w:tcBorders>
            <w:shd w:val="clear" w:color="auto" w:fill="auto"/>
            <w:vAlign w:val="bottom"/>
            <w:hideMark/>
          </w:tcPr>
          <w:p w:rsidRPr="00E3211D" w:rsidR="00E3211D" w:rsidP="00E3211D" w:rsidRDefault="00E3211D" w14:paraId="2335D242" w14:textId="47D13FD1">
            <w:pPr>
              <w:jc w:val="center"/>
              <w:rPr>
                <w:color w:val="000000"/>
                <w:sz w:val="22"/>
                <w:szCs w:val="22"/>
              </w:rPr>
            </w:pPr>
            <w:r w:rsidRPr="00E3211D">
              <w:rPr>
                <w:color w:val="000000"/>
                <w:sz w:val="22"/>
                <w:szCs w:val="22"/>
              </w:rPr>
              <w:t xml:space="preserve"> $      </w:t>
            </w:r>
            <w:r w:rsidR="00A5603E">
              <w:rPr>
                <w:color w:val="000000"/>
                <w:sz w:val="22"/>
                <w:szCs w:val="22"/>
              </w:rPr>
              <w:t>5</w:t>
            </w:r>
            <w:r w:rsidR="00305203">
              <w:rPr>
                <w:color w:val="000000"/>
                <w:sz w:val="22"/>
                <w:szCs w:val="22"/>
              </w:rPr>
              <w:t>53,330.5</w:t>
            </w:r>
            <w:r w:rsidR="00A5603E">
              <w:rPr>
                <w:color w:val="000000"/>
                <w:sz w:val="22"/>
                <w:szCs w:val="22"/>
              </w:rPr>
              <w:t>6</w:t>
            </w:r>
            <w:r w:rsidRPr="00E3211D">
              <w:rPr>
                <w:color w:val="000000"/>
                <w:sz w:val="22"/>
                <w:szCs w:val="22"/>
              </w:rPr>
              <w:t xml:space="preserve">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3D0AC3" w:rsidP="003D0AC3" w:rsidRDefault="003D0AC3" w14:paraId="462C9A1C"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3D0AC3" w:rsidP="003D0AC3" w:rsidRDefault="003D0AC3" w14:paraId="3820ECDA" w14:textId="77777777">
      <w:pPr>
        <w:pStyle w:val="ListParagraph"/>
        <w:ind w:left="360" w:right="576"/>
        <w:rPr>
          <w:sz w:val="24"/>
          <w:szCs w:val="24"/>
        </w:rPr>
      </w:pPr>
    </w:p>
    <w:p w:rsidR="003D0AC3" w:rsidP="003D0AC3" w:rsidRDefault="003D0AC3" w14:paraId="622B4860" w14:textId="77777777">
      <w:pPr>
        <w:pStyle w:val="ListParagraph"/>
        <w:ind w:left="360" w:right="576"/>
        <w:rPr>
          <w:sz w:val="24"/>
          <w:szCs w:val="24"/>
        </w:rPr>
      </w:pPr>
      <w:r>
        <w:rPr>
          <w:sz w:val="24"/>
          <w:szCs w:val="24"/>
        </w:rPr>
        <w:t>Printing and production costs approximates the cost of printing this information collection per year.  (Processing/Analyzing Cost total divided by $90).</w:t>
      </w:r>
    </w:p>
    <w:p w:rsidR="003D0AC3" w:rsidP="003D0AC3" w:rsidRDefault="003D0AC3" w14:paraId="31847B45" w14:textId="77777777">
      <w:pPr>
        <w:pStyle w:val="ListParagraph"/>
        <w:ind w:left="0" w:right="576"/>
        <w:jc w:val="both"/>
        <w:rPr>
          <w:sz w:val="24"/>
          <w:szCs w:val="24"/>
        </w:rPr>
      </w:pPr>
    </w:p>
    <w:p w:rsidR="003D0AC3" w:rsidP="003D0AC3" w:rsidRDefault="003D0AC3" w14:paraId="4279CB3A" w14:textId="2EC2B483">
      <w:pPr>
        <w:ind w:left="360"/>
        <w:rPr>
          <w:sz w:val="24"/>
          <w:szCs w:val="24"/>
        </w:rPr>
      </w:pPr>
      <w:bookmarkStart w:name="_Hlk29579534" w:id="5"/>
      <w:r w:rsidRPr="00570A16">
        <w:rPr>
          <w:sz w:val="24"/>
          <w:szCs w:val="24"/>
        </w:rPr>
        <w:lastRenderedPageBreak/>
        <w:t>Note: The hourly wage information above is based on the hourly 202</w:t>
      </w:r>
      <w:r w:rsidRPr="00570A16" w:rsidR="00BA45CB">
        <w:rPr>
          <w:sz w:val="24"/>
          <w:szCs w:val="24"/>
        </w:rPr>
        <w:t>2</w:t>
      </w:r>
      <w:r w:rsidRPr="00570A16">
        <w:rPr>
          <w:sz w:val="24"/>
          <w:szCs w:val="24"/>
        </w:rPr>
        <w:t xml:space="preserve"> General Schedule (Base) Pay (</w:t>
      </w:r>
      <w:hyperlink w:history="1" r:id="rId12">
        <w:r w:rsidRPr="00570A16" w:rsidR="00BA45CB">
          <w:rPr>
            <w:rStyle w:val="Hyperlink"/>
            <w:sz w:val="24"/>
            <w:szCs w:val="24"/>
          </w:rPr>
          <w:t>SALARY TABLE 2022-GS (opm.gov)</w:t>
        </w:r>
      </w:hyperlink>
      <w:r w:rsidRPr="00570A16">
        <w:rPr>
          <w:sz w:val="24"/>
          <w:szCs w:val="24"/>
        </w:rPr>
        <w:t>). This rate does not include any locality adjustment as applicable.</w:t>
      </w:r>
    </w:p>
    <w:bookmarkEnd w:id="5"/>
    <w:p w:rsidR="003D0AC3" w:rsidP="003D0AC3" w:rsidRDefault="003D0AC3" w14:paraId="55763CA5" w14:textId="77777777">
      <w:pPr>
        <w:ind w:left="360"/>
        <w:rPr>
          <w:sz w:val="24"/>
          <w:szCs w:val="24"/>
        </w:rPr>
      </w:pPr>
    </w:p>
    <w:p w:rsidR="003D0AC3" w:rsidP="003D0AC3" w:rsidRDefault="003D0AC3" w14:paraId="34017835" w14:textId="69D81631">
      <w:pPr>
        <w:ind w:left="360" w:right="684"/>
        <w:rPr>
          <w:sz w:val="24"/>
          <w:szCs w:val="24"/>
        </w:rPr>
      </w:pPr>
      <w:r>
        <w:rPr>
          <w:sz w:val="24"/>
          <w:szCs w:val="24"/>
        </w:rPr>
        <w:t>The processing time estimates above are based on the actual amount of time employees of each grade level spend to process to completion a claim received on this form. The within-grade step (</w:t>
      </w:r>
      <w:r w:rsidR="00305203">
        <w:rPr>
          <w:sz w:val="24"/>
          <w:szCs w:val="24"/>
        </w:rPr>
        <w:t>2</w:t>
      </w:r>
      <w:r>
        <w:rPr>
          <w:sz w:val="24"/>
          <w:szCs w:val="24"/>
        </w:rPr>
        <w:t>) of each employee represents the average experience of employees within each grade.</w:t>
      </w:r>
    </w:p>
    <w:bookmarkEnd w:id="4"/>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00171C87" w:rsidP="00F54C17" w:rsidRDefault="00EA0BDC" w14:paraId="21D065B5" w14:textId="6E582543">
      <w:pPr>
        <w:pStyle w:val="OmniPage9"/>
        <w:tabs>
          <w:tab w:val="clear" w:pos="100"/>
          <w:tab w:val="clear" w:pos="9162"/>
          <w:tab w:val="left" w:pos="540"/>
          <w:tab w:val="left" w:pos="1080"/>
        </w:tabs>
        <w:ind w:left="360"/>
        <w:rPr>
          <w:bCs/>
          <w:sz w:val="24"/>
          <w:szCs w:val="24"/>
        </w:rPr>
      </w:pPr>
      <w:r>
        <w:rPr>
          <w:bCs/>
          <w:sz w:val="24"/>
          <w:szCs w:val="24"/>
        </w:rPr>
        <w:t xml:space="preserve">This is a </w:t>
      </w:r>
      <w:r w:rsidR="00425807">
        <w:rPr>
          <w:bCs/>
          <w:sz w:val="24"/>
          <w:szCs w:val="24"/>
        </w:rPr>
        <w:t>n</w:t>
      </w:r>
      <w:r>
        <w:rPr>
          <w:bCs/>
          <w:sz w:val="24"/>
          <w:szCs w:val="24"/>
        </w:rPr>
        <w:t xml:space="preserve">ew </w:t>
      </w:r>
      <w:r w:rsidR="00425807">
        <w:rPr>
          <w:bCs/>
          <w:sz w:val="24"/>
          <w:szCs w:val="24"/>
        </w:rPr>
        <w:t>c</w:t>
      </w:r>
      <w:r>
        <w:rPr>
          <w:bCs/>
          <w:sz w:val="24"/>
          <w:szCs w:val="24"/>
        </w:rPr>
        <w:t>ollection.</w:t>
      </w:r>
    </w:p>
    <w:p w:rsidRPr="00EA0BDC" w:rsidR="00EA0BDC" w:rsidP="00F54C17" w:rsidRDefault="00EA0BDC" w14:paraId="6A39F137" w14:textId="77777777">
      <w:pPr>
        <w:pStyle w:val="OmniPage9"/>
        <w:tabs>
          <w:tab w:val="clear" w:pos="100"/>
          <w:tab w:val="clear" w:pos="9162"/>
          <w:tab w:val="left" w:pos="540"/>
          <w:tab w:val="left" w:pos="1080"/>
        </w:tabs>
        <w:ind w:left="360"/>
        <w:rPr>
          <w:bCs/>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66B41CA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EA0BDC" w14:paraId="6DBCF4C3" w14:textId="4196A275">
      <w:pPr>
        <w:autoSpaceDE w:val="0"/>
        <w:autoSpaceDN w:val="0"/>
        <w:adjustRightInd w:val="0"/>
        <w:jc w:val="both"/>
        <w:rPr>
          <w:sz w:val="24"/>
          <w:szCs w:val="24"/>
        </w:rPr>
      </w:pPr>
      <w:r>
        <w:rPr>
          <w:sz w:val="24"/>
          <w:szCs w:val="24"/>
        </w:rPr>
        <w:t xml:space="preserve">      </w:t>
      </w:r>
      <w:r w:rsidRPr="00B449BB" w:rsidR="00D656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4DC3" w14:textId="77777777" w:rsidR="00BF006B" w:rsidRDefault="00BF006B" w:rsidP="00606AD2">
      <w:r>
        <w:separator/>
      </w:r>
    </w:p>
  </w:endnote>
  <w:endnote w:type="continuationSeparator" w:id="0">
    <w:p w14:paraId="7E81D871" w14:textId="77777777" w:rsidR="00BF006B" w:rsidRDefault="00BF006B"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F4F29" w14:textId="77777777" w:rsidR="00BF006B" w:rsidRDefault="00BF006B" w:rsidP="00606AD2">
      <w:r>
        <w:separator/>
      </w:r>
    </w:p>
  </w:footnote>
  <w:footnote w:type="continuationSeparator" w:id="0">
    <w:p w14:paraId="09F93973" w14:textId="77777777" w:rsidR="00BF006B" w:rsidRDefault="00BF006B"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E30" w14:textId="51CA63CB" w:rsidR="00F81B22" w:rsidRPr="00F81B22" w:rsidRDefault="00726753" w:rsidP="00F81B22">
    <w:pPr>
      <w:jc w:val="center"/>
      <w:rPr>
        <w:b/>
        <w:sz w:val="24"/>
        <w:szCs w:val="24"/>
      </w:rPr>
    </w:pPr>
    <w:r w:rsidRPr="00F81B22">
      <w:rPr>
        <w:sz w:val="24"/>
        <w:szCs w:val="24"/>
      </w:rPr>
      <w:t xml:space="preserve">Supporting Statement for VA Form </w:t>
    </w:r>
    <w:r w:rsidR="002A330A">
      <w:rPr>
        <w:sz w:val="24"/>
        <w:szCs w:val="24"/>
      </w:rPr>
      <w:t>20-1</w:t>
    </w:r>
    <w:r w:rsidR="0056552E">
      <w:rPr>
        <w:sz w:val="24"/>
        <w:szCs w:val="24"/>
      </w:rPr>
      <w:t>027</w:t>
    </w:r>
    <w:r w:rsidR="002A330A">
      <w:rPr>
        <w:sz w:val="24"/>
        <w:szCs w:val="24"/>
      </w:rPr>
      <w:t>6</w:t>
    </w:r>
    <w:r w:rsidR="00425807">
      <w:rPr>
        <w:sz w:val="24"/>
        <w:szCs w:val="24"/>
      </w:rPr>
      <w:t>,</w:t>
    </w:r>
  </w:p>
  <w:p w14:paraId="1A687DB3" w14:textId="5C6344E7" w:rsidR="00606AD2" w:rsidRDefault="0056552E" w:rsidP="00F81B22">
    <w:pPr>
      <w:jc w:val="center"/>
      <w:rPr>
        <w:sz w:val="24"/>
        <w:szCs w:val="24"/>
      </w:rPr>
    </w:pPr>
    <w:r>
      <w:rPr>
        <w:sz w:val="24"/>
        <w:szCs w:val="24"/>
      </w:rPr>
      <w:t xml:space="preserve">VBA Contractor </w:t>
    </w:r>
    <w:r w:rsidR="002A330A">
      <w:rPr>
        <w:sz w:val="24"/>
        <w:szCs w:val="24"/>
      </w:rPr>
      <w:t>Background Investigation Request</w:t>
    </w:r>
  </w:p>
  <w:p w14:paraId="675729CF" w14:textId="77777777" w:rsidR="00425807" w:rsidRPr="00F81B22" w:rsidRDefault="00425807" w:rsidP="00F81B22">
    <w:pPr>
      <w:jc w:val="center"/>
      <w:rPr>
        <w:b/>
        <w:sz w:val="24"/>
        <w:szCs w:val="24"/>
      </w:rPr>
    </w:pPr>
  </w:p>
  <w:p w14:paraId="75B0C283" w14:textId="6E04367C" w:rsidR="00726753" w:rsidRPr="00F81B22" w:rsidRDefault="00F81B22" w:rsidP="00F81B22">
    <w:pPr>
      <w:jc w:val="center"/>
      <w:rPr>
        <w:sz w:val="24"/>
        <w:szCs w:val="24"/>
      </w:rPr>
    </w:pPr>
    <w:r>
      <w:rPr>
        <w:sz w:val="24"/>
        <w:szCs w:val="24"/>
      </w:rPr>
      <w:t>OMB #</w:t>
    </w:r>
    <w:r w:rsidR="00726753" w:rsidRPr="00F81B22">
      <w:rPr>
        <w:sz w:val="24"/>
        <w:szCs w:val="24"/>
      </w:rPr>
      <w:t>2900-</w:t>
    </w:r>
    <w:r w:rsidR="00425807">
      <w:rPr>
        <w:sz w:val="24"/>
        <w:szCs w:val="24"/>
      </w:rPr>
      <w:t>NEW</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B0789"/>
    <w:rsid w:val="00142589"/>
    <w:rsid w:val="00145314"/>
    <w:rsid w:val="0016376A"/>
    <w:rsid w:val="00171C87"/>
    <w:rsid w:val="00174B1F"/>
    <w:rsid w:val="001968BC"/>
    <w:rsid w:val="001D52F4"/>
    <w:rsid w:val="001D6D11"/>
    <w:rsid w:val="001E2E15"/>
    <w:rsid w:val="00216351"/>
    <w:rsid w:val="00272B57"/>
    <w:rsid w:val="00295605"/>
    <w:rsid w:val="002A330A"/>
    <w:rsid w:val="00303259"/>
    <w:rsid w:val="00305203"/>
    <w:rsid w:val="00310573"/>
    <w:rsid w:val="00312610"/>
    <w:rsid w:val="003210D0"/>
    <w:rsid w:val="00334E84"/>
    <w:rsid w:val="00347A7B"/>
    <w:rsid w:val="003A209D"/>
    <w:rsid w:val="003B6D49"/>
    <w:rsid w:val="003B797D"/>
    <w:rsid w:val="003D0AC3"/>
    <w:rsid w:val="003F663E"/>
    <w:rsid w:val="00425807"/>
    <w:rsid w:val="0043068B"/>
    <w:rsid w:val="00430D02"/>
    <w:rsid w:val="00447F72"/>
    <w:rsid w:val="00486812"/>
    <w:rsid w:val="00495C22"/>
    <w:rsid w:val="004C6A11"/>
    <w:rsid w:val="004D3BF6"/>
    <w:rsid w:val="004E0438"/>
    <w:rsid w:val="0051524F"/>
    <w:rsid w:val="00517283"/>
    <w:rsid w:val="0053151A"/>
    <w:rsid w:val="0053466D"/>
    <w:rsid w:val="00541318"/>
    <w:rsid w:val="00547E0C"/>
    <w:rsid w:val="00563695"/>
    <w:rsid w:val="0056552E"/>
    <w:rsid w:val="00570A16"/>
    <w:rsid w:val="0057258A"/>
    <w:rsid w:val="00581C1C"/>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94474"/>
    <w:rsid w:val="007B7883"/>
    <w:rsid w:val="007D0781"/>
    <w:rsid w:val="007D14AB"/>
    <w:rsid w:val="007D2741"/>
    <w:rsid w:val="007E49BC"/>
    <w:rsid w:val="007F3759"/>
    <w:rsid w:val="007F4953"/>
    <w:rsid w:val="00823C3C"/>
    <w:rsid w:val="0084157F"/>
    <w:rsid w:val="00883B57"/>
    <w:rsid w:val="0089361A"/>
    <w:rsid w:val="008A68B3"/>
    <w:rsid w:val="008B76E8"/>
    <w:rsid w:val="008C254F"/>
    <w:rsid w:val="009135FA"/>
    <w:rsid w:val="0094691E"/>
    <w:rsid w:val="0095533E"/>
    <w:rsid w:val="00993FA5"/>
    <w:rsid w:val="009A5278"/>
    <w:rsid w:val="009B5624"/>
    <w:rsid w:val="009D1D80"/>
    <w:rsid w:val="009E3506"/>
    <w:rsid w:val="00A073C3"/>
    <w:rsid w:val="00A21543"/>
    <w:rsid w:val="00A22565"/>
    <w:rsid w:val="00A25D47"/>
    <w:rsid w:val="00A411DD"/>
    <w:rsid w:val="00A5603E"/>
    <w:rsid w:val="00AF3D66"/>
    <w:rsid w:val="00B03501"/>
    <w:rsid w:val="00B32D2A"/>
    <w:rsid w:val="00B37719"/>
    <w:rsid w:val="00B40113"/>
    <w:rsid w:val="00B6651E"/>
    <w:rsid w:val="00B713C7"/>
    <w:rsid w:val="00B82974"/>
    <w:rsid w:val="00BA0556"/>
    <w:rsid w:val="00BA45CB"/>
    <w:rsid w:val="00BD7201"/>
    <w:rsid w:val="00BF006B"/>
    <w:rsid w:val="00C17C77"/>
    <w:rsid w:val="00C34486"/>
    <w:rsid w:val="00C47978"/>
    <w:rsid w:val="00C75126"/>
    <w:rsid w:val="00CA350A"/>
    <w:rsid w:val="00CA418A"/>
    <w:rsid w:val="00CA7E43"/>
    <w:rsid w:val="00D20A37"/>
    <w:rsid w:val="00D656BB"/>
    <w:rsid w:val="00D7449F"/>
    <w:rsid w:val="00D944D7"/>
    <w:rsid w:val="00D94A38"/>
    <w:rsid w:val="00D975C9"/>
    <w:rsid w:val="00DC0CDA"/>
    <w:rsid w:val="00DD0140"/>
    <w:rsid w:val="00DD5D06"/>
    <w:rsid w:val="00E07541"/>
    <w:rsid w:val="00E3211D"/>
    <w:rsid w:val="00E36537"/>
    <w:rsid w:val="00E52DD5"/>
    <w:rsid w:val="00E87FDC"/>
    <w:rsid w:val="00E915F3"/>
    <w:rsid w:val="00E948A8"/>
    <w:rsid w:val="00EA0BDC"/>
    <w:rsid w:val="00EC2E2D"/>
    <w:rsid w:val="00ED4A5B"/>
    <w:rsid w:val="00F01D5F"/>
    <w:rsid w:val="00F458E2"/>
    <w:rsid w:val="00F47131"/>
    <w:rsid w:val="00F531B6"/>
    <w:rsid w:val="00F54C17"/>
    <w:rsid w:val="00F81B22"/>
    <w:rsid w:val="00F9546D"/>
    <w:rsid w:val="00FB23B0"/>
    <w:rsid w:val="00FD4DFF"/>
    <w:rsid w:val="00FD7F94"/>
    <w:rsid w:val="00FE73BA"/>
    <w:rsid w:val="1C682D16"/>
    <w:rsid w:val="25F5E6FF"/>
    <w:rsid w:val="394B9911"/>
    <w:rsid w:val="40413BA3"/>
    <w:rsid w:val="424A6DE9"/>
    <w:rsid w:val="575EA278"/>
    <w:rsid w:val="5CE20E8F"/>
    <w:rsid w:val="64ED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2022-05-25T18:28:00Z</dcterms:created>
  <dcterms:modified xsi:type="dcterms:W3CDTF">2022-05-25T18:28:00Z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