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0826" w:rsidR="00A72911" w:rsidP="004F448D" w:rsidRDefault="00F268A2" w14:paraId="6B7890F3" w14:textId="579C3E40">
      <w:pPr>
        <w:rPr>
          <w:b/>
          <w:sz w:val="22"/>
          <w:szCs w:val="22"/>
        </w:rPr>
      </w:pPr>
      <w:r w:rsidRPr="00D30826">
        <w:rPr>
          <w:b/>
          <w:sz w:val="22"/>
          <w:szCs w:val="22"/>
        </w:rPr>
        <w:t>Federal Communications Commission</w:t>
      </w:r>
    </w:p>
    <w:p w:rsidRPr="00D30826" w:rsidR="00F268A2" w:rsidP="004F448D" w:rsidRDefault="00F268A2" w14:paraId="0B5D9CA9" w14:textId="77777777">
      <w:pPr>
        <w:rPr>
          <w:b/>
          <w:sz w:val="22"/>
          <w:szCs w:val="22"/>
        </w:rPr>
      </w:pPr>
    </w:p>
    <w:p w:rsidRPr="00D30826" w:rsidR="004F7515" w:rsidP="004F7515" w:rsidRDefault="004F7515" w14:paraId="214FC5E7" w14:textId="77777777">
      <w:pPr>
        <w:rPr>
          <w:b/>
          <w:sz w:val="22"/>
          <w:szCs w:val="22"/>
        </w:rPr>
      </w:pPr>
    </w:p>
    <w:p w:rsidRPr="00D30826" w:rsidR="00F268A2" w:rsidP="004F7515" w:rsidRDefault="00F268A2" w14:paraId="0C6805D7" w14:textId="1C3E6D29">
      <w:pPr>
        <w:rPr>
          <w:b/>
          <w:sz w:val="22"/>
          <w:szCs w:val="22"/>
        </w:rPr>
      </w:pPr>
      <w:r w:rsidRPr="00D30826">
        <w:rPr>
          <w:b/>
          <w:sz w:val="22"/>
          <w:szCs w:val="22"/>
        </w:rPr>
        <w:t>Explanation of Non-Substantive Changes to</w:t>
      </w:r>
      <w:r w:rsidRPr="00D30826" w:rsidR="00672651">
        <w:rPr>
          <w:b/>
          <w:sz w:val="22"/>
          <w:szCs w:val="22"/>
        </w:rPr>
        <w:t xml:space="preserve"> OMB Control Number: 3060-</w:t>
      </w:r>
      <w:r w:rsidRPr="00D30826" w:rsidR="00C414B8">
        <w:rPr>
          <w:b/>
          <w:sz w:val="22"/>
          <w:szCs w:val="22"/>
        </w:rPr>
        <w:t>0936</w:t>
      </w:r>
      <w:r w:rsidRPr="00D30826">
        <w:rPr>
          <w:b/>
          <w:sz w:val="22"/>
          <w:szCs w:val="22"/>
        </w:rPr>
        <w:t>:</w:t>
      </w:r>
    </w:p>
    <w:p w:rsidRPr="00D30826" w:rsidR="00B21663" w:rsidP="0067241C" w:rsidRDefault="00B21663" w14:paraId="0DB4B132" w14:textId="4E8891EA">
      <w:pPr>
        <w:rPr>
          <w:sz w:val="22"/>
          <w:szCs w:val="22"/>
        </w:rPr>
      </w:pPr>
    </w:p>
    <w:p w:rsidRPr="00D30826" w:rsidR="00C414B8" w:rsidP="0067241C" w:rsidRDefault="00C414B8" w14:paraId="685299DE" w14:textId="27C91CB4">
      <w:pPr>
        <w:rPr>
          <w:sz w:val="22"/>
          <w:szCs w:val="22"/>
        </w:rPr>
      </w:pPr>
      <w:r w:rsidRPr="00D30826">
        <w:rPr>
          <w:sz w:val="22"/>
          <w:szCs w:val="22"/>
        </w:rPr>
        <w:t>Labeling and Recordkeeping Requirements for MedRadio Equipment</w:t>
      </w:r>
    </w:p>
    <w:p w:rsidRPr="00D30826" w:rsidR="00F268A2" w:rsidP="004F7515" w:rsidRDefault="00F268A2" w14:paraId="4388B3B1" w14:textId="77777777">
      <w:pPr>
        <w:pBdr>
          <w:bottom w:val="single" w:color="auto" w:sz="12" w:space="1"/>
        </w:pBdr>
        <w:ind w:left="360"/>
        <w:rPr>
          <w:b/>
          <w:sz w:val="22"/>
          <w:szCs w:val="22"/>
        </w:rPr>
      </w:pPr>
    </w:p>
    <w:p w:rsidRPr="00D30826" w:rsidR="00F564B7" w:rsidP="004F448D" w:rsidRDefault="00F564B7" w14:paraId="6E625741" w14:textId="77777777">
      <w:pPr>
        <w:rPr>
          <w:sz w:val="22"/>
          <w:szCs w:val="22"/>
        </w:rPr>
      </w:pPr>
    </w:p>
    <w:p w:rsidRPr="00D30826" w:rsidR="00C57FE3" w:rsidP="00C414B8" w:rsidRDefault="00A81230" w14:paraId="6650330C" w14:textId="3A2EFFDF">
      <w:pPr>
        <w:rPr>
          <w:sz w:val="22"/>
          <w:szCs w:val="22"/>
        </w:rPr>
      </w:pPr>
      <w:r w:rsidRPr="00D30826">
        <w:rPr>
          <w:b/>
          <w:sz w:val="22"/>
          <w:szCs w:val="22"/>
        </w:rPr>
        <w:t>Purpose of this Submission:</w:t>
      </w:r>
      <w:r w:rsidRPr="00D30826">
        <w:rPr>
          <w:sz w:val="22"/>
          <w:szCs w:val="22"/>
        </w:rPr>
        <w:t xml:space="preserve"> </w:t>
      </w:r>
      <w:r w:rsidRPr="00D30826" w:rsidR="00DD1F0F">
        <w:rPr>
          <w:sz w:val="22"/>
          <w:szCs w:val="22"/>
        </w:rPr>
        <w:t xml:space="preserve">This </w:t>
      </w:r>
      <w:r w:rsidR="008121FD">
        <w:rPr>
          <w:sz w:val="22"/>
          <w:szCs w:val="22"/>
        </w:rPr>
        <w:t xml:space="preserve">is a </w:t>
      </w:r>
      <w:r w:rsidRPr="00D30826" w:rsidR="00DD1F0F">
        <w:rPr>
          <w:sz w:val="22"/>
          <w:szCs w:val="22"/>
        </w:rPr>
        <w:t xml:space="preserve">submission </w:t>
      </w:r>
      <w:r w:rsidR="008121FD">
        <w:rPr>
          <w:sz w:val="22"/>
          <w:szCs w:val="22"/>
        </w:rPr>
        <w:t>for a</w:t>
      </w:r>
      <w:r w:rsidR="00AB300F">
        <w:rPr>
          <w:sz w:val="22"/>
          <w:szCs w:val="22"/>
        </w:rPr>
        <w:t xml:space="preserve"> </w:t>
      </w:r>
      <w:r w:rsidRPr="00D30826" w:rsidR="005F639B">
        <w:rPr>
          <w:sz w:val="22"/>
          <w:szCs w:val="22"/>
        </w:rPr>
        <w:t>non-substantive</w:t>
      </w:r>
      <w:r w:rsidR="00AB300F">
        <w:rPr>
          <w:sz w:val="22"/>
          <w:szCs w:val="22"/>
        </w:rPr>
        <w:t xml:space="preserve"> change </w:t>
      </w:r>
      <w:r w:rsidR="008121FD">
        <w:rPr>
          <w:sz w:val="22"/>
          <w:szCs w:val="22"/>
        </w:rPr>
        <w:t xml:space="preserve">request submission </w:t>
      </w:r>
      <w:r w:rsidRPr="00D30826" w:rsidR="00DD1F0F">
        <w:rPr>
          <w:sz w:val="22"/>
          <w:szCs w:val="22"/>
        </w:rPr>
        <w:t xml:space="preserve">to an existing information collection pursuant to 44 U.S.C. § 3507.  This submission seeks to </w:t>
      </w:r>
      <w:r w:rsidRPr="00D30826" w:rsidR="00C57FE3">
        <w:rPr>
          <w:sz w:val="22"/>
          <w:szCs w:val="22"/>
        </w:rPr>
        <w:t>submit a non-substantive change request for</w:t>
      </w:r>
      <w:r w:rsidRPr="00D30826" w:rsidR="00DD1F0F">
        <w:rPr>
          <w:sz w:val="22"/>
          <w:szCs w:val="22"/>
        </w:rPr>
        <w:t xml:space="preserve"> </w:t>
      </w:r>
      <w:r w:rsidRPr="00D30826" w:rsidR="00C5096F">
        <w:rPr>
          <w:sz w:val="22"/>
          <w:szCs w:val="22"/>
        </w:rPr>
        <w:t xml:space="preserve">the </w:t>
      </w:r>
      <w:r w:rsidRPr="00D30826" w:rsidR="003C4318">
        <w:rPr>
          <w:sz w:val="22"/>
          <w:szCs w:val="22"/>
        </w:rPr>
        <w:t>l</w:t>
      </w:r>
      <w:r w:rsidRPr="00D30826" w:rsidR="00C414B8">
        <w:rPr>
          <w:sz w:val="22"/>
          <w:szCs w:val="22"/>
        </w:rPr>
        <w:t xml:space="preserve">abeling and </w:t>
      </w:r>
      <w:r w:rsidRPr="00D30826" w:rsidR="003C4318">
        <w:rPr>
          <w:sz w:val="22"/>
          <w:szCs w:val="22"/>
        </w:rPr>
        <w:t>r</w:t>
      </w:r>
      <w:r w:rsidRPr="00D30826" w:rsidR="00C414B8">
        <w:rPr>
          <w:sz w:val="22"/>
          <w:szCs w:val="22"/>
        </w:rPr>
        <w:t xml:space="preserve">ecordkeeping </w:t>
      </w:r>
      <w:r w:rsidRPr="00D30826" w:rsidR="003C4318">
        <w:rPr>
          <w:sz w:val="22"/>
          <w:szCs w:val="22"/>
        </w:rPr>
        <w:t>r</w:t>
      </w:r>
      <w:r w:rsidRPr="00D30826" w:rsidR="00C414B8">
        <w:rPr>
          <w:sz w:val="22"/>
          <w:szCs w:val="22"/>
        </w:rPr>
        <w:t xml:space="preserve">equirements for MedRadio Equipment </w:t>
      </w:r>
      <w:r w:rsidRPr="00D30826" w:rsidR="00C5096F">
        <w:rPr>
          <w:sz w:val="22"/>
          <w:szCs w:val="22"/>
        </w:rPr>
        <w:t>approved under OMB Control Number 3060-</w:t>
      </w:r>
      <w:r w:rsidRPr="00D30826" w:rsidR="00C414B8">
        <w:rPr>
          <w:sz w:val="22"/>
          <w:szCs w:val="22"/>
        </w:rPr>
        <w:t>0936</w:t>
      </w:r>
      <w:r w:rsidRPr="00D30826" w:rsidR="00C57FE3">
        <w:rPr>
          <w:sz w:val="22"/>
          <w:szCs w:val="22"/>
        </w:rPr>
        <w:t xml:space="preserve">.  This submission is being made because </w:t>
      </w:r>
      <w:r w:rsidRPr="00D30826" w:rsidR="00C414B8">
        <w:rPr>
          <w:sz w:val="22"/>
          <w:szCs w:val="22"/>
        </w:rPr>
        <w:t>the pertinent Title 47, Part 95 rules have been recodified under new section numbers without substantive change</w:t>
      </w:r>
      <w:r w:rsidR="008121FD">
        <w:rPr>
          <w:sz w:val="22"/>
          <w:szCs w:val="22"/>
        </w:rPr>
        <w:t>s</w:t>
      </w:r>
      <w:r w:rsidRPr="00D30826" w:rsidR="00C57FE3">
        <w:rPr>
          <w:sz w:val="22"/>
          <w:szCs w:val="22"/>
        </w:rPr>
        <w:t xml:space="preserve">.  This </w:t>
      </w:r>
      <w:r w:rsidRPr="00D30826" w:rsidR="00C414B8">
        <w:rPr>
          <w:sz w:val="22"/>
          <w:szCs w:val="22"/>
        </w:rPr>
        <w:t xml:space="preserve">recodification was in connection with a streamlining and renumbering of Part 95.  </w:t>
      </w:r>
    </w:p>
    <w:p w:rsidRPr="00D30826" w:rsidR="00F30422" w:rsidP="00F30422" w:rsidRDefault="00F30422" w14:paraId="20965314" w14:textId="77777777">
      <w:pPr>
        <w:pBdr>
          <w:bottom w:val="single" w:color="auto" w:sz="6" w:space="1"/>
        </w:pBdr>
        <w:rPr>
          <w:b/>
          <w:bCs/>
          <w:sz w:val="22"/>
          <w:szCs w:val="22"/>
        </w:rPr>
      </w:pPr>
    </w:p>
    <w:p w:rsidRPr="00D30826" w:rsidR="004A2B90" w:rsidP="00E96208" w:rsidRDefault="004A2B90" w14:paraId="22C10203" w14:textId="2DCAEA56">
      <w:pPr>
        <w:rPr>
          <w:b/>
          <w:sz w:val="22"/>
          <w:szCs w:val="22"/>
        </w:rPr>
      </w:pPr>
    </w:p>
    <w:p w:rsidRPr="00D30826" w:rsidR="00C16BF7" w:rsidP="005B7A62" w:rsidRDefault="00C16BF7" w14:paraId="5C8CAD19" w14:textId="5F028BFA">
      <w:pPr>
        <w:pStyle w:val="ListParagraph"/>
        <w:numPr>
          <w:ilvl w:val="0"/>
          <w:numId w:val="15"/>
        </w:numPr>
        <w:rPr>
          <w:bCs/>
          <w:sz w:val="22"/>
          <w:szCs w:val="22"/>
        </w:rPr>
      </w:pPr>
      <w:r w:rsidRPr="00D30826">
        <w:rPr>
          <w:bCs/>
          <w:sz w:val="22"/>
          <w:szCs w:val="22"/>
        </w:rPr>
        <w:t xml:space="preserve">The requirements that had been codified in Section 95.1215, </w:t>
      </w:r>
      <w:r w:rsidRPr="00D30826" w:rsidR="00D34A9B">
        <w:rPr>
          <w:bCs/>
          <w:sz w:val="22"/>
          <w:szCs w:val="22"/>
        </w:rPr>
        <w:t>Disclosure policies</w:t>
      </w:r>
      <w:r w:rsidRPr="00D30826">
        <w:rPr>
          <w:bCs/>
          <w:sz w:val="22"/>
          <w:szCs w:val="22"/>
        </w:rPr>
        <w:t xml:space="preserve">, paragraphs (b) and (c) are now codified in </w:t>
      </w:r>
      <w:r w:rsidRPr="008121FD">
        <w:rPr>
          <w:b/>
          <w:sz w:val="22"/>
          <w:szCs w:val="22"/>
        </w:rPr>
        <w:t>Section 95.2595</w:t>
      </w:r>
      <w:r w:rsidRPr="00D30826">
        <w:rPr>
          <w:bCs/>
          <w:sz w:val="22"/>
          <w:szCs w:val="22"/>
        </w:rPr>
        <w:t>, MedRadio disclosures, paragraphs (b) and (c)</w:t>
      </w:r>
      <w:r w:rsidRPr="00D30826" w:rsidR="005B7A62">
        <w:rPr>
          <w:bCs/>
          <w:sz w:val="22"/>
          <w:szCs w:val="22"/>
        </w:rPr>
        <w:t xml:space="preserve">, which </w:t>
      </w:r>
      <w:r w:rsidRPr="00D30826">
        <w:rPr>
          <w:bCs/>
          <w:sz w:val="22"/>
          <w:szCs w:val="22"/>
        </w:rPr>
        <w:t>state:</w:t>
      </w:r>
    </w:p>
    <w:p w:rsidRPr="00D30826" w:rsidR="00C16BF7" w:rsidP="00C16BF7" w:rsidRDefault="00C16BF7" w14:paraId="02D9178B" w14:textId="77777777">
      <w:pPr>
        <w:pStyle w:val="indent-1"/>
        <w:rPr>
          <w:sz w:val="22"/>
          <w:szCs w:val="22"/>
        </w:rPr>
      </w:pPr>
      <w:r w:rsidRPr="00D30826">
        <w:rPr>
          <w:rStyle w:val="paren"/>
          <w:sz w:val="22"/>
          <w:szCs w:val="22"/>
        </w:rPr>
        <w:t>(</w:t>
      </w:r>
      <w:r w:rsidRPr="00D30826">
        <w:rPr>
          <w:rStyle w:val="paragraph-hierarchy"/>
          <w:sz w:val="22"/>
          <w:szCs w:val="22"/>
        </w:rPr>
        <w:t>b</w:t>
      </w:r>
      <w:r w:rsidRPr="00D30826">
        <w:rPr>
          <w:rStyle w:val="paren"/>
          <w:sz w:val="22"/>
          <w:szCs w:val="22"/>
        </w:rPr>
        <w:t>)</w:t>
      </w:r>
      <w:r w:rsidRPr="00D30826">
        <w:rPr>
          <w:sz w:val="22"/>
          <w:szCs w:val="22"/>
        </w:rPr>
        <w:t xml:space="preserve"> For MedRadio transmitters operating in the 413-419 MHz, 426-432 MHz, 438-444 MHz and 451-457 MHz bands, the following statement applies: </w:t>
      </w:r>
    </w:p>
    <w:p w:rsidRPr="00D30826" w:rsidR="00C16BF7" w:rsidP="00C16BF7" w:rsidRDefault="00C16BF7" w14:paraId="5D68D6E8" w14:textId="21097370">
      <w:pPr>
        <w:pStyle w:val="NormalWeb"/>
        <w:rPr>
          <w:sz w:val="22"/>
          <w:szCs w:val="22"/>
        </w:rPr>
      </w:pPr>
      <w:r w:rsidRPr="00D30826">
        <w:rPr>
          <w:sz w:val="22"/>
          <w:szCs w:val="22"/>
        </w:rPr>
        <w:t>This transmitter is authorized by rule under the MedRadio Service (47 CFR part 95). This transmitter must not cause harmful interference to stations authorized to operate on a primary basis in the 413-419 MHz, 426-432 MHz, 438-444 MHz, and 451-457 MHz bands, and must accept interference that may be caused by such stations, including interference that may cause undesired operation. This transmitter shall be used only in accordance with the FCC Rules governing the MedRadio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Pr="00D30826" w:rsidR="00C16BF7" w:rsidP="00C16BF7" w:rsidRDefault="00C16BF7" w14:paraId="1A0970F5" w14:textId="77777777">
      <w:pPr>
        <w:pStyle w:val="indent-1"/>
        <w:rPr>
          <w:sz w:val="22"/>
          <w:szCs w:val="22"/>
        </w:rPr>
      </w:pPr>
      <w:r w:rsidRPr="00D30826">
        <w:rPr>
          <w:rStyle w:val="paren"/>
          <w:sz w:val="22"/>
          <w:szCs w:val="22"/>
        </w:rPr>
        <w:t>(</w:t>
      </w:r>
      <w:r w:rsidRPr="00D30826">
        <w:rPr>
          <w:rStyle w:val="paragraph-hierarchy"/>
          <w:sz w:val="22"/>
          <w:szCs w:val="22"/>
        </w:rPr>
        <w:t>c</w:t>
      </w:r>
      <w:r w:rsidRPr="00D30826">
        <w:rPr>
          <w:rStyle w:val="paren"/>
          <w:sz w:val="22"/>
          <w:szCs w:val="22"/>
        </w:rPr>
        <w:t>)</w:t>
      </w:r>
      <w:r w:rsidRPr="00D30826">
        <w:rPr>
          <w:sz w:val="22"/>
          <w:szCs w:val="22"/>
        </w:rPr>
        <w:t xml:space="preserve"> For MedRadio transmitters operating in the 2360-2400 MHz band, the following statement applies: </w:t>
      </w:r>
    </w:p>
    <w:p w:rsidRPr="00D30826" w:rsidR="00C16BF7" w:rsidP="00C16BF7" w:rsidRDefault="00C16BF7" w14:paraId="773F15FB" w14:textId="581A06DE">
      <w:pPr>
        <w:pStyle w:val="NormalWeb"/>
        <w:rPr>
          <w:sz w:val="22"/>
          <w:szCs w:val="22"/>
        </w:rPr>
      </w:pPr>
      <w:r w:rsidRPr="00D30826">
        <w:rPr>
          <w:sz w:val="22"/>
          <w:szCs w:val="22"/>
        </w:rPr>
        <w:t>This transmitter is authorized by rule under the MedRadio Service (47 CFR part 95). This transmitter must not cause harmful interference to stations authorized to operate on a primary basis in the 2360-2400 MHz band, and must accept interference that may be caused by such stations, including interference that may cause undesired operation. This transmitter shall be used only in accordance with the FCC Rules governing the MedRadio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Pr="00D30826" w:rsidR="00B54EC2" w:rsidP="00B54EC2" w:rsidRDefault="00B54EC2" w14:paraId="0F9E615C" w14:textId="1C907FAF">
      <w:pPr>
        <w:pStyle w:val="ListParagraph"/>
        <w:numPr>
          <w:ilvl w:val="0"/>
          <w:numId w:val="15"/>
        </w:numPr>
        <w:rPr>
          <w:sz w:val="22"/>
          <w:szCs w:val="22"/>
        </w:rPr>
      </w:pPr>
      <w:r w:rsidRPr="00D30826">
        <w:rPr>
          <w:bCs/>
          <w:sz w:val="22"/>
          <w:szCs w:val="22"/>
        </w:rPr>
        <w:t>The requirements that had been codified in Section 95.1217, Labeling requirement, are now codified in Section 95.25</w:t>
      </w:r>
      <w:r w:rsidR="00501017">
        <w:rPr>
          <w:bCs/>
          <w:sz w:val="22"/>
          <w:szCs w:val="22"/>
        </w:rPr>
        <w:t>9</w:t>
      </w:r>
      <w:r w:rsidRPr="00D30826">
        <w:rPr>
          <w:bCs/>
          <w:sz w:val="22"/>
          <w:szCs w:val="22"/>
        </w:rPr>
        <w:t xml:space="preserve">3, </w:t>
      </w:r>
      <w:proofErr w:type="spellStart"/>
      <w:r w:rsidRPr="00D30826">
        <w:rPr>
          <w:bCs/>
          <w:sz w:val="22"/>
          <w:szCs w:val="22"/>
        </w:rPr>
        <w:t>MedRadio</w:t>
      </w:r>
      <w:proofErr w:type="spellEnd"/>
      <w:r w:rsidRPr="00D30826">
        <w:rPr>
          <w:bCs/>
          <w:sz w:val="22"/>
          <w:szCs w:val="22"/>
        </w:rPr>
        <w:t xml:space="preserve"> labeling requirement, which states: </w:t>
      </w:r>
    </w:p>
    <w:p w:rsidRPr="00D30826" w:rsidR="00D30826" w:rsidP="00D30826" w:rsidRDefault="00D30826" w14:paraId="2781734F" w14:textId="66A86CDD">
      <w:pPr>
        <w:pStyle w:val="Heading2"/>
        <w:numPr>
          <w:ilvl w:val="0"/>
          <w:numId w:val="0"/>
        </w:numPr>
        <w:rPr>
          <w:szCs w:val="22"/>
        </w:rPr>
      </w:pPr>
      <w:r w:rsidRPr="00D30826">
        <w:rPr>
          <w:b w:val="0"/>
          <w:bCs/>
          <w:szCs w:val="22"/>
        </w:rPr>
        <w:t>§ 95.2593 MedRadio labeling requirements</w:t>
      </w:r>
      <w:r w:rsidRPr="00D30826">
        <w:rPr>
          <w:szCs w:val="22"/>
        </w:rPr>
        <w:t>.</w:t>
      </w:r>
    </w:p>
    <w:p w:rsidRPr="00D30826" w:rsidR="00D30826" w:rsidP="00D30826" w:rsidRDefault="00D30826" w14:paraId="2C3176DE" w14:textId="77777777">
      <w:pPr>
        <w:pStyle w:val="NormalWeb"/>
        <w:rPr>
          <w:sz w:val="22"/>
          <w:szCs w:val="22"/>
        </w:rPr>
      </w:pPr>
      <w:r w:rsidRPr="00D30826">
        <w:rPr>
          <w:sz w:val="22"/>
          <w:szCs w:val="22"/>
        </w:rPr>
        <w:t xml:space="preserve">MedRadio transmitters must be labeled in accordance with the requirements in this section. </w:t>
      </w:r>
    </w:p>
    <w:p w:rsidRPr="00D30826" w:rsidR="00D30826" w:rsidP="00D30826" w:rsidRDefault="00D30826" w14:paraId="00A9DBF9" w14:textId="2B01CA34">
      <w:pPr>
        <w:pStyle w:val="indent-1"/>
        <w:ind w:left="180"/>
        <w:rPr>
          <w:sz w:val="22"/>
          <w:szCs w:val="22"/>
        </w:rPr>
      </w:pPr>
      <w:r w:rsidRPr="00D30826">
        <w:rPr>
          <w:rStyle w:val="paren"/>
          <w:sz w:val="22"/>
          <w:szCs w:val="22"/>
        </w:rPr>
        <w:lastRenderedPageBreak/>
        <w:t>(</w:t>
      </w:r>
      <w:r w:rsidRPr="00D30826">
        <w:rPr>
          <w:rStyle w:val="paragraph-hierarchy"/>
          <w:sz w:val="22"/>
          <w:szCs w:val="22"/>
        </w:rPr>
        <w:t>a</w:t>
      </w:r>
      <w:r w:rsidRPr="00D30826">
        <w:rPr>
          <w:rStyle w:val="paren"/>
          <w:sz w:val="22"/>
          <w:szCs w:val="22"/>
        </w:rPr>
        <w:t>)</w:t>
      </w:r>
      <w:r w:rsidRPr="00D30826">
        <w:rPr>
          <w:sz w:val="22"/>
          <w:szCs w:val="22"/>
        </w:rPr>
        <w:t xml:space="preserve"> MedRadio programmer/control transmitters operating in the 401-406 MHz band shall be labeled as provided in part 2 of this chapter and shall bear the following statement in a conspicuous location on the device: </w:t>
      </w:r>
    </w:p>
    <w:p w:rsidRPr="00D30826" w:rsidR="00D30826" w:rsidP="00D30826" w:rsidRDefault="00D30826" w14:paraId="0F689136" w14:textId="77777777">
      <w:pPr>
        <w:pStyle w:val="NormalWeb"/>
        <w:rPr>
          <w:sz w:val="22"/>
          <w:szCs w:val="22"/>
        </w:rPr>
      </w:pPr>
      <w:r w:rsidRPr="00D30826">
        <w:rPr>
          <w:sz w:val="22"/>
          <w:szCs w:val="22"/>
        </w:rPr>
        <w:t>This device may not interfere with stations operating in the 400.150-406.000 MHz band in the Meteorological Aids, Meteorological Satellite, and Earth Exploration Satellite Services and must accept any interference received, including interference that may cause undesired operation.</w:t>
      </w:r>
    </w:p>
    <w:p w:rsidRPr="00D30826" w:rsidR="00D30826" w:rsidP="00D30826" w:rsidRDefault="00D30826" w14:paraId="39978F79" w14:textId="4C8A5CA0">
      <w:pPr>
        <w:pStyle w:val="indent-1"/>
        <w:ind w:left="180"/>
        <w:rPr>
          <w:sz w:val="22"/>
          <w:szCs w:val="22"/>
        </w:rPr>
      </w:pPr>
      <w:r w:rsidRPr="00D30826">
        <w:rPr>
          <w:rStyle w:val="paren"/>
          <w:sz w:val="22"/>
          <w:szCs w:val="22"/>
        </w:rPr>
        <w:t>(</w:t>
      </w:r>
      <w:r w:rsidRPr="00D30826">
        <w:rPr>
          <w:rStyle w:val="paragraph-hierarchy"/>
          <w:sz w:val="22"/>
          <w:szCs w:val="22"/>
        </w:rPr>
        <w:t>b</w:t>
      </w:r>
      <w:r w:rsidRPr="00D30826">
        <w:rPr>
          <w:rStyle w:val="paren"/>
          <w:sz w:val="22"/>
          <w:szCs w:val="22"/>
        </w:rPr>
        <w:t>)</w:t>
      </w:r>
      <w:r w:rsidRPr="00D30826">
        <w:rPr>
          <w:sz w:val="22"/>
          <w:szCs w:val="22"/>
        </w:rPr>
        <w:t xml:space="preserve"> MedRadio programmer/control transmitters operating in the 413-419 MHz, 426-432 MHz, 438-444 MHz, and 451-457 MHz bands shall be labeled as provided in part 2 of this chapter and shall bear the following statement in a conspicuous location on the device: </w:t>
      </w:r>
    </w:p>
    <w:p w:rsidRPr="00D30826" w:rsidR="00D30826" w:rsidP="00D30826" w:rsidRDefault="00D30826" w14:paraId="0667E58C" w14:textId="77777777">
      <w:pPr>
        <w:pStyle w:val="NormalWeb"/>
        <w:rPr>
          <w:sz w:val="22"/>
          <w:szCs w:val="22"/>
        </w:rPr>
      </w:pPr>
      <w:r w:rsidRPr="00D30826">
        <w:rPr>
          <w:sz w:val="22"/>
          <w:szCs w:val="22"/>
        </w:rPr>
        <w:t>This device may not interfere with stations authorized to operate on a primary basis in the 413-419 MHz, 426-432 MHz, 438-444 MHz, and 451-457 MHz bands, and must accept any interference received, including interference that may cause undesired operation.</w:t>
      </w:r>
    </w:p>
    <w:p w:rsidRPr="00D30826" w:rsidR="00D30826" w:rsidP="00D30826" w:rsidRDefault="00D30826" w14:paraId="5ADDD9B7" w14:textId="5213B129">
      <w:pPr>
        <w:pStyle w:val="indent-1"/>
        <w:ind w:left="180"/>
        <w:rPr>
          <w:sz w:val="22"/>
          <w:szCs w:val="22"/>
        </w:rPr>
      </w:pPr>
      <w:r w:rsidRPr="00D30826">
        <w:rPr>
          <w:rStyle w:val="paren"/>
          <w:sz w:val="22"/>
          <w:szCs w:val="22"/>
        </w:rPr>
        <w:t>(</w:t>
      </w:r>
      <w:r w:rsidRPr="00D30826">
        <w:rPr>
          <w:rStyle w:val="paragraph-hierarchy"/>
          <w:sz w:val="22"/>
          <w:szCs w:val="22"/>
        </w:rPr>
        <w:t>c</w:t>
      </w:r>
      <w:r w:rsidRPr="00D30826">
        <w:rPr>
          <w:rStyle w:val="paren"/>
          <w:sz w:val="22"/>
          <w:szCs w:val="22"/>
        </w:rPr>
        <w:t>)</w:t>
      </w:r>
      <w:r w:rsidRPr="00D30826">
        <w:rPr>
          <w:sz w:val="22"/>
          <w:szCs w:val="22"/>
        </w:rPr>
        <w:t xml:space="preserve"> MedRadio programmer/control transmitters operating in the 2360-2400 MHz band shall be labeled as provided in part 2 of this chapter and shall bear the following statement in a conspicuous location on the device: </w:t>
      </w:r>
    </w:p>
    <w:p w:rsidRPr="00D30826" w:rsidR="00D30826" w:rsidP="00D30826" w:rsidRDefault="00D30826" w14:paraId="0BF6219E" w14:textId="77777777">
      <w:pPr>
        <w:pStyle w:val="NormalWeb"/>
        <w:rPr>
          <w:sz w:val="22"/>
          <w:szCs w:val="22"/>
        </w:rPr>
      </w:pPr>
      <w:r w:rsidRPr="00D30826">
        <w:rPr>
          <w:sz w:val="22"/>
          <w:szCs w:val="22"/>
        </w:rPr>
        <w:t>This device may not interfere with stations authorized to operate on a primary basis in the 2360-2400 MHz band, and must accept any interference received, including interference that may cause undesired operation.</w:t>
      </w:r>
    </w:p>
    <w:p w:rsidRPr="00D30826" w:rsidR="00D30826" w:rsidP="00D30826" w:rsidRDefault="00D30826" w14:paraId="7C745F98" w14:textId="54BCFF2C">
      <w:pPr>
        <w:pStyle w:val="indent-1"/>
        <w:ind w:left="180"/>
        <w:rPr>
          <w:sz w:val="22"/>
          <w:szCs w:val="22"/>
        </w:rPr>
      </w:pPr>
      <w:r w:rsidRPr="00D30826">
        <w:rPr>
          <w:rStyle w:val="paren"/>
          <w:sz w:val="22"/>
          <w:szCs w:val="22"/>
        </w:rPr>
        <w:t>(</w:t>
      </w:r>
      <w:r w:rsidRPr="00D30826">
        <w:rPr>
          <w:rStyle w:val="paragraph-hierarchy"/>
          <w:sz w:val="22"/>
          <w:szCs w:val="22"/>
        </w:rPr>
        <w:t>d</w:t>
      </w:r>
      <w:r w:rsidRPr="00D30826">
        <w:rPr>
          <w:rStyle w:val="paren"/>
          <w:sz w:val="22"/>
          <w:szCs w:val="22"/>
        </w:rPr>
        <w:t>)</w:t>
      </w:r>
      <w:r w:rsidRPr="00D30826">
        <w:rPr>
          <w:sz w:val="22"/>
          <w:szCs w:val="22"/>
        </w:rPr>
        <w:t xml:space="preserve"> If it is not feasible to place the statement specified by paragraph (a), (b), or (c) of this section on the device, it may be placed in the instruction manual for the transmitter instead. </w:t>
      </w:r>
    </w:p>
    <w:p w:rsidRPr="00D30826" w:rsidR="00D30826" w:rsidP="00D30826" w:rsidRDefault="00D30826" w14:paraId="17844913" w14:textId="77777777">
      <w:pPr>
        <w:pStyle w:val="indent-1"/>
        <w:ind w:left="180"/>
        <w:rPr>
          <w:sz w:val="22"/>
          <w:szCs w:val="22"/>
        </w:rPr>
      </w:pPr>
      <w:r w:rsidRPr="00D30826">
        <w:rPr>
          <w:rStyle w:val="paren"/>
          <w:sz w:val="22"/>
          <w:szCs w:val="22"/>
        </w:rPr>
        <w:t>(</w:t>
      </w:r>
      <w:r w:rsidRPr="00D30826">
        <w:rPr>
          <w:rStyle w:val="paragraph-hierarchy"/>
          <w:sz w:val="22"/>
          <w:szCs w:val="22"/>
        </w:rPr>
        <w:t>e</w:t>
      </w:r>
      <w:r w:rsidRPr="00D30826">
        <w:rPr>
          <w:rStyle w:val="paren"/>
          <w:sz w:val="22"/>
          <w:szCs w:val="22"/>
        </w:rPr>
        <w:t>)</w:t>
      </w:r>
      <w:r w:rsidRPr="00D30826">
        <w:rPr>
          <w:sz w:val="22"/>
          <w:szCs w:val="22"/>
        </w:rPr>
        <w:t xml:space="preserve"> If a MedRadio programmer/control transmitter is constructed in two or more sections connected by wire and marketed together, the statement specified in this section is required to be affixed only to the main control unit. </w:t>
      </w:r>
    </w:p>
    <w:p w:rsidRPr="00D30826" w:rsidR="00D30826" w:rsidP="00D30826" w:rsidRDefault="00D30826" w14:paraId="48F4254F" w14:textId="4D8159C4">
      <w:pPr>
        <w:pStyle w:val="indent-1"/>
        <w:ind w:left="180"/>
        <w:rPr>
          <w:sz w:val="22"/>
          <w:szCs w:val="22"/>
        </w:rPr>
      </w:pPr>
      <w:r w:rsidRPr="00D30826">
        <w:rPr>
          <w:rStyle w:val="paren"/>
          <w:sz w:val="22"/>
          <w:szCs w:val="22"/>
        </w:rPr>
        <w:t>(</w:t>
      </w:r>
      <w:r w:rsidRPr="00D30826">
        <w:rPr>
          <w:rStyle w:val="paragraph-hierarchy"/>
          <w:sz w:val="22"/>
          <w:szCs w:val="22"/>
        </w:rPr>
        <w:t>f</w:t>
      </w:r>
      <w:r w:rsidRPr="00D30826">
        <w:rPr>
          <w:rStyle w:val="paren"/>
          <w:sz w:val="22"/>
          <w:szCs w:val="22"/>
        </w:rPr>
        <w:t>)</w:t>
      </w:r>
      <w:r w:rsidRPr="00D30826">
        <w:rPr>
          <w:sz w:val="22"/>
          <w:szCs w:val="22"/>
        </w:rPr>
        <w:t xml:space="preserve"> MedRadio transmitters shall be identified with a serial number on each device, except as noted in paragraphs (f)(1) and (2) of this section. </w:t>
      </w:r>
    </w:p>
    <w:p w:rsidRPr="00D30826" w:rsidR="00D30826" w:rsidP="00D30826" w:rsidRDefault="00D30826" w14:paraId="59482582" w14:textId="77777777">
      <w:pPr>
        <w:pStyle w:val="indent-2"/>
        <w:ind w:left="360"/>
        <w:rPr>
          <w:sz w:val="22"/>
          <w:szCs w:val="22"/>
        </w:rPr>
      </w:pPr>
      <w:r w:rsidRPr="00D30826">
        <w:rPr>
          <w:rStyle w:val="paren"/>
          <w:sz w:val="22"/>
          <w:szCs w:val="22"/>
        </w:rPr>
        <w:t>(</w:t>
      </w:r>
      <w:r w:rsidRPr="00D30826">
        <w:rPr>
          <w:rStyle w:val="paragraph-hierarchy"/>
          <w:sz w:val="22"/>
          <w:szCs w:val="22"/>
        </w:rPr>
        <w:t>1</w:t>
      </w:r>
      <w:r w:rsidRPr="00D30826">
        <w:rPr>
          <w:rStyle w:val="paren"/>
          <w:sz w:val="22"/>
          <w:szCs w:val="22"/>
        </w:rPr>
        <w:t>)</w:t>
      </w:r>
      <w:r w:rsidRPr="00D30826">
        <w:rPr>
          <w:sz w:val="22"/>
          <w:szCs w:val="22"/>
        </w:rPr>
        <w:t xml:space="preserve"> For MedRadio transmitters that operate in the 2360-2400 MHz band, only the programmer/control transmitter shall be identified with a serial number. </w:t>
      </w:r>
    </w:p>
    <w:p w:rsidRPr="00D30826" w:rsidR="00D30826" w:rsidP="00D30826" w:rsidRDefault="00D30826" w14:paraId="3FD3D5F3" w14:textId="013E29B8">
      <w:pPr>
        <w:pStyle w:val="indent-2"/>
        <w:ind w:left="360"/>
        <w:rPr>
          <w:sz w:val="22"/>
          <w:szCs w:val="22"/>
        </w:rPr>
      </w:pPr>
      <w:r w:rsidRPr="00D30826">
        <w:rPr>
          <w:rStyle w:val="paren"/>
          <w:sz w:val="22"/>
          <w:szCs w:val="22"/>
        </w:rPr>
        <w:t>(</w:t>
      </w:r>
      <w:r w:rsidRPr="00D30826">
        <w:rPr>
          <w:rStyle w:val="paragraph-hierarchy"/>
          <w:sz w:val="22"/>
          <w:szCs w:val="22"/>
        </w:rPr>
        <w:t>2</w:t>
      </w:r>
      <w:r w:rsidRPr="00D30826">
        <w:rPr>
          <w:rStyle w:val="paren"/>
          <w:sz w:val="22"/>
          <w:szCs w:val="22"/>
        </w:rPr>
        <w:t>)</w:t>
      </w:r>
      <w:r w:rsidRPr="00D30826">
        <w:rPr>
          <w:sz w:val="22"/>
          <w:szCs w:val="22"/>
        </w:rPr>
        <w:t xml:space="preserve"> The FCC ID number associated with a medical implant transmitter and the information required by § 2.925 of this chapter may be placed in the instruction manual for the transmitter and on the shipping container for the transmitter, in lieu of being placed directly on the transmitter. </w:t>
      </w:r>
    </w:p>
    <w:p w:rsidRPr="00D30826" w:rsidR="00B54EC2" w:rsidP="00C16BF7" w:rsidRDefault="00B54EC2" w14:paraId="6C341AAF" w14:textId="77777777">
      <w:pPr>
        <w:pStyle w:val="NormalWeb"/>
        <w:rPr>
          <w:sz w:val="22"/>
          <w:szCs w:val="22"/>
        </w:rPr>
      </w:pPr>
    </w:p>
    <w:p w:rsidRPr="00D30826" w:rsidR="00AF00C2" w:rsidP="00AF00C2" w:rsidRDefault="005B7A62" w14:paraId="370B80B3" w14:textId="45AF13F6">
      <w:pPr>
        <w:pStyle w:val="ListParagraph"/>
        <w:numPr>
          <w:ilvl w:val="0"/>
          <w:numId w:val="15"/>
        </w:numPr>
        <w:rPr>
          <w:sz w:val="22"/>
          <w:szCs w:val="22"/>
        </w:rPr>
      </w:pPr>
      <w:r w:rsidRPr="00D30826">
        <w:rPr>
          <w:bCs/>
          <w:sz w:val="22"/>
          <w:szCs w:val="22"/>
        </w:rPr>
        <w:t xml:space="preserve">The requirements that had been codified in Section 95.1225, Frequency coordinator requirements, are now codified in Section 95.2509, MBAN registration and frequency coordination, which </w:t>
      </w:r>
      <w:r w:rsidRPr="00D30826" w:rsidR="00D34A9B">
        <w:rPr>
          <w:bCs/>
          <w:sz w:val="22"/>
          <w:szCs w:val="22"/>
        </w:rPr>
        <w:t>states</w:t>
      </w:r>
      <w:r w:rsidRPr="00D30826">
        <w:rPr>
          <w:bCs/>
          <w:sz w:val="22"/>
          <w:szCs w:val="22"/>
        </w:rPr>
        <w:t>:</w:t>
      </w:r>
      <w:r w:rsidRPr="00D30826" w:rsidR="00AF00C2">
        <w:rPr>
          <w:bCs/>
          <w:sz w:val="22"/>
          <w:szCs w:val="22"/>
        </w:rPr>
        <w:t xml:space="preserve"> </w:t>
      </w:r>
    </w:p>
    <w:p w:rsidRPr="00D30826" w:rsidR="00AF00C2" w:rsidP="00AF00C2" w:rsidRDefault="00AF00C2" w14:paraId="55C01DC0" w14:textId="77777777">
      <w:pPr>
        <w:rPr>
          <w:rStyle w:val="paren"/>
          <w:sz w:val="22"/>
          <w:szCs w:val="22"/>
        </w:rPr>
      </w:pPr>
    </w:p>
    <w:p w:rsidRPr="00D30826" w:rsidR="00045829" w:rsidP="00B54EC2" w:rsidRDefault="00045829" w14:paraId="276E351E" w14:textId="6C0DF1D5">
      <w:pPr>
        <w:pStyle w:val="Heading2"/>
        <w:numPr>
          <w:ilvl w:val="0"/>
          <w:numId w:val="0"/>
        </w:numPr>
        <w:rPr>
          <w:b w:val="0"/>
          <w:bCs/>
          <w:szCs w:val="22"/>
        </w:rPr>
      </w:pPr>
      <w:r w:rsidRPr="00D30826">
        <w:rPr>
          <w:b w:val="0"/>
          <w:bCs/>
          <w:szCs w:val="22"/>
        </w:rPr>
        <w:lastRenderedPageBreak/>
        <w:t>§ 95.2509 MBAN registration and frequency coordination.</w:t>
      </w:r>
    </w:p>
    <w:p w:rsidRPr="00D30826" w:rsidR="00045829" w:rsidP="00045829" w:rsidRDefault="00045829" w14:paraId="49F8849B" w14:textId="77777777">
      <w:pPr>
        <w:pStyle w:val="NormalWeb"/>
        <w:rPr>
          <w:sz w:val="22"/>
          <w:szCs w:val="22"/>
        </w:rPr>
      </w:pPr>
      <w:r w:rsidRPr="00D30826">
        <w:rPr>
          <w:sz w:val="22"/>
          <w:szCs w:val="22"/>
        </w:rPr>
        <w:t xml:space="preserve">Operation of Medical Body Area Network (MBAN) devices is subject to the frequency coordination procedures in this section. </w:t>
      </w:r>
    </w:p>
    <w:p w:rsidRPr="00D30826" w:rsidR="00045829" w:rsidP="00045829" w:rsidRDefault="00045829" w14:paraId="5E041DCD" w14:textId="77777777">
      <w:pPr>
        <w:pStyle w:val="indent-1"/>
        <w:ind w:left="180"/>
        <w:rPr>
          <w:sz w:val="22"/>
          <w:szCs w:val="22"/>
        </w:rPr>
      </w:pPr>
      <w:r w:rsidRPr="00D30826">
        <w:rPr>
          <w:rStyle w:val="paren"/>
          <w:sz w:val="22"/>
          <w:szCs w:val="22"/>
        </w:rPr>
        <w:t>(</w:t>
      </w:r>
      <w:r w:rsidRPr="00D30826">
        <w:rPr>
          <w:rStyle w:val="paragraph-hierarchy"/>
          <w:sz w:val="22"/>
          <w:szCs w:val="22"/>
        </w:rPr>
        <w:t>a</w:t>
      </w:r>
      <w:r w:rsidRPr="00D30826">
        <w:rPr>
          <w:rStyle w:val="paren"/>
          <w:sz w:val="22"/>
          <w:szCs w:val="22"/>
        </w:rPr>
        <w:t>)</w:t>
      </w:r>
      <w:r w:rsidRPr="00D30826">
        <w:rPr>
          <w:sz w:val="22"/>
          <w:szCs w:val="22"/>
        </w:rPr>
        <w:t xml:space="preserve"> The FCC will designate a frequency coordinator(s) to manage the operation of medical body area networks by eligible health care facilities. </w:t>
      </w:r>
    </w:p>
    <w:p w:rsidRPr="00D30826" w:rsidR="00045829" w:rsidP="00045829" w:rsidRDefault="00045829" w14:paraId="5EF8261A" w14:textId="77777777">
      <w:pPr>
        <w:pStyle w:val="indent-1"/>
        <w:ind w:left="180"/>
        <w:rPr>
          <w:sz w:val="22"/>
          <w:szCs w:val="22"/>
        </w:rPr>
      </w:pPr>
      <w:r w:rsidRPr="00D30826">
        <w:rPr>
          <w:rStyle w:val="paren"/>
          <w:sz w:val="22"/>
          <w:szCs w:val="22"/>
        </w:rPr>
        <w:t>(</w:t>
      </w:r>
      <w:r w:rsidRPr="00D30826">
        <w:rPr>
          <w:rStyle w:val="paragraph-hierarchy"/>
          <w:sz w:val="22"/>
          <w:szCs w:val="22"/>
        </w:rPr>
        <w:t>b</w:t>
      </w:r>
      <w:r w:rsidRPr="00D30826">
        <w:rPr>
          <w:rStyle w:val="paren"/>
          <w:sz w:val="22"/>
          <w:szCs w:val="22"/>
        </w:rPr>
        <w:t>)</w:t>
      </w:r>
      <w:r w:rsidRPr="00D30826">
        <w:rPr>
          <w:sz w:val="22"/>
          <w:szCs w:val="22"/>
        </w:rPr>
        <w:t xml:space="preserve"> The frequency coordinator shall perform the following functions: </w:t>
      </w:r>
    </w:p>
    <w:p w:rsidRPr="00D30826" w:rsidR="00045829" w:rsidP="00045829" w:rsidRDefault="00045829" w14:paraId="70DA8B1C" w14:textId="77777777">
      <w:pPr>
        <w:pStyle w:val="indent-2"/>
        <w:ind w:left="360"/>
        <w:rPr>
          <w:sz w:val="22"/>
          <w:szCs w:val="22"/>
        </w:rPr>
      </w:pPr>
      <w:r w:rsidRPr="00D30826">
        <w:rPr>
          <w:rStyle w:val="paren"/>
          <w:sz w:val="22"/>
          <w:szCs w:val="22"/>
        </w:rPr>
        <w:t>(</w:t>
      </w:r>
      <w:r w:rsidRPr="00D30826">
        <w:rPr>
          <w:rStyle w:val="paragraph-hierarchy"/>
          <w:sz w:val="22"/>
          <w:szCs w:val="22"/>
        </w:rPr>
        <w:t>1</w:t>
      </w:r>
      <w:r w:rsidRPr="00D30826">
        <w:rPr>
          <w:rStyle w:val="paren"/>
          <w:sz w:val="22"/>
          <w:szCs w:val="22"/>
        </w:rPr>
        <w:t>)</w:t>
      </w:r>
      <w:r w:rsidRPr="00D30826">
        <w:rPr>
          <w:sz w:val="22"/>
          <w:szCs w:val="22"/>
        </w:rPr>
        <w:t xml:space="preserve"> Register health care facilities that operate MBAN transmitters, maintain a database of these MBAN transmitter locations and operational parameters, and provide the FCC with information contained in the database upon request; </w:t>
      </w:r>
    </w:p>
    <w:p w:rsidRPr="00D30826" w:rsidR="00045829" w:rsidP="00045829" w:rsidRDefault="00045829" w14:paraId="0B179EF2" w14:textId="2193447C">
      <w:pPr>
        <w:pStyle w:val="indent-2"/>
        <w:ind w:left="360"/>
        <w:rPr>
          <w:sz w:val="22"/>
          <w:szCs w:val="22"/>
        </w:rPr>
      </w:pPr>
      <w:r w:rsidRPr="00D30826">
        <w:rPr>
          <w:rStyle w:val="paren"/>
          <w:sz w:val="22"/>
          <w:szCs w:val="22"/>
        </w:rPr>
        <w:t>(</w:t>
      </w:r>
      <w:r w:rsidRPr="00D30826">
        <w:rPr>
          <w:rStyle w:val="paragraph-hierarchy"/>
          <w:sz w:val="22"/>
          <w:szCs w:val="22"/>
        </w:rPr>
        <w:t>2</w:t>
      </w:r>
      <w:r w:rsidRPr="00D30826">
        <w:rPr>
          <w:rStyle w:val="paren"/>
          <w:sz w:val="22"/>
          <w:szCs w:val="22"/>
        </w:rPr>
        <w:t>)</w:t>
      </w:r>
      <w:r w:rsidRPr="00D30826">
        <w:rPr>
          <w:sz w:val="22"/>
          <w:szCs w:val="22"/>
        </w:rPr>
        <w:t xml:space="preserve"> Determine if an MBAN is within line-of-sight of an Aeronautical Mobile Telemetry (AMT) receive facility in the 2360-2390 MHz band and coordinate MBAN operations with the designated AMT frequency coordinator, as specified in § 87.305 of this chapter; </w:t>
      </w:r>
    </w:p>
    <w:p w:rsidRPr="00D30826" w:rsidR="00045829" w:rsidP="00045829" w:rsidRDefault="00045829" w14:paraId="24396170" w14:textId="77777777">
      <w:pPr>
        <w:pStyle w:val="indent-2"/>
        <w:ind w:left="360"/>
        <w:rPr>
          <w:sz w:val="22"/>
          <w:szCs w:val="22"/>
        </w:rPr>
      </w:pPr>
      <w:r w:rsidRPr="00D30826">
        <w:rPr>
          <w:rStyle w:val="paren"/>
          <w:sz w:val="22"/>
          <w:szCs w:val="22"/>
        </w:rPr>
        <w:t>(</w:t>
      </w:r>
      <w:r w:rsidRPr="00D30826">
        <w:rPr>
          <w:rStyle w:val="paragraph-hierarchy"/>
          <w:sz w:val="22"/>
          <w:szCs w:val="22"/>
        </w:rPr>
        <w:t>3</w:t>
      </w:r>
      <w:r w:rsidRPr="00D30826">
        <w:rPr>
          <w:rStyle w:val="paren"/>
          <w:sz w:val="22"/>
          <w:szCs w:val="22"/>
        </w:rPr>
        <w:t>)</w:t>
      </w:r>
      <w:r w:rsidRPr="00D30826">
        <w:rPr>
          <w:sz w:val="22"/>
          <w:szCs w:val="22"/>
        </w:rPr>
        <w:t xml:space="preserve"> Notify a registered health care facility when an MBAN has to change frequency within the 2360-2390 MHz band or to cease operating in the band, consistent with a coordination agreement between the MBAN and AMT frequency coordinators; </w:t>
      </w:r>
    </w:p>
    <w:p w:rsidRPr="00D30826" w:rsidR="00045829" w:rsidP="00045829" w:rsidRDefault="00045829" w14:paraId="485BD004" w14:textId="77777777">
      <w:pPr>
        <w:pStyle w:val="indent-2"/>
        <w:ind w:left="360"/>
        <w:rPr>
          <w:sz w:val="22"/>
          <w:szCs w:val="22"/>
        </w:rPr>
      </w:pPr>
      <w:r w:rsidRPr="00D30826">
        <w:rPr>
          <w:rStyle w:val="paren"/>
          <w:sz w:val="22"/>
          <w:szCs w:val="22"/>
        </w:rPr>
        <w:t>(</w:t>
      </w:r>
      <w:r w:rsidRPr="00D30826">
        <w:rPr>
          <w:rStyle w:val="paragraph-hierarchy"/>
          <w:sz w:val="22"/>
          <w:szCs w:val="22"/>
        </w:rPr>
        <w:t>4</w:t>
      </w:r>
      <w:r w:rsidRPr="00D30826">
        <w:rPr>
          <w:rStyle w:val="paren"/>
          <w:sz w:val="22"/>
          <w:szCs w:val="22"/>
        </w:rPr>
        <w:t>)</w:t>
      </w:r>
      <w:r w:rsidRPr="00D30826">
        <w:rPr>
          <w:sz w:val="22"/>
          <w:szCs w:val="22"/>
        </w:rPr>
        <w:t xml:space="preserve"> Develop procedures to ensure that registered health care facilities operate an MBAN consistent with the coordination requirements under this section; and, </w:t>
      </w:r>
    </w:p>
    <w:p w:rsidRPr="00D30826" w:rsidR="00045829" w:rsidP="00045829" w:rsidRDefault="00045829" w14:paraId="05480A7D" w14:textId="77777777">
      <w:pPr>
        <w:pStyle w:val="indent-2"/>
        <w:ind w:left="360"/>
        <w:rPr>
          <w:sz w:val="22"/>
          <w:szCs w:val="22"/>
        </w:rPr>
      </w:pPr>
      <w:r w:rsidRPr="00D30826">
        <w:rPr>
          <w:rStyle w:val="paren"/>
          <w:sz w:val="22"/>
          <w:szCs w:val="22"/>
        </w:rPr>
        <w:t>(</w:t>
      </w:r>
      <w:r w:rsidRPr="00D30826">
        <w:rPr>
          <w:rStyle w:val="paragraph-hierarchy"/>
          <w:sz w:val="22"/>
          <w:szCs w:val="22"/>
        </w:rPr>
        <w:t>5</w:t>
      </w:r>
      <w:r w:rsidRPr="00D30826">
        <w:rPr>
          <w:rStyle w:val="paren"/>
          <w:sz w:val="22"/>
          <w:szCs w:val="22"/>
        </w:rPr>
        <w:t>)</w:t>
      </w:r>
      <w:r w:rsidRPr="00D30826">
        <w:rPr>
          <w:sz w:val="22"/>
          <w:szCs w:val="22"/>
        </w:rPr>
        <w:t xml:space="preserve"> Identify the MBAN that is the source of interference in response to a complaint from the AMT coordinator and notify the health care facility of alternative frequencies available for MBAN use or to cease operation consistent with the rules. </w:t>
      </w:r>
    </w:p>
    <w:p w:rsidRPr="00D30826" w:rsidR="00045829" w:rsidP="00045829" w:rsidRDefault="00045829" w14:paraId="37C71981" w14:textId="36336DC6">
      <w:pPr>
        <w:pStyle w:val="indent-1"/>
        <w:ind w:left="180"/>
        <w:rPr>
          <w:sz w:val="22"/>
          <w:szCs w:val="22"/>
        </w:rPr>
      </w:pPr>
      <w:r w:rsidRPr="00D30826">
        <w:rPr>
          <w:rStyle w:val="paren"/>
          <w:sz w:val="22"/>
          <w:szCs w:val="22"/>
        </w:rPr>
        <w:t>(</w:t>
      </w:r>
      <w:r w:rsidRPr="00D30826">
        <w:rPr>
          <w:rStyle w:val="paragraph-hierarchy"/>
          <w:sz w:val="22"/>
          <w:szCs w:val="22"/>
        </w:rPr>
        <w:t>c</w:t>
      </w:r>
      <w:r w:rsidRPr="00D30826">
        <w:rPr>
          <w:rStyle w:val="paren"/>
          <w:sz w:val="22"/>
          <w:szCs w:val="22"/>
        </w:rPr>
        <w:t>)</w:t>
      </w:r>
      <w:r w:rsidRPr="00D30826">
        <w:rPr>
          <w:sz w:val="22"/>
          <w:szCs w:val="22"/>
        </w:rPr>
        <w:t xml:space="preserve"> </w:t>
      </w:r>
      <w:r w:rsidRPr="00D30826">
        <w:rPr>
          <w:rStyle w:val="Emphasis"/>
          <w:sz w:val="22"/>
          <w:szCs w:val="22"/>
        </w:rPr>
        <w:t>Registration</w:t>
      </w:r>
      <w:r w:rsidRPr="00D30826">
        <w:rPr>
          <w:rStyle w:val="Emphasis"/>
          <w:b/>
          <w:bCs/>
          <w:sz w:val="22"/>
          <w:szCs w:val="22"/>
        </w:rPr>
        <w:t>.</w:t>
      </w:r>
      <w:r w:rsidRPr="00D30826">
        <w:rPr>
          <w:sz w:val="22"/>
          <w:szCs w:val="22"/>
        </w:rPr>
        <w:t xml:space="preserve"> Prior to operating MBAN devices that are capable of operation in the 2360-2390 MHz band, a health care facility must register with a frequency coordinator designated under § 95.2509. Operation of MBAN devices in the 2360-2390 MHz band is prohibited prior to the MBAN coordinator notifying the health care facility that registration and coordination (to the extent coordination is required under paragraph (e) of this section) is complete. The registration must include the following information: </w:t>
      </w:r>
    </w:p>
    <w:p w:rsidRPr="00D30826" w:rsidR="00045829" w:rsidP="00045829" w:rsidRDefault="00045829" w14:paraId="6C2A3743" w14:textId="77777777">
      <w:pPr>
        <w:pStyle w:val="indent-2"/>
        <w:ind w:left="360"/>
        <w:rPr>
          <w:sz w:val="22"/>
          <w:szCs w:val="22"/>
        </w:rPr>
      </w:pPr>
      <w:r w:rsidRPr="00D30826">
        <w:rPr>
          <w:rStyle w:val="paren"/>
          <w:sz w:val="22"/>
          <w:szCs w:val="22"/>
        </w:rPr>
        <w:t>(</w:t>
      </w:r>
      <w:r w:rsidRPr="00D30826">
        <w:rPr>
          <w:rStyle w:val="paragraph-hierarchy"/>
          <w:sz w:val="22"/>
          <w:szCs w:val="22"/>
        </w:rPr>
        <w:t>1</w:t>
      </w:r>
      <w:r w:rsidRPr="00D30826">
        <w:rPr>
          <w:rStyle w:val="paren"/>
          <w:sz w:val="22"/>
          <w:szCs w:val="22"/>
        </w:rPr>
        <w:t>)</w:t>
      </w:r>
      <w:r w:rsidRPr="00D30826">
        <w:rPr>
          <w:sz w:val="22"/>
          <w:szCs w:val="22"/>
        </w:rPr>
        <w:t xml:space="preserve"> Specific frequencies or frequency range(s) within the 2360-2390 MHz band to be used, and the capabilities of the MBAN equipment to use the 2390-2400 MHz band; </w:t>
      </w:r>
    </w:p>
    <w:p w:rsidRPr="00D30826" w:rsidR="00045829" w:rsidP="00045829" w:rsidRDefault="00045829" w14:paraId="2A96F788" w14:textId="77777777">
      <w:pPr>
        <w:pStyle w:val="indent-2"/>
        <w:ind w:left="360"/>
        <w:rPr>
          <w:sz w:val="22"/>
          <w:szCs w:val="22"/>
        </w:rPr>
      </w:pPr>
      <w:r w:rsidRPr="00D30826">
        <w:rPr>
          <w:rStyle w:val="paren"/>
          <w:sz w:val="22"/>
          <w:szCs w:val="22"/>
        </w:rPr>
        <w:t>(</w:t>
      </w:r>
      <w:r w:rsidRPr="00D30826">
        <w:rPr>
          <w:rStyle w:val="paragraph-hierarchy"/>
          <w:sz w:val="22"/>
          <w:szCs w:val="22"/>
        </w:rPr>
        <w:t>2</w:t>
      </w:r>
      <w:r w:rsidRPr="00D30826">
        <w:rPr>
          <w:rStyle w:val="paren"/>
          <w:sz w:val="22"/>
          <w:szCs w:val="22"/>
        </w:rPr>
        <w:t>)</w:t>
      </w:r>
      <w:r w:rsidRPr="00D30826">
        <w:rPr>
          <w:sz w:val="22"/>
          <w:szCs w:val="22"/>
        </w:rPr>
        <w:t xml:space="preserve"> Equivalent isotropically radiated power; </w:t>
      </w:r>
    </w:p>
    <w:p w:rsidRPr="00D30826" w:rsidR="00045829" w:rsidP="00045829" w:rsidRDefault="00045829" w14:paraId="7CA2EF59" w14:textId="77777777">
      <w:pPr>
        <w:pStyle w:val="indent-2"/>
        <w:ind w:left="360"/>
        <w:rPr>
          <w:sz w:val="22"/>
          <w:szCs w:val="22"/>
        </w:rPr>
      </w:pPr>
      <w:r w:rsidRPr="00D30826">
        <w:rPr>
          <w:rStyle w:val="paren"/>
          <w:sz w:val="22"/>
          <w:szCs w:val="22"/>
        </w:rPr>
        <w:t>(</w:t>
      </w:r>
      <w:r w:rsidRPr="00D30826">
        <w:rPr>
          <w:rStyle w:val="paragraph-hierarchy"/>
          <w:sz w:val="22"/>
          <w:szCs w:val="22"/>
        </w:rPr>
        <w:t>3</w:t>
      </w:r>
      <w:r w:rsidRPr="00D30826">
        <w:rPr>
          <w:rStyle w:val="paren"/>
          <w:sz w:val="22"/>
          <w:szCs w:val="22"/>
        </w:rPr>
        <w:t>)</w:t>
      </w:r>
      <w:r w:rsidRPr="00D30826">
        <w:rPr>
          <w:sz w:val="22"/>
          <w:szCs w:val="22"/>
        </w:rPr>
        <w:t xml:space="preserve"> Number of MedRadio programmer/control transmitters in use at the health care facility as of the date of registration, including manufacturer name(s) and model number(s) and FCC identification number(s); </w:t>
      </w:r>
    </w:p>
    <w:p w:rsidRPr="00D30826" w:rsidR="00045829" w:rsidP="00045829" w:rsidRDefault="00045829" w14:paraId="11C52C76" w14:textId="77777777">
      <w:pPr>
        <w:pStyle w:val="indent-2"/>
        <w:ind w:left="360"/>
        <w:rPr>
          <w:sz w:val="22"/>
          <w:szCs w:val="22"/>
        </w:rPr>
      </w:pPr>
      <w:r w:rsidRPr="00D30826">
        <w:rPr>
          <w:rStyle w:val="paren"/>
          <w:sz w:val="22"/>
          <w:szCs w:val="22"/>
        </w:rPr>
        <w:t>(</w:t>
      </w:r>
      <w:r w:rsidRPr="00D30826">
        <w:rPr>
          <w:rStyle w:val="paragraph-hierarchy"/>
          <w:sz w:val="22"/>
          <w:szCs w:val="22"/>
        </w:rPr>
        <w:t>4</w:t>
      </w:r>
      <w:r w:rsidRPr="00D30826">
        <w:rPr>
          <w:rStyle w:val="paren"/>
          <w:sz w:val="22"/>
          <w:szCs w:val="22"/>
        </w:rPr>
        <w:t>)</w:t>
      </w:r>
      <w:r w:rsidRPr="00D30826">
        <w:rPr>
          <w:sz w:val="22"/>
          <w:szCs w:val="22"/>
        </w:rPr>
        <w:t xml:space="preserve"> Legal name of the health care facility; </w:t>
      </w:r>
    </w:p>
    <w:p w:rsidRPr="00D30826" w:rsidR="00045829" w:rsidP="00045829" w:rsidRDefault="00045829" w14:paraId="5447598C" w14:textId="77777777">
      <w:pPr>
        <w:pStyle w:val="indent-2"/>
        <w:ind w:left="360"/>
        <w:rPr>
          <w:sz w:val="22"/>
          <w:szCs w:val="22"/>
        </w:rPr>
      </w:pPr>
      <w:r w:rsidRPr="00D30826">
        <w:rPr>
          <w:rStyle w:val="paren"/>
          <w:sz w:val="22"/>
          <w:szCs w:val="22"/>
        </w:rPr>
        <w:t>(</w:t>
      </w:r>
      <w:r w:rsidRPr="00D30826">
        <w:rPr>
          <w:rStyle w:val="paragraph-hierarchy"/>
          <w:sz w:val="22"/>
          <w:szCs w:val="22"/>
        </w:rPr>
        <w:t>5</w:t>
      </w:r>
      <w:r w:rsidRPr="00D30826">
        <w:rPr>
          <w:rStyle w:val="paren"/>
          <w:sz w:val="22"/>
          <w:szCs w:val="22"/>
        </w:rPr>
        <w:t>)</w:t>
      </w:r>
      <w:r w:rsidRPr="00D30826">
        <w:rPr>
          <w:sz w:val="22"/>
          <w:szCs w:val="22"/>
        </w:rPr>
        <w:t xml:space="preserve"> Location of MedRadio programmer/control transmitters (</w:t>
      </w:r>
      <w:r w:rsidRPr="00D30826">
        <w:rPr>
          <w:rStyle w:val="Emphasis"/>
          <w:sz w:val="22"/>
          <w:szCs w:val="22"/>
        </w:rPr>
        <w:t>e.g.,</w:t>
      </w:r>
      <w:r w:rsidRPr="00D30826">
        <w:rPr>
          <w:sz w:val="22"/>
          <w:szCs w:val="22"/>
        </w:rPr>
        <w:t xml:space="preserve"> geographic coordinates, street address, building); </w:t>
      </w:r>
    </w:p>
    <w:p w:rsidRPr="00D30826" w:rsidR="00045829" w:rsidP="00045829" w:rsidRDefault="00045829" w14:paraId="50432FEB" w14:textId="77777777">
      <w:pPr>
        <w:pStyle w:val="indent-2"/>
        <w:ind w:left="360"/>
        <w:rPr>
          <w:sz w:val="22"/>
          <w:szCs w:val="22"/>
        </w:rPr>
      </w:pPr>
      <w:r w:rsidRPr="00D30826">
        <w:rPr>
          <w:rStyle w:val="paren"/>
          <w:sz w:val="22"/>
          <w:szCs w:val="22"/>
        </w:rPr>
        <w:lastRenderedPageBreak/>
        <w:t>(</w:t>
      </w:r>
      <w:r w:rsidRPr="00D30826">
        <w:rPr>
          <w:rStyle w:val="paragraph-hierarchy"/>
          <w:sz w:val="22"/>
          <w:szCs w:val="22"/>
        </w:rPr>
        <w:t>6</w:t>
      </w:r>
      <w:r w:rsidRPr="00D30826">
        <w:rPr>
          <w:rStyle w:val="paren"/>
          <w:sz w:val="22"/>
          <w:szCs w:val="22"/>
        </w:rPr>
        <w:t>)</w:t>
      </w:r>
      <w:r w:rsidRPr="00D30826">
        <w:rPr>
          <w:sz w:val="22"/>
          <w:szCs w:val="22"/>
        </w:rPr>
        <w:t xml:space="preserve"> Point of contact for the health care facility (</w:t>
      </w:r>
      <w:r w:rsidRPr="00D30826">
        <w:rPr>
          <w:rStyle w:val="Emphasis"/>
          <w:sz w:val="22"/>
          <w:szCs w:val="22"/>
        </w:rPr>
        <w:t>e.g.,</w:t>
      </w:r>
      <w:r w:rsidRPr="00D30826">
        <w:rPr>
          <w:sz w:val="22"/>
          <w:szCs w:val="22"/>
        </w:rPr>
        <w:t xml:space="preserve"> name, title, office address, phone number, fax number, email address); and, </w:t>
      </w:r>
    </w:p>
    <w:p w:rsidRPr="00D30826" w:rsidR="00045829" w:rsidP="00045829" w:rsidRDefault="00045829" w14:paraId="3C921EF7" w14:textId="65844B97">
      <w:pPr>
        <w:pStyle w:val="indent-2"/>
        <w:ind w:left="360"/>
        <w:rPr>
          <w:sz w:val="22"/>
          <w:szCs w:val="22"/>
        </w:rPr>
      </w:pPr>
      <w:r w:rsidRPr="00D30826">
        <w:rPr>
          <w:rStyle w:val="paren"/>
          <w:sz w:val="22"/>
          <w:szCs w:val="22"/>
        </w:rPr>
        <w:t>(</w:t>
      </w:r>
      <w:r w:rsidRPr="00D30826">
        <w:rPr>
          <w:rStyle w:val="paragraph-hierarchy"/>
          <w:sz w:val="22"/>
          <w:szCs w:val="22"/>
        </w:rPr>
        <w:t>7</w:t>
      </w:r>
      <w:r w:rsidRPr="00D30826">
        <w:rPr>
          <w:rStyle w:val="paren"/>
          <w:sz w:val="22"/>
          <w:szCs w:val="22"/>
        </w:rPr>
        <w:t>)</w:t>
      </w:r>
      <w:r w:rsidRPr="00D30826">
        <w:rPr>
          <w:sz w:val="22"/>
          <w:szCs w:val="22"/>
        </w:rPr>
        <w:t xml:space="preserve"> In the event that an MBAN has to cease operating in all or a portion of the 2360-2390 MHz band due to interference under § 95.2525 or changes in coordination under paragraph (e) of this section, a point of contact (including contractors) for the health care facility that is responsible for ensuring that this change is effected whenever it is required (</w:t>
      </w:r>
      <w:r w:rsidRPr="00D30826">
        <w:rPr>
          <w:rStyle w:val="Emphasis"/>
          <w:sz w:val="22"/>
          <w:szCs w:val="22"/>
        </w:rPr>
        <w:t>e.g.,</w:t>
      </w:r>
      <w:r w:rsidRPr="00D30826">
        <w:rPr>
          <w:sz w:val="22"/>
          <w:szCs w:val="22"/>
        </w:rPr>
        <w:t xml:space="preserve"> name, title, office address, phone number, fax number, email address). The health care facility also must state whether, in such cases, its MBAN operation is capable of defaulting to the 2390-2400 MHz band and that it is responsible for ceasing MBAN operations in the 2360-2390 MHz band or defaulting traffic to other hospital systems. </w:t>
      </w:r>
    </w:p>
    <w:p w:rsidRPr="00D30826" w:rsidR="00045829" w:rsidP="00045829" w:rsidRDefault="00045829" w14:paraId="4CBAC657" w14:textId="16E0D633">
      <w:pPr>
        <w:pStyle w:val="indent-1"/>
        <w:ind w:left="180"/>
        <w:rPr>
          <w:sz w:val="22"/>
          <w:szCs w:val="22"/>
        </w:rPr>
      </w:pPr>
      <w:r w:rsidRPr="00D30826">
        <w:rPr>
          <w:rStyle w:val="paren"/>
          <w:sz w:val="22"/>
          <w:szCs w:val="22"/>
        </w:rPr>
        <w:t>(</w:t>
      </w:r>
      <w:r w:rsidRPr="00D30826">
        <w:rPr>
          <w:rStyle w:val="paragraph-hierarchy"/>
          <w:sz w:val="22"/>
          <w:szCs w:val="22"/>
        </w:rPr>
        <w:t>d</w:t>
      </w:r>
      <w:r w:rsidRPr="00D30826">
        <w:rPr>
          <w:rStyle w:val="paren"/>
          <w:sz w:val="22"/>
          <w:szCs w:val="22"/>
        </w:rPr>
        <w:t>)</w:t>
      </w:r>
      <w:r w:rsidRPr="00D30826">
        <w:rPr>
          <w:sz w:val="22"/>
          <w:szCs w:val="22"/>
        </w:rPr>
        <w:t xml:space="preserve"> </w:t>
      </w:r>
      <w:r w:rsidRPr="00D30826">
        <w:rPr>
          <w:rStyle w:val="Emphasis"/>
          <w:sz w:val="22"/>
          <w:szCs w:val="22"/>
        </w:rPr>
        <w:t>Notification</w:t>
      </w:r>
      <w:r w:rsidRPr="00D30826">
        <w:rPr>
          <w:rStyle w:val="Emphasis"/>
          <w:b/>
          <w:bCs/>
          <w:sz w:val="22"/>
          <w:szCs w:val="22"/>
        </w:rPr>
        <w:t>.</w:t>
      </w:r>
      <w:r w:rsidRPr="00D30826">
        <w:rPr>
          <w:sz w:val="22"/>
          <w:szCs w:val="22"/>
        </w:rPr>
        <w:t xml:space="preserve"> A health care facility shall notify the MBAN frequency coordinator whenever an MBAN programmer/control transmitter in the 2360-2390 MHz band is permanently taken out of service, unless it is replaced with transmitter(s) using the same technical characteristics as those reported on the health care facility's registration, which will cover the replacement transmitter(s). A health care facility shall keep the information contained in each registration current and shall notify the MBAN frequency coordinator of any material change to the MBAN's location or operating parameters. In the event that the health care facility proposes to change the MBAN's location or operating parameters, the MBAN coordinator must first evaluate the proposed changes and comply with paragraph (e) of this section as appropriate before the health care facility may operate the MBAN in the 2360-2390 MHz band under changed operating parameters. </w:t>
      </w:r>
    </w:p>
    <w:p w:rsidRPr="00D30826" w:rsidR="00045829" w:rsidP="00045829" w:rsidRDefault="00045829" w14:paraId="3457E4ED" w14:textId="77777777">
      <w:pPr>
        <w:pStyle w:val="indent-1"/>
        <w:ind w:left="180"/>
        <w:rPr>
          <w:sz w:val="22"/>
          <w:szCs w:val="22"/>
        </w:rPr>
      </w:pPr>
      <w:r w:rsidRPr="00D30826">
        <w:rPr>
          <w:rStyle w:val="paren"/>
          <w:sz w:val="22"/>
          <w:szCs w:val="22"/>
        </w:rPr>
        <w:t>(</w:t>
      </w:r>
      <w:r w:rsidRPr="00D30826">
        <w:rPr>
          <w:rStyle w:val="paragraph-hierarchy"/>
          <w:sz w:val="22"/>
          <w:szCs w:val="22"/>
        </w:rPr>
        <w:t>e</w:t>
      </w:r>
      <w:r w:rsidRPr="00D30826">
        <w:rPr>
          <w:rStyle w:val="paren"/>
          <w:sz w:val="22"/>
          <w:szCs w:val="22"/>
        </w:rPr>
        <w:t>)</w:t>
      </w:r>
      <w:r w:rsidRPr="00D30826">
        <w:rPr>
          <w:sz w:val="22"/>
          <w:szCs w:val="22"/>
        </w:rPr>
        <w:t xml:space="preserve"> </w:t>
      </w:r>
      <w:r w:rsidRPr="00D30826">
        <w:rPr>
          <w:rStyle w:val="Emphasis"/>
          <w:sz w:val="22"/>
          <w:szCs w:val="22"/>
        </w:rPr>
        <w:t>Coordination procedures</w:t>
      </w:r>
      <w:r w:rsidRPr="00D30826">
        <w:rPr>
          <w:rStyle w:val="Emphasis"/>
          <w:b/>
          <w:bCs/>
          <w:sz w:val="22"/>
          <w:szCs w:val="22"/>
        </w:rPr>
        <w:t>.</w:t>
      </w:r>
      <w:r w:rsidRPr="00D30826">
        <w:rPr>
          <w:sz w:val="22"/>
          <w:szCs w:val="22"/>
        </w:rPr>
        <w:t xml:space="preserve"> The MBAN coordinator will determine if an MBAN is within the line-of-sight of an AMT receive facility in the 2360-2390 MHz band and notify the health care facility when it may begin MBAN operations under the applicable procedures below. </w:t>
      </w:r>
    </w:p>
    <w:p w:rsidRPr="00D30826" w:rsidR="00045829" w:rsidP="00045829" w:rsidRDefault="00045829" w14:paraId="2AF63276" w14:textId="77777777">
      <w:pPr>
        <w:pStyle w:val="indent-2"/>
        <w:ind w:left="360"/>
        <w:rPr>
          <w:sz w:val="22"/>
          <w:szCs w:val="22"/>
        </w:rPr>
      </w:pPr>
      <w:r w:rsidRPr="00D30826">
        <w:rPr>
          <w:rStyle w:val="paren"/>
          <w:sz w:val="22"/>
          <w:szCs w:val="22"/>
        </w:rPr>
        <w:t>(</w:t>
      </w:r>
      <w:r w:rsidRPr="00D30826">
        <w:rPr>
          <w:rStyle w:val="paragraph-hierarchy"/>
          <w:sz w:val="22"/>
          <w:szCs w:val="22"/>
        </w:rPr>
        <w:t>1</w:t>
      </w:r>
      <w:r w:rsidRPr="00D30826">
        <w:rPr>
          <w:rStyle w:val="paren"/>
          <w:sz w:val="22"/>
          <w:szCs w:val="22"/>
        </w:rPr>
        <w:t>)</w:t>
      </w:r>
      <w:r w:rsidRPr="00D30826">
        <w:rPr>
          <w:sz w:val="22"/>
          <w:szCs w:val="22"/>
        </w:rPr>
        <w:t xml:space="preserve"> If the MBAN is beyond the line-of-sight of an AMT receive facility, it may operate without prior coordination with the AMT coordinator, provided that the MBAN coordinator provides the AMT coordinator with the MBAN registration information and the AMT frequency coordinator concurs that the MBAN is beyond the line-of-sight prior to the MBAN beginning operations in the band. </w:t>
      </w:r>
    </w:p>
    <w:p w:rsidRPr="00D30826" w:rsidR="00045829" w:rsidP="00045829" w:rsidRDefault="00045829" w14:paraId="41FAB4F4" w14:textId="792C6715">
      <w:pPr>
        <w:pStyle w:val="indent-2"/>
        <w:ind w:left="360"/>
        <w:rPr>
          <w:sz w:val="22"/>
          <w:szCs w:val="22"/>
        </w:rPr>
      </w:pPr>
      <w:r w:rsidRPr="00D30826">
        <w:rPr>
          <w:rStyle w:val="paren"/>
          <w:sz w:val="22"/>
          <w:szCs w:val="22"/>
        </w:rPr>
        <w:t>(</w:t>
      </w:r>
      <w:r w:rsidRPr="00D30826">
        <w:rPr>
          <w:rStyle w:val="paragraph-hierarchy"/>
          <w:sz w:val="22"/>
          <w:szCs w:val="22"/>
        </w:rPr>
        <w:t>2</w:t>
      </w:r>
      <w:r w:rsidRPr="00D30826">
        <w:rPr>
          <w:rStyle w:val="paren"/>
          <w:sz w:val="22"/>
          <w:szCs w:val="22"/>
        </w:rPr>
        <w:t>)</w:t>
      </w:r>
      <w:r w:rsidRPr="00D30826">
        <w:rPr>
          <w:sz w:val="22"/>
          <w:szCs w:val="22"/>
        </w:rPr>
        <w:t xml:space="preserve"> If the MBAN is within line-of-sight of an AMT receive facility, the MBAN frequency coordinator shall achieve a mutually satisfactory coordination agreement with the AMT frequency coordinator prior to the MBAN beginning operations in the band. Such coordination agreement shall provide protection to AMT receive stations consistent with International Telecommunication Union (ITU) Recommendation ITU-R M.1459, “Protection criteria for telemetry systems in the aeronautical mobile service and mitigation techniques to facilitate sharing with geostationary broadcasting-satellite and mobile-satellite services in the frequency bands 1 452-1 525 and 2 310-2 360 MHz,” May 2000, as adjusted using generally accepted engineering practices and standards that are mutually agreeable to both coordinators to take into account the local conditions and operating characteristics of the applicable AMT and MBAN facilities, and shall specify when the device shall limit its transmissions to segments of the 2360-2390 MHz band or must cease operation in the band. This ITU document is incorporated by reference into this section with the approval of the Director of the Federal Register under 5 U.S.C. 552(a) and 1 CFR part 51. To enforce any edition other than that specified in this section, the Federal Communications Commission must publish a document in the </w:t>
      </w:r>
      <w:r w:rsidRPr="00D30826">
        <w:rPr>
          <w:rStyle w:val="minor-caps"/>
          <w:sz w:val="22"/>
          <w:szCs w:val="22"/>
        </w:rPr>
        <w:t>Federal Register</w:t>
      </w:r>
      <w:r w:rsidRPr="00D30826">
        <w:rPr>
          <w:sz w:val="22"/>
          <w:szCs w:val="22"/>
        </w:rPr>
        <w:t xml:space="preserve"> and the material must be available to the public. Copies of the recommendation may be obtained from ITU, Place des Nations, 1211 Geneva 20, Switzerland, or online at </w:t>
      </w:r>
      <w:r w:rsidRPr="00D30826">
        <w:rPr>
          <w:rStyle w:val="Emphasis"/>
          <w:sz w:val="22"/>
          <w:szCs w:val="22"/>
        </w:rPr>
        <w:t>http://www.itu.int/en/publications/Pages/default.aspx</w:t>
      </w:r>
      <w:r w:rsidRPr="00D30826">
        <w:rPr>
          <w:sz w:val="22"/>
          <w:szCs w:val="22"/>
        </w:rPr>
        <w:t xml:space="preserve">. You may inspect a copy at the Federal Communications Commission, 445 12th Street SW, Washington, DC 20554, or at the National Archives and Records Administration (NARA). For information on the availability of this material at </w:t>
      </w:r>
      <w:r w:rsidRPr="00D30826">
        <w:rPr>
          <w:sz w:val="22"/>
          <w:szCs w:val="22"/>
        </w:rPr>
        <w:lastRenderedPageBreak/>
        <w:t xml:space="preserve">NARA, call 202-741-6030, or go to: </w:t>
      </w:r>
      <w:r w:rsidRPr="00D30826">
        <w:rPr>
          <w:rStyle w:val="Emphasis"/>
          <w:sz w:val="22"/>
          <w:szCs w:val="22"/>
        </w:rPr>
        <w:t>http://www.archives.gov/federal_register/code_of_federal_regulations/ibr_locations.html</w:t>
      </w:r>
      <w:r w:rsidRPr="00D30826">
        <w:rPr>
          <w:sz w:val="22"/>
          <w:szCs w:val="22"/>
        </w:rPr>
        <w:t xml:space="preserve">. “Generally accepted engineering practices and standards” include, but are not limited to, engineering analyses and measurement data as well as limiting MBAN operations in the band by time or frequency. </w:t>
      </w:r>
    </w:p>
    <w:p w:rsidRPr="00D30826" w:rsidR="00045829" w:rsidP="00045829" w:rsidRDefault="00045829" w14:paraId="49FCD78C" w14:textId="5B12B4F1">
      <w:pPr>
        <w:pStyle w:val="indent-2"/>
        <w:ind w:left="360"/>
        <w:rPr>
          <w:sz w:val="22"/>
          <w:szCs w:val="22"/>
        </w:rPr>
      </w:pPr>
      <w:r w:rsidRPr="00D30826">
        <w:rPr>
          <w:rStyle w:val="paren"/>
          <w:sz w:val="22"/>
          <w:szCs w:val="22"/>
        </w:rPr>
        <w:t>(</w:t>
      </w:r>
      <w:r w:rsidRPr="00D30826">
        <w:rPr>
          <w:rStyle w:val="paragraph-hierarchy"/>
          <w:sz w:val="22"/>
          <w:szCs w:val="22"/>
        </w:rPr>
        <w:t>3</w:t>
      </w:r>
      <w:r w:rsidRPr="00D30826">
        <w:rPr>
          <w:rStyle w:val="paren"/>
          <w:sz w:val="22"/>
          <w:szCs w:val="22"/>
        </w:rPr>
        <w:t>)</w:t>
      </w:r>
      <w:r w:rsidRPr="00D30826">
        <w:rPr>
          <w:sz w:val="22"/>
          <w:szCs w:val="22"/>
        </w:rPr>
        <w:t xml:space="preserve"> If an AMT operator plans to operate a receive site not previously analyzed by the MBAN coordinator to determine line-of-sight to an MBAN facility, the AMT operator shall consider using locations that are beyond the line-of-sight of a registered health care facility. If the AMT operator determines that non-line-of-sight locations are not practical for its purposes, the AMT coordinator shall notify the MBAN coordinator upon no less than 7 days notice that the registered health care facility must cease MBAN operations in the 2360-2390 MHz band, unless the parties can achieve a mutually satisfactory coordination agreement under paragraph (e)(2) of this section. </w:t>
      </w:r>
    </w:p>
    <w:p w:rsidRPr="00D30826" w:rsidR="00045829" w:rsidP="00045829" w:rsidRDefault="00045829" w14:paraId="03E5E6B6" w14:textId="77777777">
      <w:pPr>
        <w:pStyle w:val="indent-1"/>
        <w:ind w:left="180"/>
        <w:rPr>
          <w:sz w:val="22"/>
          <w:szCs w:val="22"/>
        </w:rPr>
      </w:pPr>
      <w:r w:rsidRPr="00D30826">
        <w:rPr>
          <w:rStyle w:val="paren"/>
          <w:sz w:val="22"/>
          <w:szCs w:val="22"/>
        </w:rPr>
        <w:t>(</w:t>
      </w:r>
      <w:r w:rsidRPr="00D30826">
        <w:rPr>
          <w:rStyle w:val="paragraph-hierarchy"/>
          <w:sz w:val="22"/>
          <w:szCs w:val="22"/>
        </w:rPr>
        <w:t>f</w:t>
      </w:r>
      <w:r w:rsidRPr="00D30826">
        <w:rPr>
          <w:rStyle w:val="paren"/>
          <w:sz w:val="22"/>
          <w:szCs w:val="22"/>
        </w:rPr>
        <w:t>)</w:t>
      </w:r>
      <w:r w:rsidRPr="00D30826">
        <w:rPr>
          <w:sz w:val="22"/>
          <w:szCs w:val="22"/>
        </w:rPr>
        <w:t xml:space="preserve"> </w:t>
      </w:r>
      <w:r w:rsidRPr="00D30826">
        <w:rPr>
          <w:rStyle w:val="Emphasis"/>
          <w:sz w:val="22"/>
          <w:szCs w:val="22"/>
        </w:rPr>
        <w:t>Coordinator functions.</w:t>
      </w:r>
      <w:r w:rsidRPr="00D30826">
        <w:rPr>
          <w:sz w:val="22"/>
          <w:szCs w:val="22"/>
        </w:rPr>
        <w:t xml:space="preserve"> The MBAN frequency coordinator shall: </w:t>
      </w:r>
    </w:p>
    <w:p w:rsidRPr="00D30826" w:rsidR="00045829" w:rsidP="00045829" w:rsidRDefault="00045829" w14:paraId="25D08738" w14:textId="77777777">
      <w:pPr>
        <w:pStyle w:val="indent-2"/>
        <w:ind w:left="360"/>
        <w:rPr>
          <w:sz w:val="22"/>
          <w:szCs w:val="22"/>
        </w:rPr>
      </w:pPr>
      <w:r w:rsidRPr="00D30826">
        <w:rPr>
          <w:rStyle w:val="paren"/>
          <w:sz w:val="22"/>
          <w:szCs w:val="22"/>
        </w:rPr>
        <w:t>(</w:t>
      </w:r>
      <w:r w:rsidRPr="00D30826">
        <w:rPr>
          <w:rStyle w:val="paragraph-hierarchy"/>
          <w:sz w:val="22"/>
          <w:szCs w:val="22"/>
        </w:rPr>
        <w:t>1</w:t>
      </w:r>
      <w:r w:rsidRPr="00D30826">
        <w:rPr>
          <w:rStyle w:val="paren"/>
          <w:sz w:val="22"/>
          <w:szCs w:val="22"/>
        </w:rPr>
        <w:t>)</w:t>
      </w:r>
      <w:r w:rsidRPr="00D30826">
        <w:rPr>
          <w:sz w:val="22"/>
          <w:szCs w:val="22"/>
        </w:rPr>
        <w:t xml:space="preserve"> Provide registration and coordination of MBAN operations to all eligible health care facilities on a non-discriminatory basis; </w:t>
      </w:r>
    </w:p>
    <w:p w:rsidRPr="00D30826" w:rsidR="00045829" w:rsidP="00045829" w:rsidRDefault="00045829" w14:paraId="4BE04489" w14:textId="77777777">
      <w:pPr>
        <w:pStyle w:val="indent-2"/>
        <w:ind w:left="360"/>
        <w:rPr>
          <w:sz w:val="22"/>
          <w:szCs w:val="22"/>
        </w:rPr>
      </w:pPr>
      <w:r w:rsidRPr="00D30826">
        <w:rPr>
          <w:rStyle w:val="paren"/>
          <w:sz w:val="22"/>
          <w:szCs w:val="22"/>
        </w:rPr>
        <w:t>(</w:t>
      </w:r>
      <w:r w:rsidRPr="00D30826">
        <w:rPr>
          <w:rStyle w:val="paragraph-hierarchy"/>
          <w:sz w:val="22"/>
          <w:szCs w:val="22"/>
        </w:rPr>
        <w:t>2</w:t>
      </w:r>
      <w:r w:rsidRPr="00D30826">
        <w:rPr>
          <w:rStyle w:val="paren"/>
          <w:sz w:val="22"/>
          <w:szCs w:val="22"/>
        </w:rPr>
        <w:t>)</w:t>
      </w:r>
      <w:r w:rsidRPr="00D30826">
        <w:rPr>
          <w:sz w:val="22"/>
          <w:szCs w:val="22"/>
        </w:rPr>
        <w:t xml:space="preserve"> Provide MBAN registration and coordination services on a not-for-profit basis; </w:t>
      </w:r>
    </w:p>
    <w:p w:rsidRPr="00D30826" w:rsidR="00045829" w:rsidP="00045829" w:rsidRDefault="00045829" w14:paraId="75B229C3" w14:textId="77777777">
      <w:pPr>
        <w:pStyle w:val="indent-2"/>
        <w:ind w:left="360"/>
        <w:rPr>
          <w:sz w:val="22"/>
          <w:szCs w:val="22"/>
        </w:rPr>
      </w:pPr>
      <w:r w:rsidRPr="00D30826">
        <w:rPr>
          <w:rStyle w:val="paren"/>
          <w:sz w:val="22"/>
          <w:szCs w:val="22"/>
        </w:rPr>
        <w:t>(</w:t>
      </w:r>
      <w:r w:rsidRPr="00D30826">
        <w:rPr>
          <w:rStyle w:val="paragraph-hierarchy"/>
          <w:sz w:val="22"/>
          <w:szCs w:val="22"/>
        </w:rPr>
        <w:t>3</w:t>
      </w:r>
      <w:r w:rsidRPr="00D30826">
        <w:rPr>
          <w:rStyle w:val="paren"/>
          <w:sz w:val="22"/>
          <w:szCs w:val="22"/>
        </w:rPr>
        <w:t>)</w:t>
      </w:r>
      <w:r w:rsidRPr="00D30826">
        <w:rPr>
          <w:sz w:val="22"/>
          <w:szCs w:val="22"/>
        </w:rPr>
        <w:t xml:space="preserve"> Notify the FCC of its intent to no longer serve as frequency coordinator at least six months prior to ceasing to perform these functions; and </w:t>
      </w:r>
    </w:p>
    <w:p w:rsidRPr="00D30826" w:rsidR="00045829" w:rsidP="00045829" w:rsidRDefault="00045829" w14:paraId="4EF9108E" w14:textId="77777777">
      <w:pPr>
        <w:pStyle w:val="indent-2"/>
        <w:ind w:left="360"/>
        <w:rPr>
          <w:sz w:val="22"/>
          <w:szCs w:val="22"/>
        </w:rPr>
      </w:pPr>
      <w:r w:rsidRPr="00D30826">
        <w:rPr>
          <w:rStyle w:val="paren"/>
          <w:sz w:val="22"/>
          <w:szCs w:val="22"/>
        </w:rPr>
        <w:t>(</w:t>
      </w:r>
      <w:r w:rsidRPr="00D30826">
        <w:rPr>
          <w:rStyle w:val="paragraph-hierarchy"/>
          <w:sz w:val="22"/>
          <w:szCs w:val="22"/>
        </w:rPr>
        <w:t>4</w:t>
      </w:r>
      <w:r w:rsidRPr="00D30826">
        <w:rPr>
          <w:rStyle w:val="paren"/>
          <w:sz w:val="22"/>
          <w:szCs w:val="22"/>
        </w:rPr>
        <w:t>)</w:t>
      </w:r>
      <w:r w:rsidRPr="00D30826">
        <w:rPr>
          <w:sz w:val="22"/>
          <w:szCs w:val="22"/>
        </w:rPr>
        <w:t xml:space="preserve"> Transfer the MBAN registration data in usable form to a frequency coordinator designated by the FCC if it ceases to be the coordinator. </w:t>
      </w:r>
    </w:p>
    <w:p w:rsidRPr="00D30826" w:rsidR="00D34A9B" w:rsidP="00045829" w:rsidRDefault="008121FD" w14:paraId="31844EEB" w14:textId="089AFE58">
      <w:pPr>
        <w:rPr>
          <w:sz w:val="22"/>
          <w:szCs w:val="22"/>
        </w:rPr>
      </w:pPr>
      <w:r>
        <w:rPr>
          <w:sz w:val="22"/>
          <w:szCs w:val="22"/>
        </w:rPr>
        <w:t>There are no changes to the burden hours or annual cost for this collection as a result of the non-submission change request submission.</w:t>
      </w:r>
    </w:p>
    <w:sectPr w:rsidRPr="00D30826" w:rsidR="00D34A9B" w:rsidSect="004F448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124A" w14:textId="77777777" w:rsidR="00A74291" w:rsidRDefault="00A74291" w:rsidP="00535BE1">
      <w:r>
        <w:separator/>
      </w:r>
    </w:p>
  </w:endnote>
  <w:endnote w:type="continuationSeparator" w:id="0">
    <w:p w14:paraId="4C49B150" w14:textId="77777777" w:rsidR="00A74291" w:rsidRDefault="00A74291"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8556"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815CC"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B72C"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284">
      <w:rPr>
        <w:rStyle w:val="PageNumber"/>
        <w:noProof/>
      </w:rPr>
      <w:t>2</w:t>
    </w:r>
    <w:r>
      <w:rPr>
        <w:rStyle w:val="PageNumber"/>
      </w:rPr>
      <w:fldChar w:fldCharType="end"/>
    </w:r>
  </w:p>
  <w:p w14:paraId="5FAC0ED7"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E3B0" w14:textId="77777777" w:rsidR="00A74291" w:rsidRDefault="00A74291" w:rsidP="00535BE1">
      <w:r>
        <w:separator/>
      </w:r>
    </w:p>
  </w:footnote>
  <w:footnote w:type="continuationSeparator" w:id="0">
    <w:p w14:paraId="41D61EB7" w14:textId="77777777" w:rsidR="00A74291" w:rsidRDefault="00A74291"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C8EE" w14:textId="77777777" w:rsidR="001E7857" w:rsidRDefault="001E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F8C42E1"/>
    <w:multiLevelType w:val="hybridMultilevel"/>
    <w:tmpl w:val="E8C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A2EA2"/>
    <w:multiLevelType w:val="hybridMultilevel"/>
    <w:tmpl w:val="4BE0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3AB0B81"/>
    <w:multiLevelType w:val="hybridMultilevel"/>
    <w:tmpl w:val="1CE26ED8"/>
    <w:lvl w:ilvl="0" w:tplc="9E84B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16cid:durableId="1871718981">
    <w:abstractNumId w:val="10"/>
  </w:num>
  <w:num w:numId="2" w16cid:durableId="1547255250">
    <w:abstractNumId w:val="4"/>
  </w:num>
  <w:num w:numId="3" w16cid:durableId="1553037374">
    <w:abstractNumId w:val="9"/>
  </w:num>
  <w:num w:numId="4" w16cid:durableId="1805391697">
    <w:abstractNumId w:val="11"/>
  </w:num>
  <w:num w:numId="5" w16cid:durableId="1609041868">
    <w:abstractNumId w:val="5"/>
  </w:num>
  <w:num w:numId="6" w16cid:durableId="1890458424">
    <w:abstractNumId w:val="0"/>
  </w:num>
  <w:num w:numId="7" w16cid:durableId="686298426">
    <w:abstractNumId w:val="8"/>
  </w:num>
  <w:num w:numId="8" w16cid:durableId="60294793">
    <w:abstractNumId w:val="15"/>
  </w:num>
  <w:num w:numId="9" w16cid:durableId="1241480272">
    <w:abstractNumId w:val="13"/>
  </w:num>
  <w:num w:numId="10" w16cid:durableId="1424037411">
    <w:abstractNumId w:val="2"/>
  </w:num>
  <w:num w:numId="11" w16cid:durableId="2122142741">
    <w:abstractNumId w:val="3"/>
  </w:num>
  <w:num w:numId="12" w16cid:durableId="581453663">
    <w:abstractNumId w:val="14"/>
  </w:num>
  <w:num w:numId="13" w16cid:durableId="1992638561">
    <w:abstractNumId w:val="1"/>
  </w:num>
  <w:num w:numId="14" w16cid:durableId="1953051911">
    <w:abstractNumId w:val="6"/>
  </w:num>
  <w:num w:numId="15" w16cid:durableId="1163205696">
    <w:abstractNumId w:val="7"/>
  </w:num>
  <w:num w:numId="16" w16cid:durableId="466551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91"/>
    <w:rsid w:val="00001FA8"/>
    <w:rsid w:val="00004FDF"/>
    <w:rsid w:val="00023DF9"/>
    <w:rsid w:val="00023F9D"/>
    <w:rsid w:val="00045829"/>
    <w:rsid w:val="0005096A"/>
    <w:rsid w:val="00053BC4"/>
    <w:rsid w:val="000614AE"/>
    <w:rsid w:val="00080DC8"/>
    <w:rsid w:val="000817E1"/>
    <w:rsid w:val="000911F0"/>
    <w:rsid w:val="000A2AF3"/>
    <w:rsid w:val="000A6284"/>
    <w:rsid w:val="000B494C"/>
    <w:rsid w:val="000C13D7"/>
    <w:rsid w:val="000C405B"/>
    <w:rsid w:val="000E04F8"/>
    <w:rsid w:val="00100CD6"/>
    <w:rsid w:val="00102EEA"/>
    <w:rsid w:val="00106B14"/>
    <w:rsid w:val="00113066"/>
    <w:rsid w:val="001159F5"/>
    <w:rsid w:val="00115A60"/>
    <w:rsid w:val="00117C9B"/>
    <w:rsid w:val="00120A41"/>
    <w:rsid w:val="001217BD"/>
    <w:rsid w:val="00125945"/>
    <w:rsid w:val="001527DF"/>
    <w:rsid w:val="001834AE"/>
    <w:rsid w:val="00190034"/>
    <w:rsid w:val="001A0E2C"/>
    <w:rsid w:val="001C27E9"/>
    <w:rsid w:val="001D22E4"/>
    <w:rsid w:val="001E2FE8"/>
    <w:rsid w:val="001E7857"/>
    <w:rsid w:val="001F644E"/>
    <w:rsid w:val="002018EC"/>
    <w:rsid w:val="00211DAE"/>
    <w:rsid w:val="00212095"/>
    <w:rsid w:val="00212D08"/>
    <w:rsid w:val="0021410B"/>
    <w:rsid w:val="00216AE3"/>
    <w:rsid w:val="00256430"/>
    <w:rsid w:val="00261A20"/>
    <w:rsid w:val="002741A2"/>
    <w:rsid w:val="00283328"/>
    <w:rsid w:val="002847A8"/>
    <w:rsid w:val="002A3B1F"/>
    <w:rsid w:val="002A5320"/>
    <w:rsid w:val="002C691B"/>
    <w:rsid w:val="002D4E2B"/>
    <w:rsid w:val="002D5CE6"/>
    <w:rsid w:val="002D686D"/>
    <w:rsid w:val="003009F2"/>
    <w:rsid w:val="0030115F"/>
    <w:rsid w:val="003166C8"/>
    <w:rsid w:val="003215EF"/>
    <w:rsid w:val="00333C60"/>
    <w:rsid w:val="00334DD9"/>
    <w:rsid w:val="003357D6"/>
    <w:rsid w:val="00352373"/>
    <w:rsid w:val="003552B6"/>
    <w:rsid w:val="0036385A"/>
    <w:rsid w:val="003702E9"/>
    <w:rsid w:val="0037071A"/>
    <w:rsid w:val="00387508"/>
    <w:rsid w:val="003958CB"/>
    <w:rsid w:val="003A0C9B"/>
    <w:rsid w:val="003B2693"/>
    <w:rsid w:val="003C102B"/>
    <w:rsid w:val="003C4318"/>
    <w:rsid w:val="003C7E5F"/>
    <w:rsid w:val="003E6195"/>
    <w:rsid w:val="0043020C"/>
    <w:rsid w:val="004357F2"/>
    <w:rsid w:val="00447B4C"/>
    <w:rsid w:val="00454DC8"/>
    <w:rsid w:val="0046265F"/>
    <w:rsid w:val="00465C47"/>
    <w:rsid w:val="00475AAB"/>
    <w:rsid w:val="0047614F"/>
    <w:rsid w:val="0048022B"/>
    <w:rsid w:val="004912A0"/>
    <w:rsid w:val="00495134"/>
    <w:rsid w:val="00495E36"/>
    <w:rsid w:val="004A2689"/>
    <w:rsid w:val="004A2B90"/>
    <w:rsid w:val="004A48EA"/>
    <w:rsid w:val="004C7804"/>
    <w:rsid w:val="004E4215"/>
    <w:rsid w:val="004F448D"/>
    <w:rsid w:val="004F4C2C"/>
    <w:rsid w:val="004F7515"/>
    <w:rsid w:val="00500EDA"/>
    <w:rsid w:val="00501017"/>
    <w:rsid w:val="00510941"/>
    <w:rsid w:val="00511AF7"/>
    <w:rsid w:val="00512C15"/>
    <w:rsid w:val="00520BAD"/>
    <w:rsid w:val="00525D88"/>
    <w:rsid w:val="00527308"/>
    <w:rsid w:val="00535BE1"/>
    <w:rsid w:val="00536226"/>
    <w:rsid w:val="0055357F"/>
    <w:rsid w:val="005648BB"/>
    <w:rsid w:val="0058639F"/>
    <w:rsid w:val="005B7A62"/>
    <w:rsid w:val="005D5300"/>
    <w:rsid w:val="005E729C"/>
    <w:rsid w:val="005F4058"/>
    <w:rsid w:val="005F639B"/>
    <w:rsid w:val="005F717F"/>
    <w:rsid w:val="006229AA"/>
    <w:rsid w:val="006327D2"/>
    <w:rsid w:val="00634C47"/>
    <w:rsid w:val="0067092A"/>
    <w:rsid w:val="0067241C"/>
    <w:rsid w:val="00672651"/>
    <w:rsid w:val="006A0EC4"/>
    <w:rsid w:val="006A7B89"/>
    <w:rsid w:val="006C30BD"/>
    <w:rsid w:val="006D705A"/>
    <w:rsid w:val="006F399E"/>
    <w:rsid w:val="0070192D"/>
    <w:rsid w:val="00704DFE"/>
    <w:rsid w:val="00710BEC"/>
    <w:rsid w:val="00724577"/>
    <w:rsid w:val="00727FB9"/>
    <w:rsid w:val="0073275F"/>
    <w:rsid w:val="007430E5"/>
    <w:rsid w:val="00745959"/>
    <w:rsid w:val="00757949"/>
    <w:rsid w:val="00761472"/>
    <w:rsid w:val="00776824"/>
    <w:rsid w:val="007903C3"/>
    <w:rsid w:val="007B1541"/>
    <w:rsid w:val="007C0012"/>
    <w:rsid w:val="007C0F78"/>
    <w:rsid w:val="007C2457"/>
    <w:rsid w:val="007C2B24"/>
    <w:rsid w:val="007C6B29"/>
    <w:rsid w:val="00806F78"/>
    <w:rsid w:val="008121FD"/>
    <w:rsid w:val="0082029B"/>
    <w:rsid w:val="00835FBA"/>
    <w:rsid w:val="00845C36"/>
    <w:rsid w:val="00864968"/>
    <w:rsid w:val="00876228"/>
    <w:rsid w:val="00893B78"/>
    <w:rsid w:val="00893BFD"/>
    <w:rsid w:val="008B6CBC"/>
    <w:rsid w:val="008D08E5"/>
    <w:rsid w:val="008D30D8"/>
    <w:rsid w:val="008E1247"/>
    <w:rsid w:val="008E6860"/>
    <w:rsid w:val="008F1F22"/>
    <w:rsid w:val="008F486E"/>
    <w:rsid w:val="008F62FC"/>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291"/>
    <w:rsid w:val="00A74D74"/>
    <w:rsid w:val="00A770B4"/>
    <w:rsid w:val="00A81230"/>
    <w:rsid w:val="00A92B3E"/>
    <w:rsid w:val="00AB300F"/>
    <w:rsid w:val="00AC5B91"/>
    <w:rsid w:val="00AC76A5"/>
    <w:rsid w:val="00AD63D3"/>
    <w:rsid w:val="00AD6AF3"/>
    <w:rsid w:val="00AE46AE"/>
    <w:rsid w:val="00AF00C2"/>
    <w:rsid w:val="00AF4C4A"/>
    <w:rsid w:val="00B04E58"/>
    <w:rsid w:val="00B21663"/>
    <w:rsid w:val="00B278E6"/>
    <w:rsid w:val="00B30EC0"/>
    <w:rsid w:val="00B3689B"/>
    <w:rsid w:val="00B41D03"/>
    <w:rsid w:val="00B54EC2"/>
    <w:rsid w:val="00B65D33"/>
    <w:rsid w:val="00B80145"/>
    <w:rsid w:val="00B82326"/>
    <w:rsid w:val="00B85620"/>
    <w:rsid w:val="00B871AD"/>
    <w:rsid w:val="00BB3003"/>
    <w:rsid w:val="00BC10CB"/>
    <w:rsid w:val="00BC4328"/>
    <w:rsid w:val="00BD6A8F"/>
    <w:rsid w:val="00BF2FBB"/>
    <w:rsid w:val="00C0778C"/>
    <w:rsid w:val="00C16BF7"/>
    <w:rsid w:val="00C20B5A"/>
    <w:rsid w:val="00C21958"/>
    <w:rsid w:val="00C401E3"/>
    <w:rsid w:val="00C414B8"/>
    <w:rsid w:val="00C478CC"/>
    <w:rsid w:val="00C5096F"/>
    <w:rsid w:val="00C57FE3"/>
    <w:rsid w:val="00C62966"/>
    <w:rsid w:val="00C674F7"/>
    <w:rsid w:val="00C7749C"/>
    <w:rsid w:val="00CA1DBB"/>
    <w:rsid w:val="00CB1EBB"/>
    <w:rsid w:val="00CD1E5A"/>
    <w:rsid w:val="00CD2EC8"/>
    <w:rsid w:val="00CE6F9E"/>
    <w:rsid w:val="00D05153"/>
    <w:rsid w:val="00D22238"/>
    <w:rsid w:val="00D30826"/>
    <w:rsid w:val="00D31D62"/>
    <w:rsid w:val="00D34A9B"/>
    <w:rsid w:val="00D517D3"/>
    <w:rsid w:val="00D64C56"/>
    <w:rsid w:val="00D64CE5"/>
    <w:rsid w:val="00D6690F"/>
    <w:rsid w:val="00D82193"/>
    <w:rsid w:val="00D95DA9"/>
    <w:rsid w:val="00DB707B"/>
    <w:rsid w:val="00DC06AB"/>
    <w:rsid w:val="00DC262D"/>
    <w:rsid w:val="00DC3C5C"/>
    <w:rsid w:val="00DD1F0F"/>
    <w:rsid w:val="00E01092"/>
    <w:rsid w:val="00E0613D"/>
    <w:rsid w:val="00E20BCF"/>
    <w:rsid w:val="00E25B4D"/>
    <w:rsid w:val="00E4106D"/>
    <w:rsid w:val="00E52120"/>
    <w:rsid w:val="00E7766C"/>
    <w:rsid w:val="00E85807"/>
    <w:rsid w:val="00E930A3"/>
    <w:rsid w:val="00E96208"/>
    <w:rsid w:val="00EB3E6B"/>
    <w:rsid w:val="00EB3F27"/>
    <w:rsid w:val="00EC1811"/>
    <w:rsid w:val="00EC2D12"/>
    <w:rsid w:val="00ED1753"/>
    <w:rsid w:val="00ED3675"/>
    <w:rsid w:val="00ED6D85"/>
    <w:rsid w:val="00EE26F1"/>
    <w:rsid w:val="00F10336"/>
    <w:rsid w:val="00F236B6"/>
    <w:rsid w:val="00F268A2"/>
    <w:rsid w:val="00F26BDC"/>
    <w:rsid w:val="00F30422"/>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77D7B"/>
  <w15:docId w15:val="{5000B868-C282-4428-96DD-E4930560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uiPriority w:val="20"/>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16BF7"/>
    <w:pPr>
      <w:spacing w:before="100" w:beforeAutospacing="1" w:after="100" w:afterAutospacing="1"/>
    </w:pPr>
  </w:style>
  <w:style w:type="paragraph" w:customStyle="1" w:styleId="indent-1">
    <w:name w:val="indent-1"/>
    <w:basedOn w:val="Normal"/>
    <w:rsid w:val="00C16BF7"/>
    <w:pPr>
      <w:spacing w:before="100" w:beforeAutospacing="1" w:after="100" w:afterAutospacing="1"/>
    </w:pPr>
  </w:style>
  <w:style w:type="character" w:customStyle="1" w:styleId="paragraph-hierarchy">
    <w:name w:val="paragraph-hierarchy"/>
    <w:basedOn w:val="DefaultParagraphFont"/>
    <w:rsid w:val="00C16BF7"/>
  </w:style>
  <w:style w:type="character" w:customStyle="1" w:styleId="paren">
    <w:name w:val="paren"/>
    <w:basedOn w:val="DefaultParagraphFont"/>
    <w:rsid w:val="00C16BF7"/>
  </w:style>
  <w:style w:type="paragraph" w:styleId="ListParagraph">
    <w:name w:val="List Paragraph"/>
    <w:basedOn w:val="Normal"/>
    <w:uiPriority w:val="34"/>
    <w:qFormat/>
    <w:rsid w:val="005B7A62"/>
    <w:pPr>
      <w:ind w:left="720"/>
      <w:contextualSpacing/>
    </w:pPr>
  </w:style>
  <w:style w:type="paragraph" w:customStyle="1" w:styleId="indent-2">
    <w:name w:val="indent-2"/>
    <w:basedOn w:val="Normal"/>
    <w:rsid w:val="005B7A62"/>
    <w:pPr>
      <w:spacing w:before="100" w:beforeAutospacing="1" w:after="100" w:afterAutospacing="1"/>
    </w:pPr>
  </w:style>
  <w:style w:type="character" w:styleId="UnresolvedMention">
    <w:name w:val="Unresolved Mention"/>
    <w:basedOn w:val="DefaultParagraphFont"/>
    <w:uiPriority w:val="99"/>
    <w:semiHidden/>
    <w:unhideWhenUsed/>
    <w:rsid w:val="00125945"/>
    <w:rPr>
      <w:color w:val="605E5C"/>
      <w:shd w:val="clear" w:color="auto" w:fill="E1DFDD"/>
    </w:rPr>
  </w:style>
  <w:style w:type="character" w:customStyle="1" w:styleId="minor-caps">
    <w:name w:val="minor-caps"/>
    <w:basedOn w:val="DefaultParagraphFont"/>
    <w:rsid w:val="0004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583489200">
      <w:bodyDiv w:val="1"/>
      <w:marLeft w:val="0"/>
      <w:marRight w:val="0"/>
      <w:marTop w:val="0"/>
      <w:marBottom w:val="0"/>
      <w:divBdr>
        <w:top w:val="none" w:sz="0" w:space="0" w:color="auto"/>
        <w:left w:val="none" w:sz="0" w:space="0" w:color="auto"/>
        <w:bottom w:val="none" w:sz="0" w:space="0" w:color="auto"/>
        <w:right w:val="none" w:sz="0" w:space="0" w:color="auto"/>
      </w:divBdr>
      <w:divsChild>
        <w:div w:id="932279136">
          <w:marLeft w:val="0"/>
          <w:marRight w:val="0"/>
          <w:marTop w:val="0"/>
          <w:marBottom w:val="0"/>
          <w:divBdr>
            <w:top w:val="none" w:sz="0" w:space="0" w:color="auto"/>
            <w:left w:val="none" w:sz="0" w:space="0" w:color="auto"/>
            <w:bottom w:val="none" w:sz="0" w:space="0" w:color="auto"/>
            <w:right w:val="none" w:sz="0" w:space="0" w:color="auto"/>
          </w:divBdr>
        </w:div>
        <w:div w:id="823544961">
          <w:marLeft w:val="0"/>
          <w:marRight w:val="0"/>
          <w:marTop w:val="0"/>
          <w:marBottom w:val="0"/>
          <w:divBdr>
            <w:top w:val="none" w:sz="0" w:space="0" w:color="auto"/>
            <w:left w:val="none" w:sz="0" w:space="0" w:color="auto"/>
            <w:bottom w:val="none" w:sz="0" w:space="0" w:color="auto"/>
            <w:right w:val="none" w:sz="0" w:space="0" w:color="auto"/>
          </w:divBdr>
          <w:divsChild>
            <w:div w:id="1422797754">
              <w:marLeft w:val="0"/>
              <w:marRight w:val="0"/>
              <w:marTop w:val="0"/>
              <w:marBottom w:val="0"/>
              <w:divBdr>
                <w:top w:val="none" w:sz="0" w:space="0" w:color="auto"/>
                <w:left w:val="none" w:sz="0" w:space="0" w:color="auto"/>
                <w:bottom w:val="none" w:sz="0" w:space="0" w:color="auto"/>
                <w:right w:val="none" w:sz="0" w:space="0" w:color="auto"/>
              </w:divBdr>
            </w:div>
            <w:div w:id="30768006">
              <w:marLeft w:val="0"/>
              <w:marRight w:val="0"/>
              <w:marTop w:val="0"/>
              <w:marBottom w:val="0"/>
              <w:divBdr>
                <w:top w:val="none" w:sz="0" w:space="0" w:color="auto"/>
                <w:left w:val="none" w:sz="0" w:space="0" w:color="auto"/>
                <w:bottom w:val="none" w:sz="0" w:space="0" w:color="auto"/>
                <w:right w:val="none" w:sz="0" w:space="0" w:color="auto"/>
              </w:divBdr>
            </w:div>
            <w:div w:id="1566986966">
              <w:marLeft w:val="0"/>
              <w:marRight w:val="0"/>
              <w:marTop w:val="0"/>
              <w:marBottom w:val="0"/>
              <w:divBdr>
                <w:top w:val="none" w:sz="0" w:space="0" w:color="auto"/>
                <w:left w:val="none" w:sz="0" w:space="0" w:color="auto"/>
                <w:bottom w:val="none" w:sz="0" w:space="0" w:color="auto"/>
                <w:right w:val="none" w:sz="0" w:space="0" w:color="auto"/>
              </w:divBdr>
            </w:div>
            <w:div w:id="131800140">
              <w:marLeft w:val="0"/>
              <w:marRight w:val="0"/>
              <w:marTop w:val="0"/>
              <w:marBottom w:val="0"/>
              <w:divBdr>
                <w:top w:val="none" w:sz="0" w:space="0" w:color="auto"/>
                <w:left w:val="none" w:sz="0" w:space="0" w:color="auto"/>
                <w:bottom w:val="none" w:sz="0" w:space="0" w:color="auto"/>
                <w:right w:val="none" w:sz="0" w:space="0" w:color="auto"/>
              </w:divBdr>
            </w:div>
            <w:div w:id="676923764">
              <w:marLeft w:val="0"/>
              <w:marRight w:val="0"/>
              <w:marTop w:val="0"/>
              <w:marBottom w:val="0"/>
              <w:divBdr>
                <w:top w:val="none" w:sz="0" w:space="0" w:color="auto"/>
                <w:left w:val="none" w:sz="0" w:space="0" w:color="auto"/>
                <w:bottom w:val="none" w:sz="0" w:space="0" w:color="auto"/>
                <w:right w:val="none" w:sz="0" w:space="0" w:color="auto"/>
              </w:divBdr>
            </w:div>
          </w:divsChild>
        </w:div>
        <w:div w:id="252865080">
          <w:marLeft w:val="0"/>
          <w:marRight w:val="0"/>
          <w:marTop w:val="0"/>
          <w:marBottom w:val="0"/>
          <w:divBdr>
            <w:top w:val="none" w:sz="0" w:space="0" w:color="auto"/>
            <w:left w:val="none" w:sz="0" w:space="0" w:color="auto"/>
            <w:bottom w:val="none" w:sz="0" w:space="0" w:color="auto"/>
            <w:right w:val="none" w:sz="0" w:space="0" w:color="auto"/>
          </w:divBdr>
          <w:divsChild>
            <w:div w:id="374160990">
              <w:marLeft w:val="0"/>
              <w:marRight w:val="0"/>
              <w:marTop w:val="0"/>
              <w:marBottom w:val="0"/>
              <w:divBdr>
                <w:top w:val="none" w:sz="0" w:space="0" w:color="auto"/>
                <w:left w:val="none" w:sz="0" w:space="0" w:color="auto"/>
                <w:bottom w:val="none" w:sz="0" w:space="0" w:color="auto"/>
                <w:right w:val="none" w:sz="0" w:space="0" w:color="auto"/>
              </w:divBdr>
            </w:div>
            <w:div w:id="1142380315">
              <w:marLeft w:val="0"/>
              <w:marRight w:val="0"/>
              <w:marTop w:val="0"/>
              <w:marBottom w:val="0"/>
              <w:divBdr>
                <w:top w:val="none" w:sz="0" w:space="0" w:color="auto"/>
                <w:left w:val="none" w:sz="0" w:space="0" w:color="auto"/>
                <w:bottom w:val="none" w:sz="0" w:space="0" w:color="auto"/>
                <w:right w:val="none" w:sz="0" w:space="0" w:color="auto"/>
              </w:divBdr>
            </w:div>
            <w:div w:id="1090156588">
              <w:marLeft w:val="0"/>
              <w:marRight w:val="0"/>
              <w:marTop w:val="0"/>
              <w:marBottom w:val="0"/>
              <w:divBdr>
                <w:top w:val="none" w:sz="0" w:space="0" w:color="auto"/>
                <w:left w:val="none" w:sz="0" w:space="0" w:color="auto"/>
                <w:bottom w:val="none" w:sz="0" w:space="0" w:color="auto"/>
                <w:right w:val="none" w:sz="0" w:space="0" w:color="auto"/>
              </w:divBdr>
            </w:div>
            <w:div w:id="1799109665">
              <w:marLeft w:val="0"/>
              <w:marRight w:val="0"/>
              <w:marTop w:val="0"/>
              <w:marBottom w:val="0"/>
              <w:divBdr>
                <w:top w:val="none" w:sz="0" w:space="0" w:color="auto"/>
                <w:left w:val="none" w:sz="0" w:space="0" w:color="auto"/>
                <w:bottom w:val="none" w:sz="0" w:space="0" w:color="auto"/>
                <w:right w:val="none" w:sz="0" w:space="0" w:color="auto"/>
              </w:divBdr>
            </w:div>
            <w:div w:id="1356732731">
              <w:marLeft w:val="0"/>
              <w:marRight w:val="0"/>
              <w:marTop w:val="0"/>
              <w:marBottom w:val="0"/>
              <w:divBdr>
                <w:top w:val="none" w:sz="0" w:space="0" w:color="auto"/>
                <w:left w:val="none" w:sz="0" w:space="0" w:color="auto"/>
                <w:bottom w:val="none" w:sz="0" w:space="0" w:color="auto"/>
                <w:right w:val="none" w:sz="0" w:space="0" w:color="auto"/>
              </w:divBdr>
            </w:div>
            <w:div w:id="1968314026">
              <w:marLeft w:val="0"/>
              <w:marRight w:val="0"/>
              <w:marTop w:val="0"/>
              <w:marBottom w:val="0"/>
              <w:divBdr>
                <w:top w:val="none" w:sz="0" w:space="0" w:color="auto"/>
                <w:left w:val="none" w:sz="0" w:space="0" w:color="auto"/>
                <w:bottom w:val="none" w:sz="0" w:space="0" w:color="auto"/>
                <w:right w:val="none" w:sz="0" w:space="0" w:color="auto"/>
              </w:divBdr>
            </w:div>
            <w:div w:id="344136533">
              <w:marLeft w:val="0"/>
              <w:marRight w:val="0"/>
              <w:marTop w:val="0"/>
              <w:marBottom w:val="0"/>
              <w:divBdr>
                <w:top w:val="none" w:sz="0" w:space="0" w:color="auto"/>
                <w:left w:val="none" w:sz="0" w:space="0" w:color="auto"/>
                <w:bottom w:val="none" w:sz="0" w:space="0" w:color="auto"/>
                <w:right w:val="none" w:sz="0" w:space="0" w:color="auto"/>
              </w:divBdr>
            </w:div>
          </w:divsChild>
        </w:div>
        <w:div w:id="261037884">
          <w:marLeft w:val="0"/>
          <w:marRight w:val="0"/>
          <w:marTop w:val="0"/>
          <w:marBottom w:val="0"/>
          <w:divBdr>
            <w:top w:val="none" w:sz="0" w:space="0" w:color="auto"/>
            <w:left w:val="none" w:sz="0" w:space="0" w:color="auto"/>
            <w:bottom w:val="none" w:sz="0" w:space="0" w:color="auto"/>
            <w:right w:val="none" w:sz="0" w:space="0" w:color="auto"/>
          </w:divBdr>
        </w:div>
        <w:div w:id="1076514626">
          <w:marLeft w:val="0"/>
          <w:marRight w:val="0"/>
          <w:marTop w:val="0"/>
          <w:marBottom w:val="0"/>
          <w:divBdr>
            <w:top w:val="none" w:sz="0" w:space="0" w:color="auto"/>
            <w:left w:val="none" w:sz="0" w:space="0" w:color="auto"/>
            <w:bottom w:val="none" w:sz="0" w:space="0" w:color="auto"/>
            <w:right w:val="none" w:sz="0" w:space="0" w:color="auto"/>
          </w:divBdr>
          <w:divsChild>
            <w:div w:id="1263302496">
              <w:marLeft w:val="0"/>
              <w:marRight w:val="0"/>
              <w:marTop w:val="0"/>
              <w:marBottom w:val="0"/>
              <w:divBdr>
                <w:top w:val="none" w:sz="0" w:space="0" w:color="auto"/>
                <w:left w:val="none" w:sz="0" w:space="0" w:color="auto"/>
                <w:bottom w:val="none" w:sz="0" w:space="0" w:color="auto"/>
                <w:right w:val="none" w:sz="0" w:space="0" w:color="auto"/>
              </w:divBdr>
            </w:div>
            <w:div w:id="1475217239">
              <w:marLeft w:val="0"/>
              <w:marRight w:val="0"/>
              <w:marTop w:val="0"/>
              <w:marBottom w:val="0"/>
              <w:divBdr>
                <w:top w:val="none" w:sz="0" w:space="0" w:color="auto"/>
                <w:left w:val="none" w:sz="0" w:space="0" w:color="auto"/>
                <w:bottom w:val="none" w:sz="0" w:space="0" w:color="auto"/>
                <w:right w:val="none" w:sz="0" w:space="0" w:color="auto"/>
              </w:divBdr>
            </w:div>
            <w:div w:id="247006503">
              <w:marLeft w:val="0"/>
              <w:marRight w:val="0"/>
              <w:marTop w:val="0"/>
              <w:marBottom w:val="0"/>
              <w:divBdr>
                <w:top w:val="none" w:sz="0" w:space="0" w:color="auto"/>
                <w:left w:val="none" w:sz="0" w:space="0" w:color="auto"/>
                <w:bottom w:val="none" w:sz="0" w:space="0" w:color="auto"/>
                <w:right w:val="none" w:sz="0" w:space="0" w:color="auto"/>
              </w:divBdr>
            </w:div>
          </w:divsChild>
        </w:div>
        <w:div w:id="321351395">
          <w:marLeft w:val="0"/>
          <w:marRight w:val="0"/>
          <w:marTop w:val="0"/>
          <w:marBottom w:val="0"/>
          <w:divBdr>
            <w:top w:val="none" w:sz="0" w:space="0" w:color="auto"/>
            <w:left w:val="none" w:sz="0" w:space="0" w:color="auto"/>
            <w:bottom w:val="none" w:sz="0" w:space="0" w:color="auto"/>
            <w:right w:val="none" w:sz="0" w:space="0" w:color="auto"/>
          </w:divBdr>
          <w:divsChild>
            <w:div w:id="664672447">
              <w:marLeft w:val="0"/>
              <w:marRight w:val="0"/>
              <w:marTop w:val="0"/>
              <w:marBottom w:val="0"/>
              <w:divBdr>
                <w:top w:val="none" w:sz="0" w:space="0" w:color="auto"/>
                <w:left w:val="none" w:sz="0" w:space="0" w:color="auto"/>
                <w:bottom w:val="none" w:sz="0" w:space="0" w:color="auto"/>
                <w:right w:val="none" w:sz="0" w:space="0" w:color="auto"/>
              </w:divBdr>
            </w:div>
            <w:div w:id="1815218338">
              <w:marLeft w:val="0"/>
              <w:marRight w:val="0"/>
              <w:marTop w:val="0"/>
              <w:marBottom w:val="0"/>
              <w:divBdr>
                <w:top w:val="none" w:sz="0" w:space="0" w:color="auto"/>
                <w:left w:val="none" w:sz="0" w:space="0" w:color="auto"/>
                <w:bottom w:val="none" w:sz="0" w:space="0" w:color="auto"/>
                <w:right w:val="none" w:sz="0" w:space="0" w:color="auto"/>
              </w:divBdr>
            </w:div>
            <w:div w:id="799105649">
              <w:marLeft w:val="0"/>
              <w:marRight w:val="0"/>
              <w:marTop w:val="0"/>
              <w:marBottom w:val="0"/>
              <w:divBdr>
                <w:top w:val="none" w:sz="0" w:space="0" w:color="auto"/>
                <w:left w:val="none" w:sz="0" w:space="0" w:color="auto"/>
                <w:bottom w:val="none" w:sz="0" w:space="0" w:color="auto"/>
                <w:right w:val="none" w:sz="0" w:space="0" w:color="auto"/>
              </w:divBdr>
            </w:div>
            <w:div w:id="7741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180">
      <w:bodyDiv w:val="1"/>
      <w:marLeft w:val="0"/>
      <w:marRight w:val="0"/>
      <w:marTop w:val="0"/>
      <w:marBottom w:val="0"/>
      <w:divBdr>
        <w:top w:val="none" w:sz="0" w:space="0" w:color="auto"/>
        <w:left w:val="none" w:sz="0" w:space="0" w:color="auto"/>
        <w:bottom w:val="none" w:sz="0" w:space="0" w:color="auto"/>
        <w:right w:val="none" w:sz="0" w:space="0" w:color="auto"/>
      </w:divBdr>
      <w:divsChild>
        <w:div w:id="27419884">
          <w:marLeft w:val="0"/>
          <w:marRight w:val="0"/>
          <w:marTop w:val="0"/>
          <w:marBottom w:val="0"/>
          <w:divBdr>
            <w:top w:val="none" w:sz="0" w:space="0" w:color="auto"/>
            <w:left w:val="none" w:sz="0" w:space="0" w:color="auto"/>
            <w:bottom w:val="none" w:sz="0" w:space="0" w:color="auto"/>
            <w:right w:val="none" w:sz="0" w:space="0" w:color="auto"/>
          </w:divBdr>
        </w:div>
        <w:div w:id="560290617">
          <w:marLeft w:val="0"/>
          <w:marRight w:val="0"/>
          <w:marTop w:val="0"/>
          <w:marBottom w:val="0"/>
          <w:divBdr>
            <w:top w:val="none" w:sz="0" w:space="0" w:color="auto"/>
            <w:left w:val="none" w:sz="0" w:space="0" w:color="auto"/>
            <w:bottom w:val="none" w:sz="0" w:space="0" w:color="auto"/>
            <w:right w:val="none" w:sz="0" w:space="0" w:color="auto"/>
          </w:divBdr>
          <w:divsChild>
            <w:div w:id="1377899970">
              <w:marLeft w:val="0"/>
              <w:marRight w:val="0"/>
              <w:marTop w:val="0"/>
              <w:marBottom w:val="0"/>
              <w:divBdr>
                <w:top w:val="none" w:sz="0" w:space="0" w:color="auto"/>
                <w:left w:val="none" w:sz="0" w:space="0" w:color="auto"/>
                <w:bottom w:val="none" w:sz="0" w:space="0" w:color="auto"/>
                <w:right w:val="none" w:sz="0" w:space="0" w:color="auto"/>
              </w:divBdr>
            </w:div>
            <w:div w:id="786117668">
              <w:marLeft w:val="0"/>
              <w:marRight w:val="0"/>
              <w:marTop w:val="0"/>
              <w:marBottom w:val="0"/>
              <w:divBdr>
                <w:top w:val="none" w:sz="0" w:space="0" w:color="auto"/>
                <w:left w:val="none" w:sz="0" w:space="0" w:color="auto"/>
                <w:bottom w:val="none" w:sz="0" w:space="0" w:color="auto"/>
                <w:right w:val="none" w:sz="0" w:space="0" w:color="auto"/>
              </w:divBdr>
            </w:div>
            <w:div w:id="1563446145">
              <w:marLeft w:val="0"/>
              <w:marRight w:val="0"/>
              <w:marTop w:val="0"/>
              <w:marBottom w:val="0"/>
              <w:divBdr>
                <w:top w:val="none" w:sz="0" w:space="0" w:color="auto"/>
                <w:left w:val="none" w:sz="0" w:space="0" w:color="auto"/>
                <w:bottom w:val="none" w:sz="0" w:space="0" w:color="auto"/>
                <w:right w:val="none" w:sz="0" w:space="0" w:color="auto"/>
              </w:divBdr>
            </w:div>
            <w:div w:id="562716459">
              <w:marLeft w:val="0"/>
              <w:marRight w:val="0"/>
              <w:marTop w:val="0"/>
              <w:marBottom w:val="0"/>
              <w:divBdr>
                <w:top w:val="none" w:sz="0" w:space="0" w:color="auto"/>
                <w:left w:val="none" w:sz="0" w:space="0" w:color="auto"/>
                <w:bottom w:val="none" w:sz="0" w:space="0" w:color="auto"/>
                <w:right w:val="none" w:sz="0" w:space="0" w:color="auto"/>
              </w:divBdr>
            </w:div>
            <w:div w:id="534346892">
              <w:marLeft w:val="0"/>
              <w:marRight w:val="0"/>
              <w:marTop w:val="0"/>
              <w:marBottom w:val="0"/>
              <w:divBdr>
                <w:top w:val="none" w:sz="0" w:space="0" w:color="auto"/>
                <w:left w:val="none" w:sz="0" w:space="0" w:color="auto"/>
                <w:bottom w:val="none" w:sz="0" w:space="0" w:color="auto"/>
                <w:right w:val="none" w:sz="0" w:space="0" w:color="auto"/>
              </w:divBdr>
            </w:div>
          </w:divsChild>
        </w:div>
        <w:div w:id="2088913054">
          <w:marLeft w:val="0"/>
          <w:marRight w:val="0"/>
          <w:marTop w:val="0"/>
          <w:marBottom w:val="0"/>
          <w:divBdr>
            <w:top w:val="none" w:sz="0" w:space="0" w:color="auto"/>
            <w:left w:val="none" w:sz="0" w:space="0" w:color="auto"/>
            <w:bottom w:val="none" w:sz="0" w:space="0" w:color="auto"/>
            <w:right w:val="none" w:sz="0" w:space="0" w:color="auto"/>
          </w:divBdr>
          <w:divsChild>
            <w:div w:id="1276642798">
              <w:marLeft w:val="0"/>
              <w:marRight w:val="0"/>
              <w:marTop w:val="0"/>
              <w:marBottom w:val="0"/>
              <w:divBdr>
                <w:top w:val="none" w:sz="0" w:space="0" w:color="auto"/>
                <w:left w:val="none" w:sz="0" w:space="0" w:color="auto"/>
                <w:bottom w:val="none" w:sz="0" w:space="0" w:color="auto"/>
                <w:right w:val="none" w:sz="0" w:space="0" w:color="auto"/>
              </w:divBdr>
            </w:div>
            <w:div w:id="2013603099">
              <w:marLeft w:val="0"/>
              <w:marRight w:val="0"/>
              <w:marTop w:val="0"/>
              <w:marBottom w:val="0"/>
              <w:divBdr>
                <w:top w:val="none" w:sz="0" w:space="0" w:color="auto"/>
                <w:left w:val="none" w:sz="0" w:space="0" w:color="auto"/>
                <w:bottom w:val="none" w:sz="0" w:space="0" w:color="auto"/>
                <w:right w:val="none" w:sz="0" w:space="0" w:color="auto"/>
              </w:divBdr>
            </w:div>
            <w:div w:id="2127505411">
              <w:marLeft w:val="0"/>
              <w:marRight w:val="0"/>
              <w:marTop w:val="0"/>
              <w:marBottom w:val="0"/>
              <w:divBdr>
                <w:top w:val="none" w:sz="0" w:space="0" w:color="auto"/>
                <w:left w:val="none" w:sz="0" w:space="0" w:color="auto"/>
                <w:bottom w:val="none" w:sz="0" w:space="0" w:color="auto"/>
                <w:right w:val="none" w:sz="0" w:space="0" w:color="auto"/>
              </w:divBdr>
            </w:div>
            <w:div w:id="347101386">
              <w:marLeft w:val="0"/>
              <w:marRight w:val="0"/>
              <w:marTop w:val="0"/>
              <w:marBottom w:val="0"/>
              <w:divBdr>
                <w:top w:val="none" w:sz="0" w:space="0" w:color="auto"/>
                <w:left w:val="none" w:sz="0" w:space="0" w:color="auto"/>
                <w:bottom w:val="none" w:sz="0" w:space="0" w:color="auto"/>
                <w:right w:val="none" w:sz="0" w:space="0" w:color="auto"/>
              </w:divBdr>
            </w:div>
            <w:div w:id="1819760618">
              <w:marLeft w:val="0"/>
              <w:marRight w:val="0"/>
              <w:marTop w:val="0"/>
              <w:marBottom w:val="0"/>
              <w:divBdr>
                <w:top w:val="none" w:sz="0" w:space="0" w:color="auto"/>
                <w:left w:val="none" w:sz="0" w:space="0" w:color="auto"/>
                <w:bottom w:val="none" w:sz="0" w:space="0" w:color="auto"/>
                <w:right w:val="none" w:sz="0" w:space="0" w:color="auto"/>
              </w:divBdr>
            </w:div>
            <w:div w:id="1511211849">
              <w:marLeft w:val="0"/>
              <w:marRight w:val="0"/>
              <w:marTop w:val="0"/>
              <w:marBottom w:val="0"/>
              <w:divBdr>
                <w:top w:val="none" w:sz="0" w:space="0" w:color="auto"/>
                <w:left w:val="none" w:sz="0" w:space="0" w:color="auto"/>
                <w:bottom w:val="none" w:sz="0" w:space="0" w:color="auto"/>
                <w:right w:val="none" w:sz="0" w:space="0" w:color="auto"/>
              </w:divBdr>
            </w:div>
            <w:div w:id="1427187891">
              <w:marLeft w:val="0"/>
              <w:marRight w:val="0"/>
              <w:marTop w:val="0"/>
              <w:marBottom w:val="0"/>
              <w:divBdr>
                <w:top w:val="none" w:sz="0" w:space="0" w:color="auto"/>
                <w:left w:val="none" w:sz="0" w:space="0" w:color="auto"/>
                <w:bottom w:val="none" w:sz="0" w:space="0" w:color="auto"/>
                <w:right w:val="none" w:sz="0" w:space="0" w:color="auto"/>
              </w:divBdr>
            </w:div>
          </w:divsChild>
        </w:div>
        <w:div w:id="1821925908">
          <w:marLeft w:val="0"/>
          <w:marRight w:val="0"/>
          <w:marTop w:val="0"/>
          <w:marBottom w:val="0"/>
          <w:divBdr>
            <w:top w:val="none" w:sz="0" w:space="0" w:color="auto"/>
            <w:left w:val="none" w:sz="0" w:space="0" w:color="auto"/>
            <w:bottom w:val="none" w:sz="0" w:space="0" w:color="auto"/>
            <w:right w:val="none" w:sz="0" w:space="0" w:color="auto"/>
          </w:divBdr>
        </w:div>
        <w:div w:id="438766799">
          <w:marLeft w:val="0"/>
          <w:marRight w:val="0"/>
          <w:marTop w:val="0"/>
          <w:marBottom w:val="0"/>
          <w:divBdr>
            <w:top w:val="none" w:sz="0" w:space="0" w:color="auto"/>
            <w:left w:val="none" w:sz="0" w:space="0" w:color="auto"/>
            <w:bottom w:val="none" w:sz="0" w:space="0" w:color="auto"/>
            <w:right w:val="none" w:sz="0" w:space="0" w:color="auto"/>
          </w:divBdr>
          <w:divsChild>
            <w:div w:id="1276328651">
              <w:marLeft w:val="0"/>
              <w:marRight w:val="0"/>
              <w:marTop w:val="0"/>
              <w:marBottom w:val="0"/>
              <w:divBdr>
                <w:top w:val="none" w:sz="0" w:space="0" w:color="auto"/>
                <w:left w:val="none" w:sz="0" w:space="0" w:color="auto"/>
                <w:bottom w:val="none" w:sz="0" w:space="0" w:color="auto"/>
                <w:right w:val="none" w:sz="0" w:space="0" w:color="auto"/>
              </w:divBdr>
            </w:div>
            <w:div w:id="533081544">
              <w:marLeft w:val="0"/>
              <w:marRight w:val="0"/>
              <w:marTop w:val="0"/>
              <w:marBottom w:val="0"/>
              <w:divBdr>
                <w:top w:val="none" w:sz="0" w:space="0" w:color="auto"/>
                <w:left w:val="none" w:sz="0" w:space="0" w:color="auto"/>
                <w:bottom w:val="none" w:sz="0" w:space="0" w:color="auto"/>
                <w:right w:val="none" w:sz="0" w:space="0" w:color="auto"/>
              </w:divBdr>
            </w:div>
            <w:div w:id="1903902231">
              <w:marLeft w:val="0"/>
              <w:marRight w:val="0"/>
              <w:marTop w:val="0"/>
              <w:marBottom w:val="0"/>
              <w:divBdr>
                <w:top w:val="none" w:sz="0" w:space="0" w:color="auto"/>
                <w:left w:val="none" w:sz="0" w:space="0" w:color="auto"/>
                <w:bottom w:val="none" w:sz="0" w:space="0" w:color="auto"/>
                <w:right w:val="none" w:sz="0" w:space="0" w:color="auto"/>
              </w:divBdr>
            </w:div>
          </w:divsChild>
        </w:div>
        <w:div w:id="1994529631">
          <w:marLeft w:val="0"/>
          <w:marRight w:val="0"/>
          <w:marTop w:val="0"/>
          <w:marBottom w:val="0"/>
          <w:divBdr>
            <w:top w:val="none" w:sz="0" w:space="0" w:color="auto"/>
            <w:left w:val="none" w:sz="0" w:space="0" w:color="auto"/>
            <w:bottom w:val="none" w:sz="0" w:space="0" w:color="auto"/>
            <w:right w:val="none" w:sz="0" w:space="0" w:color="auto"/>
          </w:divBdr>
          <w:divsChild>
            <w:div w:id="2108841763">
              <w:marLeft w:val="0"/>
              <w:marRight w:val="0"/>
              <w:marTop w:val="0"/>
              <w:marBottom w:val="0"/>
              <w:divBdr>
                <w:top w:val="none" w:sz="0" w:space="0" w:color="auto"/>
                <w:left w:val="none" w:sz="0" w:space="0" w:color="auto"/>
                <w:bottom w:val="none" w:sz="0" w:space="0" w:color="auto"/>
                <w:right w:val="none" w:sz="0" w:space="0" w:color="auto"/>
              </w:divBdr>
            </w:div>
            <w:div w:id="1978485606">
              <w:marLeft w:val="0"/>
              <w:marRight w:val="0"/>
              <w:marTop w:val="0"/>
              <w:marBottom w:val="0"/>
              <w:divBdr>
                <w:top w:val="none" w:sz="0" w:space="0" w:color="auto"/>
                <w:left w:val="none" w:sz="0" w:space="0" w:color="auto"/>
                <w:bottom w:val="none" w:sz="0" w:space="0" w:color="auto"/>
                <w:right w:val="none" w:sz="0" w:space="0" w:color="auto"/>
              </w:divBdr>
            </w:div>
            <w:div w:id="609045208">
              <w:marLeft w:val="0"/>
              <w:marRight w:val="0"/>
              <w:marTop w:val="0"/>
              <w:marBottom w:val="0"/>
              <w:divBdr>
                <w:top w:val="none" w:sz="0" w:space="0" w:color="auto"/>
                <w:left w:val="none" w:sz="0" w:space="0" w:color="auto"/>
                <w:bottom w:val="none" w:sz="0" w:space="0" w:color="auto"/>
                <w:right w:val="none" w:sz="0" w:space="0" w:color="auto"/>
              </w:divBdr>
            </w:div>
            <w:div w:id="13144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 w:id="1238638822">
      <w:bodyDiv w:val="1"/>
      <w:marLeft w:val="0"/>
      <w:marRight w:val="0"/>
      <w:marTop w:val="0"/>
      <w:marBottom w:val="0"/>
      <w:divBdr>
        <w:top w:val="none" w:sz="0" w:space="0" w:color="auto"/>
        <w:left w:val="none" w:sz="0" w:space="0" w:color="auto"/>
        <w:bottom w:val="none" w:sz="0" w:space="0" w:color="auto"/>
        <w:right w:val="none" w:sz="0" w:space="0" w:color="auto"/>
      </w:divBdr>
      <w:divsChild>
        <w:div w:id="1251692886">
          <w:marLeft w:val="0"/>
          <w:marRight w:val="0"/>
          <w:marTop w:val="0"/>
          <w:marBottom w:val="0"/>
          <w:divBdr>
            <w:top w:val="none" w:sz="0" w:space="0" w:color="auto"/>
            <w:left w:val="none" w:sz="0" w:space="0" w:color="auto"/>
            <w:bottom w:val="none" w:sz="0" w:space="0" w:color="auto"/>
            <w:right w:val="none" w:sz="0" w:space="0" w:color="auto"/>
          </w:divBdr>
          <w:divsChild>
            <w:div w:id="410275230">
              <w:marLeft w:val="0"/>
              <w:marRight w:val="0"/>
              <w:marTop w:val="0"/>
              <w:marBottom w:val="0"/>
              <w:divBdr>
                <w:top w:val="none" w:sz="0" w:space="0" w:color="auto"/>
                <w:left w:val="none" w:sz="0" w:space="0" w:color="auto"/>
                <w:bottom w:val="none" w:sz="0" w:space="0" w:color="auto"/>
                <w:right w:val="none" w:sz="0" w:space="0" w:color="auto"/>
              </w:divBdr>
            </w:div>
          </w:divsChild>
        </w:div>
        <w:div w:id="2051303052">
          <w:marLeft w:val="0"/>
          <w:marRight w:val="0"/>
          <w:marTop w:val="0"/>
          <w:marBottom w:val="0"/>
          <w:divBdr>
            <w:top w:val="none" w:sz="0" w:space="0" w:color="auto"/>
            <w:left w:val="none" w:sz="0" w:space="0" w:color="auto"/>
            <w:bottom w:val="none" w:sz="0" w:space="0" w:color="auto"/>
            <w:right w:val="none" w:sz="0" w:space="0" w:color="auto"/>
          </w:divBdr>
          <w:divsChild>
            <w:div w:id="1774981848">
              <w:marLeft w:val="0"/>
              <w:marRight w:val="0"/>
              <w:marTop w:val="0"/>
              <w:marBottom w:val="0"/>
              <w:divBdr>
                <w:top w:val="none" w:sz="0" w:space="0" w:color="auto"/>
                <w:left w:val="none" w:sz="0" w:space="0" w:color="auto"/>
                <w:bottom w:val="none" w:sz="0" w:space="0" w:color="auto"/>
                <w:right w:val="none" w:sz="0" w:space="0" w:color="auto"/>
              </w:divBdr>
            </w:div>
          </w:divsChild>
        </w:div>
        <w:div w:id="583614174">
          <w:marLeft w:val="0"/>
          <w:marRight w:val="0"/>
          <w:marTop w:val="0"/>
          <w:marBottom w:val="0"/>
          <w:divBdr>
            <w:top w:val="none" w:sz="0" w:space="0" w:color="auto"/>
            <w:left w:val="none" w:sz="0" w:space="0" w:color="auto"/>
            <w:bottom w:val="none" w:sz="0" w:space="0" w:color="auto"/>
            <w:right w:val="none" w:sz="0" w:space="0" w:color="auto"/>
          </w:divBdr>
        </w:div>
        <w:div w:id="1882549414">
          <w:marLeft w:val="0"/>
          <w:marRight w:val="0"/>
          <w:marTop w:val="0"/>
          <w:marBottom w:val="0"/>
          <w:divBdr>
            <w:top w:val="none" w:sz="0" w:space="0" w:color="auto"/>
            <w:left w:val="none" w:sz="0" w:space="0" w:color="auto"/>
            <w:bottom w:val="none" w:sz="0" w:space="0" w:color="auto"/>
            <w:right w:val="none" w:sz="0" w:space="0" w:color="auto"/>
          </w:divBdr>
        </w:div>
        <w:div w:id="1994723885">
          <w:marLeft w:val="0"/>
          <w:marRight w:val="0"/>
          <w:marTop w:val="0"/>
          <w:marBottom w:val="0"/>
          <w:divBdr>
            <w:top w:val="none" w:sz="0" w:space="0" w:color="auto"/>
            <w:left w:val="none" w:sz="0" w:space="0" w:color="auto"/>
            <w:bottom w:val="none" w:sz="0" w:space="0" w:color="auto"/>
            <w:right w:val="none" w:sz="0" w:space="0" w:color="auto"/>
          </w:divBdr>
          <w:divsChild>
            <w:div w:id="1418018204">
              <w:marLeft w:val="0"/>
              <w:marRight w:val="0"/>
              <w:marTop w:val="0"/>
              <w:marBottom w:val="0"/>
              <w:divBdr>
                <w:top w:val="none" w:sz="0" w:space="0" w:color="auto"/>
                <w:left w:val="none" w:sz="0" w:space="0" w:color="auto"/>
                <w:bottom w:val="none" w:sz="0" w:space="0" w:color="auto"/>
                <w:right w:val="none" w:sz="0" w:space="0" w:color="auto"/>
              </w:divBdr>
            </w:div>
            <w:div w:id="7201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8519">
      <w:bodyDiv w:val="1"/>
      <w:marLeft w:val="0"/>
      <w:marRight w:val="0"/>
      <w:marTop w:val="0"/>
      <w:marBottom w:val="0"/>
      <w:divBdr>
        <w:top w:val="none" w:sz="0" w:space="0" w:color="auto"/>
        <w:left w:val="none" w:sz="0" w:space="0" w:color="auto"/>
        <w:bottom w:val="none" w:sz="0" w:space="0" w:color="auto"/>
        <w:right w:val="none" w:sz="0" w:space="0" w:color="auto"/>
      </w:divBdr>
      <w:divsChild>
        <w:div w:id="611788908">
          <w:marLeft w:val="0"/>
          <w:marRight w:val="0"/>
          <w:marTop w:val="0"/>
          <w:marBottom w:val="0"/>
          <w:divBdr>
            <w:top w:val="none" w:sz="0" w:space="0" w:color="auto"/>
            <w:left w:val="none" w:sz="0" w:space="0" w:color="auto"/>
            <w:bottom w:val="none" w:sz="0" w:space="0" w:color="auto"/>
            <w:right w:val="none" w:sz="0" w:space="0" w:color="auto"/>
          </w:divBdr>
          <w:divsChild>
            <w:div w:id="1976179004">
              <w:marLeft w:val="0"/>
              <w:marRight w:val="0"/>
              <w:marTop w:val="0"/>
              <w:marBottom w:val="0"/>
              <w:divBdr>
                <w:top w:val="none" w:sz="0" w:space="0" w:color="auto"/>
                <w:left w:val="none" w:sz="0" w:space="0" w:color="auto"/>
                <w:bottom w:val="none" w:sz="0" w:space="0" w:color="auto"/>
                <w:right w:val="none" w:sz="0" w:space="0" w:color="auto"/>
              </w:divBdr>
            </w:div>
          </w:divsChild>
        </w:div>
        <w:div w:id="1924991933">
          <w:marLeft w:val="0"/>
          <w:marRight w:val="0"/>
          <w:marTop w:val="0"/>
          <w:marBottom w:val="0"/>
          <w:divBdr>
            <w:top w:val="none" w:sz="0" w:space="0" w:color="auto"/>
            <w:left w:val="none" w:sz="0" w:space="0" w:color="auto"/>
            <w:bottom w:val="none" w:sz="0" w:space="0" w:color="auto"/>
            <w:right w:val="none" w:sz="0" w:space="0" w:color="auto"/>
          </w:divBdr>
          <w:divsChild>
            <w:div w:id="1430394745">
              <w:marLeft w:val="0"/>
              <w:marRight w:val="0"/>
              <w:marTop w:val="0"/>
              <w:marBottom w:val="0"/>
              <w:divBdr>
                <w:top w:val="none" w:sz="0" w:space="0" w:color="auto"/>
                <w:left w:val="none" w:sz="0" w:space="0" w:color="auto"/>
                <w:bottom w:val="none" w:sz="0" w:space="0" w:color="auto"/>
                <w:right w:val="none" w:sz="0" w:space="0" w:color="auto"/>
              </w:divBdr>
            </w:div>
            <w:div w:id="168519282">
              <w:marLeft w:val="0"/>
              <w:marRight w:val="0"/>
              <w:marTop w:val="0"/>
              <w:marBottom w:val="0"/>
              <w:divBdr>
                <w:top w:val="none" w:sz="0" w:space="0" w:color="auto"/>
                <w:left w:val="none" w:sz="0" w:space="0" w:color="auto"/>
                <w:bottom w:val="none" w:sz="0" w:space="0" w:color="auto"/>
                <w:right w:val="none" w:sz="0" w:space="0" w:color="auto"/>
              </w:divBdr>
            </w:div>
            <w:div w:id="1461878480">
              <w:marLeft w:val="0"/>
              <w:marRight w:val="0"/>
              <w:marTop w:val="0"/>
              <w:marBottom w:val="0"/>
              <w:divBdr>
                <w:top w:val="none" w:sz="0" w:space="0" w:color="auto"/>
                <w:left w:val="none" w:sz="0" w:space="0" w:color="auto"/>
                <w:bottom w:val="none" w:sz="0" w:space="0" w:color="auto"/>
                <w:right w:val="none" w:sz="0" w:space="0" w:color="auto"/>
              </w:divBdr>
            </w:div>
            <w:div w:id="3881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7120">
      <w:bodyDiv w:val="1"/>
      <w:marLeft w:val="0"/>
      <w:marRight w:val="0"/>
      <w:marTop w:val="0"/>
      <w:marBottom w:val="0"/>
      <w:divBdr>
        <w:top w:val="none" w:sz="0" w:space="0" w:color="auto"/>
        <w:left w:val="none" w:sz="0" w:space="0" w:color="auto"/>
        <w:bottom w:val="none" w:sz="0" w:space="0" w:color="auto"/>
        <w:right w:val="none" w:sz="0" w:space="0" w:color="auto"/>
      </w:divBdr>
      <w:divsChild>
        <w:div w:id="1799836344">
          <w:marLeft w:val="0"/>
          <w:marRight w:val="0"/>
          <w:marTop w:val="0"/>
          <w:marBottom w:val="0"/>
          <w:divBdr>
            <w:top w:val="none" w:sz="0" w:space="0" w:color="auto"/>
            <w:left w:val="none" w:sz="0" w:space="0" w:color="auto"/>
            <w:bottom w:val="none" w:sz="0" w:space="0" w:color="auto"/>
            <w:right w:val="none" w:sz="0" w:space="0" w:color="auto"/>
          </w:divBdr>
          <w:divsChild>
            <w:div w:id="1916547925">
              <w:marLeft w:val="0"/>
              <w:marRight w:val="0"/>
              <w:marTop w:val="0"/>
              <w:marBottom w:val="0"/>
              <w:divBdr>
                <w:top w:val="none" w:sz="0" w:space="0" w:color="auto"/>
                <w:left w:val="none" w:sz="0" w:space="0" w:color="auto"/>
                <w:bottom w:val="none" w:sz="0" w:space="0" w:color="auto"/>
                <w:right w:val="none" w:sz="0" w:space="0" w:color="auto"/>
              </w:divBdr>
            </w:div>
          </w:divsChild>
        </w:div>
        <w:div w:id="688411179">
          <w:marLeft w:val="0"/>
          <w:marRight w:val="0"/>
          <w:marTop w:val="0"/>
          <w:marBottom w:val="0"/>
          <w:divBdr>
            <w:top w:val="none" w:sz="0" w:space="0" w:color="auto"/>
            <w:left w:val="none" w:sz="0" w:space="0" w:color="auto"/>
            <w:bottom w:val="none" w:sz="0" w:space="0" w:color="auto"/>
            <w:right w:val="none" w:sz="0" w:space="0" w:color="auto"/>
          </w:divBdr>
          <w:divsChild>
            <w:div w:id="1923172395">
              <w:marLeft w:val="0"/>
              <w:marRight w:val="0"/>
              <w:marTop w:val="0"/>
              <w:marBottom w:val="0"/>
              <w:divBdr>
                <w:top w:val="none" w:sz="0" w:space="0" w:color="auto"/>
                <w:left w:val="none" w:sz="0" w:space="0" w:color="auto"/>
                <w:bottom w:val="none" w:sz="0" w:space="0" w:color="auto"/>
                <w:right w:val="none" w:sz="0" w:space="0" w:color="auto"/>
              </w:divBdr>
            </w:div>
          </w:divsChild>
        </w:div>
        <w:div w:id="1088846835">
          <w:marLeft w:val="0"/>
          <w:marRight w:val="0"/>
          <w:marTop w:val="0"/>
          <w:marBottom w:val="0"/>
          <w:divBdr>
            <w:top w:val="none" w:sz="0" w:space="0" w:color="auto"/>
            <w:left w:val="none" w:sz="0" w:space="0" w:color="auto"/>
            <w:bottom w:val="none" w:sz="0" w:space="0" w:color="auto"/>
            <w:right w:val="none" w:sz="0" w:space="0" w:color="auto"/>
          </w:divBdr>
          <w:divsChild>
            <w:div w:id="1566522551">
              <w:marLeft w:val="0"/>
              <w:marRight w:val="0"/>
              <w:marTop w:val="0"/>
              <w:marBottom w:val="0"/>
              <w:divBdr>
                <w:top w:val="none" w:sz="0" w:space="0" w:color="auto"/>
                <w:left w:val="none" w:sz="0" w:space="0" w:color="auto"/>
                <w:bottom w:val="none" w:sz="0" w:space="0" w:color="auto"/>
                <w:right w:val="none" w:sz="0" w:space="0" w:color="auto"/>
              </w:divBdr>
            </w:div>
          </w:divsChild>
        </w:div>
        <w:div w:id="1360814312">
          <w:marLeft w:val="0"/>
          <w:marRight w:val="0"/>
          <w:marTop w:val="0"/>
          <w:marBottom w:val="0"/>
          <w:divBdr>
            <w:top w:val="none" w:sz="0" w:space="0" w:color="auto"/>
            <w:left w:val="none" w:sz="0" w:space="0" w:color="auto"/>
            <w:bottom w:val="none" w:sz="0" w:space="0" w:color="auto"/>
            <w:right w:val="none" w:sz="0" w:space="0" w:color="auto"/>
          </w:divBdr>
        </w:div>
        <w:div w:id="1377318608">
          <w:marLeft w:val="0"/>
          <w:marRight w:val="0"/>
          <w:marTop w:val="0"/>
          <w:marBottom w:val="0"/>
          <w:divBdr>
            <w:top w:val="none" w:sz="0" w:space="0" w:color="auto"/>
            <w:left w:val="none" w:sz="0" w:space="0" w:color="auto"/>
            <w:bottom w:val="none" w:sz="0" w:space="0" w:color="auto"/>
            <w:right w:val="none" w:sz="0" w:space="0" w:color="auto"/>
          </w:divBdr>
        </w:div>
        <w:div w:id="1231694209">
          <w:marLeft w:val="0"/>
          <w:marRight w:val="0"/>
          <w:marTop w:val="0"/>
          <w:marBottom w:val="0"/>
          <w:divBdr>
            <w:top w:val="none" w:sz="0" w:space="0" w:color="auto"/>
            <w:left w:val="none" w:sz="0" w:space="0" w:color="auto"/>
            <w:bottom w:val="none" w:sz="0" w:space="0" w:color="auto"/>
            <w:right w:val="none" w:sz="0" w:space="0" w:color="auto"/>
          </w:divBdr>
          <w:divsChild>
            <w:div w:id="1666082634">
              <w:marLeft w:val="0"/>
              <w:marRight w:val="0"/>
              <w:marTop w:val="0"/>
              <w:marBottom w:val="0"/>
              <w:divBdr>
                <w:top w:val="none" w:sz="0" w:space="0" w:color="auto"/>
                <w:left w:val="none" w:sz="0" w:space="0" w:color="auto"/>
                <w:bottom w:val="none" w:sz="0" w:space="0" w:color="auto"/>
                <w:right w:val="none" w:sz="0" w:space="0" w:color="auto"/>
              </w:divBdr>
            </w:div>
            <w:div w:id="991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339">
      <w:bodyDiv w:val="1"/>
      <w:marLeft w:val="0"/>
      <w:marRight w:val="0"/>
      <w:marTop w:val="0"/>
      <w:marBottom w:val="0"/>
      <w:divBdr>
        <w:top w:val="none" w:sz="0" w:space="0" w:color="auto"/>
        <w:left w:val="none" w:sz="0" w:space="0" w:color="auto"/>
        <w:bottom w:val="none" w:sz="0" w:space="0" w:color="auto"/>
        <w:right w:val="none" w:sz="0" w:space="0" w:color="auto"/>
      </w:divBdr>
    </w:div>
    <w:div w:id="1620642498">
      <w:bodyDiv w:val="1"/>
      <w:marLeft w:val="0"/>
      <w:marRight w:val="0"/>
      <w:marTop w:val="0"/>
      <w:marBottom w:val="0"/>
      <w:divBdr>
        <w:top w:val="none" w:sz="0" w:space="0" w:color="auto"/>
        <w:left w:val="none" w:sz="0" w:space="0" w:color="auto"/>
        <w:bottom w:val="none" w:sz="0" w:space="0" w:color="auto"/>
        <w:right w:val="none" w:sz="0" w:space="0" w:color="auto"/>
      </w:divBdr>
      <w:divsChild>
        <w:div w:id="1872375294">
          <w:marLeft w:val="0"/>
          <w:marRight w:val="0"/>
          <w:marTop w:val="0"/>
          <w:marBottom w:val="0"/>
          <w:divBdr>
            <w:top w:val="none" w:sz="0" w:space="0" w:color="auto"/>
            <w:left w:val="none" w:sz="0" w:space="0" w:color="auto"/>
            <w:bottom w:val="none" w:sz="0" w:space="0" w:color="auto"/>
            <w:right w:val="none" w:sz="0" w:space="0" w:color="auto"/>
          </w:divBdr>
          <w:divsChild>
            <w:div w:id="545146611">
              <w:marLeft w:val="0"/>
              <w:marRight w:val="0"/>
              <w:marTop w:val="0"/>
              <w:marBottom w:val="0"/>
              <w:divBdr>
                <w:top w:val="none" w:sz="0" w:space="0" w:color="auto"/>
                <w:left w:val="none" w:sz="0" w:space="0" w:color="auto"/>
                <w:bottom w:val="none" w:sz="0" w:space="0" w:color="auto"/>
                <w:right w:val="none" w:sz="0" w:space="0" w:color="auto"/>
              </w:divBdr>
            </w:div>
          </w:divsChild>
        </w:div>
        <w:div w:id="1704789932">
          <w:marLeft w:val="0"/>
          <w:marRight w:val="0"/>
          <w:marTop w:val="0"/>
          <w:marBottom w:val="0"/>
          <w:divBdr>
            <w:top w:val="none" w:sz="0" w:space="0" w:color="auto"/>
            <w:left w:val="none" w:sz="0" w:space="0" w:color="auto"/>
            <w:bottom w:val="none" w:sz="0" w:space="0" w:color="auto"/>
            <w:right w:val="none" w:sz="0" w:space="0" w:color="auto"/>
          </w:divBdr>
          <w:divsChild>
            <w:div w:id="302926836">
              <w:marLeft w:val="0"/>
              <w:marRight w:val="0"/>
              <w:marTop w:val="0"/>
              <w:marBottom w:val="0"/>
              <w:divBdr>
                <w:top w:val="none" w:sz="0" w:space="0" w:color="auto"/>
                <w:left w:val="none" w:sz="0" w:space="0" w:color="auto"/>
                <w:bottom w:val="none" w:sz="0" w:space="0" w:color="auto"/>
                <w:right w:val="none" w:sz="0" w:space="0" w:color="auto"/>
              </w:divBdr>
            </w:div>
          </w:divsChild>
        </w:div>
        <w:div w:id="1525438489">
          <w:marLeft w:val="0"/>
          <w:marRight w:val="0"/>
          <w:marTop w:val="0"/>
          <w:marBottom w:val="0"/>
          <w:divBdr>
            <w:top w:val="none" w:sz="0" w:space="0" w:color="auto"/>
            <w:left w:val="none" w:sz="0" w:space="0" w:color="auto"/>
            <w:bottom w:val="none" w:sz="0" w:space="0" w:color="auto"/>
            <w:right w:val="none" w:sz="0" w:space="0" w:color="auto"/>
          </w:divBdr>
        </w:div>
        <w:div w:id="1594823089">
          <w:marLeft w:val="0"/>
          <w:marRight w:val="0"/>
          <w:marTop w:val="0"/>
          <w:marBottom w:val="0"/>
          <w:divBdr>
            <w:top w:val="none" w:sz="0" w:space="0" w:color="auto"/>
            <w:left w:val="none" w:sz="0" w:space="0" w:color="auto"/>
            <w:bottom w:val="none" w:sz="0" w:space="0" w:color="auto"/>
            <w:right w:val="none" w:sz="0" w:space="0" w:color="auto"/>
          </w:divBdr>
        </w:div>
        <w:div w:id="499345257">
          <w:marLeft w:val="0"/>
          <w:marRight w:val="0"/>
          <w:marTop w:val="0"/>
          <w:marBottom w:val="0"/>
          <w:divBdr>
            <w:top w:val="none" w:sz="0" w:space="0" w:color="auto"/>
            <w:left w:val="none" w:sz="0" w:space="0" w:color="auto"/>
            <w:bottom w:val="none" w:sz="0" w:space="0" w:color="auto"/>
            <w:right w:val="none" w:sz="0" w:space="0" w:color="auto"/>
          </w:divBdr>
          <w:divsChild>
            <w:div w:id="1279875512">
              <w:marLeft w:val="0"/>
              <w:marRight w:val="0"/>
              <w:marTop w:val="0"/>
              <w:marBottom w:val="0"/>
              <w:divBdr>
                <w:top w:val="none" w:sz="0" w:space="0" w:color="auto"/>
                <w:left w:val="none" w:sz="0" w:space="0" w:color="auto"/>
                <w:bottom w:val="none" w:sz="0" w:space="0" w:color="auto"/>
                <w:right w:val="none" w:sz="0" w:space="0" w:color="auto"/>
              </w:divBdr>
            </w:div>
            <w:div w:id="1503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6205">
      <w:bodyDiv w:val="1"/>
      <w:marLeft w:val="0"/>
      <w:marRight w:val="0"/>
      <w:marTop w:val="0"/>
      <w:marBottom w:val="0"/>
      <w:divBdr>
        <w:top w:val="none" w:sz="0" w:space="0" w:color="auto"/>
        <w:left w:val="none" w:sz="0" w:space="0" w:color="auto"/>
        <w:bottom w:val="none" w:sz="0" w:space="0" w:color="auto"/>
        <w:right w:val="none" w:sz="0" w:space="0" w:color="auto"/>
      </w:divBdr>
      <w:divsChild>
        <w:div w:id="1748308390">
          <w:marLeft w:val="0"/>
          <w:marRight w:val="0"/>
          <w:marTop w:val="0"/>
          <w:marBottom w:val="0"/>
          <w:divBdr>
            <w:top w:val="none" w:sz="0" w:space="0" w:color="auto"/>
            <w:left w:val="none" w:sz="0" w:space="0" w:color="auto"/>
            <w:bottom w:val="none" w:sz="0" w:space="0" w:color="auto"/>
            <w:right w:val="none" w:sz="0" w:space="0" w:color="auto"/>
          </w:divBdr>
          <w:divsChild>
            <w:div w:id="1786462295">
              <w:marLeft w:val="0"/>
              <w:marRight w:val="0"/>
              <w:marTop w:val="0"/>
              <w:marBottom w:val="0"/>
              <w:divBdr>
                <w:top w:val="none" w:sz="0" w:space="0" w:color="auto"/>
                <w:left w:val="none" w:sz="0" w:space="0" w:color="auto"/>
                <w:bottom w:val="none" w:sz="0" w:space="0" w:color="auto"/>
                <w:right w:val="none" w:sz="0" w:space="0" w:color="auto"/>
              </w:divBdr>
            </w:div>
          </w:divsChild>
        </w:div>
        <w:div w:id="144980109">
          <w:marLeft w:val="0"/>
          <w:marRight w:val="0"/>
          <w:marTop w:val="0"/>
          <w:marBottom w:val="0"/>
          <w:divBdr>
            <w:top w:val="none" w:sz="0" w:space="0" w:color="auto"/>
            <w:left w:val="none" w:sz="0" w:space="0" w:color="auto"/>
            <w:bottom w:val="none" w:sz="0" w:space="0" w:color="auto"/>
            <w:right w:val="none" w:sz="0" w:space="0" w:color="auto"/>
          </w:divBdr>
        </w:div>
        <w:div w:id="212889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2120</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2</cp:revision>
  <cp:lastPrinted>2013-02-22T20:24:00Z</cp:lastPrinted>
  <dcterms:created xsi:type="dcterms:W3CDTF">2022-04-27T15:28:00Z</dcterms:created>
  <dcterms:modified xsi:type="dcterms:W3CDTF">2022-04-27T15:28:00Z</dcterms:modified>
</cp:coreProperties>
</file>