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321" w:rsidRDefault="00933321" w14:paraId="763AEC69" w14:textId="77777777">
      <w:pPr>
        <w:jc w:val="center"/>
      </w:pPr>
    </w:p>
    <w:p w:rsidR="00933321" w:rsidRDefault="00933321" w14:paraId="4D8C744D" w14:textId="77777777">
      <w:pPr>
        <w:jc w:val="center"/>
      </w:pPr>
    </w:p>
    <w:p w:rsidR="00933321" w:rsidRDefault="00933321" w14:paraId="20568711" w14:textId="77777777">
      <w:pPr>
        <w:jc w:val="center"/>
      </w:pPr>
      <w:r>
        <w:t>OMB SUPPORTING STATEMENT</w:t>
      </w:r>
    </w:p>
    <w:p w:rsidR="00933321" w:rsidRDefault="00933321" w14:paraId="32884987" w14:textId="77777777"/>
    <w:p w:rsidR="00933321" w:rsidP="003D7075" w:rsidRDefault="00A735EB" w14:paraId="31799C48" w14:textId="0385D370">
      <w:r w:rsidRPr="00A735EB">
        <w:rPr>
          <w:snapToGrid w:val="0"/>
          <w:sz w:val="22"/>
          <w:szCs w:val="22"/>
        </w:rPr>
        <w:t>SF 28</w:t>
      </w:r>
      <w:r w:rsidR="007D19E1">
        <w:rPr>
          <w:snapToGrid w:val="0"/>
          <w:sz w:val="22"/>
          <w:szCs w:val="22"/>
        </w:rPr>
        <w:t>09</w:t>
      </w:r>
      <w:r w:rsidRPr="00A735EB">
        <w:rPr>
          <w:snapToGrid w:val="0"/>
          <w:sz w:val="22"/>
          <w:szCs w:val="22"/>
        </w:rPr>
        <w:tab/>
      </w:r>
      <w:r w:rsidRPr="007D19E1" w:rsidR="007D19E1">
        <w:rPr>
          <w:bCs/>
          <w:i/>
          <w:iCs/>
          <w:snapToGrid w:val="0"/>
          <w:sz w:val="22"/>
          <w:szCs w:val="22"/>
        </w:rPr>
        <w:t>Health Benefits Election Form</w:t>
      </w:r>
    </w:p>
    <w:p w:rsidR="00933321" w:rsidRDefault="00933321" w14:paraId="216D40A3" w14:textId="77777777"/>
    <w:p w:rsidR="00933321" w:rsidRDefault="00933321" w14:paraId="775575D1" w14:textId="77777777">
      <w:pPr>
        <w:numPr>
          <w:ilvl w:val="0"/>
          <w:numId w:val="1"/>
        </w:numPr>
      </w:pPr>
      <w:r>
        <w:t>Justification</w:t>
      </w:r>
    </w:p>
    <w:p w:rsidR="00933321" w:rsidRDefault="00933321" w14:paraId="2495D381" w14:textId="77777777"/>
    <w:p w:rsidRPr="00741061" w:rsidR="00EB14B8" w:rsidP="00EB14B8" w:rsidRDefault="00EB14B8" w14:paraId="22DFCA04"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7E55C03C" w14:textId="77777777">
      <w:pPr>
        <w:ind w:left="720"/>
      </w:pPr>
    </w:p>
    <w:p w:rsidR="00933321" w:rsidP="002C512F" w:rsidRDefault="007E0C9B" w14:paraId="79D62AAB" w14:textId="71278E30">
      <w:pPr>
        <w:ind w:left="720"/>
      </w:pPr>
      <w:r w:rsidRPr="007E0C9B">
        <w:t>Chapter 89 of title 5, United States Code, authorizes the Office of Personnel Management (OPM) to administer the Federal Employees Health Benefits (FEHB) Program, and to publish regulations to carry out the provisions of the FEHB law. The law and regulations specify who is eligible to enroll and when an individual may enroll or change enrollment. Standard Form (SF) 2809 - Health Benefits Election Form - is the instrument by which eligible individuals may enroll or change their enrollment status under the FEHB Program.</w:t>
      </w:r>
    </w:p>
    <w:p w:rsidR="00933321" w:rsidRDefault="00933321" w14:paraId="282FD284" w14:textId="77777777">
      <w:pPr>
        <w:ind w:left="360"/>
      </w:pPr>
    </w:p>
    <w:p w:rsidRPr="00741061" w:rsidR="00EB14B8" w:rsidP="00EB14B8" w:rsidRDefault="00EB14B8" w14:paraId="4DABD71D"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5468401C" w14:textId="77777777">
      <w:pPr>
        <w:ind w:left="720"/>
      </w:pPr>
    </w:p>
    <w:p w:rsidRPr="005E52D4" w:rsidR="00933321" w:rsidP="005E52D4" w:rsidRDefault="00796BF5" w14:paraId="3E706470" w14:textId="2E969262">
      <w:pPr>
        <w:ind w:left="720"/>
      </w:pPr>
      <w:r w:rsidRPr="00796BF5">
        <w:t>The SF 2809 is used by Federal employees, annuitants other than those under the Civil Service Retirement System (CSRS) and the Federal Employees Retirement System (FERS) including individuals receiving benefits from the Office of Workers' Compensation Programs, former spouses eligible for benefits under the Spouse Equity Act of 1984 (P.L. 98-615), and separated employees and former dependents eligible to enroll under the Temporary Continuation of Coverage (</w:t>
      </w:r>
      <w:smartTag w:uri="urn:schemas-microsoft-com:office:smarttags" w:element="stockticker">
        <w:r w:rsidRPr="00796BF5">
          <w:t>TCC</w:t>
        </w:r>
      </w:smartTag>
      <w:r w:rsidRPr="00796BF5">
        <w:t xml:space="preserve">) provisions of the FEHB law (5 U.S.C. 8905a).  A different form (OPM 2809) is used by CSRS and FERS annuitants whose health benefit enrollments are administered by OPM's Retirement Services Program. The Privacy Act Statement is current due to a general systematic review by our Chief Privacy Officer. The Public Burden Statement meets the requirements of 5 </w:t>
      </w:r>
      <w:smartTag w:uri="urn:schemas-microsoft-com:office:smarttags" w:element="stockticker">
        <w:r w:rsidRPr="00796BF5">
          <w:t>CFR</w:t>
        </w:r>
      </w:smartTag>
      <w:r w:rsidRPr="00796BF5">
        <w:t xml:space="preserve"> 1320.8(b) (3).</w:t>
      </w:r>
      <w:r w:rsidRPr="00796BF5">
        <w:br/>
      </w:r>
      <w:r w:rsidRPr="00796BF5">
        <w:br/>
        <w:t>The SF 2809 is used as the official agency or retirement system record of the individual's coverage and enrollment status under the FEHB Program and as acknowledgment and authorization by the individual for collection from him or her of the appropriate premium contributions. A copy of the form is also forwarded to the FEHB insurance carrier as a record of the individual's enrollment. The form provides the carrier with information necessary to enable the carrier to pay and process claims for the individual and any covered family members, which the carrier would otherwise have to obtain from the enrollee by other means.</w:t>
      </w:r>
    </w:p>
    <w:p w:rsidR="007D1502" w:rsidP="007D1502" w:rsidRDefault="007D1502" w14:paraId="78C9F699" w14:textId="77777777">
      <w:pPr>
        <w:ind w:left="360"/>
      </w:pPr>
    </w:p>
    <w:p w:rsidRPr="00741061" w:rsidR="00EB14B8" w:rsidP="00EB14B8" w:rsidRDefault="00EB14B8" w14:paraId="77064A9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741061">
        <w:lastRenderedPageBreak/>
        <w:t>the basis for the decision for adopting this means of collection.  Also describe any consideration of using information technology to reduce burden.</w:t>
      </w:r>
      <w:r w:rsidRPr="00741061">
        <w:tab/>
      </w:r>
    </w:p>
    <w:p w:rsidR="00EB14B8" w:rsidP="00EB14B8" w:rsidRDefault="00EB14B8" w14:paraId="476831D6" w14:textId="77777777">
      <w:pPr>
        <w:ind w:left="720"/>
      </w:pPr>
    </w:p>
    <w:p w:rsidRPr="00391701" w:rsidR="00933321" w:rsidP="00EB14B8" w:rsidRDefault="00BC4AFA" w14:paraId="034CB464" w14:textId="7B3A058E">
      <w:pPr>
        <w:ind w:left="720"/>
        <w:rPr>
          <w:szCs w:val="24"/>
        </w:rPr>
      </w:pPr>
      <w:r w:rsidRPr="00BC4AFA">
        <w:t xml:space="preserve">New methods of information technology would not reduce the burden on former spouses or individuals applying for </w:t>
      </w:r>
      <w:smartTag w:uri="urn:schemas-microsoft-com:office:smarttags" w:element="stockticker">
        <w:r w:rsidRPr="00BC4AFA">
          <w:t>TCC</w:t>
        </w:r>
      </w:smartTag>
      <w:r w:rsidRPr="00BC4AFA">
        <w:t xml:space="preserve"> since they do not have ready access to computer terminals as current employees do. Although respondents could provide the information orally for direct entry into a computer database, we do not believe that respondents would save time or that the process would be any less of a burden than it is currently. Completion of the SF 2809 represents a voluntary election by the respondent, and the information collected can only be obtained from the respondent. The form is available in PDF fillable format on our website </w:t>
      </w:r>
      <w:r>
        <w:t xml:space="preserve"> at </w:t>
      </w:r>
      <w:hyperlink w:history="1" r:id="rId5">
        <w:r w:rsidRPr="00173686">
          <w:rPr>
            <w:rStyle w:val="Hyperlink"/>
          </w:rPr>
          <w:t>www.opm.gov/forms</w:t>
        </w:r>
      </w:hyperlink>
      <w:r>
        <w:t xml:space="preserve"> </w:t>
      </w:r>
      <w:r w:rsidRPr="00BC4AFA">
        <w:t>and it meets the Government Paperwork Elimination Act requirements.</w:t>
      </w:r>
      <w:r w:rsidRPr="00391701" w:rsidR="00391701">
        <w:rPr>
          <w:szCs w:val="24"/>
        </w:rPr>
        <w:t xml:space="preserve">  </w:t>
      </w:r>
    </w:p>
    <w:p w:rsidR="00933321" w:rsidRDefault="00933321" w14:paraId="30B1050B" w14:textId="77777777">
      <w:pPr>
        <w:ind w:left="360"/>
      </w:pPr>
    </w:p>
    <w:p w:rsidRPr="00741061" w:rsidR="009B7453" w:rsidP="009B7453" w:rsidRDefault="00EB14B8" w14:paraId="121B50F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3CFECA29" w14:textId="77777777">
      <w:pPr>
        <w:ind w:left="720"/>
      </w:pPr>
    </w:p>
    <w:p w:rsidR="00933321" w:rsidP="009B7453" w:rsidRDefault="005627CC" w14:paraId="159E4EFA" w14:textId="2D06B72F">
      <w:pPr>
        <w:ind w:left="720"/>
      </w:pPr>
      <w:r w:rsidRPr="005627CC">
        <w:t>Every effort is made to identify and avoid duplication. The number of times respondents are required to complete this form is kept to a minimum. After initial enrollment, completion of a new form is required only when the individual desires to make a change in his or her health insurance enrollment status.</w:t>
      </w:r>
    </w:p>
    <w:p w:rsidR="00933321" w:rsidRDefault="00933321" w14:paraId="75489C9E" w14:textId="77777777"/>
    <w:p w:rsidRPr="00741061" w:rsidR="009B7453" w:rsidP="009B7453" w:rsidRDefault="009B7453" w14:paraId="7DAD4465" w14:textId="3222072E">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w:t>
      </w:r>
      <w:r w:rsidR="004444EB">
        <w:br/>
      </w:r>
      <w:r w:rsidRPr="00741061">
        <w:t>(Item 5 of OMB Form 83-I), describe any methods used to minimize.</w:t>
      </w:r>
    </w:p>
    <w:p w:rsidR="009B7453" w:rsidP="009B7453" w:rsidRDefault="009B7453" w14:paraId="7B25BF37" w14:textId="77777777">
      <w:pPr>
        <w:ind w:left="720"/>
      </w:pPr>
      <w:r w:rsidRPr="00741061">
        <w:tab/>
      </w:r>
    </w:p>
    <w:p w:rsidR="00933321" w:rsidP="009B7453" w:rsidRDefault="004444EB" w14:paraId="722589CD" w14:textId="3462173B">
      <w:pPr>
        <w:ind w:left="720"/>
      </w:pPr>
      <w:r>
        <w:t>This information collection request has no impact on small businesses and organizations.</w:t>
      </w:r>
    </w:p>
    <w:p w:rsidR="00933321" w:rsidRDefault="00933321" w14:paraId="2524822C" w14:textId="77777777"/>
    <w:p w:rsidRPr="00741061" w:rsidR="009B7453" w:rsidP="009B7453" w:rsidRDefault="009B7453" w14:paraId="04A29FD7"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14:paraId="6DDAA404" w14:textId="77777777">
      <w:pPr>
        <w:ind w:left="720"/>
      </w:pPr>
    </w:p>
    <w:p w:rsidR="00933321" w:rsidP="00376AEB" w:rsidRDefault="00EE5FE7" w14:paraId="77D30E08" w14:textId="59B8F697">
      <w:pPr>
        <w:ind w:left="720"/>
      </w:pPr>
      <w:r w:rsidRPr="00EE5FE7">
        <w:t>If this information is not collected, respondents cannot enroll in the FEHB Program nor make changes to their health insurance enrollment. The only way to reduce the burden would be to restrict an individual's freedom to make changes to his/her enrollment, which would require making changes in current regulation.</w:t>
      </w:r>
    </w:p>
    <w:p w:rsidR="00933321" w:rsidRDefault="00933321" w14:paraId="76CE4E5A" w14:textId="77777777"/>
    <w:p w:rsidR="00BF2C23" w:rsidP="00BF2C23" w:rsidRDefault="00E54E94" w14:paraId="63A0BFDD"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BF2C23" w:rsidP="00BF2C23" w:rsidRDefault="00BF2C23" w14:paraId="28ED7427"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BF2C23" w:rsidP="00BF2C23" w:rsidRDefault="00BF2C23" w14:paraId="388DC11A"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BF2C23" w:rsidP="00BF2C23" w:rsidRDefault="00BF2C23" w14:paraId="3135E07B"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BF2C23" w:rsidP="00BF2C23" w:rsidRDefault="00BF2C23" w14:paraId="7AF1A6F2"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BF2C23" w:rsidP="00BF2C23" w:rsidRDefault="00BF2C23" w14:paraId="239E9112"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BF2C23" w:rsidP="00BF2C23" w:rsidRDefault="00BF2C23" w14:paraId="15301C75"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BF2C23" w:rsidP="00BF2C23" w:rsidRDefault="00BF2C23" w14:paraId="71C081D4" w14:textId="77777777">
      <w:pPr>
        <w:pStyle w:val="ListParagraph"/>
        <w:numPr>
          <w:ilvl w:val="0"/>
          <w:numId w:val="3"/>
        </w:numPr>
        <w:shd w:val="pct25" w:color="auto" w:fill="auto"/>
        <w:tabs>
          <w:tab w:val="left" w:pos="-720"/>
        </w:tabs>
        <w:suppressAutoHyphens/>
      </w:pPr>
      <w:r>
        <w:lastRenderedPageBreak/>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E54E94" w:rsidP="00BF2C23" w:rsidRDefault="00BF2C23" w14:paraId="01418D3E"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14:paraId="4AD4344D" w14:textId="77777777">
      <w:pPr>
        <w:ind w:left="720"/>
      </w:pPr>
    </w:p>
    <w:p w:rsidR="00933321" w:rsidP="00E54E94" w:rsidRDefault="00BF2C23" w14:paraId="49E75154" w14:textId="77777777">
      <w:pPr>
        <w:ind w:left="720"/>
      </w:pPr>
      <w:r>
        <w:t>There are no special circumstances involved in the collection of this information.</w:t>
      </w:r>
    </w:p>
    <w:p w:rsidR="00933321" w:rsidRDefault="00933321" w14:paraId="4A27E346" w14:textId="77777777"/>
    <w:p w:rsidRPr="00741061" w:rsidR="00E54E94" w:rsidP="00E54E94" w:rsidRDefault="00E54E94" w14:paraId="7746D383"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9D48D9">
        <w:t xml:space="preserve">the </w:t>
      </w:r>
      <w:r w:rsidRPr="00741061">
        <w:t>publication in the Federal Register of the agency’s notice soliciting comments on the information collection prior to submission to OMB</w:t>
      </w:r>
      <w:r w:rsidR="00D63221">
        <w:t>.</w:t>
      </w:r>
    </w:p>
    <w:p w:rsidR="00E54E94" w:rsidP="00E54E94" w:rsidRDefault="00E54E94" w14:paraId="732D35AF" w14:textId="77777777">
      <w:pPr>
        <w:ind w:left="720"/>
      </w:pPr>
    </w:p>
    <w:p w:rsidR="007C4884" w:rsidP="006B3052" w:rsidRDefault="00567228" w14:paraId="705B22ED" w14:textId="7E0F64E3">
      <w:pPr>
        <w:autoSpaceDE w:val="0"/>
        <w:autoSpaceDN w:val="0"/>
        <w:adjustRightInd w:val="0"/>
        <w:ind w:left="720" w:right="720"/>
      </w:pPr>
      <w:r w:rsidRPr="00567228">
        <w:t xml:space="preserve">On November 1, 2021, a 60 Day Federal Register Notice was published at </w:t>
      </w:r>
      <w:r>
        <w:br/>
      </w:r>
      <w:r w:rsidRPr="00567228">
        <w:t xml:space="preserve">86 FR 60304 requesting comment. No comments were received. </w:t>
      </w:r>
      <w:r w:rsidR="00F43878">
        <w:t xml:space="preserve">On May 3, </w:t>
      </w:r>
      <w:proofErr w:type="gramStart"/>
      <w:r w:rsidR="00F43878">
        <w:t>2022</w:t>
      </w:r>
      <w:proofErr w:type="gramEnd"/>
      <w:r w:rsidR="00F43878">
        <w:t xml:space="preserve"> the 30 day FRN was published (</w:t>
      </w:r>
      <w:r w:rsidR="00F43878">
        <w:t>Vol. 87, No. 85</w:t>
      </w:r>
      <w:r w:rsidR="00F43878">
        <w:t>).</w:t>
      </w:r>
      <w:r>
        <w:br/>
      </w:r>
      <w:r w:rsidRPr="00567228">
        <w:t xml:space="preserve">Written comments and recommendations for the proposed information </w:t>
      </w:r>
      <w:r>
        <w:br/>
      </w:r>
      <w:r w:rsidRPr="00567228">
        <w:t>collection should be sent within 30 days of publication of this notice to </w:t>
      </w:r>
      <w:hyperlink w:history="1" r:id="rId6">
        <w:r w:rsidRPr="00567228">
          <w:rPr>
            <w:rStyle w:val="Hyperlink"/>
          </w:rPr>
          <w:t>http://www.reginfo.gov/public/do/PRAMain</w:t>
        </w:r>
      </w:hyperlink>
      <w:r w:rsidRPr="00567228">
        <w:t xml:space="preserve">. Find this </w:t>
      </w:r>
      <w:proofErr w:type="gramStart"/>
      <w:r w:rsidRPr="00567228">
        <w:t>particular information</w:t>
      </w:r>
      <w:proofErr w:type="gramEnd"/>
      <w:r w:rsidRPr="00567228">
        <w:t xml:space="preserve"> collection by selecting “Currently under Review — Open for Public Comments” or by using the search function.</w:t>
      </w:r>
    </w:p>
    <w:p w:rsidR="00E54E94" w:rsidP="00E54E94" w:rsidRDefault="00E54E94" w14:paraId="21721938" w14:textId="77777777">
      <w:pPr>
        <w:ind w:left="720"/>
      </w:pPr>
    </w:p>
    <w:p w:rsidRPr="00741061" w:rsidR="00E54E94" w:rsidP="00E54E94" w:rsidRDefault="00E54E94" w14:paraId="313E3BBB"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3B864C3A" w14:textId="77777777">
      <w:pPr>
        <w:tabs>
          <w:tab w:val="left" w:pos="-720"/>
        </w:tabs>
        <w:suppressAutoHyphens/>
        <w:ind w:right="-288"/>
      </w:pPr>
    </w:p>
    <w:p w:rsidRPr="00741061" w:rsidR="00E54E94" w:rsidP="00E54E94" w:rsidRDefault="00E54E94" w14:paraId="2A271800"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14:paraId="38D0840E" w14:textId="77777777">
      <w:pPr>
        <w:ind w:left="720" w:right="-288"/>
      </w:pPr>
    </w:p>
    <w:p w:rsidRPr="00741061" w:rsidR="00E54E94" w:rsidP="00E54E94" w:rsidRDefault="00E54E94" w14:paraId="3266CE93"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2D0FADCD" w14:textId="77777777">
      <w:pPr>
        <w:ind w:left="720" w:right="-288"/>
      </w:pPr>
    </w:p>
    <w:p w:rsidR="00E54E94" w:rsidP="00E54E94" w:rsidRDefault="00E54E94" w14:paraId="4D8B677D" w14:textId="51637321">
      <w:pPr>
        <w:ind w:left="720" w:right="-288"/>
      </w:pPr>
      <w:r>
        <w:t xml:space="preserve">This information collection is protected by the Privacy Act of 1974 and OPM regulations </w:t>
      </w:r>
      <w:r w:rsidR="00FF3883">
        <w:br/>
      </w:r>
      <w:r>
        <w:t xml:space="preserve">(5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14:paraId="780E1454" w14:textId="77777777">
      <w:pPr>
        <w:ind w:left="720"/>
      </w:pPr>
    </w:p>
    <w:p w:rsidR="00E54E94" w:rsidP="00E54E94" w:rsidRDefault="00E54E94" w14:paraId="4F2EC643" w14:textId="77777777"/>
    <w:p w:rsidRPr="00741061" w:rsidR="00E54E94" w:rsidP="00E54E94" w:rsidRDefault="00E54E94" w14:paraId="5078D9F9"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474EF2EF" w14:textId="77777777"/>
    <w:p w:rsidR="00933321" w:rsidP="00E54E94" w:rsidRDefault="00AF04CE" w14:paraId="3ACA8D9F" w14:textId="4CAB9835">
      <w:pPr>
        <w:spacing w:before="240"/>
        <w:ind w:left="720"/>
      </w:pPr>
      <w:r>
        <w:t>This information collection does not include questions of a sensitive nature, such as sexual behavior and attitudes, religious beliefs, and other matters that are commonly considered private.</w:t>
      </w:r>
    </w:p>
    <w:p w:rsidR="00A10BE7" w:rsidP="00E54E94" w:rsidRDefault="00A10BE7" w14:paraId="07A7DB97" w14:textId="77777777">
      <w:pPr>
        <w:spacing w:before="240"/>
        <w:ind w:left="720"/>
      </w:pPr>
    </w:p>
    <w:p w:rsidRPr="00741061" w:rsidR="00E54E94" w:rsidP="00D63221" w:rsidRDefault="00E54E94" w14:paraId="4D9FE6A1" w14:textId="77777777">
      <w:pPr>
        <w:pStyle w:val="ListParagraph"/>
        <w:shd w:val="pct25" w:color="auto" w:fill="FFFFFF"/>
        <w:tabs>
          <w:tab w:val="left" w:pos="-720"/>
        </w:tabs>
        <w:suppressAutoHyphens/>
        <w:ind w:left="288"/>
      </w:pPr>
      <w:r w:rsidRPr="00741061">
        <w:lastRenderedPageBreak/>
        <w:t>12. Provide estimates of the hour burden of the collection of information.  The statement</w:t>
      </w:r>
      <w:r w:rsidR="00D63221">
        <w:br/>
        <w:t xml:space="preserve">     </w:t>
      </w:r>
      <w:r w:rsidRPr="00741061">
        <w:t xml:space="preserve"> should:</w:t>
      </w:r>
    </w:p>
    <w:p w:rsidRPr="00741061" w:rsidR="00E54E94" w:rsidP="00E54E94" w:rsidRDefault="00E54E94" w14:paraId="0A5F7FDD" w14:textId="77777777">
      <w:pPr>
        <w:pStyle w:val="ListParagraph"/>
        <w:tabs>
          <w:tab w:val="left" w:pos="-720"/>
        </w:tabs>
        <w:suppressAutoHyphens/>
      </w:pPr>
    </w:p>
    <w:p w:rsidR="00A10BE7" w:rsidP="00D63221" w:rsidRDefault="00D63221" w14:paraId="0CB8FECE" w14:textId="77777777">
      <w:pPr>
        <w:pStyle w:val="ListParagraph"/>
        <w:shd w:val="pct25" w:color="auto" w:fill="auto"/>
        <w:tabs>
          <w:tab w:val="left" w:pos="-720"/>
        </w:tabs>
        <w:suppressAutoHyphens/>
        <w:ind w:left="1440" w:hanging="720"/>
      </w:pPr>
      <w:r>
        <w:t xml:space="preserve">a. </w:t>
      </w:r>
      <w:r>
        <w:tab/>
      </w:r>
      <w:r w:rsidRPr="00741061" w:rsidR="00E54E94">
        <w:t>Indicate the number of respondents, frequency of response, annual hour burden,</w:t>
      </w:r>
      <w:r>
        <w:br/>
      </w:r>
      <w:r w:rsidRPr="00741061" w:rsidR="00E54E94">
        <w:t>and</w:t>
      </w:r>
      <w:r>
        <w:t xml:space="preserve"> </w:t>
      </w:r>
      <w:r w:rsidRPr="00741061" w:rsidR="00E54E94">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D63221" w:rsidRDefault="00A10BE7" w14:paraId="3013DD2F" w14:textId="77777777">
      <w:pPr>
        <w:pStyle w:val="ListParagraph"/>
        <w:shd w:val="pct25" w:color="auto" w:fill="auto"/>
        <w:tabs>
          <w:tab w:val="left" w:pos="-720"/>
        </w:tabs>
        <w:suppressAutoHyphens/>
        <w:ind w:left="1440" w:hanging="720"/>
      </w:pPr>
      <w:r w:rsidRPr="00741061">
        <w:t xml:space="preserve">b.  </w:t>
      </w:r>
      <w:r w:rsidR="00D63221">
        <w:tab/>
      </w:r>
      <w:r w:rsidRPr="00741061">
        <w:t>If this request for approval covers more than one form, provide separate hour</w:t>
      </w:r>
      <w:r w:rsidR="00D63221">
        <w:br/>
      </w:r>
      <w:r w:rsidRPr="00741061">
        <w:t>burden estimates for each form and aggregate the hour burdens in Item 13 of OMB Form 83-I.</w:t>
      </w:r>
      <w:r>
        <w:t xml:space="preserve"> </w:t>
      </w:r>
    </w:p>
    <w:p w:rsidRPr="00741061" w:rsidR="00A10BE7" w:rsidP="00D63221" w:rsidRDefault="00A10BE7" w14:paraId="05191E55" w14:textId="77777777">
      <w:pPr>
        <w:pStyle w:val="ListParagraph"/>
        <w:shd w:val="pct25" w:color="auto" w:fill="auto"/>
        <w:tabs>
          <w:tab w:val="left" w:pos="-720"/>
        </w:tabs>
        <w:suppressAutoHyphens/>
        <w:ind w:left="1440" w:hanging="720"/>
      </w:pPr>
      <w:r>
        <w:t xml:space="preserve">c. </w:t>
      </w:r>
      <w:r w:rsidR="00D63221">
        <w:tab/>
      </w:r>
      <w:r w:rsidRPr="00741061">
        <w:t>Provide estimates of annualized cost to respondents for the hour burdens for</w:t>
      </w:r>
      <w:r w:rsidR="00D63221">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14:paraId="2FAD5695" w14:textId="77777777">
      <w:pPr>
        <w:pStyle w:val="ListParagraph"/>
        <w:shd w:val="pct25" w:color="auto" w:fill="auto"/>
        <w:tabs>
          <w:tab w:val="left" w:pos="-720"/>
        </w:tabs>
        <w:suppressAutoHyphens/>
      </w:pPr>
    </w:p>
    <w:p w:rsidR="00075D60" w:rsidP="00075D60" w:rsidRDefault="00075D60" w14:paraId="7DB1AE08" w14:textId="77777777">
      <w:pPr>
        <w:pStyle w:val="ListParagraph"/>
        <w:tabs>
          <w:tab w:val="left" w:pos="-720"/>
        </w:tabs>
        <w:suppressAutoHyphens/>
        <w:ind w:right="720"/>
        <w:rPr>
          <w:snapToGrid w:val="0"/>
          <w:sz w:val="22"/>
          <w:szCs w:val="22"/>
        </w:rPr>
      </w:pPr>
    </w:p>
    <w:p w:rsidR="00565A31" w:rsidP="00845C0C" w:rsidRDefault="00B759E8" w14:paraId="408A3215" w14:textId="026510C2">
      <w:pPr>
        <w:pStyle w:val="ListParagraph"/>
        <w:tabs>
          <w:tab w:val="left" w:pos="-720"/>
        </w:tabs>
        <w:suppressAutoHyphens/>
        <w:ind w:hanging="432"/>
      </w:pPr>
      <w:r>
        <w:tab/>
      </w:r>
      <w:r w:rsidRPr="00845C0C" w:rsidR="00845C0C">
        <w:t>Approximately 18,000 SF 2809 forms will be processed annually. SF 2809 requires approximately 30 minutes for the respondents to read the instructions and complete the form. A burden of 9,000 hours is estimated and is not expected to vary substantially.</w:t>
      </w:r>
      <w:r w:rsidR="00565A31">
        <w:br/>
      </w:r>
    </w:p>
    <w:tbl>
      <w:tblPr>
        <w:tblStyle w:val="TableGrid"/>
        <w:tblW w:w="0" w:type="auto"/>
        <w:tblInd w:w="720" w:type="dxa"/>
        <w:tblLook w:val="04A0" w:firstRow="1" w:lastRow="0" w:firstColumn="1" w:lastColumn="0" w:noHBand="0" w:noVBand="1"/>
      </w:tblPr>
      <w:tblGrid>
        <w:gridCol w:w="1234"/>
        <w:gridCol w:w="937"/>
        <w:gridCol w:w="1230"/>
        <w:gridCol w:w="1159"/>
        <w:gridCol w:w="1048"/>
        <w:gridCol w:w="907"/>
        <w:gridCol w:w="956"/>
        <w:gridCol w:w="1159"/>
      </w:tblGrid>
      <w:tr w:rsidR="00845C0C" w:rsidTr="00845C0C" w14:paraId="1C6B97AD" w14:textId="77777777">
        <w:tc>
          <w:tcPr>
            <w:tcW w:w="1234" w:type="dxa"/>
            <w:shd w:val="clear" w:color="auto" w:fill="D9D9D9"/>
          </w:tcPr>
          <w:p w:rsidRPr="008869F8" w:rsidR="00845C0C" w:rsidP="00845C0C" w:rsidRDefault="00845C0C" w14:paraId="10B02341" w14:textId="7CDEA3B0">
            <w:pPr>
              <w:spacing w:before="240"/>
              <w:rPr>
                <w:rFonts w:ascii="Arial" w:hAnsi="Arial" w:cs="Arial"/>
                <w:b/>
                <w:sz w:val="16"/>
                <w:szCs w:val="16"/>
              </w:rPr>
            </w:pPr>
            <w:r w:rsidRPr="00845E94">
              <w:rPr>
                <w:rFonts w:ascii="Arial" w:hAnsi="Arial" w:cs="Arial"/>
                <w:b/>
                <w:sz w:val="16"/>
                <w:szCs w:val="16"/>
              </w:rPr>
              <w:t>Form Name</w:t>
            </w:r>
          </w:p>
        </w:tc>
        <w:tc>
          <w:tcPr>
            <w:tcW w:w="937" w:type="dxa"/>
            <w:shd w:val="clear" w:color="auto" w:fill="D9D9D9"/>
          </w:tcPr>
          <w:p w:rsidRPr="008869F8" w:rsidR="00845C0C" w:rsidP="00845C0C" w:rsidRDefault="00845C0C" w14:paraId="50451D00" w14:textId="5335DAE5">
            <w:pPr>
              <w:spacing w:before="240"/>
              <w:rPr>
                <w:rFonts w:ascii="Arial" w:hAnsi="Arial" w:cs="Arial"/>
                <w:b/>
                <w:sz w:val="16"/>
                <w:szCs w:val="16"/>
              </w:rPr>
            </w:pPr>
            <w:r w:rsidRPr="00845E94">
              <w:rPr>
                <w:rFonts w:ascii="Arial" w:hAnsi="Arial" w:cs="Arial"/>
                <w:b/>
                <w:sz w:val="16"/>
                <w:szCs w:val="16"/>
              </w:rPr>
              <w:t>Form Number</w:t>
            </w:r>
          </w:p>
        </w:tc>
        <w:tc>
          <w:tcPr>
            <w:tcW w:w="1230" w:type="dxa"/>
            <w:shd w:val="clear" w:color="auto" w:fill="D9D9D9"/>
          </w:tcPr>
          <w:p w:rsidRPr="008869F8" w:rsidR="00845C0C" w:rsidP="00845C0C" w:rsidRDefault="00845C0C" w14:paraId="06765F2C" w14:textId="3B1FD2CF">
            <w:pPr>
              <w:spacing w:before="240"/>
              <w:rPr>
                <w:rFonts w:ascii="Arial" w:hAnsi="Arial" w:cs="Arial"/>
                <w:b/>
                <w:sz w:val="16"/>
                <w:szCs w:val="16"/>
              </w:rPr>
            </w:pPr>
            <w:r w:rsidRPr="00845E94">
              <w:rPr>
                <w:rFonts w:ascii="Arial" w:hAnsi="Arial" w:cs="Arial"/>
                <w:b/>
                <w:sz w:val="16"/>
                <w:szCs w:val="16"/>
              </w:rPr>
              <w:t>No. of Respondents</w:t>
            </w:r>
          </w:p>
        </w:tc>
        <w:tc>
          <w:tcPr>
            <w:tcW w:w="1159" w:type="dxa"/>
            <w:shd w:val="clear" w:color="auto" w:fill="D9D9D9"/>
          </w:tcPr>
          <w:p w:rsidRPr="008869F8" w:rsidR="00845C0C" w:rsidP="00845C0C" w:rsidRDefault="00845C0C" w14:paraId="062DCA1E" w14:textId="13B126BB">
            <w:pPr>
              <w:spacing w:before="240"/>
              <w:rPr>
                <w:rFonts w:ascii="Arial" w:hAnsi="Arial" w:cs="Arial"/>
                <w:b/>
                <w:sz w:val="16"/>
                <w:szCs w:val="16"/>
              </w:rPr>
            </w:pPr>
            <w:r w:rsidRPr="00845E94">
              <w:rPr>
                <w:rFonts w:ascii="Arial" w:hAnsi="Arial" w:cs="Arial"/>
                <w:b/>
                <w:sz w:val="16"/>
                <w:szCs w:val="16"/>
              </w:rPr>
              <w:t>No. of Responses per Respondent</w:t>
            </w:r>
          </w:p>
        </w:tc>
        <w:tc>
          <w:tcPr>
            <w:tcW w:w="1048" w:type="dxa"/>
            <w:shd w:val="clear" w:color="auto" w:fill="D9D9D9"/>
          </w:tcPr>
          <w:p w:rsidRPr="008869F8" w:rsidR="00845C0C" w:rsidP="00845C0C" w:rsidRDefault="00845C0C" w14:paraId="25AF9E0B" w14:textId="21230F0C">
            <w:pPr>
              <w:spacing w:before="240"/>
              <w:rPr>
                <w:rFonts w:ascii="Arial" w:hAnsi="Arial" w:cs="Arial"/>
                <w:b/>
                <w:sz w:val="16"/>
                <w:szCs w:val="16"/>
              </w:rPr>
            </w:pPr>
            <w:r w:rsidRPr="00845E94">
              <w:rPr>
                <w:rFonts w:ascii="Arial" w:hAnsi="Arial" w:cs="Arial"/>
                <w:b/>
                <w:sz w:val="16"/>
                <w:szCs w:val="16"/>
              </w:rPr>
              <w:t>Average Burden per Response (in hours)</w:t>
            </w:r>
          </w:p>
        </w:tc>
        <w:tc>
          <w:tcPr>
            <w:tcW w:w="907" w:type="dxa"/>
            <w:shd w:val="clear" w:color="auto" w:fill="D9D9D9"/>
          </w:tcPr>
          <w:p w:rsidRPr="008869F8" w:rsidR="00845C0C" w:rsidP="00845C0C" w:rsidRDefault="00845C0C" w14:paraId="5D4EC7DD" w14:textId="2F911A25">
            <w:pPr>
              <w:spacing w:before="240"/>
              <w:rPr>
                <w:rFonts w:ascii="Arial" w:hAnsi="Arial" w:cs="Arial"/>
                <w:b/>
                <w:sz w:val="16"/>
                <w:szCs w:val="16"/>
              </w:rPr>
            </w:pPr>
            <w:r w:rsidRPr="00845E94">
              <w:rPr>
                <w:rFonts w:ascii="Arial" w:hAnsi="Arial" w:cs="Arial"/>
                <w:b/>
                <w:sz w:val="16"/>
                <w:szCs w:val="16"/>
              </w:rPr>
              <w:t>Total Annual Burden (in hours)</w:t>
            </w:r>
          </w:p>
        </w:tc>
        <w:tc>
          <w:tcPr>
            <w:tcW w:w="956" w:type="dxa"/>
            <w:shd w:val="clear" w:color="auto" w:fill="D9D9D9"/>
          </w:tcPr>
          <w:p w:rsidRPr="008869F8" w:rsidR="00845C0C" w:rsidP="00845C0C" w:rsidRDefault="00845C0C" w14:paraId="32564825" w14:textId="0AC9D7FF">
            <w:pPr>
              <w:spacing w:before="240"/>
              <w:rPr>
                <w:rFonts w:ascii="Arial" w:hAnsi="Arial" w:cs="Arial"/>
                <w:b/>
                <w:sz w:val="16"/>
                <w:szCs w:val="16"/>
              </w:rPr>
            </w:pPr>
            <w:r w:rsidRPr="00845E94">
              <w:rPr>
                <w:rFonts w:ascii="Arial" w:hAnsi="Arial" w:cs="Arial"/>
                <w:b/>
                <w:sz w:val="16"/>
                <w:szCs w:val="16"/>
              </w:rPr>
              <w:t>Average Hourly Wage Rate</w:t>
            </w:r>
          </w:p>
        </w:tc>
        <w:tc>
          <w:tcPr>
            <w:tcW w:w="1159" w:type="dxa"/>
            <w:shd w:val="clear" w:color="auto" w:fill="D9D9D9"/>
          </w:tcPr>
          <w:p w:rsidRPr="008869F8" w:rsidR="00845C0C" w:rsidP="00845C0C" w:rsidRDefault="00845C0C" w14:paraId="331A8BA2" w14:textId="7041BE0D">
            <w:pPr>
              <w:spacing w:before="240"/>
              <w:rPr>
                <w:rFonts w:ascii="Arial" w:hAnsi="Arial" w:cs="Arial"/>
                <w:b/>
                <w:sz w:val="16"/>
                <w:szCs w:val="16"/>
              </w:rPr>
            </w:pPr>
            <w:r w:rsidRPr="00845E94">
              <w:rPr>
                <w:rFonts w:ascii="Arial" w:hAnsi="Arial" w:cs="Arial"/>
                <w:b/>
                <w:sz w:val="16"/>
                <w:szCs w:val="16"/>
              </w:rPr>
              <w:t>Total Annual Respondent Cost</w:t>
            </w:r>
          </w:p>
        </w:tc>
      </w:tr>
      <w:tr w:rsidR="00845C0C" w:rsidTr="00845C0C" w14:paraId="65C6673E" w14:textId="77777777">
        <w:tc>
          <w:tcPr>
            <w:tcW w:w="1234" w:type="dxa"/>
            <w:shd w:val="clear" w:color="auto" w:fill="auto"/>
          </w:tcPr>
          <w:p w:rsidRPr="008869F8" w:rsidR="00845C0C" w:rsidP="00845C0C" w:rsidRDefault="00845C0C" w14:paraId="66A688CF" w14:textId="12B418C9">
            <w:pPr>
              <w:spacing w:before="240"/>
              <w:rPr>
                <w:sz w:val="18"/>
                <w:szCs w:val="18"/>
              </w:rPr>
            </w:pPr>
            <w:r w:rsidRPr="00845E94">
              <w:rPr>
                <w:bCs/>
                <w:sz w:val="18"/>
                <w:szCs w:val="18"/>
              </w:rPr>
              <w:t>Health Benefits Election Form</w:t>
            </w:r>
          </w:p>
        </w:tc>
        <w:tc>
          <w:tcPr>
            <w:tcW w:w="937" w:type="dxa"/>
            <w:shd w:val="clear" w:color="auto" w:fill="auto"/>
          </w:tcPr>
          <w:p w:rsidRPr="008869F8" w:rsidR="00845C0C" w:rsidP="00845C0C" w:rsidRDefault="00845C0C" w14:paraId="1DDB598C" w14:textId="6104A6CD">
            <w:pPr>
              <w:spacing w:before="240"/>
              <w:rPr>
                <w:sz w:val="18"/>
                <w:szCs w:val="18"/>
              </w:rPr>
            </w:pPr>
            <w:r w:rsidRPr="00845E94">
              <w:rPr>
                <w:sz w:val="18"/>
                <w:szCs w:val="18"/>
              </w:rPr>
              <w:t>SF 2809</w:t>
            </w:r>
          </w:p>
        </w:tc>
        <w:tc>
          <w:tcPr>
            <w:tcW w:w="1230" w:type="dxa"/>
            <w:shd w:val="clear" w:color="auto" w:fill="auto"/>
          </w:tcPr>
          <w:p w:rsidRPr="008869F8" w:rsidR="00845C0C" w:rsidP="00845C0C" w:rsidRDefault="00845C0C" w14:paraId="03071C5D" w14:textId="677C86D8">
            <w:pPr>
              <w:spacing w:before="240"/>
              <w:jc w:val="right"/>
              <w:rPr>
                <w:sz w:val="18"/>
                <w:szCs w:val="18"/>
              </w:rPr>
            </w:pPr>
            <w:r w:rsidRPr="00845E94">
              <w:rPr>
                <w:sz w:val="18"/>
                <w:szCs w:val="18"/>
              </w:rPr>
              <w:t>18,000</w:t>
            </w:r>
          </w:p>
        </w:tc>
        <w:tc>
          <w:tcPr>
            <w:tcW w:w="1159" w:type="dxa"/>
            <w:shd w:val="clear" w:color="auto" w:fill="auto"/>
          </w:tcPr>
          <w:p w:rsidRPr="008869F8" w:rsidR="00845C0C" w:rsidP="00845C0C" w:rsidRDefault="00845C0C" w14:paraId="42D7E0B8" w14:textId="5D0A3988">
            <w:pPr>
              <w:spacing w:before="240"/>
              <w:jc w:val="right"/>
              <w:rPr>
                <w:sz w:val="18"/>
                <w:szCs w:val="18"/>
              </w:rPr>
            </w:pPr>
            <w:r w:rsidRPr="00845E94">
              <w:rPr>
                <w:sz w:val="18"/>
                <w:szCs w:val="18"/>
              </w:rPr>
              <w:t>1</w:t>
            </w:r>
          </w:p>
        </w:tc>
        <w:tc>
          <w:tcPr>
            <w:tcW w:w="1048" w:type="dxa"/>
            <w:shd w:val="clear" w:color="auto" w:fill="auto"/>
          </w:tcPr>
          <w:p w:rsidRPr="008869F8" w:rsidR="00845C0C" w:rsidP="00845C0C" w:rsidRDefault="00845C0C" w14:paraId="6ED4D0E1" w14:textId="0537505D">
            <w:pPr>
              <w:spacing w:before="240"/>
              <w:jc w:val="right"/>
              <w:rPr>
                <w:sz w:val="18"/>
                <w:szCs w:val="18"/>
              </w:rPr>
            </w:pPr>
            <w:r>
              <w:rPr>
                <w:sz w:val="18"/>
                <w:szCs w:val="18"/>
              </w:rPr>
              <w:t>30 minutes</w:t>
            </w:r>
          </w:p>
        </w:tc>
        <w:tc>
          <w:tcPr>
            <w:tcW w:w="907" w:type="dxa"/>
            <w:shd w:val="clear" w:color="auto" w:fill="auto"/>
          </w:tcPr>
          <w:p w:rsidRPr="008869F8" w:rsidR="00845C0C" w:rsidP="00845C0C" w:rsidRDefault="00845C0C" w14:paraId="755E3701" w14:textId="07655827">
            <w:pPr>
              <w:spacing w:before="240"/>
              <w:jc w:val="right"/>
              <w:rPr>
                <w:sz w:val="18"/>
                <w:szCs w:val="18"/>
              </w:rPr>
            </w:pPr>
            <w:r w:rsidRPr="00845E94">
              <w:rPr>
                <w:sz w:val="18"/>
                <w:szCs w:val="18"/>
              </w:rPr>
              <w:t>9,000</w:t>
            </w:r>
          </w:p>
        </w:tc>
        <w:tc>
          <w:tcPr>
            <w:tcW w:w="956" w:type="dxa"/>
            <w:shd w:val="clear" w:color="auto" w:fill="auto"/>
          </w:tcPr>
          <w:p w:rsidRPr="008869F8" w:rsidR="00845C0C" w:rsidP="00845C0C" w:rsidRDefault="00845C0C" w14:paraId="3A711787" w14:textId="79DA64F0">
            <w:pPr>
              <w:spacing w:before="240"/>
              <w:jc w:val="center"/>
              <w:rPr>
                <w:sz w:val="18"/>
                <w:szCs w:val="18"/>
              </w:rPr>
            </w:pPr>
            <w:r w:rsidRPr="00845E94">
              <w:rPr>
                <w:sz w:val="18"/>
                <w:szCs w:val="18"/>
              </w:rPr>
              <w:t>$</w:t>
            </w:r>
            <w:r>
              <w:rPr>
                <w:sz w:val="18"/>
                <w:szCs w:val="18"/>
              </w:rPr>
              <w:t>1</w:t>
            </w:r>
            <w:r w:rsidRPr="00845E94">
              <w:rPr>
                <w:sz w:val="18"/>
                <w:szCs w:val="18"/>
              </w:rPr>
              <w:t>0</w:t>
            </w:r>
            <w:r>
              <w:rPr>
                <w:sz w:val="18"/>
                <w:szCs w:val="18"/>
              </w:rPr>
              <w:t>.75</w:t>
            </w:r>
          </w:p>
        </w:tc>
        <w:tc>
          <w:tcPr>
            <w:tcW w:w="1159" w:type="dxa"/>
            <w:shd w:val="clear" w:color="auto" w:fill="auto"/>
          </w:tcPr>
          <w:p w:rsidRPr="008869F8" w:rsidR="00845C0C" w:rsidP="00845C0C" w:rsidRDefault="00845C0C" w14:paraId="1FA05AC1" w14:textId="4469123F">
            <w:pPr>
              <w:spacing w:before="240"/>
              <w:jc w:val="center"/>
              <w:rPr>
                <w:sz w:val="18"/>
                <w:szCs w:val="18"/>
              </w:rPr>
            </w:pPr>
            <w:r>
              <w:rPr>
                <w:sz w:val="18"/>
                <w:szCs w:val="18"/>
              </w:rPr>
              <w:t>$242,999</w:t>
            </w:r>
          </w:p>
        </w:tc>
      </w:tr>
    </w:tbl>
    <w:p w:rsidR="00484F89" w:rsidP="00A10BE7" w:rsidRDefault="00484F89" w14:paraId="50F8DC67" w14:textId="1DBA774A">
      <w:pPr>
        <w:spacing w:before="240"/>
        <w:ind w:left="720"/>
      </w:pPr>
      <w:r>
        <w:t>The Total Annual Respondent Cost is $</w:t>
      </w:r>
      <w:r w:rsidR="00845C0C">
        <w:t>242,999</w:t>
      </w:r>
      <w:r>
        <w:t>.</w:t>
      </w:r>
    </w:p>
    <w:p w:rsidR="00AD2666" w:rsidP="00DA60A6" w:rsidRDefault="00AD2666" w14:paraId="762C2C6A" w14:textId="77777777">
      <w:pPr>
        <w:spacing w:before="240"/>
        <w:ind w:left="288"/>
      </w:pPr>
    </w:p>
    <w:p w:rsidRPr="00741061" w:rsidR="00A10BE7" w:rsidP="00D63221" w:rsidRDefault="00A10BE7" w14:paraId="17B0C5E9" w14:textId="77777777">
      <w:pPr>
        <w:pStyle w:val="ListParagraph"/>
        <w:shd w:val="pct25" w:color="auto" w:fill="auto"/>
        <w:tabs>
          <w:tab w:val="left" w:pos="-720"/>
        </w:tabs>
        <w:suppressAutoHyphens/>
        <w:ind w:left="288"/>
      </w:pPr>
      <w:r w:rsidRPr="00741061">
        <w:t xml:space="preserve">13.   Provide an estimate of the total annual cost burden to respondents or </w:t>
      </w:r>
      <w:r w:rsidRPr="00741061" w:rsidR="00FC7E12">
        <w:t>record-keepers</w:t>
      </w:r>
      <w:r w:rsidR="00D63221">
        <w:br/>
        <w:t xml:space="preserve">       </w:t>
      </w:r>
      <w:r w:rsidRPr="00741061">
        <w:t xml:space="preserve"> resulting from the collection of information.  (Do not include the cost of any hour burden</w:t>
      </w:r>
      <w:r w:rsidR="00D63221">
        <w:br/>
        <w:t xml:space="preserve">       </w:t>
      </w:r>
      <w:r w:rsidRPr="00741061">
        <w:t xml:space="preserve"> shown in Items 12 and 14.)</w:t>
      </w:r>
    </w:p>
    <w:p w:rsidRPr="00741061" w:rsidR="00A10BE7" w:rsidP="00A10BE7" w:rsidRDefault="00A10BE7" w14:paraId="73A54898" w14:textId="77777777">
      <w:pPr>
        <w:pStyle w:val="ListParagraph"/>
        <w:shd w:val="pct25" w:color="auto" w:fill="auto"/>
        <w:tabs>
          <w:tab w:val="left" w:pos="-720"/>
        </w:tabs>
        <w:suppressAutoHyphens/>
      </w:pPr>
    </w:p>
    <w:p w:rsidRPr="00741061" w:rsidR="00A10BE7" w:rsidP="00A10BE7" w:rsidRDefault="00A10BE7" w14:paraId="26DEDDF7" w14:textId="77777777">
      <w:pPr>
        <w:pStyle w:val="ListParagraph"/>
        <w:shd w:val="pct25" w:color="auto" w:fill="auto"/>
        <w:tabs>
          <w:tab w:val="left" w:pos="-720"/>
          <w:tab w:val="left" w:pos="810"/>
        </w:tabs>
        <w:suppressAutoHyphens/>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741061">
        <w:lastRenderedPageBreak/>
        <w:t>purchasing computers and software; monitoring, sampling, drilling and testing equipment; and record storage facilities.</w:t>
      </w:r>
    </w:p>
    <w:p w:rsidRPr="00741061" w:rsidR="00A10BE7" w:rsidP="00A10BE7" w:rsidRDefault="00A10BE7" w14:paraId="4EF61230" w14:textId="77777777">
      <w:pPr>
        <w:pStyle w:val="ListParagraph"/>
        <w:shd w:val="pct25" w:color="auto" w:fill="FFFFFF"/>
        <w:tabs>
          <w:tab w:val="left" w:pos="-720"/>
        </w:tabs>
        <w:suppressAutoHyphens/>
      </w:pPr>
    </w:p>
    <w:p w:rsidRPr="00741061" w:rsidR="00A10BE7" w:rsidP="00A10BE7" w:rsidRDefault="00A10BE7" w14:paraId="5124A3E3"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14:paraId="05B01D40" w14:textId="77777777">
      <w:pPr>
        <w:pStyle w:val="ListParagraph"/>
        <w:shd w:val="pct25" w:color="auto" w:fill="FFFFFF"/>
        <w:tabs>
          <w:tab w:val="left" w:pos="-720"/>
        </w:tabs>
        <w:suppressAutoHyphens/>
      </w:pPr>
    </w:p>
    <w:p w:rsidRPr="00741061" w:rsidR="00A10BE7" w:rsidP="00A10BE7" w:rsidRDefault="00A10BE7" w14:paraId="505ED54C" w14:textId="77777777">
      <w:pPr>
        <w:pStyle w:val="ListParagraph"/>
        <w:shd w:val="pct25" w:color="auto" w:fill="FFFFFF"/>
        <w:tabs>
          <w:tab w:val="left" w:pos="-720"/>
        </w:tabs>
        <w:suppressAutoHyphens/>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P="00A10BE7" w:rsidRDefault="00933321" w14:paraId="6129B586" w14:textId="77777777">
      <w:pPr>
        <w:spacing w:before="240"/>
        <w:ind w:left="720"/>
      </w:pPr>
      <w:r>
        <w:t>There is no change in the respondent burden.</w:t>
      </w:r>
    </w:p>
    <w:p w:rsidR="00A10BE7" w:rsidP="0019732A" w:rsidRDefault="00A10BE7" w14:paraId="1825CB9F" w14:textId="77777777">
      <w:pPr>
        <w:spacing w:before="240"/>
        <w:ind w:left="288"/>
      </w:pPr>
    </w:p>
    <w:p w:rsidR="0019732A" w:rsidP="007662C9" w:rsidRDefault="0024797F" w14:paraId="7D01427D" w14:textId="77777777">
      <w:pPr>
        <w:spacing w:before="240"/>
        <w:ind w:left="288"/>
        <w:jc w:val="both"/>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19732A" w:rsidP="00F36024" w:rsidRDefault="00B828E5" w14:paraId="3460AA4D" w14:textId="50301FDC">
      <w:pPr>
        <w:spacing w:before="240"/>
        <w:ind w:left="720" w:hanging="432"/>
      </w:pPr>
      <w:r>
        <w:t xml:space="preserve">        </w:t>
      </w:r>
      <w:r w:rsidRPr="00F36024" w:rsidR="00F36024">
        <w:t>We estimate that the annualized cost to the Government is approximately $16,000. The cost is derived from employee salaries, staff hours required to process the forms and the cost of publishing, storing, and shipping forms.</w:t>
      </w:r>
    </w:p>
    <w:p w:rsidR="0024797F" w:rsidP="0019732A" w:rsidRDefault="0024797F" w14:paraId="7B720D3B" w14:textId="77777777">
      <w:pPr>
        <w:spacing w:before="240"/>
        <w:ind w:left="288"/>
      </w:pPr>
    </w:p>
    <w:p w:rsidRPr="00741061" w:rsidR="00A10BE7" w:rsidP="00D63221" w:rsidRDefault="00A10BE7" w14:paraId="617298A7" w14:textId="77777777">
      <w:pPr>
        <w:pStyle w:val="ListParagraph"/>
        <w:shd w:val="pct25" w:color="auto" w:fill="auto"/>
        <w:tabs>
          <w:tab w:val="left" w:pos="-720"/>
        </w:tabs>
        <w:suppressAutoHyphens/>
        <w:ind w:left="288"/>
      </w:pPr>
      <w:r w:rsidRPr="00741061">
        <w:t>15.  Explain the reasons for any program changes or adjustments reported in Items 13 or 14 of</w:t>
      </w:r>
      <w:r w:rsidR="00D63221">
        <w:br/>
        <w:t xml:space="preserve">      </w:t>
      </w:r>
      <w:r w:rsidRPr="00741061">
        <w:t xml:space="preserve"> the OMB Form 83-I.  Changes in hour burden, i.e., program changes or adjustments made</w:t>
      </w:r>
      <w:r w:rsidR="00D63221">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D63221">
        <w:br/>
        <w:t xml:space="preserve">      </w:t>
      </w:r>
      <w:r w:rsidRPr="00741061">
        <w:t xml:space="preserve"> result of deliberate Federal government action.  All new collections and any subsequent</w:t>
      </w:r>
      <w:r w:rsidR="00D63221">
        <w:br/>
        <w:t xml:space="preserve">      </w:t>
      </w:r>
      <w:r w:rsidRPr="00741061">
        <w:t xml:space="preserve"> revisions of existing collections (e.g., the addition or deletion of questions) are recorded</w:t>
      </w:r>
      <w:r w:rsidR="00D63221">
        <w:br/>
        <w:t xml:space="preserve">      </w:t>
      </w:r>
      <w:r w:rsidRPr="00741061">
        <w:t xml:space="preserve"> as program changes.  An adjustment is a change that is not the result of a deliberate</w:t>
      </w:r>
      <w:r w:rsidR="00D63221">
        <w:br/>
        <w:t xml:space="preserve">       </w:t>
      </w:r>
      <w:r w:rsidRPr="00741061">
        <w:t>Federal government action.  These changes that result from new estimates or actions not</w:t>
      </w:r>
      <w:r w:rsidR="00D63221">
        <w:br/>
        <w:t xml:space="preserve">      </w:t>
      </w:r>
      <w:r w:rsidRPr="00741061">
        <w:t xml:space="preserve"> controllable by the Federal government are recorded as adjustments. </w:t>
      </w:r>
    </w:p>
    <w:p w:rsidRPr="00741061" w:rsidR="00A10BE7" w:rsidP="00A10BE7" w:rsidRDefault="00A10BE7" w14:paraId="04572134" w14:textId="77777777">
      <w:pPr>
        <w:pStyle w:val="ListParagraph"/>
        <w:tabs>
          <w:tab w:val="left" w:pos="-720"/>
        </w:tabs>
        <w:suppressAutoHyphens/>
      </w:pPr>
    </w:p>
    <w:p w:rsidR="00A534B0" w:rsidP="00A10BE7" w:rsidRDefault="00A534B0" w14:paraId="4035C9DA" w14:textId="4082FBBB">
      <w:pPr>
        <w:pStyle w:val="ListParagraph"/>
        <w:tabs>
          <w:tab w:val="left" w:pos="-720"/>
        </w:tabs>
        <w:suppressAutoHyphens/>
      </w:pPr>
      <w:r>
        <w:t>There is no change in the hour or cost burden.</w:t>
      </w:r>
    </w:p>
    <w:p w:rsidRPr="00741061" w:rsidR="00A10BE7" w:rsidP="00A10BE7" w:rsidRDefault="00A10BE7" w14:paraId="5634C043" w14:textId="77777777">
      <w:pPr>
        <w:pStyle w:val="ListParagraph"/>
        <w:tabs>
          <w:tab w:val="left" w:pos="-720"/>
        </w:tabs>
        <w:suppressAutoHyphens/>
      </w:pPr>
    </w:p>
    <w:p w:rsidRPr="00741061" w:rsidR="00A10BE7" w:rsidP="000E6451" w:rsidRDefault="00A10BE7" w14:paraId="40C09DA9" w14:textId="77777777">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0E6451">
        <w:br/>
        <w:t xml:space="preserve">       </w:t>
      </w:r>
      <w:r w:rsidRPr="00741061">
        <w:t>tabulation and publication.  Address any complex analytical techniques that will be used.</w:t>
      </w:r>
      <w:r w:rsidR="000E6451">
        <w:br/>
        <w:t xml:space="preserve">     </w:t>
      </w:r>
      <w:r w:rsidRPr="00741061">
        <w:t xml:space="preserve">  Provide the time schedule for the entire project, including beginning and ending dates of</w:t>
      </w:r>
      <w:r w:rsidR="000E6451">
        <w:br/>
        <w:t xml:space="preserve">      </w:t>
      </w:r>
      <w:r w:rsidRPr="00741061">
        <w:t xml:space="preserve"> the collection of information, completion of report, publication dates, and other actions. </w:t>
      </w:r>
    </w:p>
    <w:p w:rsidRPr="00741061" w:rsidR="00A10BE7" w:rsidP="00A10BE7" w:rsidRDefault="00A10BE7" w14:paraId="386D35A3" w14:textId="77777777">
      <w:pPr>
        <w:pStyle w:val="ListParagraph"/>
      </w:pPr>
    </w:p>
    <w:p w:rsidR="00A10BE7" w:rsidP="00A10BE7" w:rsidRDefault="00A10BE7" w14:paraId="50AF6E81" w14:textId="77777777">
      <w:pPr>
        <w:pStyle w:val="ListParagraph"/>
      </w:pPr>
      <w:r w:rsidRPr="00741061">
        <w:t>No information collected from the form will be published.</w:t>
      </w:r>
    </w:p>
    <w:p w:rsidRPr="00741061" w:rsidR="0097112F" w:rsidP="00A10BE7" w:rsidRDefault="0097112F" w14:paraId="752F1EDB" w14:textId="77777777">
      <w:pPr>
        <w:pStyle w:val="ListParagraph"/>
      </w:pPr>
    </w:p>
    <w:p w:rsidRPr="00741061" w:rsidR="00A10BE7" w:rsidP="000E6451" w:rsidRDefault="00A10BE7" w14:paraId="2BBFA927" w14:textId="77777777">
      <w:pPr>
        <w:pStyle w:val="ListParagraph"/>
        <w:shd w:val="pct25" w:color="auto" w:fill="auto"/>
        <w:tabs>
          <w:tab w:val="left" w:pos="-720"/>
        </w:tabs>
        <w:suppressAutoHyphens/>
        <w:ind w:left="288"/>
      </w:pPr>
      <w:r w:rsidRPr="00741061">
        <w:t>17.  If seeking approval to not display the expiration date for OMB approval of the</w:t>
      </w:r>
      <w:r w:rsidR="000E6451">
        <w:br/>
        <w:t xml:space="preserve">      </w:t>
      </w:r>
      <w:r w:rsidRPr="00741061">
        <w:t xml:space="preserve"> information collection, explain reasons that display would be inappropriate.</w:t>
      </w:r>
    </w:p>
    <w:p w:rsidR="00A10BE7" w:rsidP="00A10BE7" w:rsidRDefault="0049598E" w14:paraId="72C8FEBA" w14:textId="5D049FF4">
      <w:pPr>
        <w:spacing w:before="240"/>
        <w:ind w:left="720"/>
      </w:pPr>
      <w:r w:rsidRPr="0049598E">
        <w:t>The Healthcare and Insurance/Federal Employees Insurance Operations (FEIO) program office is the lone processor of the data collected on this ICR. The substance of this information collection does not substantively change at each OMB renewal cycle, but according to changes in law and regulation. These forms are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information required by long-standing statutory provisions.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14:paraId="23E1234D" w14:textId="77777777">
      <w:pPr>
        <w:pStyle w:val="ListParagraph"/>
        <w:tabs>
          <w:tab w:val="left" w:pos="-720"/>
        </w:tabs>
        <w:suppressAutoHyphens/>
      </w:pPr>
    </w:p>
    <w:p w:rsidRPr="00741061" w:rsidR="00A10BE7" w:rsidP="000E6451" w:rsidRDefault="00A10BE7" w14:paraId="0F141306"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rsidR="000E6451">
        <w:br/>
        <w:t xml:space="preserve">      </w:t>
      </w:r>
      <w:r w:rsidRPr="00741061">
        <w:t xml:space="preserve"> for Paperwork Reduction Act Submissions,” of OMB Form 83-I.</w:t>
      </w:r>
    </w:p>
    <w:p w:rsidRPr="00741061" w:rsidR="00A10BE7" w:rsidP="00A10BE7" w:rsidRDefault="00A10BE7" w14:paraId="102A7CB0" w14:textId="77777777">
      <w:pPr>
        <w:pStyle w:val="ListParagraph"/>
      </w:pPr>
    </w:p>
    <w:p w:rsidR="00A10BE7" w:rsidP="00A10BE7" w:rsidRDefault="00A10BE7" w14:paraId="48FE258F" w14:textId="77777777">
      <w:pPr>
        <w:spacing w:before="240"/>
        <w:ind w:left="720"/>
      </w:pPr>
      <w:r>
        <w:t>There are no exceptions to the certification statement.</w:t>
      </w:r>
    </w:p>
    <w:p w:rsidR="00A10BE7" w:rsidP="00A10BE7" w:rsidRDefault="00A10BE7" w14:paraId="58F3AC93" w14:textId="7777777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110A8"/>
    <w:rsid w:val="00026879"/>
    <w:rsid w:val="000340F6"/>
    <w:rsid w:val="00075D60"/>
    <w:rsid w:val="000E6451"/>
    <w:rsid w:val="00145FB9"/>
    <w:rsid w:val="001465AD"/>
    <w:rsid w:val="001617C9"/>
    <w:rsid w:val="001678EC"/>
    <w:rsid w:val="0019732A"/>
    <w:rsid w:val="001C61D7"/>
    <w:rsid w:val="001C647E"/>
    <w:rsid w:val="001D210A"/>
    <w:rsid w:val="001E0E4C"/>
    <w:rsid w:val="0024281C"/>
    <w:rsid w:val="0024797F"/>
    <w:rsid w:val="00262A13"/>
    <w:rsid w:val="002678EE"/>
    <w:rsid w:val="002A0DC7"/>
    <w:rsid w:val="002A25A7"/>
    <w:rsid w:val="002C1F76"/>
    <w:rsid w:val="002C512F"/>
    <w:rsid w:val="002C52D2"/>
    <w:rsid w:val="003016AB"/>
    <w:rsid w:val="003237E1"/>
    <w:rsid w:val="00332AC9"/>
    <w:rsid w:val="00335148"/>
    <w:rsid w:val="003509AA"/>
    <w:rsid w:val="00364C47"/>
    <w:rsid w:val="00375FE9"/>
    <w:rsid w:val="00376AEB"/>
    <w:rsid w:val="00391701"/>
    <w:rsid w:val="003D7075"/>
    <w:rsid w:val="003E4432"/>
    <w:rsid w:val="003F0958"/>
    <w:rsid w:val="00433131"/>
    <w:rsid w:val="004444EB"/>
    <w:rsid w:val="00461DF9"/>
    <w:rsid w:val="00484448"/>
    <w:rsid w:val="00484F89"/>
    <w:rsid w:val="0049598E"/>
    <w:rsid w:val="004A3A02"/>
    <w:rsid w:val="00513374"/>
    <w:rsid w:val="005429E2"/>
    <w:rsid w:val="00552126"/>
    <w:rsid w:val="0055611D"/>
    <w:rsid w:val="005627CC"/>
    <w:rsid w:val="00565A31"/>
    <w:rsid w:val="00567228"/>
    <w:rsid w:val="00597C15"/>
    <w:rsid w:val="005E52D4"/>
    <w:rsid w:val="005F154A"/>
    <w:rsid w:val="005F46F0"/>
    <w:rsid w:val="00605EFB"/>
    <w:rsid w:val="00642970"/>
    <w:rsid w:val="006601F5"/>
    <w:rsid w:val="006645C6"/>
    <w:rsid w:val="00665692"/>
    <w:rsid w:val="006659A7"/>
    <w:rsid w:val="006B3052"/>
    <w:rsid w:val="006F0AFF"/>
    <w:rsid w:val="0072069A"/>
    <w:rsid w:val="00723DAF"/>
    <w:rsid w:val="00724C87"/>
    <w:rsid w:val="007323C2"/>
    <w:rsid w:val="00751706"/>
    <w:rsid w:val="007662C9"/>
    <w:rsid w:val="007678A9"/>
    <w:rsid w:val="00785DBB"/>
    <w:rsid w:val="00796BF5"/>
    <w:rsid w:val="007C4884"/>
    <w:rsid w:val="007D1502"/>
    <w:rsid w:val="007D19E1"/>
    <w:rsid w:val="007E0C9B"/>
    <w:rsid w:val="007E0CA7"/>
    <w:rsid w:val="007E75AA"/>
    <w:rsid w:val="0080222A"/>
    <w:rsid w:val="00845BCA"/>
    <w:rsid w:val="00845C0C"/>
    <w:rsid w:val="00883500"/>
    <w:rsid w:val="008869F8"/>
    <w:rsid w:val="008C32FE"/>
    <w:rsid w:val="00904B66"/>
    <w:rsid w:val="00905A7E"/>
    <w:rsid w:val="00933321"/>
    <w:rsid w:val="00952FF9"/>
    <w:rsid w:val="00960368"/>
    <w:rsid w:val="0097112F"/>
    <w:rsid w:val="00982855"/>
    <w:rsid w:val="00984F62"/>
    <w:rsid w:val="00993A7C"/>
    <w:rsid w:val="009A43A0"/>
    <w:rsid w:val="009B110F"/>
    <w:rsid w:val="009B7453"/>
    <w:rsid w:val="009D48D9"/>
    <w:rsid w:val="009E5D0D"/>
    <w:rsid w:val="00A10BE7"/>
    <w:rsid w:val="00A15E2B"/>
    <w:rsid w:val="00A248F6"/>
    <w:rsid w:val="00A534B0"/>
    <w:rsid w:val="00A70FA6"/>
    <w:rsid w:val="00A735EB"/>
    <w:rsid w:val="00A75656"/>
    <w:rsid w:val="00AB648D"/>
    <w:rsid w:val="00AD2666"/>
    <w:rsid w:val="00AF04CE"/>
    <w:rsid w:val="00AF2421"/>
    <w:rsid w:val="00B253F3"/>
    <w:rsid w:val="00B27D87"/>
    <w:rsid w:val="00B759E8"/>
    <w:rsid w:val="00B828E5"/>
    <w:rsid w:val="00B92EDF"/>
    <w:rsid w:val="00BA1768"/>
    <w:rsid w:val="00BC4AFA"/>
    <w:rsid w:val="00BE2ACD"/>
    <w:rsid w:val="00BE2F13"/>
    <w:rsid w:val="00BE4504"/>
    <w:rsid w:val="00BF0E82"/>
    <w:rsid w:val="00BF2C23"/>
    <w:rsid w:val="00C10717"/>
    <w:rsid w:val="00C34D5B"/>
    <w:rsid w:val="00C44F4E"/>
    <w:rsid w:val="00C701A8"/>
    <w:rsid w:val="00C87392"/>
    <w:rsid w:val="00C96557"/>
    <w:rsid w:val="00CE01DD"/>
    <w:rsid w:val="00D63221"/>
    <w:rsid w:val="00D93A16"/>
    <w:rsid w:val="00DA60A6"/>
    <w:rsid w:val="00DC5B75"/>
    <w:rsid w:val="00E07C7E"/>
    <w:rsid w:val="00E14B0F"/>
    <w:rsid w:val="00E54E94"/>
    <w:rsid w:val="00E704B7"/>
    <w:rsid w:val="00EA7EBB"/>
    <w:rsid w:val="00EB14B8"/>
    <w:rsid w:val="00EC6EF7"/>
    <w:rsid w:val="00EE35E7"/>
    <w:rsid w:val="00EE5FE7"/>
    <w:rsid w:val="00EF3FFA"/>
    <w:rsid w:val="00EF5963"/>
    <w:rsid w:val="00F03B3A"/>
    <w:rsid w:val="00F1751C"/>
    <w:rsid w:val="00F30321"/>
    <w:rsid w:val="00F36024"/>
    <w:rsid w:val="00F37426"/>
    <w:rsid w:val="00F43878"/>
    <w:rsid w:val="00F508CC"/>
    <w:rsid w:val="00F60B26"/>
    <w:rsid w:val="00F9149F"/>
    <w:rsid w:val="00FA102C"/>
    <w:rsid w:val="00FA6DEC"/>
    <w:rsid w:val="00FB23E4"/>
    <w:rsid w:val="00FC7E12"/>
    <w:rsid w:val="00FF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67E594C"/>
  <w15:docId w15:val="{BDE51206-20F9-479D-AD3E-AFBD70D5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1D210A"/>
    <w:rPr>
      <w:color w:val="0000FF" w:themeColor="hyperlink"/>
      <w:u w:val="single"/>
    </w:rPr>
  </w:style>
  <w:style w:type="character" w:styleId="UnresolvedMention">
    <w:name w:val="Unresolved Mention"/>
    <w:basedOn w:val="DefaultParagraphFont"/>
    <w:uiPriority w:val="99"/>
    <w:semiHidden/>
    <w:unhideWhenUsed/>
    <w:rsid w:val="001D210A"/>
    <w:rPr>
      <w:color w:val="605E5C"/>
      <w:shd w:val="clear" w:color="auto" w:fill="E1DFDD"/>
    </w:rPr>
  </w:style>
  <w:style w:type="paragraph" w:styleId="BalloonText">
    <w:name w:val="Balloon Text"/>
    <w:basedOn w:val="Normal"/>
    <w:link w:val="BalloonTextChar"/>
    <w:uiPriority w:val="99"/>
    <w:semiHidden/>
    <w:unhideWhenUsed/>
    <w:rsid w:val="00A73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info.gov/public/do/PRAMain" TargetMode="External"/><Relationship Id="rId5" Type="http://schemas.openxmlformats.org/officeDocument/2006/relationships/hyperlink" Target="http://www.opm.gov/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Conyers, Charles C</cp:lastModifiedBy>
  <cp:revision>2</cp:revision>
  <cp:lastPrinted>2021-04-13T13:36:00Z</cp:lastPrinted>
  <dcterms:created xsi:type="dcterms:W3CDTF">2022-05-05T13:16:00Z</dcterms:created>
  <dcterms:modified xsi:type="dcterms:W3CDTF">2022-05-05T13:16:00Z</dcterms:modified>
</cp:coreProperties>
</file>