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48E" w:rsidP="009034DB" w:rsidRDefault="007B348E" w14:paraId="0CC2E321" w14:textId="6261B3BC">
      <w:pPr>
        <w:jc w:val="center"/>
        <w:rPr>
          <w:b/>
        </w:rPr>
      </w:pPr>
      <w:r w:rsidRPr="007B348E">
        <w:rPr>
          <w:b/>
        </w:rPr>
        <w:t>202</w:t>
      </w:r>
      <w:r w:rsidR="00665644">
        <w:rPr>
          <w:b/>
        </w:rPr>
        <w:t>2</w:t>
      </w:r>
      <w:r w:rsidRPr="007B348E">
        <w:rPr>
          <w:b/>
        </w:rPr>
        <w:t xml:space="preserve"> - Supporting Statement</w:t>
      </w:r>
    </w:p>
    <w:p w:rsidRPr="004271B8" w:rsidR="00020AF1" w:rsidP="009034DB" w:rsidRDefault="007C59A4" w14:paraId="1C3DF611" w14:textId="7959A05C">
      <w:pPr>
        <w:jc w:val="center"/>
        <w:rPr>
          <w:b/>
        </w:rPr>
      </w:pPr>
      <w:r>
        <w:rPr>
          <w:b/>
        </w:rPr>
        <w:t>Rural Energy Pilot</w:t>
      </w:r>
      <w:r w:rsidRPr="00544F33" w:rsidR="00544F33">
        <w:rPr>
          <w:b/>
        </w:rPr>
        <w:t xml:space="preserve"> Program (</w:t>
      </w:r>
      <w:r>
        <w:rPr>
          <w:b/>
        </w:rPr>
        <w:t>REPP</w:t>
      </w:r>
      <w:r w:rsidRPr="00544F33" w:rsidR="00544F33">
        <w:rPr>
          <w:b/>
        </w:rPr>
        <w:t>)</w:t>
      </w:r>
      <w:r>
        <w:rPr>
          <w:b/>
        </w:rPr>
        <w:t xml:space="preserve"> Grant</w:t>
      </w:r>
    </w:p>
    <w:p w:rsidR="009034DB" w:rsidP="000B32B8" w:rsidRDefault="00E023EE" w14:paraId="1015B3C2" w14:textId="7A0936B2">
      <w:pPr>
        <w:jc w:val="center"/>
        <w:rPr>
          <w:b/>
        </w:rPr>
      </w:pPr>
      <w:r>
        <w:rPr>
          <w:b/>
        </w:rPr>
        <w:t xml:space="preserve">OMB control number- </w:t>
      </w:r>
      <w:r w:rsidRPr="00410954" w:rsidR="00C949F9">
        <w:rPr>
          <w:b/>
        </w:rPr>
        <w:t>0570-</w:t>
      </w:r>
      <w:r w:rsidR="00A95B40">
        <w:rPr>
          <w:b/>
        </w:rPr>
        <w:t>0078</w:t>
      </w:r>
    </w:p>
    <w:p w:rsidR="000B32B8" w:rsidP="000B32B8" w:rsidRDefault="000B32B8" w14:paraId="2B9DDB31" w14:textId="77777777">
      <w:pPr>
        <w:jc w:val="center"/>
      </w:pPr>
    </w:p>
    <w:p w:rsidR="00613FDD" w:rsidP="006F7775" w:rsidRDefault="00DA7D99" w14:paraId="61EEA5BD" w14:textId="77777777">
      <w:pPr>
        <w:rPr>
          <w:rFonts w:eastAsia="Calibri"/>
        </w:rPr>
      </w:pPr>
      <w:r>
        <w:rPr>
          <w:rFonts w:eastAsia="Calibri"/>
        </w:rPr>
        <w:t xml:space="preserve">     </w:t>
      </w:r>
    </w:p>
    <w:p w:rsidR="008035B8" w:rsidP="008035B8" w:rsidRDefault="008035B8" w14:paraId="68ECE96B" w14:textId="77777777">
      <w:pPr>
        <w:pStyle w:val="BodyText"/>
      </w:pPr>
      <w:r>
        <w:t>Justification</w:t>
      </w:r>
    </w:p>
    <w:p w:rsidR="008035B8" w:rsidP="008035B8" w:rsidRDefault="008035B8" w14:paraId="63C3A0CF" w14:textId="77777777"/>
    <w:p w:rsidR="008035B8" w:rsidP="008035B8" w:rsidRDefault="008035B8" w14:paraId="62FD1777" w14:textId="77777777">
      <w:pPr>
        <w:rPr>
          <w:b/>
        </w:rPr>
      </w:pPr>
      <w:r>
        <w:rPr>
          <w:b/>
        </w:rPr>
        <w:t>1.  Explain the circumstances that make the collection of information necessary.</w:t>
      </w:r>
    </w:p>
    <w:p w:rsidR="005E61F3" w:rsidP="00E023EE" w:rsidRDefault="005E61F3" w14:paraId="227A0A26" w14:textId="77777777">
      <w:pPr>
        <w:ind w:left="720"/>
      </w:pPr>
    </w:p>
    <w:p w:rsidR="002973B1" w:rsidP="00DA7D99" w:rsidRDefault="002973B1" w14:paraId="3B3F1546" w14:textId="2C4076C3">
      <w:pPr>
        <w:outlineLvl w:val="0"/>
      </w:pPr>
      <w:r w:rsidRPr="002973B1">
        <w:t>The Consolidated Appropriations Act, 2021 (Pub. L. 116–260)</w:t>
      </w:r>
      <w:r>
        <w:t xml:space="preserve"> </w:t>
      </w:r>
      <w:r w:rsidRPr="002973B1">
        <w:t xml:space="preserve">appropriated $10 million to remain available until expended for the Secretary of Agriculture to carry out a pilot program to provide financial assistance for rural communities to further develop renewable energy.  </w:t>
      </w:r>
    </w:p>
    <w:p w:rsidR="002973B1" w:rsidP="00DA7D99" w:rsidRDefault="002973B1" w14:paraId="29E6535D" w14:textId="77777777">
      <w:pPr>
        <w:outlineLvl w:val="0"/>
      </w:pPr>
    </w:p>
    <w:p w:rsidR="002973B1" w:rsidP="002973B1" w:rsidRDefault="002973B1" w14:paraId="35A7E93E" w14:textId="6D2B321A">
      <w:pPr>
        <w:outlineLvl w:val="0"/>
      </w:pPr>
      <w:r>
        <w:t>The Rural Business-Cooperative Service (Agency) announce</w:t>
      </w:r>
      <w:r w:rsidR="009909B3">
        <w:t>d</w:t>
      </w:r>
      <w:r>
        <w:t xml:space="preserve"> the availability of up to $10 million in competitive grants awarded to Rural Energy Community Partnerships to further develop renewable energy to help meet our nation’s energy needs and combat climate change while prioritizing environmental justice, racial equity, and economic opportunity.</w:t>
      </w:r>
    </w:p>
    <w:p w:rsidR="002973B1" w:rsidP="002973B1" w:rsidRDefault="002973B1" w14:paraId="6877729D" w14:textId="77777777">
      <w:pPr>
        <w:outlineLvl w:val="0"/>
      </w:pPr>
    </w:p>
    <w:p w:rsidR="002973B1" w:rsidP="00DA7D99" w:rsidRDefault="002973B1" w14:paraId="7B51D454" w14:textId="178DFD74">
      <w:pPr>
        <w:outlineLvl w:val="0"/>
      </w:pPr>
      <w:r>
        <w:t xml:space="preserve">Cost-share grants of up to 80 percent of total eligible project costs but not more than $2 million </w:t>
      </w:r>
      <w:r w:rsidR="009909B3">
        <w:t>were</w:t>
      </w:r>
      <w:r>
        <w:t xml:space="preserve"> made available to assist eligible entities with planning, installing, equipping, and maintaining community scale distributed/renewable energy technologies/systems/resources. </w:t>
      </w:r>
    </w:p>
    <w:p w:rsidR="002973B1" w:rsidP="00DA7D99" w:rsidRDefault="002973B1" w14:paraId="25E07499" w14:textId="77777777">
      <w:pPr>
        <w:outlineLvl w:val="0"/>
      </w:pPr>
    </w:p>
    <w:p w:rsidR="002973B1" w:rsidP="002973B1" w:rsidRDefault="002973B1" w14:paraId="542AFA65" w14:textId="4D899FDC">
      <w:pPr>
        <w:outlineLvl w:val="0"/>
      </w:pPr>
      <w:r>
        <w:t xml:space="preserve">Targeted Assistance Priority </w:t>
      </w:r>
      <w:r w:rsidR="009909B3">
        <w:t>was</w:t>
      </w:r>
      <w:r>
        <w:t xml:space="preserve"> afforded to</w:t>
      </w:r>
      <w:r w:rsidR="000A1158">
        <w:t xml:space="preserve"> the following applicant entities as defined in the REPP NOFA</w:t>
      </w:r>
      <w:r>
        <w:t>:</w:t>
      </w:r>
    </w:p>
    <w:p w:rsidR="002973B1" w:rsidP="003C5FDC" w:rsidRDefault="002973B1" w14:paraId="0FD4E191" w14:textId="74C0FBC9">
      <w:pPr>
        <w:pStyle w:val="ListParagraph"/>
        <w:numPr>
          <w:ilvl w:val="0"/>
          <w:numId w:val="52"/>
        </w:numPr>
        <w:outlineLvl w:val="0"/>
      </w:pPr>
      <w:r>
        <w:t xml:space="preserve">Distressed Rural Communities; </w:t>
      </w:r>
    </w:p>
    <w:p w:rsidR="002973B1" w:rsidP="003C5FDC" w:rsidRDefault="002973B1" w14:paraId="74DE283A" w14:textId="71E07C53">
      <w:pPr>
        <w:pStyle w:val="ListParagraph"/>
        <w:numPr>
          <w:ilvl w:val="0"/>
          <w:numId w:val="52"/>
        </w:numPr>
        <w:outlineLvl w:val="0"/>
      </w:pPr>
      <w:r>
        <w:t>Distressed Energy Communities;</w:t>
      </w:r>
    </w:p>
    <w:p w:rsidR="002973B1" w:rsidP="003C5FDC" w:rsidRDefault="002973B1" w14:paraId="09BA2DE3" w14:textId="687B24BD">
      <w:pPr>
        <w:pStyle w:val="ListParagraph"/>
        <w:numPr>
          <w:ilvl w:val="0"/>
          <w:numId w:val="52"/>
        </w:numPr>
        <w:outlineLvl w:val="0"/>
      </w:pPr>
      <w:r>
        <w:t xml:space="preserve">Communities with High Energy Burdens; </w:t>
      </w:r>
    </w:p>
    <w:p w:rsidR="002973B1" w:rsidP="003C5FDC" w:rsidRDefault="002973B1" w14:paraId="467F17D5" w14:textId="6447BB84">
      <w:pPr>
        <w:pStyle w:val="ListParagraph"/>
        <w:numPr>
          <w:ilvl w:val="0"/>
          <w:numId w:val="52"/>
        </w:numPr>
        <w:outlineLvl w:val="0"/>
      </w:pPr>
      <w:r>
        <w:t>Centers for Disease Control - Socially Vulnerable Communities;</w:t>
      </w:r>
    </w:p>
    <w:p w:rsidR="002973B1" w:rsidP="003C5FDC" w:rsidRDefault="002973B1" w14:paraId="14C23354" w14:textId="04FEC567">
      <w:pPr>
        <w:pStyle w:val="ListParagraph"/>
        <w:numPr>
          <w:ilvl w:val="0"/>
          <w:numId w:val="52"/>
        </w:numPr>
        <w:outlineLvl w:val="0"/>
      </w:pPr>
      <w:r>
        <w:t xml:space="preserve">Qualified Opportunity Zone Communities; and </w:t>
      </w:r>
    </w:p>
    <w:p w:rsidR="002973B1" w:rsidP="003C5FDC" w:rsidRDefault="002973B1" w14:paraId="7937D509" w14:textId="21D01423">
      <w:pPr>
        <w:pStyle w:val="ListParagraph"/>
        <w:numPr>
          <w:ilvl w:val="0"/>
          <w:numId w:val="52"/>
        </w:numPr>
        <w:outlineLvl w:val="0"/>
      </w:pPr>
      <w:r>
        <w:t xml:space="preserve">(If not already included above) Rural Communities enduring Racial Inequity and/or Environmental Injustice, e.g. “EJ 40 Communities.” </w:t>
      </w:r>
    </w:p>
    <w:p w:rsidR="00680C12" w:rsidP="00DB51E0" w:rsidRDefault="00680C12" w14:paraId="3FE99DB8" w14:textId="77777777">
      <w:pPr>
        <w:outlineLvl w:val="0"/>
      </w:pPr>
    </w:p>
    <w:p w:rsidR="00E215F8" w:rsidP="00DB51E0" w:rsidRDefault="002973B1" w14:paraId="2E1AD5E7" w14:textId="60EEA980">
      <w:pPr>
        <w:outlineLvl w:val="0"/>
      </w:pPr>
      <w:r>
        <w:t xml:space="preserve">Consideration for Alternative Renewable Energy Technologies </w:t>
      </w:r>
      <w:r w:rsidR="00614AAB">
        <w:t xml:space="preserve">is also afforded </w:t>
      </w:r>
      <w:r>
        <w:t>to communities that plan/execute/deploy renewable energy generation technologies other than solar photovoltaic of at least 40 percent of total generation capacity; as measured by megawatts of alternative generation capacity / megawatts of total generation capacity.</w:t>
      </w:r>
    </w:p>
    <w:p w:rsidR="00F9415A" w:rsidP="00DB51E0" w:rsidRDefault="00F9415A" w14:paraId="3EE97CB3" w14:textId="1E61B9C5">
      <w:pPr>
        <w:outlineLvl w:val="0"/>
      </w:pPr>
    </w:p>
    <w:p w:rsidR="00F9415A" w:rsidP="00DB51E0" w:rsidRDefault="00F9415A" w14:paraId="26206CC5" w14:textId="584F90EA">
      <w:pPr>
        <w:outlineLvl w:val="0"/>
      </w:pPr>
      <w:r>
        <w:t>An emergency information collection was approved on January 19, 2022 with an expiration date of July 31, 2022.  This collection requests a 3-year extension of the information collection approval.</w:t>
      </w:r>
    </w:p>
    <w:p w:rsidR="00895E62" w:rsidP="00DA7D99" w:rsidRDefault="00570200" w14:paraId="1A5EC295" w14:textId="77777777">
      <w:pPr>
        <w:outlineLvl w:val="0"/>
      </w:pPr>
      <w:r>
        <w:t xml:space="preserve"> </w:t>
      </w:r>
    </w:p>
    <w:p w:rsidR="008035B8" w:rsidP="008F7D73" w:rsidRDefault="003E1348" w14:paraId="405B7B29" w14:textId="34322CAE">
      <w:pPr>
        <w:keepNext/>
        <w:rPr>
          <w:b/>
        </w:rPr>
      </w:pPr>
      <w:r>
        <w:rPr>
          <w:b/>
        </w:rPr>
        <w:lastRenderedPageBreak/>
        <w:t>2.  Indicate how, by whom</w:t>
      </w:r>
      <w:r w:rsidR="008035B8">
        <w:rPr>
          <w:b/>
        </w:rPr>
        <w:t xml:space="preserve"> and for what purpose the information is to be us</w:t>
      </w:r>
      <w:r>
        <w:rPr>
          <w:b/>
        </w:rPr>
        <w:t>ed.  Except for new collections</w:t>
      </w:r>
      <w:r w:rsidR="008035B8">
        <w:rPr>
          <w:b/>
        </w:rPr>
        <w:t xml:space="preserve"> indicate the actual use the Agency has made of the information received from the current collection.</w:t>
      </w:r>
    </w:p>
    <w:p w:rsidR="0076154A" w:rsidP="008F7D73" w:rsidRDefault="0076154A" w14:paraId="1090B41B" w14:textId="77777777">
      <w:pPr>
        <w:keepNext/>
      </w:pPr>
    </w:p>
    <w:p w:rsidR="000A1158" w:rsidP="003C5FDC" w:rsidRDefault="00DA7D99" w14:paraId="472E131B" w14:textId="230773C2">
      <w:r>
        <w:t xml:space="preserve">RBCS will collect information </w:t>
      </w:r>
      <w:r w:rsidR="0076154A">
        <w:t xml:space="preserve">to determine </w:t>
      </w:r>
      <w:r w:rsidR="001A3C82">
        <w:t>whether participants meet the eligibility requirement</w:t>
      </w:r>
      <w:r w:rsidR="00DC3D7F">
        <w:t>s</w:t>
      </w:r>
      <w:r w:rsidR="001A3C82">
        <w:t xml:space="preserve"> to be a recipient of grant funds</w:t>
      </w:r>
      <w:r>
        <w:t xml:space="preserve">, </w:t>
      </w:r>
      <w:r w:rsidRPr="000E2ECB" w:rsidR="000E2ECB">
        <w:t>project eligibility, conduct the technical evaluation, calculate a priority score, rank and compete the application, as applicable, in order to be considered</w:t>
      </w:r>
      <w:r w:rsidR="00386C0F">
        <w:t>.</w:t>
      </w:r>
      <w:r w:rsidR="0076154A">
        <w:t xml:space="preserve">  Lack of adequate information to make the determination </w:t>
      </w:r>
      <w:r w:rsidR="009477BC">
        <w:t>could result in the improper administration and appropriation of Federal grant funds.</w:t>
      </w:r>
    </w:p>
    <w:p w:rsidR="00416625" w:rsidP="008F7D73" w:rsidRDefault="00416625" w14:paraId="19BA2FED" w14:textId="77777777">
      <w:pPr>
        <w:keepNext/>
      </w:pPr>
    </w:p>
    <w:p w:rsidR="00DA7D99" w:rsidP="008F7D73" w:rsidRDefault="00DA7D99" w14:paraId="4B062182" w14:textId="2F102723">
      <w:pPr>
        <w:keepNext/>
      </w:pPr>
      <w:r w:rsidRPr="00DA7D99">
        <w:t>Applications must be submitted electronically using the Government-wide www.grants.gov Web site</w:t>
      </w:r>
      <w:r w:rsidRPr="00E62E7E">
        <w:t>.</w:t>
      </w:r>
      <w:r w:rsidRPr="00DA7D99">
        <w:t xml:space="preserve">  No other form of application will be accepted.  </w:t>
      </w:r>
    </w:p>
    <w:p w:rsidR="00DA7D99" w:rsidP="008F7D73" w:rsidRDefault="00DA7D99" w14:paraId="45404B8C" w14:textId="77777777">
      <w:pPr>
        <w:keepNext/>
      </w:pPr>
    </w:p>
    <w:p w:rsidR="00863B3B" w:rsidP="00863B3B" w:rsidRDefault="00863B3B" w14:paraId="783C5278" w14:textId="53E78512">
      <w:pPr>
        <w:keepNext/>
      </w:pPr>
      <w:r>
        <w:t xml:space="preserve">Eligible applicants to this program are Rural Energy Community Partnerships as defined in Section I.C. of the REPP NOFA, which may be comprised of, but are not limited to:  </w:t>
      </w:r>
    </w:p>
    <w:p w:rsidR="00863B3B" w:rsidP="003C5FDC" w:rsidRDefault="00863B3B" w14:paraId="3D34D049" w14:textId="42135A62">
      <w:pPr>
        <w:pStyle w:val="ListParagraph"/>
        <w:keepNext/>
        <w:numPr>
          <w:ilvl w:val="0"/>
          <w:numId w:val="47"/>
        </w:numPr>
      </w:pPr>
      <w:r>
        <w:t>Non-profit entities;</w:t>
      </w:r>
    </w:p>
    <w:p w:rsidR="00863B3B" w:rsidP="003C5FDC" w:rsidRDefault="00863B3B" w14:paraId="2E2762C0" w14:textId="7B61D327">
      <w:pPr>
        <w:pStyle w:val="ListParagraph"/>
        <w:keepNext/>
        <w:numPr>
          <w:ilvl w:val="0"/>
          <w:numId w:val="47"/>
        </w:numPr>
      </w:pPr>
      <w:r>
        <w:t>State and local entities;</w:t>
      </w:r>
    </w:p>
    <w:p w:rsidR="00863B3B" w:rsidP="003C5FDC" w:rsidRDefault="00863B3B" w14:paraId="38043E9C" w14:textId="0A39259F">
      <w:pPr>
        <w:pStyle w:val="ListParagraph"/>
        <w:keepNext/>
        <w:numPr>
          <w:ilvl w:val="0"/>
          <w:numId w:val="47"/>
        </w:numPr>
      </w:pPr>
      <w:r>
        <w:t>Tribal entities;</w:t>
      </w:r>
    </w:p>
    <w:p w:rsidR="00863B3B" w:rsidP="003C5FDC" w:rsidRDefault="00863B3B" w14:paraId="15E2BEDE" w14:textId="451BF208">
      <w:pPr>
        <w:pStyle w:val="ListParagraph"/>
        <w:keepNext/>
        <w:numPr>
          <w:ilvl w:val="0"/>
          <w:numId w:val="47"/>
        </w:numPr>
      </w:pPr>
      <w:r>
        <w:t>Municipalities and other public bodies.</w:t>
      </w:r>
    </w:p>
    <w:p w:rsidR="00863B3B" w:rsidP="00863B3B" w:rsidRDefault="00863B3B" w14:paraId="36C0F61C" w14:textId="77777777">
      <w:pPr>
        <w:keepNext/>
      </w:pPr>
    </w:p>
    <w:p w:rsidR="00863B3B" w:rsidP="00863B3B" w:rsidRDefault="00863B3B" w14:paraId="23AE5123" w14:textId="6FF0B02A">
      <w:pPr>
        <w:keepNext/>
      </w:pPr>
      <w:r>
        <w:t>The Rural Energy Community Partnership must have a lead applicant who is responsible for the administration of the grant proceeds and activities.  A lead applicant must be one of the following entities:</w:t>
      </w:r>
    </w:p>
    <w:p w:rsidR="00863B3B" w:rsidP="003C5FDC" w:rsidRDefault="00863B3B" w14:paraId="716B71B2" w14:textId="4B90E072">
      <w:pPr>
        <w:pStyle w:val="ListParagraph"/>
        <w:keepNext/>
        <w:numPr>
          <w:ilvl w:val="0"/>
          <w:numId w:val="49"/>
        </w:numPr>
      </w:pPr>
      <w:r>
        <w:t>A district organization;</w:t>
      </w:r>
    </w:p>
    <w:p w:rsidR="00863B3B" w:rsidP="00863B3B" w:rsidRDefault="00863B3B" w14:paraId="2DC24EEF" w14:textId="77777777">
      <w:pPr>
        <w:pStyle w:val="ListParagraph"/>
        <w:keepNext/>
        <w:numPr>
          <w:ilvl w:val="0"/>
          <w:numId w:val="49"/>
        </w:numPr>
      </w:pPr>
      <w:r>
        <w:t>An Indian Tribe, or a political subdivision of an Indian Tribe, including a special purpose unit of an Indian Tribe, or a consortium of Indian Tribes;</w:t>
      </w:r>
    </w:p>
    <w:p w:rsidR="00863B3B" w:rsidP="00863B3B" w:rsidRDefault="00863B3B" w14:paraId="46FECC27" w14:textId="448955B8">
      <w:pPr>
        <w:pStyle w:val="ListParagraph"/>
        <w:keepNext/>
        <w:numPr>
          <w:ilvl w:val="0"/>
          <w:numId w:val="49"/>
        </w:numPr>
      </w:pPr>
      <w:r>
        <w:t xml:space="preserve">A state or a political subdivision of a state, including a special purpose unit of a State or local government engaged in economic development activities, or a consortium of political subdivisions; or </w:t>
      </w:r>
    </w:p>
    <w:p w:rsidR="00DA7D99" w:rsidP="003C5FDC" w:rsidRDefault="00863B3B" w14:paraId="2CD2F47A" w14:textId="6509558E">
      <w:pPr>
        <w:ind w:left="360"/>
        <w:rPr>
          <w:b/>
          <w:bCs/>
        </w:rPr>
      </w:pPr>
      <w:r>
        <w:t>4)</w:t>
      </w:r>
      <w:r>
        <w:tab/>
        <w:t>A public or private nonprofit organization.</w:t>
      </w:r>
    </w:p>
    <w:p w:rsidR="00410954" w:rsidP="003C5FDC" w:rsidRDefault="00410954" w14:paraId="781FC8EA" w14:textId="77777777">
      <w:pPr>
        <w:keepNext/>
      </w:pPr>
    </w:p>
    <w:p w:rsidRPr="00DA7D99" w:rsidR="00863B3B" w:rsidP="003C5FDC" w:rsidRDefault="00863B3B" w14:paraId="32E96634" w14:textId="6630C5C3">
      <w:pPr>
        <w:keepNext/>
      </w:pPr>
      <w:r>
        <w:t>The REPP</w:t>
      </w:r>
      <w:r w:rsidRPr="00DA7D99">
        <w:t xml:space="preserve"> Application is comprised of </w:t>
      </w:r>
      <w:r>
        <w:t xml:space="preserve">the </w:t>
      </w:r>
      <w:r w:rsidR="00640154">
        <w:t xml:space="preserve">following </w:t>
      </w:r>
      <w:r>
        <w:t>collection instrument</w:t>
      </w:r>
      <w:r w:rsidRPr="00DA7D99">
        <w:t>s</w:t>
      </w:r>
      <w:r>
        <w:t xml:space="preserve">: </w:t>
      </w:r>
      <w:r w:rsidRPr="00DA7D99">
        <w:t xml:space="preserve"> </w:t>
      </w:r>
    </w:p>
    <w:p w:rsidRPr="003C5FDC" w:rsidR="00557100" w:rsidRDefault="00557100" w14:paraId="75B98F3C" w14:textId="77777777">
      <w:pPr>
        <w:keepNext/>
        <w:rPr>
          <w:b/>
          <w:bCs/>
        </w:rPr>
      </w:pPr>
    </w:p>
    <w:p w:rsidRPr="00526632" w:rsidR="00DA7D99" w:rsidP="00A95B40" w:rsidRDefault="00526632" w14:paraId="33F9ADE2" w14:textId="647B37D5">
      <w:pPr>
        <w:keepNext/>
        <w:jc w:val="center"/>
        <w:rPr>
          <w:b/>
          <w:bCs/>
          <w:caps/>
        </w:rPr>
      </w:pPr>
      <w:r w:rsidRPr="00526632">
        <w:rPr>
          <w:b/>
          <w:bCs/>
          <w:caps/>
        </w:rPr>
        <w:t xml:space="preserve">reporting requirements </w:t>
      </w:r>
      <w:r w:rsidR="00A95B40">
        <w:rPr>
          <w:b/>
          <w:bCs/>
          <w:caps/>
        </w:rPr>
        <w:t>- NON-FORMS</w:t>
      </w:r>
    </w:p>
    <w:p w:rsidR="000E2ECB" w:rsidP="000E2ECB" w:rsidRDefault="000E2ECB" w14:paraId="0C908E79" w14:textId="032DC25C"/>
    <w:p w:rsidRPr="00863B3B" w:rsidR="00C9753D" w:rsidP="000E2ECB" w:rsidRDefault="001E45E9" w14:paraId="0D85E452" w14:textId="7FA34187">
      <w:r w:rsidRPr="00D36E87">
        <w:rPr>
          <w:b/>
          <w:bCs/>
        </w:rPr>
        <w:t>Written</w:t>
      </w:r>
      <w:r w:rsidRPr="00863B3B">
        <w:rPr>
          <w:b/>
          <w:bCs/>
        </w:rPr>
        <w:t xml:space="preserve"> </w:t>
      </w:r>
      <w:r>
        <w:rPr>
          <w:b/>
          <w:bCs/>
        </w:rPr>
        <w:t xml:space="preserve">- </w:t>
      </w:r>
      <w:r w:rsidRPr="00863B3B" w:rsidR="00C9753D">
        <w:rPr>
          <w:b/>
          <w:bCs/>
        </w:rPr>
        <w:t>Non-Form</w:t>
      </w:r>
      <w:r>
        <w:rPr>
          <w:b/>
          <w:bCs/>
        </w:rPr>
        <w:t xml:space="preserve"> </w:t>
      </w:r>
      <w:r w:rsidRPr="00863B3B" w:rsidR="00C9753D">
        <w:rPr>
          <w:b/>
          <w:bCs/>
        </w:rPr>
        <w:t xml:space="preserve">- </w:t>
      </w:r>
      <w:r w:rsidRPr="003C5FDC" w:rsidR="00863B3B">
        <w:rPr>
          <w:b/>
          <w:bCs/>
          <w:color w:val="000000"/>
        </w:rPr>
        <w:t>REPP Letter of Intent</w:t>
      </w:r>
      <w:r w:rsidRPr="003C5FDC" w:rsidR="00863B3B">
        <w:rPr>
          <w:color w:val="000000"/>
        </w:rPr>
        <w:t xml:space="preserve"> </w:t>
      </w:r>
      <w:r w:rsidRPr="00863B3B" w:rsidR="00C9753D">
        <w:t xml:space="preserve">– Used in the pre-award phase to </w:t>
      </w:r>
      <w:r w:rsidR="00863B3B">
        <w:t xml:space="preserve">advise the Agency of </w:t>
      </w:r>
      <w:r>
        <w:t xml:space="preserve">a </w:t>
      </w:r>
      <w:r w:rsidR="00863B3B">
        <w:t>rural energy partnership</w:t>
      </w:r>
      <w:r>
        <w:t>’s</w:t>
      </w:r>
      <w:r w:rsidR="00863B3B">
        <w:t xml:space="preserve"> intent to </w:t>
      </w:r>
      <w:r>
        <w:t>request available funds subject to meeting specified requirements for eligible purposes under the REPP.</w:t>
      </w:r>
    </w:p>
    <w:p w:rsidR="00C9753D" w:rsidP="000E2ECB" w:rsidRDefault="00C9753D" w14:paraId="3AAEB794" w14:textId="5BC5841A"/>
    <w:p w:rsidR="00A95B40" w:rsidP="00A95B40" w:rsidRDefault="00A95B40" w14:paraId="2AB3CB2C" w14:textId="40418CD6">
      <w:r w:rsidRPr="008366D4">
        <w:rPr>
          <w:b/>
          <w:bCs/>
        </w:rPr>
        <w:t>Written – “Environmental Review Documents,” (Cleared Under OMB Docket No. 0575-0197)</w:t>
      </w:r>
      <w:r w:rsidRPr="007F2939">
        <w:t xml:space="preserve"> For the Agency to consider an application, the application must include all environmental review documents with supporting documentation in accordance with 7 CFR part 1970. Any required environmental review must be completed prior to </w:t>
      </w:r>
      <w:r>
        <w:t>the o</w:t>
      </w:r>
      <w:r w:rsidRPr="007F2939">
        <w:t>bligation of funds or the approval of the application. Applicants are advised to contact the Agency to determine environmental requirements as soon as practicable to ensure adequate review time.</w:t>
      </w:r>
    </w:p>
    <w:p w:rsidR="00BF41B5" w:rsidP="00A95B40" w:rsidRDefault="00BF41B5" w14:paraId="2DC4C197" w14:textId="77777777"/>
    <w:p w:rsidR="00BF41B5" w:rsidP="00BF41B5" w:rsidRDefault="00BF41B5" w14:paraId="71AACB2E" w14:textId="77777777">
      <w:r w:rsidRPr="00841F4D">
        <w:rPr>
          <w:b/>
          <w:bCs/>
        </w:rPr>
        <w:t>Written - Transparency Act Reporting, (Cleared Under OMB Docket No. 3090-0292)</w:t>
      </w:r>
      <w:r>
        <w:t xml:space="preserve"> All recipients of Federal financial Assistance are required to report information about first tier sub awards and executive compensation in accordance with 2 CFR part 170. If an applicant does not have an exception under 2 CFR 170.110(b), the applicant must then ensure that they have the necessary processes and systems in place to comply with the reporting requirements to receive funding.  GSA includes burden for this docket based on the number of prime-awardees and sub-awardees submitting reports through the FSRS website reporting system.</w:t>
      </w:r>
    </w:p>
    <w:p w:rsidR="00BF41B5" w:rsidP="00A95B40" w:rsidRDefault="00BF41B5" w14:paraId="0F3EA774" w14:textId="77777777"/>
    <w:p w:rsidR="00BF41B5" w:rsidP="00BF41B5" w:rsidRDefault="00BF41B5" w14:paraId="1AA03DD5" w14:textId="77777777">
      <w:pPr>
        <w:jc w:val="both"/>
      </w:pPr>
      <w:r>
        <w:t>After grant approval and through grant completion, grantees will be required to provide the following, as indicated in the Grant Agreement:</w:t>
      </w:r>
    </w:p>
    <w:p w:rsidR="00BF41B5" w:rsidP="00BF41B5" w:rsidRDefault="00BF41B5" w14:paraId="1070C310" w14:textId="77777777">
      <w:pPr>
        <w:jc w:val="both"/>
      </w:pPr>
      <w:r>
        <w:t xml:space="preserve"> </w:t>
      </w:r>
    </w:p>
    <w:p w:rsidR="00BF41B5" w:rsidP="00BF41B5" w:rsidRDefault="00BF41B5" w14:paraId="50F7F682" w14:textId="29ACB526">
      <w:r>
        <w:rPr>
          <w:b/>
          <w:bCs/>
        </w:rPr>
        <w:t xml:space="preserve">Written - </w:t>
      </w:r>
      <w:r w:rsidRPr="00841F4D">
        <w:rPr>
          <w:b/>
          <w:bCs/>
          <w:u w:val="single"/>
        </w:rPr>
        <w:t xml:space="preserve">Semi-Annual Report </w:t>
      </w:r>
      <w:r>
        <w:t>Written Non-Form project performance report will be required on a semiannual basis (due 30 working days after end of the semiannual period). For the purposes of this grant, semiannual periods end on March 31st and September 30th. The project performance reports shall include the elements prescribed in the grant agreement.</w:t>
      </w:r>
    </w:p>
    <w:p w:rsidR="00BF41B5" w:rsidP="00BF41B5" w:rsidRDefault="00BF41B5" w14:paraId="53B8ADD2" w14:textId="77777777"/>
    <w:p w:rsidRPr="00526632" w:rsidR="00BF41B5" w:rsidP="00BF41B5" w:rsidRDefault="00BF41B5" w14:paraId="6EF12DE6" w14:textId="77777777">
      <w:pPr>
        <w:rPr>
          <w:b/>
          <w:bCs/>
          <w:u w:val="single"/>
        </w:rPr>
      </w:pPr>
      <w:r w:rsidRPr="00526632">
        <w:rPr>
          <w:b/>
          <w:bCs/>
          <w:u w:val="single"/>
        </w:rPr>
        <w:t>Final Reports</w:t>
      </w:r>
    </w:p>
    <w:p w:rsidR="00BF41B5" w:rsidP="00BF41B5" w:rsidRDefault="00BF41B5" w14:paraId="357ABDE0" w14:textId="77777777">
      <w:pPr>
        <w:pStyle w:val="ListParagraph"/>
        <w:ind w:left="0"/>
      </w:pPr>
    </w:p>
    <w:p w:rsidR="00BF41B5" w:rsidP="00BF41B5" w:rsidRDefault="00BF41B5" w14:paraId="40D314D0" w14:textId="77777777">
      <w:pPr>
        <w:pStyle w:val="ListParagraph"/>
        <w:numPr>
          <w:ilvl w:val="0"/>
          <w:numId w:val="44"/>
        </w:numPr>
      </w:pPr>
      <w:r>
        <w:t xml:space="preserve">A </w:t>
      </w:r>
      <w:r w:rsidRPr="00841F4D">
        <w:rPr>
          <w:i/>
          <w:iCs/>
          <w:u w:val="single"/>
        </w:rPr>
        <w:t>final project and financial status report</w:t>
      </w:r>
      <w:r>
        <w:t xml:space="preserve"> within 90 days after the expiration or termination of the grant, or as otherwise specified in 2 CFR 200.343 “Closeout”. Final status report</w:t>
      </w:r>
    </w:p>
    <w:p w:rsidR="00BF41B5" w:rsidP="00BF41B5" w:rsidRDefault="00BF41B5" w14:paraId="7CD2529D" w14:textId="77777777"/>
    <w:p w:rsidR="00BF41B5" w:rsidP="00BF41B5" w:rsidRDefault="00BF41B5" w14:paraId="2BB8562F" w14:textId="77777777">
      <w:pPr>
        <w:pStyle w:val="ListParagraph"/>
        <w:numPr>
          <w:ilvl w:val="0"/>
          <w:numId w:val="44"/>
        </w:numPr>
      </w:pPr>
      <w:r>
        <w:t xml:space="preserve">Provide </w:t>
      </w:r>
      <w:r w:rsidRPr="00841F4D">
        <w:rPr>
          <w:i/>
          <w:iCs/>
          <w:u w:val="single"/>
        </w:rPr>
        <w:t>outcome project performance reports</w:t>
      </w:r>
      <w:r>
        <w:t xml:space="preserve"> and final deliverables. Annual Sales and volume data 5 years after the report.</w:t>
      </w:r>
    </w:p>
    <w:p w:rsidR="00BF41B5" w:rsidP="00BF41B5" w:rsidRDefault="00BF41B5" w14:paraId="59CF1A5F" w14:textId="77777777"/>
    <w:p w:rsidR="00557100" w:rsidP="00841F4D" w:rsidRDefault="00557100" w14:paraId="2E89DEEB" w14:textId="7A39AF6A"/>
    <w:p w:rsidRPr="003A38D1" w:rsidR="00557100" w:rsidP="00557100" w:rsidRDefault="00A95B40" w14:paraId="5F1EF130" w14:textId="50C14E9A">
      <w:pPr>
        <w:jc w:val="center"/>
        <w:rPr>
          <w:b/>
          <w:bCs/>
        </w:rPr>
      </w:pPr>
      <w:r>
        <w:rPr>
          <w:b/>
          <w:bCs/>
        </w:rPr>
        <w:t>REPORTING REQUIREMENTS - FORMS APPROVED UNDER</w:t>
      </w:r>
      <w:r w:rsidR="00BF41B5">
        <w:rPr>
          <w:b/>
          <w:bCs/>
        </w:rPr>
        <w:t xml:space="preserve"> </w:t>
      </w:r>
      <w:r w:rsidRPr="003A38D1" w:rsidR="00557100">
        <w:rPr>
          <w:b/>
          <w:bCs/>
        </w:rPr>
        <w:t>OTHER OMB DOCKET NUMBERS</w:t>
      </w:r>
      <w:r w:rsidR="00BF41B5">
        <w:rPr>
          <w:b/>
          <w:bCs/>
        </w:rPr>
        <w:t xml:space="preserve"> - NOT COMMON FORMS</w:t>
      </w:r>
    </w:p>
    <w:p w:rsidR="00557100" w:rsidP="00557100" w:rsidRDefault="00557100" w14:paraId="4117AC23" w14:textId="5EA1676F"/>
    <w:p w:rsidR="00557100" w:rsidP="00557100" w:rsidRDefault="00557100" w14:paraId="0C02B0E6" w14:textId="77777777"/>
    <w:p w:rsidRPr="00DA7D99" w:rsidR="00557100" w:rsidP="00557100" w:rsidRDefault="00557100" w14:paraId="77949B8F" w14:textId="3336C79A">
      <w:r w:rsidRPr="004B2E26">
        <w:rPr>
          <w:b/>
          <w:bCs/>
        </w:rPr>
        <w:t>Form RD 4280-4, “Letter of Conditions,” (Approved under OMB Docket No. 0570-0035)</w:t>
      </w:r>
      <w:r>
        <w:t>– Letter from the Agency to the applicant (i.e. recipient) that has received approval for funds subject to the terms and conditions set forth in the letter.</w:t>
      </w:r>
    </w:p>
    <w:p w:rsidR="00557100" w:rsidP="00557100" w:rsidRDefault="00557100" w14:paraId="1B20A9E6" w14:textId="77777777"/>
    <w:p w:rsidRPr="00FF7816" w:rsidR="00557100" w:rsidP="00557100" w:rsidRDefault="00557100" w14:paraId="4F22943A" w14:textId="77777777">
      <w:pPr>
        <w:rPr>
          <w:b/>
          <w:bCs/>
        </w:rPr>
      </w:pPr>
      <w:r w:rsidRPr="00DA7D99">
        <w:rPr>
          <w:b/>
          <w:bCs/>
        </w:rPr>
        <w:t>Form RD 1940–1, ‘‘Request for Obligation of Funds</w:t>
      </w:r>
      <w:r>
        <w:rPr>
          <w:b/>
          <w:bCs/>
        </w:rPr>
        <w:t>,</w:t>
      </w:r>
      <w:r>
        <w:t>” (</w:t>
      </w:r>
      <w:r w:rsidRPr="00DA7D99">
        <w:rPr>
          <w:b/>
          <w:bCs/>
        </w:rPr>
        <w:t xml:space="preserve">Approved under OMB Docket No.  </w:t>
      </w:r>
      <w:r>
        <w:rPr>
          <w:b/>
          <w:bCs/>
        </w:rPr>
        <w:t xml:space="preserve">0570-0061 and </w:t>
      </w:r>
      <w:r w:rsidRPr="00DA7D99">
        <w:rPr>
          <w:b/>
          <w:bCs/>
        </w:rPr>
        <w:t>0570-0062</w:t>
      </w:r>
      <w:r>
        <w:rPr>
          <w:b/>
          <w:bCs/>
        </w:rPr>
        <w:t xml:space="preserve">) - </w:t>
      </w:r>
      <w:r w:rsidRPr="003976A6">
        <w:t>T</w:t>
      </w:r>
      <w:r w:rsidRPr="00FF7816">
        <w:t>he reservation of funds with the obligation date inserted as required by the agreement between the recipient and Agency.</w:t>
      </w:r>
    </w:p>
    <w:p w:rsidR="00557100" w:rsidP="00557100" w:rsidRDefault="00557100" w14:paraId="7C9D4D55" w14:textId="77777777"/>
    <w:p w:rsidRPr="002C2F5D" w:rsidR="00557100" w:rsidP="00557100" w:rsidRDefault="00557100" w14:paraId="39ACB508" w14:textId="77777777">
      <w:r w:rsidRPr="00DA7D99">
        <w:rPr>
          <w:b/>
          <w:bCs/>
        </w:rPr>
        <w:t>Form RD 1942–46, ‘‘Letter of Intent to Meet Conditions</w:t>
      </w:r>
      <w:r>
        <w:rPr>
          <w:b/>
          <w:bCs/>
        </w:rPr>
        <w:t xml:space="preserve">,” </w:t>
      </w:r>
      <w:r w:rsidRPr="00841F4D">
        <w:rPr>
          <w:b/>
          <w:bCs/>
        </w:rPr>
        <w:t>OMB Docket No. 0575-0015</w:t>
      </w:r>
      <w:r>
        <w:rPr>
          <w:b/>
          <w:bCs/>
        </w:rPr>
        <w:t xml:space="preserve">, </w:t>
      </w:r>
      <w:r w:rsidRPr="003976A6">
        <w:rPr>
          <w:b/>
          <w:bCs/>
        </w:rPr>
        <w:t>0570-0021, 0570-0061,</w:t>
      </w:r>
      <w:r>
        <w:rPr>
          <w:b/>
          <w:bCs/>
        </w:rPr>
        <w:t xml:space="preserve"> </w:t>
      </w:r>
      <w:r w:rsidRPr="003976A6">
        <w:rPr>
          <w:b/>
          <w:bCs/>
        </w:rPr>
        <w:t>0570-0062 and 0572-0137</w:t>
      </w:r>
      <w:r w:rsidRPr="00841F4D">
        <w:rPr>
          <w:b/>
          <w:bCs/>
        </w:rPr>
        <w:t>) -</w:t>
      </w:r>
      <w:r>
        <w:t xml:space="preserve"> Used to confirm the intent of the recipient to meet the conditions as required by the program for their application to receive </w:t>
      </w:r>
      <w:r w:rsidRPr="00DA7D99">
        <w:t>further consideration</w:t>
      </w:r>
      <w:r>
        <w:t>.</w:t>
      </w:r>
    </w:p>
    <w:p w:rsidR="00557100" w:rsidP="00557100" w:rsidRDefault="00557100" w14:paraId="31A9D730" w14:textId="77777777"/>
    <w:p w:rsidRPr="00841F4D" w:rsidR="00557100" w:rsidP="00557100" w:rsidRDefault="00557100" w14:paraId="1F37F1E2" w14:textId="77777777">
      <w:pPr>
        <w:rPr>
          <w:b/>
          <w:bCs/>
        </w:rPr>
      </w:pPr>
      <w:r w:rsidRPr="00841F4D">
        <w:rPr>
          <w:b/>
          <w:bCs/>
        </w:rPr>
        <w:lastRenderedPageBreak/>
        <w:t>Form RD 4280-2</w:t>
      </w:r>
      <w:r>
        <w:rPr>
          <w:b/>
          <w:bCs/>
        </w:rPr>
        <w:t xml:space="preserve">, </w:t>
      </w:r>
      <w:r w:rsidRPr="00841F4D">
        <w:rPr>
          <w:b/>
          <w:bCs/>
        </w:rPr>
        <w:t xml:space="preserve">Rural Business-Cooperative Service Financial Assistance </w:t>
      </w:r>
    </w:p>
    <w:p w:rsidR="00557100" w:rsidP="00557100" w:rsidRDefault="00557100" w14:paraId="40472120" w14:textId="632D3CF8">
      <w:r w:rsidRPr="00841F4D">
        <w:rPr>
          <w:b/>
          <w:bCs/>
        </w:rPr>
        <w:t>Agreement,</w:t>
      </w:r>
      <w:r>
        <w:rPr>
          <w:b/>
          <w:bCs/>
        </w:rPr>
        <w:t>” (</w:t>
      </w:r>
      <w:r w:rsidRPr="00841F4D">
        <w:rPr>
          <w:b/>
          <w:bCs/>
        </w:rPr>
        <w:t>Cleared Under OMB Docket No.</w:t>
      </w:r>
      <w:r>
        <w:rPr>
          <w:b/>
          <w:bCs/>
        </w:rPr>
        <w:t xml:space="preserve"> </w:t>
      </w:r>
      <w:r w:rsidRPr="00841F4D">
        <w:rPr>
          <w:b/>
          <w:bCs/>
        </w:rPr>
        <w:t xml:space="preserve">0570-0050) </w:t>
      </w:r>
      <w:r>
        <w:rPr>
          <w:b/>
          <w:bCs/>
        </w:rPr>
        <w:t xml:space="preserve">– </w:t>
      </w:r>
      <w:r w:rsidRPr="003976A6">
        <w:t xml:space="preserve">This </w:t>
      </w:r>
      <w:r>
        <w:t xml:space="preserve">is the Grant </w:t>
      </w:r>
      <w:r w:rsidRPr="003976A6">
        <w:t>Agreement</w:t>
      </w:r>
      <w:r>
        <w:t xml:space="preserve"> </w:t>
      </w:r>
      <w:r w:rsidRPr="003976A6">
        <w:t xml:space="preserve">between the Recipient </w:t>
      </w:r>
      <w:r>
        <w:t xml:space="preserve">and </w:t>
      </w:r>
      <w:r w:rsidRPr="003976A6">
        <w:t>Rural Business-Cooperative Service</w:t>
      </w:r>
      <w:r>
        <w:t>.</w:t>
      </w:r>
    </w:p>
    <w:p w:rsidR="00657DC5" w:rsidP="00557100" w:rsidRDefault="00657DC5" w14:paraId="5988D3C1" w14:textId="71306EE6"/>
    <w:p w:rsidRPr="00DA7D99" w:rsidR="00657DC5" w:rsidP="00657DC5" w:rsidRDefault="00657DC5" w14:paraId="367CFD9C" w14:textId="77777777">
      <w:r w:rsidRPr="004B2E26">
        <w:rPr>
          <w:b/>
          <w:bCs/>
        </w:rPr>
        <w:t>Form RD 4280-4, “Letter of Conditions,” (Approved under OMB Docket No. 0570-0035)</w:t>
      </w:r>
      <w:r>
        <w:rPr>
          <w:b/>
          <w:bCs/>
        </w:rPr>
        <w:t xml:space="preserve"> </w:t>
      </w:r>
      <w:r>
        <w:t>– Letter from the Agency to the applicant (i.e. recipient) that has received approval for funds subject to the terms and conditions set forth in the letter.</w:t>
      </w:r>
    </w:p>
    <w:p w:rsidR="00557100" w:rsidP="00557100" w:rsidRDefault="00557100" w14:paraId="03CEA10B" w14:textId="77777777"/>
    <w:p w:rsidRPr="00410954" w:rsidR="00AF56FA" w:rsidP="00AF56FA" w:rsidRDefault="00632590" w14:paraId="03C415D2" w14:textId="57942261">
      <w:r>
        <w:rPr>
          <w:b/>
          <w:bCs/>
        </w:rPr>
        <w:t xml:space="preserve">RD- 400-1 </w:t>
      </w:r>
      <w:r w:rsidRPr="00632590">
        <w:rPr>
          <w:b/>
          <w:bCs/>
        </w:rPr>
        <w:t>Equal Opportunity Agreement</w:t>
      </w:r>
      <w:r>
        <w:rPr>
          <w:b/>
          <w:bCs/>
        </w:rPr>
        <w:t xml:space="preserve"> (</w:t>
      </w:r>
      <w:r w:rsidRPr="00632590">
        <w:rPr>
          <w:b/>
          <w:bCs/>
        </w:rPr>
        <w:t xml:space="preserve">Cleared Under OMB Docket No. 0575-0018 </w:t>
      </w:r>
      <w:r w:rsidRPr="00410954" w:rsidR="00AF56FA">
        <w:t>Pursuant to the rules and</w:t>
      </w:r>
    </w:p>
    <w:p w:rsidRPr="00410954" w:rsidR="00632590" w:rsidP="00AF56FA" w:rsidRDefault="00AF56FA" w14:paraId="545F2AEF" w14:textId="6DD3409C">
      <w:r w:rsidRPr="00410954">
        <w:t>regulations of the Secretary of Labor issued under the authority of Executive Order 11246 as amended</w:t>
      </w:r>
      <w:r>
        <w:t xml:space="preserve"> and agreed to by Recipients of financial assistance exceeding $10,000. </w:t>
      </w:r>
    </w:p>
    <w:p w:rsidR="00632590" w:rsidP="00632590" w:rsidRDefault="00632590" w14:paraId="53843F5D" w14:textId="137FC0C8">
      <w:pPr>
        <w:rPr>
          <w:b/>
          <w:bCs/>
        </w:rPr>
      </w:pPr>
    </w:p>
    <w:p w:rsidR="00BF41B5" w:rsidP="00410954" w:rsidRDefault="00BF41B5" w14:paraId="1DEBEABE" w14:textId="7E994EA4"/>
    <w:p w:rsidRPr="003A38D1" w:rsidR="00BF41B5" w:rsidP="00BF41B5" w:rsidRDefault="00BF41B5" w14:paraId="50EE028B" w14:textId="65AC9307">
      <w:pPr>
        <w:jc w:val="center"/>
        <w:rPr>
          <w:b/>
          <w:bCs/>
        </w:rPr>
      </w:pPr>
      <w:r>
        <w:rPr>
          <w:b/>
          <w:bCs/>
        </w:rPr>
        <w:t xml:space="preserve">REPORTING REQUIREMENTS - FORMS APPROVED UNDER </w:t>
      </w:r>
      <w:r w:rsidRPr="003A38D1">
        <w:rPr>
          <w:b/>
          <w:bCs/>
        </w:rPr>
        <w:t>OTHER OMB DOCKET NUMBERS</w:t>
      </w:r>
      <w:r>
        <w:rPr>
          <w:b/>
          <w:bCs/>
        </w:rPr>
        <w:t xml:space="preserve"> - COMMON FORMS</w:t>
      </w:r>
    </w:p>
    <w:p w:rsidR="00BF41B5" w:rsidP="00BF41B5" w:rsidRDefault="00BF41B5" w14:paraId="55E46AF5" w14:textId="77777777"/>
    <w:p w:rsidRPr="00DA7D99" w:rsidR="00BF41B5" w:rsidP="00BF41B5" w:rsidRDefault="00BF41B5" w14:paraId="36E81863" w14:textId="77777777">
      <w:r w:rsidRPr="003A38D1">
        <w:rPr>
          <w:b/>
          <w:bCs/>
        </w:rPr>
        <w:t>SF 424, “Application for Federal Assistance</w:t>
      </w:r>
      <w:r>
        <w:rPr>
          <w:b/>
          <w:bCs/>
        </w:rPr>
        <w:t>,</w:t>
      </w:r>
      <w:r w:rsidRPr="003A38D1">
        <w:rPr>
          <w:b/>
          <w:bCs/>
        </w:rPr>
        <w:t>”</w:t>
      </w:r>
      <w:r>
        <w:rPr>
          <w:b/>
          <w:bCs/>
        </w:rPr>
        <w:t xml:space="preserve"> </w:t>
      </w:r>
      <w:r w:rsidRPr="00DA7D99">
        <w:t>(</w:t>
      </w:r>
      <w:r w:rsidRPr="00DA7D99">
        <w:rPr>
          <w:b/>
          <w:bCs/>
        </w:rPr>
        <w:t>Common Form approved under 4040-0004</w:t>
      </w:r>
      <w:r w:rsidRPr="00DA7D99">
        <w:t>)</w:t>
      </w:r>
      <w:r>
        <w:t xml:space="preserve"> Used by Applicants in the pre-award phase </w:t>
      </w:r>
      <w:r w:rsidRPr="00DA7D99">
        <w:t xml:space="preserve">as a required cover sheet for applications submitted for the </w:t>
      </w:r>
      <w:r>
        <w:t xml:space="preserve">HBIIP </w:t>
      </w:r>
      <w:r w:rsidRPr="00DA7D99">
        <w:t>grants.  The application is an official form required for all Federal grants and requests basic information about the applicant and the proposed project.  This common form is submitted as part of the application.</w:t>
      </w:r>
    </w:p>
    <w:p w:rsidR="00BF41B5" w:rsidP="00BF41B5" w:rsidRDefault="00BF41B5" w14:paraId="00FC7093" w14:textId="77777777"/>
    <w:p w:rsidR="00BF41B5" w:rsidP="00BF41B5" w:rsidRDefault="00BF41B5" w14:paraId="6F776C60" w14:textId="77777777">
      <w:r w:rsidRPr="003A38D1">
        <w:rPr>
          <w:b/>
          <w:bCs/>
        </w:rPr>
        <w:t>SF 424</w:t>
      </w:r>
      <w:r>
        <w:rPr>
          <w:b/>
          <w:bCs/>
        </w:rPr>
        <w:t>A,</w:t>
      </w:r>
      <w:r w:rsidRPr="003A38D1">
        <w:rPr>
          <w:b/>
          <w:bCs/>
        </w:rPr>
        <w:t xml:space="preserve"> </w:t>
      </w:r>
      <w:r>
        <w:rPr>
          <w:b/>
          <w:bCs/>
        </w:rPr>
        <w:t>“</w:t>
      </w:r>
      <w:r w:rsidRPr="003A38D1">
        <w:rPr>
          <w:b/>
          <w:bCs/>
        </w:rPr>
        <w:t>B</w:t>
      </w:r>
      <w:r>
        <w:rPr>
          <w:b/>
          <w:bCs/>
        </w:rPr>
        <w:t>udget Information –</w:t>
      </w:r>
      <w:r w:rsidRPr="003A38D1">
        <w:rPr>
          <w:b/>
          <w:bCs/>
        </w:rPr>
        <w:t xml:space="preserve"> </w:t>
      </w:r>
      <w:r>
        <w:rPr>
          <w:b/>
          <w:bCs/>
        </w:rPr>
        <w:t>Non-</w:t>
      </w:r>
      <w:r w:rsidRPr="003A38D1">
        <w:rPr>
          <w:b/>
          <w:bCs/>
        </w:rPr>
        <w:t>Construction Programs</w:t>
      </w:r>
      <w:r>
        <w:rPr>
          <w:b/>
          <w:bCs/>
        </w:rPr>
        <w:t>,”</w:t>
      </w:r>
      <w:r w:rsidRPr="00DA7D99">
        <w:t xml:space="preserve"> </w:t>
      </w:r>
      <w:r w:rsidRPr="00DA7D99">
        <w:rPr>
          <w:b/>
          <w:bCs/>
        </w:rPr>
        <w:t>(</w:t>
      </w:r>
      <w:r>
        <w:rPr>
          <w:b/>
          <w:bCs/>
        </w:rPr>
        <w:t xml:space="preserve">Common Form </w:t>
      </w:r>
      <w:r w:rsidRPr="00DA7D99">
        <w:rPr>
          <w:b/>
          <w:bCs/>
        </w:rPr>
        <w:t xml:space="preserve">Approved under OMB </w:t>
      </w:r>
      <w:r>
        <w:rPr>
          <w:b/>
          <w:bCs/>
        </w:rPr>
        <w:t xml:space="preserve">Docket </w:t>
      </w:r>
      <w:r w:rsidRPr="00DA7D99">
        <w:rPr>
          <w:b/>
          <w:bCs/>
        </w:rPr>
        <w:t>No. 4040-000</w:t>
      </w:r>
      <w:r>
        <w:rPr>
          <w:b/>
          <w:bCs/>
        </w:rPr>
        <w:t>6</w:t>
      </w:r>
      <w:r w:rsidRPr="00DA7D99">
        <w:rPr>
          <w:b/>
          <w:bCs/>
        </w:rPr>
        <w:t>)</w:t>
      </w:r>
      <w:r>
        <w:t xml:space="preserve"> Used in the pre-award phase by applicants </w:t>
      </w:r>
      <w:r w:rsidRPr="00DA7D99">
        <w:t>only in construction grant applications and repair, renovation, and modernization grant applications</w:t>
      </w:r>
    </w:p>
    <w:p w:rsidR="00BF41B5" w:rsidP="00BF41B5" w:rsidRDefault="00BF41B5" w14:paraId="538588D3" w14:textId="77777777">
      <w:pPr>
        <w:rPr>
          <w:b/>
          <w:bCs/>
        </w:rPr>
      </w:pPr>
    </w:p>
    <w:p w:rsidR="00BF41B5" w:rsidP="00BF41B5" w:rsidRDefault="00BF41B5" w14:paraId="44DEE5E3" w14:textId="77777777">
      <w:r w:rsidRPr="003A38D1">
        <w:rPr>
          <w:b/>
          <w:bCs/>
        </w:rPr>
        <w:t>SF 424C</w:t>
      </w:r>
      <w:r>
        <w:rPr>
          <w:b/>
          <w:bCs/>
        </w:rPr>
        <w:t>,</w:t>
      </w:r>
      <w:r w:rsidRPr="003A38D1">
        <w:rPr>
          <w:b/>
          <w:bCs/>
        </w:rPr>
        <w:t xml:space="preserve"> </w:t>
      </w:r>
      <w:r>
        <w:rPr>
          <w:b/>
          <w:bCs/>
        </w:rPr>
        <w:t>“</w:t>
      </w:r>
      <w:r w:rsidRPr="003A38D1">
        <w:rPr>
          <w:b/>
          <w:bCs/>
        </w:rPr>
        <w:t>B</w:t>
      </w:r>
      <w:r>
        <w:rPr>
          <w:b/>
          <w:bCs/>
        </w:rPr>
        <w:t xml:space="preserve">udget Information </w:t>
      </w:r>
      <w:r w:rsidRPr="003A38D1">
        <w:rPr>
          <w:b/>
          <w:bCs/>
        </w:rPr>
        <w:t>- Construction Programs</w:t>
      </w:r>
      <w:r>
        <w:rPr>
          <w:b/>
          <w:bCs/>
        </w:rPr>
        <w:t>,”</w:t>
      </w:r>
      <w:r w:rsidRPr="00DA7D99">
        <w:t xml:space="preserve"> </w:t>
      </w:r>
      <w:r w:rsidRPr="00DA7D99">
        <w:rPr>
          <w:b/>
          <w:bCs/>
        </w:rPr>
        <w:t>(</w:t>
      </w:r>
      <w:r>
        <w:rPr>
          <w:b/>
          <w:bCs/>
        </w:rPr>
        <w:t xml:space="preserve">Common Form </w:t>
      </w:r>
      <w:r w:rsidRPr="00DA7D99">
        <w:rPr>
          <w:b/>
          <w:bCs/>
        </w:rPr>
        <w:t xml:space="preserve">Approved under OMB </w:t>
      </w:r>
      <w:r>
        <w:rPr>
          <w:b/>
          <w:bCs/>
        </w:rPr>
        <w:t xml:space="preserve">Docket </w:t>
      </w:r>
      <w:r w:rsidRPr="00DA7D99">
        <w:rPr>
          <w:b/>
          <w:bCs/>
        </w:rPr>
        <w:t>No. 4040-0008)</w:t>
      </w:r>
      <w:r>
        <w:t xml:space="preserve"> Used in the pre-award phase by applicants </w:t>
      </w:r>
      <w:r w:rsidRPr="00DA7D99">
        <w:t>only in construction grant applications and repair, renovation, and modernization grant applications</w:t>
      </w:r>
    </w:p>
    <w:p w:rsidR="00BF41B5" w:rsidP="00BF41B5" w:rsidRDefault="00BF41B5" w14:paraId="36260A22" w14:textId="77777777"/>
    <w:p w:rsidRPr="007F1B84" w:rsidR="00BF41B5" w:rsidP="00BF41B5" w:rsidRDefault="00BF41B5" w14:paraId="6C5F9DEE" w14:textId="77777777">
      <w:pPr>
        <w:rPr>
          <w:b/>
          <w:bCs/>
        </w:rPr>
      </w:pPr>
      <w:r w:rsidRPr="007F1B84">
        <w:rPr>
          <w:b/>
          <w:bCs/>
        </w:rPr>
        <w:t>SF 424</w:t>
      </w:r>
      <w:r>
        <w:rPr>
          <w:b/>
          <w:bCs/>
        </w:rPr>
        <w:t>D</w:t>
      </w:r>
      <w:r w:rsidRPr="007F1B84">
        <w:rPr>
          <w:b/>
          <w:bCs/>
        </w:rPr>
        <w:t>, “Assurances for Construction Programs.” (</w:t>
      </w:r>
      <w:r>
        <w:rPr>
          <w:b/>
          <w:bCs/>
        </w:rPr>
        <w:t xml:space="preserve">Common Form </w:t>
      </w:r>
      <w:r w:rsidRPr="007F1B84">
        <w:rPr>
          <w:b/>
          <w:bCs/>
        </w:rPr>
        <w:t>Approved under OMB Docket No. 4040-0009)</w:t>
      </w:r>
      <w:r>
        <w:rPr>
          <w:b/>
          <w:bCs/>
        </w:rPr>
        <w:t xml:space="preserve"> </w:t>
      </w:r>
      <w:r w:rsidRPr="007F1B84">
        <w:t>Used to confirm that the applicant has legal authority to apply for Federal assistance and will comply with all applicable requirements and statutes.</w:t>
      </w:r>
      <w:r>
        <w:rPr>
          <w:b/>
          <w:bCs/>
        </w:rPr>
        <w:t xml:space="preserve">  </w:t>
      </w:r>
    </w:p>
    <w:p w:rsidR="00BF41B5" w:rsidP="00BF41B5" w:rsidRDefault="00BF41B5" w14:paraId="3CF522EB" w14:textId="77777777"/>
    <w:p w:rsidRPr="00526632" w:rsidR="00BF41B5" w:rsidP="00BF41B5" w:rsidRDefault="00BF41B5" w14:paraId="02EA2F49" w14:textId="77777777">
      <w:r w:rsidRPr="00841F4D">
        <w:rPr>
          <w:b/>
          <w:bCs/>
        </w:rPr>
        <w:t>SF–425, ‘‘Federal Financial Report,’’</w:t>
      </w:r>
      <w:r>
        <w:rPr>
          <w:b/>
          <w:bCs/>
        </w:rPr>
        <w:t xml:space="preserve"> </w:t>
      </w:r>
      <w:r w:rsidRPr="00841F4D">
        <w:rPr>
          <w:b/>
          <w:bCs/>
        </w:rPr>
        <w:t>OMB Docket No. 4040-</w:t>
      </w:r>
      <w:r>
        <w:rPr>
          <w:b/>
          <w:bCs/>
        </w:rPr>
        <w:t xml:space="preserve">0014 </w:t>
      </w:r>
      <w:r w:rsidRPr="00526632">
        <w:t xml:space="preserve">Grant recipients must report the status of grant funds on SF-425 on a quarterly basis.  The use of this form complies with </w:t>
      </w:r>
      <w:r>
        <w:t>2 CFR, Part 215</w:t>
      </w:r>
      <w:r w:rsidRPr="00526632">
        <w:t xml:space="preserve">. The project performance report summarizes the project’s progress for the quarter and supports expenditures claimed.  </w:t>
      </w:r>
    </w:p>
    <w:p w:rsidR="00BF41B5" w:rsidP="00BF41B5" w:rsidRDefault="00BF41B5" w14:paraId="6D24C48E" w14:textId="77777777"/>
    <w:p w:rsidR="00BF41B5" w:rsidP="00BF41B5" w:rsidRDefault="00BF41B5" w14:paraId="3677901B" w14:textId="77777777">
      <w:r w:rsidRPr="00D45186">
        <w:rPr>
          <w:b/>
          <w:bCs/>
        </w:rPr>
        <w:t>SF 270, ‘‘Request for Advance or Reimbursement,’’</w:t>
      </w:r>
      <w:r w:rsidRPr="00416625">
        <w:t xml:space="preserve"> </w:t>
      </w:r>
      <w:r w:rsidRPr="00D45186">
        <w:rPr>
          <w:b/>
          <w:bCs/>
        </w:rPr>
        <w:t>OMB Docket No. 4040-0012</w:t>
      </w:r>
      <w:r>
        <w:t>.</w:t>
      </w:r>
      <w:r w:rsidRPr="00416625">
        <w:t xml:space="preserve"> Grant recipients will submit SF 270 for disbursement of grant funds.  RBCS uses it to approve the disbursement.  The use of this form complies with </w:t>
      </w:r>
      <w:r>
        <w:t>2 CFR Part 215</w:t>
      </w:r>
      <w:r w:rsidRPr="00416625">
        <w:t>.</w:t>
      </w:r>
    </w:p>
    <w:p w:rsidR="00BF41B5" w:rsidP="00BF41B5" w:rsidRDefault="00BF41B5" w14:paraId="68213962" w14:textId="77777777"/>
    <w:p w:rsidRPr="00410954" w:rsidR="00BF41B5" w:rsidP="00BF41B5" w:rsidRDefault="00BF41B5" w14:paraId="5DA360AE" w14:textId="3DF046F5">
      <w:r w:rsidRPr="00410954">
        <w:rPr>
          <w:b/>
          <w:bCs/>
        </w:rPr>
        <w:t xml:space="preserve">SF-LLL - </w:t>
      </w:r>
      <w:r w:rsidRPr="00632590">
        <w:rPr>
          <w:b/>
          <w:bCs/>
        </w:rPr>
        <w:t xml:space="preserve">Disclosure </w:t>
      </w:r>
      <w:r>
        <w:rPr>
          <w:b/>
          <w:bCs/>
        </w:rPr>
        <w:t>o</w:t>
      </w:r>
      <w:r w:rsidRPr="00632590">
        <w:rPr>
          <w:b/>
          <w:bCs/>
        </w:rPr>
        <w:t>f Lobbying Activities</w:t>
      </w:r>
      <w:r>
        <w:rPr>
          <w:b/>
          <w:bCs/>
        </w:rPr>
        <w:t xml:space="preserve"> (</w:t>
      </w:r>
      <w:r w:rsidRPr="00632590">
        <w:rPr>
          <w:b/>
          <w:bCs/>
        </w:rPr>
        <w:t>Cleared Under OMB Docket No. 4040-0013</w:t>
      </w:r>
      <w:r>
        <w:rPr>
          <w:b/>
          <w:bCs/>
        </w:rPr>
        <w:t xml:space="preserve">) </w:t>
      </w:r>
      <w:r>
        <w:t xml:space="preserve">All recipients of Federal financial Assistance are required to </w:t>
      </w:r>
      <w:r w:rsidRPr="00410954">
        <w:t>disclose lobbying activities pursuant to 31 U.S.C.1352</w:t>
      </w:r>
      <w:r>
        <w:t xml:space="preserve">.  This form is used by Applicants </w:t>
      </w:r>
      <w:r w:rsidR="004631C6">
        <w:t>to disclose any covered lobbying activities.</w:t>
      </w:r>
    </w:p>
    <w:p w:rsidR="00BF41B5" w:rsidP="00BF41B5" w:rsidRDefault="00BF41B5" w14:paraId="5FC0EB9E" w14:textId="77777777">
      <w:pPr>
        <w:jc w:val="center"/>
        <w:rPr>
          <w:b/>
          <w:bCs/>
        </w:rPr>
      </w:pPr>
    </w:p>
    <w:p w:rsidR="00841F4D" w:rsidP="00841F4D" w:rsidRDefault="00841F4D" w14:paraId="599BB39D" w14:textId="77777777">
      <w:pPr>
        <w:jc w:val="both"/>
      </w:pPr>
    </w:p>
    <w:p w:rsidR="008035B8" w:rsidP="008035B8" w:rsidRDefault="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rsidRDefault="003523A1" w14:paraId="54A0A208" w14:textId="77777777"/>
    <w:p w:rsidR="004653DF" w:rsidRDefault="00AD30AD" w14:paraId="1A1AA24F" w14:textId="1BC2D11B">
      <w:r>
        <w:t>T</w:t>
      </w:r>
      <w:r w:rsidR="004653DF">
        <w:t>o be considered for funds under th</w:t>
      </w:r>
      <w:r w:rsidR="00D047F4">
        <w:t xml:space="preserve">e </w:t>
      </w:r>
      <w:r w:rsidR="00B815CE">
        <w:t>REPP</w:t>
      </w:r>
      <w:r w:rsidR="004653DF">
        <w:t xml:space="preserve">, applications must be </w:t>
      </w:r>
      <w:r>
        <w:t xml:space="preserve">received by </w:t>
      </w:r>
      <w:hyperlink w:history="1" r:id="rId8">
        <w:r w:rsidRPr="00CE05D8">
          <w:rPr>
            <w:rStyle w:val="Hyperlink"/>
          </w:rPr>
          <w:t>www.grants.gov</w:t>
        </w:r>
      </w:hyperlink>
      <w:r>
        <w:t xml:space="preserve"> by the specified deadline and </w:t>
      </w:r>
      <w:r w:rsidR="004653DF">
        <w:t>deemed</w:t>
      </w:r>
      <w:r w:rsidR="00D047F4">
        <w:t xml:space="preserve"> </w:t>
      </w:r>
      <w:r w:rsidR="004653DF">
        <w:t xml:space="preserve">complete and </w:t>
      </w:r>
      <w:r>
        <w:t>eligible</w:t>
      </w:r>
      <w:r w:rsidR="004653DF">
        <w:t>. All forms are available at Grants.gov and the</w:t>
      </w:r>
      <w:r w:rsidR="00B815CE">
        <w:t xml:space="preserve"> </w:t>
      </w:r>
      <w:r w:rsidR="004653DF">
        <w:t xml:space="preserve">USDA </w:t>
      </w:r>
      <w:r w:rsidR="00401478">
        <w:t xml:space="preserve">REPP </w:t>
      </w:r>
      <w:r w:rsidR="004653DF">
        <w:t>web site.</w:t>
      </w:r>
    </w:p>
    <w:p w:rsidR="004653DF" w:rsidP="008035B8" w:rsidRDefault="004653DF" w14:paraId="0AD171D1" w14:textId="224A5E9F">
      <w:pPr>
        <w:rPr>
          <w:b/>
        </w:rPr>
      </w:pPr>
    </w:p>
    <w:p w:rsidR="008035B8" w:rsidP="008035B8" w:rsidRDefault="00D744BD" w14:paraId="6FD3B54E" w14:textId="77777777">
      <w:pPr>
        <w:rPr>
          <w:b/>
        </w:rPr>
      </w:pPr>
      <w:r>
        <w:rPr>
          <w:b/>
        </w:rPr>
        <w:t xml:space="preserve">4.  </w:t>
      </w:r>
      <w:r w:rsidR="008035B8">
        <w:rPr>
          <w:b/>
        </w:rPr>
        <w:t>Describe efforts to identify duplication.  Show specifically why similar information already available cannot be used or modified for use for the purposes described in Item 2 above.</w:t>
      </w:r>
    </w:p>
    <w:p w:rsidR="005E61F3" w:rsidP="00E023EE" w:rsidRDefault="005E61F3" w14:paraId="27DF5D62" w14:textId="77777777">
      <w:pPr>
        <w:ind w:left="360"/>
      </w:pPr>
    </w:p>
    <w:p w:rsidR="005E61F3" w:rsidP="00D744BD" w:rsidRDefault="005E61F3" w14:paraId="3F0E4FBE" w14:textId="77777777">
      <w:r>
        <w:t>There is no duplication of information</w:t>
      </w:r>
      <w:r w:rsidR="008035B8">
        <w:t>.</w:t>
      </w:r>
      <w:r w:rsidR="00D744BD">
        <w:t xml:space="preserve"> </w:t>
      </w:r>
    </w:p>
    <w:p w:rsidR="00D744BD" w:rsidP="00E023EE" w:rsidRDefault="00D744BD" w14:paraId="23160F61" w14:textId="77777777"/>
    <w:p w:rsidR="008035B8" w:rsidP="008035B8" w:rsidRDefault="008035B8" w14:paraId="0A44D883" w14:textId="77777777">
      <w:pPr>
        <w:rPr>
          <w:b/>
        </w:rPr>
      </w:pPr>
      <w:r>
        <w:rPr>
          <w:b/>
        </w:rPr>
        <w:t>5.  Methods to minimize burden on small businesses or other small entities (Item 5 of OMB Form 83-I), describe any methods to minimize burden.</w:t>
      </w:r>
    </w:p>
    <w:p w:rsidR="002467AE" w:rsidP="002467AE" w:rsidRDefault="002467AE" w14:paraId="0E32CAAC" w14:textId="77777777"/>
    <w:p w:rsidR="00894185" w:rsidP="00894185" w:rsidRDefault="00894185" w14:paraId="09562C64" w14:textId="1B9DF050">
      <w:pPr>
        <w:pStyle w:val="CommentText"/>
        <w:rPr>
          <w:sz w:val="24"/>
          <w:szCs w:val="24"/>
        </w:rPr>
      </w:pPr>
      <w:r w:rsidRPr="00EF51FA">
        <w:rPr>
          <w:sz w:val="24"/>
          <w:szCs w:val="24"/>
        </w:rPr>
        <w:t xml:space="preserve">Information to be collected is in a format designed to minimize the paperwork burden on </w:t>
      </w:r>
      <w:r w:rsidR="00B815CE">
        <w:rPr>
          <w:sz w:val="24"/>
          <w:szCs w:val="24"/>
        </w:rPr>
        <w:t xml:space="preserve">community partnerships and other </w:t>
      </w:r>
      <w:r w:rsidRPr="00EF51FA">
        <w:rPr>
          <w:sz w:val="24"/>
          <w:szCs w:val="24"/>
        </w:rPr>
        <w:t xml:space="preserve">small entities. </w:t>
      </w:r>
      <w:r>
        <w:rPr>
          <w:sz w:val="24"/>
          <w:szCs w:val="24"/>
        </w:rPr>
        <w:t xml:space="preserve"> </w:t>
      </w:r>
    </w:p>
    <w:p w:rsidRPr="00EF51FA" w:rsidR="00D52AF5" w:rsidP="00894185" w:rsidRDefault="00D52AF5" w14:paraId="1518E0EA" w14:textId="77777777">
      <w:pPr>
        <w:pStyle w:val="CommentText"/>
        <w:rPr>
          <w:sz w:val="24"/>
          <w:szCs w:val="24"/>
        </w:rPr>
      </w:pPr>
    </w:p>
    <w:p w:rsidR="008035B8" w:rsidP="00BD1890" w:rsidRDefault="008035B8" w14:paraId="34D97E72" w14:textId="285B8C7D">
      <w:pPr>
        <w:keepNext/>
        <w:rPr>
          <w:b/>
        </w:rPr>
      </w:pPr>
      <w:r>
        <w:rPr>
          <w:b/>
        </w:rPr>
        <w:t>6.  Describe the consequences to Federal program or policy activities if the collection is not conducted or conducted less frequently, as well as any technical or legal obstacles to reducing burden.</w:t>
      </w:r>
    </w:p>
    <w:p w:rsidR="007F1B84" w:rsidP="00BD1890" w:rsidRDefault="007F1B84" w14:paraId="550E79D8" w14:textId="77777777">
      <w:pPr>
        <w:keepNext/>
        <w:rPr>
          <w:b/>
        </w:rPr>
      </w:pPr>
    </w:p>
    <w:p w:rsidR="004B208C" w:rsidP="009466EF" w:rsidRDefault="00D744BD" w14:paraId="16D4A4C6" w14:textId="703BD532">
      <w:pPr>
        <w:keepNext/>
      </w:pPr>
      <w:r>
        <w:t xml:space="preserve">The Notice of </w:t>
      </w:r>
      <w:r w:rsidR="00FA2F5A">
        <w:t>Funding Opportunity</w:t>
      </w:r>
      <w:r>
        <w:t xml:space="preserve"> (</w:t>
      </w:r>
      <w:r w:rsidR="00FA2F5A">
        <w:t>NOFO</w:t>
      </w:r>
      <w:r>
        <w:t xml:space="preserve">) requires the minimum information </w:t>
      </w:r>
      <w:r w:rsidR="005C49D3">
        <w:t xml:space="preserve">necessary </w:t>
      </w:r>
      <w:r>
        <w:t xml:space="preserve">to determine whether an applicant for the </w:t>
      </w:r>
      <w:r w:rsidR="00B815CE">
        <w:t xml:space="preserve">REPP </w:t>
      </w:r>
      <w:r>
        <w:t xml:space="preserve">is competitive for Federal assistance, reporting requirements, and mid-year reports. </w:t>
      </w:r>
      <w:r w:rsidR="005C49D3">
        <w:t xml:space="preserve"> </w:t>
      </w:r>
      <w:r>
        <w:t xml:space="preserve">Failure to collect proper information could result in improper determinations of eligibility or improper use of funds. </w:t>
      </w:r>
      <w:r w:rsidR="005C49D3">
        <w:t xml:space="preserve"> </w:t>
      </w:r>
      <w:r>
        <w:t xml:space="preserve">This minimum </w:t>
      </w:r>
      <w:bookmarkStart w:name="_Hlk103605616" w:id="0"/>
      <w:r>
        <w:t xml:space="preserve">reporting of information is necessary for the RBCS to administer </w:t>
      </w:r>
      <w:r w:rsidR="005C49D3">
        <w:t xml:space="preserve">REPP </w:t>
      </w:r>
      <w:r>
        <w:t>in an equitable and cost-effective manner</w:t>
      </w:r>
      <w:bookmarkEnd w:id="0"/>
      <w:r>
        <w:t>.</w:t>
      </w:r>
      <w:r w:rsidR="005C49D3">
        <w:t xml:space="preserve"> </w:t>
      </w:r>
      <w:r>
        <w:t xml:space="preserve"> For the remaining information collected as indicated, USDA has exercised discretion that the information is needed to appropriately award grants or loans for the program.</w:t>
      </w:r>
    </w:p>
    <w:p w:rsidR="00031208" w:rsidP="008035B8" w:rsidRDefault="00031208" w14:paraId="76C1ECBC" w14:textId="77777777">
      <w:pPr>
        <w:rPr>
          <w:b/>
        </w:rPr>
      </w:pPr>
    </w:p>
    <w:p w:rsidR="008035B8" w:rsidP="008035B8" w:rsidRDefault="008035B8" w14:paraId="10EDA157" w14:textId="77777777">
      <w:pPr>
        <w:rPr>
          <w:b/>
        </w:rPr>
      </w:pPr>
      <w:r>
        <w:rPr>
          <w:b/>
        </w:rPr>
        <w:t>7.  Explain any special circumstances that would cause an information collection to be conducted in a manner:</w:t>
      </w:r>
    </w:p>
    <w:p w:rsidR="008035B8" w:rsidP="008035B8" w:rsidRDefault="008035B8" w14:paraId="07533A76" w14:textId="77777777"/>
    <w:p w:rsidR="008035B8" w:rsidP="008035B8" w:rsidRDefault="008035B8" w14:paraId="1EF668A8" w14:textId="77777777">
      <w:pPr>
        <w:numPr>
          <w:ilvl w:val="0"/>
          <w:numId w:val="24"/>
        </w:numPr>
      </w:pPr>
      <w:r>
        <w:rPr>
          <w:u w:val="single"/>
        </w:rPr>
        <w:lastRenderedPageBreak/>
        <w:t>Requiring respondents to report information more frequently than quarterly</w:t>
      </w:r>
      <w:r>
        <w:t>.  There are no information collection requirements that require information more frequently than quarterly.</w:t>
      </w:r>
    </w:p>
    <w:p w:rsidR="008035B8" w:rsidP="008035B8" w:rsidRDefault="008035B8" w14:paraId="6E19B9D0" w14:textId="77777777">
      <w:pPr>
        <w:numPr>
          <w:ilvl w:val="0"/>
          <w:numId w:val="24"/>
        </w:numPr>
      </w:pPr>
      <w:r>
        <w:rPr>
          <w:u w:val="single"/>
        </w:rPr>
        <w:t>Requiring written responses in less than 30 days</w:t>
      </w:r>
      <w:r>
        <w:t>.  There are no information collection requirements that require written responses in less than 30 days.</w:t>
      </w:r>
    </w:p>
    <w:p w:rsidR="008035B8" w:rsidP="008035B8" w:rsidRDefault="008035B8" w14:paraId="6BFA5706" w14:textId="77777777">
      <w:pPr>
        <w:numPr>
          <w:ilvl w:val="0"/>
          <w:numId w:val="24"/>
        </w:numPr>
      </w:pPr>
      <w:r>
        <w:rPr>
          <w:u w:val="single"/>
        </w:rPr>
        <w:t>Requiring more than an original and two copies</w:t>
      </w:r>
      <w:r>
        <w:t>.  There are no information collection requirements that require more than an original or single copy of a document.</w:t>
      </w:r>
    </w:p>
    <w:p w:rsidR="008035B8" w:rsidP="008035B8" w:rsidRDefault="008035B8" w14:paraId="7DE961C2" w14:textId="77777777">
      <w:pPr>
        <w:numPr>
          <w:ilvl w:val="0"/>
          <w:numId w:val="24"/>
        </w:numPr>
      </w:pPr>
      <w:r>
        <w:rPr>
          <w:u w:val="single"/>
        </w:rPr>
        <w:t>Requiring respondents to retain records for more than 3 years</w:t>
      </w:r>
      <w:r>
        <w:t>.  There are no such requirements.</w:t>
      </w:r>
    </w:p>
    <w:p w:rsidR="008035B8" w:rsidP="008035B8" w:rsidRDefault="008035B8" w14:paraId="7D5854EC" w14:textId="77777777">
      <w:pPr>
        <w:numPr>
          <w:ilvl w:val="0"/>
          <w:numId w:val="24"/>
        </w:numPr>
      </w:pPr>
      <w:r>
        <w:rPr>
          <w:u w:val="single"/>
        </w:rPr>
        <w:t>No utilizing statistical sampling</w:t>
      </w:r>
      <w:r>
        <w:t>.  There are no such requirements.</w:t>
      </w:r>
    </w:p>
    <w:p w:rsidR="008035B8" w:rsidP="008035B8" w:rsidRDefault="008035B8" w14:paraId="40BECEE8" w14:textId="77777777">
      <w:pPr>
        <w:numPr>
          <w:ilvl w:val="0"/>
          <w:numId w:val="24"/>
        </w:numPr>
      </w:pPr>
      <w:r>
        <w:rPr>
          <w:u w:val="single"/>
        </w:rPr>
        <w:t>Requiring the use of statistical sampling which has not been reviewed and approved by OMB</w:t>
      </w:r>
      <w:r>
        <w:t>.  There are no such requirements.</w:t>
      </w:r>
    </w:p>
    <w:p w:rsidR="008035B8" w:rsidP="008035B8" w:rsidRDefault="008035B8" w14:paraId="731466C8" w14:textId="77777777">
      <w:pPr>
        <w:numPr>
          <w:ilvl w:val="0"/>
          <w:numId w:val="24"/>
        </w:numPr>
      </w:pPr>
      <w:r w:rsidRPr="008035B8">
        <w:rPr>
          <w:u w:val="single"/>
        </w:rPr>
        <w:t>Requiring the pledge of confidentiality</w:t>
      </w:r>
      <w:r>
        <w:t>.  There are no such requirements.</w:t>
      </w:r>
    </w:p>
    <w:p w:rsidR="003526FF" w:rsidP="008035B8" w:rsidRDefault="008035B8" w14:paraId="70B7F1F3" w14:textId="1B54AA7E">
      <w:pPr>
        <w:numPr>
          <w:ilvl w:val="0"/>
          <w:numId w:val="24"/>
        </w:numPr>
      </w:pPr>
      <w:r w:rsidRPr="008035B8">
        <w:rPr>
          <w:u w:val="single"/>
        </w:rPr>
        <w:t>Requiring submission of propriety trade secrets</w:t>
      </w:r>
      <w:r>
        <w:t>.  There are no such requirements.</w:t>
      </w:r>
    </w:p>
    <w:p w:rsidR="00E62E7E" w:rsidP="00E62E7E" w:rsidRDefault="00E62E7E" w14:paraId="1A1D60EB" w14:textId="77777777">
      <w:pPr>
        <w:ind w:left="360"/>
      </w:pPr>
    </w:p>
    <w:p w:rsidR="008035B8" w:rsidP="008035B8" w:rsidRDefault="008035B8" w14:paraId="6EC8F430" w14:textId="7DF2CCF1">
      <w:pPr>
        <w:rPr>
          <w:b/>
        </w:rPr>
      </w:pPr>
      <w:r w:rsidRPr="003C5FDC">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2E4CB533" w14:textId="77777777"/>
    <w:p w:rsidR="005C49D3" w:rsidP="005C49D3" w:rsidRDefault="005C49D3" w14:paraId="270627D7" w14:textId="036EE97F">
      <w:r>
        <w:t xml:space="preserve">Prior to publishing this Notice, RBCS determined it to be in the public interest to solicit informal comments from the public and interested stakeholders to help develop options for the Rural Energy Pilot Program (REPP) to support the Nation’s critical energy needs to combat climate change while advancing environmental justice, racial equity, and economic opportunity through the development and deployment of distributed energy technologies, innovations, and/or solutions. </w:t>
      </w:r>
    </w:p>
    <w:p w:rsidR="00AD30AD" w:rsidP="005C49D3" w:rsidRDefault="00AD30AD" w14:paraId="56DB9B3C" w14:textId="77777777"/>
    <w:p w:rsidR="005C49D3" w:rsidP="005C49D3" w:rsidRDefault="005C49D3" w14:paraId="32333381" w14:textId="751F8FC6">
      <w:r>
        <w:t xml:space="preserve">A Request for Information and Notice of Stakeholder Listening Session on a Rural Energy Pilot Program was published in the Federal Register (86 FR 16575) on March 30, 2021. Information received from the public was intended to inform the Agency as well as private sector and other stakeholders with interest in and expertise relating to such an effort in order to build on prior investments and experience gained through past small-scale energy solutions, social justice reforms, and climate change mitigation programs.  </w:t>
      </w:r>
    </w:p>
    <w:p w:rsidR="005C49D3" w:rsidP="005C49D3" w:rsidRDefault="005C49D3" w14:paraId="714BB1E1" w14:textId="77777777">
      <w:r>
        <w:t xml:space="preserve">Seventy-five (75) comments were submitted from the public which served to inform the Agency on an array of issues, including but not limited to: Program purposes, goals, metrics, and standards; Eligible applicants, participants, partners including but not limited to communities, residencies, industry, and commercial entities; Eligible technologies including but not limited to generation, storage, controller, and grid; Potential impact of the pilot program and renewable energy systems more broadly on each of the following: Environmental justice, racial equity, and economic opportunity; Options to measure and maximize the benefits of renewable energy systems for environmental justice, racial equity, and economic opportunity in rural areas. </w:t>
      </w:r>
    </w:p>
    <w:p w:rsidR="005C49D3" w:rsidP="00031208" w:rsidRDefault="005C49D3" w14:paraId="368CF4E7" w14:textId="77777777"/>
    <w:p w:rsidR="00375BDA" w:rsidP="00031208" w:rsidRDefault="005C49D3" w14:paraId="5BF7615C" w14:textId="2978DB1A">
      <w:r>
        <w:t xml:space="preserve">Additionally, on May 13, 2021, the Agency convened a Federal Inter-Agency Task Force of experts with relevant knowledge, including technical experts from the Environmental </w:t>
      </w:r>
      <w:r>
        <w:lastRenderedPageBreak/>
        <w:t>Protection Agency, Department of Energy, National Renewable Energy Laboratory, Pacific Northwest National Laboratory, and the Appalachian Regional Commission to assist with the review of the public comments and provide recommendations for the guiding principles of th</w:t>
      </w:r>
      <w:r w:rsidR="0035056B">
        <w:t xml:space="preserve">e REPP </w:t>
      </w:r>
      <w:r>
        <w:t>N</w:t>
      </w:r>
      <w:r w:rsidR="0035056B">
        <w:t>OFA</w:t>
      </w:r>
      <w:r>
        <w:t xml:space="preserve">. </w:t>
      </w:r>
    </w:p>
    <w:p w:rsidR="005C49D3" w:rsidP="00031208" w:rsidRDefault="005C49D3" w14:paraId="769A01E3" w14:textId="77777777"/>
    <w:p w:rsidR="00375BDA" w:rsidP="00031208" w:rsidRDefault="00375BDA" w14:paraId="224953EC" w14:textId="76793F28">
      <w:r w:rsidRPr="00375BDA">
        <w:t xml:space="preserve">The 60-day notice requesting public comment on this collection of information was included in the </w:t>
      </w:r>
      <w:r w:rsidR="005C49D3">
        <w:t>REPP</w:t>
      </w:r>
      <w:r w:rsidRPr="00375BDA">
        <w:t xml:space="preserve"> NOFA that published in the </w:t>
      </w:r>
      <w:r w:rsidRPr="00375BDA">
        <w:rPr>
          <w:b/>
          <w:bCs/>
        </w:rPr>
        <w:t>Federal Register</w:t>
      </w:r>
      <w:r w:rsidRPr="00375BDA">
        <w:t xml:space="preserve"> on </w:t>
      </w:r>
      <w:r w:rsidRPr="004E74D7" w:rsidR="004E74D7">
        <w:t xml:space="preserve">January 19, 2022 </w:t>
      </w:r>
      <w:r w:rsidRPr="004E74D7">
        <w:t>(</w:t>
      </w:r>
      <w:r w:rsidRPr="004E74D7" w:rsidR="004E74D7">
        <w:t xml:space="preserve">87 </w:t>
      </w:r>
      <w:r w:rsidRPr="004E74D7">
        <w:t xml:space="preserve">FR </w:t>
      </w:r>
      <w:r w:rsidRPr="004E74D7" w:rsidR="004E74D7">
        <w:t>2747</w:t>
      </w:r>
      <w:r w:rsidRPr="004E74D7">
        <w:t xml:space="preserve">).  </w:t>
      </w:r>
      <w:r w:rsidR="00A95B40">
        <w:t xml:space="preserve">No comments concerning the collection were received.  </w:t>
      </w:r>
    </w:p>
    <w:p w:rsidR="00031208" w:rsidP="007D2A01" w:rsidRDefault="00031208" w14:paraId="2DBF3901" w14:textId="122143C0"/>
    <w:p w:rsidR="00DF317D" w:rsidP="007D2A01" w:rsidRDefault="00DF317D" w14:paraId="2130D65F" w14:textId="1870F292">
      <w:r>
        <w:t xml:space="preserve">A </w:t>
      </w:r>
      <w:r w:rsidRPr="00DF317D">
        <w:t>list of at least 3 individuals that applied for the program must be provided along with their comments</w:t>
      </w:r>
      <w:r>
        <w:t>:</w:t>
      </w:r>
    </w:p>
    <w:p w:rsidR="00DF317D" w:rsidP="007D2A01" w:rsidRDefault="00DF317D" w14:paraId="40167BBE" w14:textId="39960469"/>
    <w:tbl>
      <w:tblPr>
        <w:tblStyle w:val="TableGrid"/>
        <w:tblW w:w="9175" w:type="dxa"/>
        <w:tblLook w:val="04A0" w:firstRow="1" w:lastRow="0" w:firstColumn="1" w:lastColumn="0" w:noHBand="0" w:noVBand="1"/>
      </w:tblPr>
      <w:tblGrid>
        <w:gridCol w:w="1817"/>
        <w:gridCol w:w="1601"/>
        <w:gridCol w:w="2730"/>
        <w:gridCol w:w="3027"/>
      </w:tblGrid>
      <w:tr w:rsidR="00DF317D" w:rsidTr="000C716A" w14:paraId="65AA4EB6" w14:textId="77777777">
        <w:tc>
          <w:tcPr>
            <w:tcW w:w="1817" w:type="dxa"/>
            <w:shd w:val="clear" w:color="auto" w:fill="D9D9D9" w:themeFill="background1" w:themeFillShade="D9"/>
          </w:tcPr>
          <w:p w:rsidRPr="00DF317D" w:rsidR="00DF317D" w:rsidP="00DF317D" w:rsidRDefault="00DF317D" w14:paraId="0CDD754A" w14:textId="4CA809A3">
            <w:pPr>
              <w:jc w:val="center"/>
              <w:rPr>
                <w:rFonts w:asciiTheme="minorHAnsi" w:hAnsiTheme="minorHAnsi" w:cstheme="minorHAnsi"/>
                <w:b/>
                <w:bCs/>
                <w:sz w:val="20"/>
                <w:szCs w:val="20"/>
              </w:rPr>
            </w:pPr>
            <w:r>
              <w:rPr>
                <w:rFonts w:asciiTheme="minorHAnsi" w:hAnsiTheme="minorHAnsi" w:cstheme="minorHAnsi"/>
                <w:b/>
                <w:bCs/>
                <w:sz w:val="20"/>
                <w:szCs w:val="20"/>
              </w:rPr>
              <w:t>Organization</w:t>
            </w:r>
          </w:p>
        </w:tc>
        <w:tc>
          <w:tcPr>
            <w:tcW w:w="1601" w:type="dxa"/>
            <w:shd w:val="clear" w:color="auto" w:fill="D9D9D9" w:themeFill="background1" w:themeFillShade="D9"/>
          </w:tcPr>
          <w:p w:rsidRPr="00DF317D" w:rsidR="00DF317D" w:rsidP="00DF317D" w:rsidRDefault="00DF317D" w14:paraId="26E94C8F" w14:textId="71C1D597">
            <w:pPr>
              <w:jc w:val="center"/>
              <w:rPr>
                <w:rFonts w:asciiTheme="minorHAnsi" w:hAnsiTheme="minorHAnsi" w:cstheme="minorHAnsi"/>
                <w:b/>
                <w:bCs/>
                <w:sz w:val="20"/>
                <w:szCs w:val="20"/>
              </w:rPr>
            </w:pPr>
            <w:r w:rsidRPr="00DF317D">
              <w:rPr>
                <w:rFonts w:asciiTheme="minorHAnsi" w:hAnsiTheme="minorHAnsi" w:cstheme="minorHAnsi"/>
                <w:b/>
                <w:bCs/>
                <w:sz w:val="20"/>
                <w:szCs w:val="20"/>
              </w:rPr>
              <w:t>Position</w:t>
            </w:r>
          </w:p>
        </w:tc>
        <w:tc>
          <w:tcPr>
            <w:tcW w:w="2730" w:type="dxa"/>
            <w:shd w:val="clear" w:color="auto" w:fill="D9D9D9" w:themeFill="background1" w:themeFillShade="D9"/>
          </w:tcPr>
          <w:p w:rsidRPr="00DF317D" w:rsidR="00DF317D" w:rsidP="00DF317D" w:rsidRDefault="00DF317D" w14:paraId="5F2AD806" w14:textId="03C83657">
            <w:pPr>
              <w:jc w:val="center"/>
              <w:rPr>
                <w:rFonts w:asciiTheme="minorHAnsi" w:hAnsiTheme="minorHAnsi" w:cstheme="minorHAnsi"/>
                <w:b/>
                <w:bCs/>
                <w:sz w:val="20"/>
                <w:szCs w:val="20"/>
              </w:rPr>
            </w:pPr>
            <w:r w:rsidRPr="00DF317D">
              <w:rPr>
                <w:rFonts w:asciiTheme="minorHAnsi" w:hAnsiTheme="minorHAnsi" w:cstheme="minorHAnsi"/>
                <w:b/>
                <w:bCs/>
                <w:sz w:val="20"/>
                <w:szCs w:val="20"/>
              </w:rPr>
              <w:t>Telephone number</w:t>
            </w:r>
            <w:r w:rsidR="00072786">
              <w:rPr>
                <w:rFonts w:asciiTheme="minorHAnsi" w:hAnsiTheme="minorHAnsi" w:cstheme="minorHAnsi"/>
                <w:b/>
                <w:bCs/>
                <w:sz w:val="20"/>
                <w:szCs w:val="20"/>
              </w:rPr>
              <w:t>/Website</w:t>
            </w:r>
          </w:p>
        </w:tc>
        <w:tc>
          <w:tcPr>
            <w:tcW w:w="3027" w:type="dxa"/>
            <w:shd w:val="clear" w:color="auto" w:fill="D9D9D9" w:themeFill="background1" w:themeFillShade="D9"/>
          </w:tcPr>
          <w:p w:rsidRPr="00DF317D" w:rsidR="00DF317D" w:rsidP="00DF317D" w:rsidRDefault="00DF317D" w14:paraId="09AE425D" w14:textId="15EE0857">
            <w:pPr>
              <w:jc w:val="center"/>
              <w:rPr>
                <w:rFonts w:asciiTheme="minorHAnsi" w:hAnsiTheme="minorHAnsi" w:cstheme="minorHAnsi"/>
                <w:b/>
                <w:bCs/>
                <w:sz w:val="20"/>
                <w:szCs w:val="20"/>
              </w:rPr>
            </w:pPr>
            <w:r w:rsidRPr="00DF317D">
              <w:rPr>
                <w:rFonts w:asciiTheme="minorHAnsi" w:hAnsiTheme="minorHAnsi" w:cstheme="minorHAnsi"/>
                <w:b/>
                <w:bCs/>
                <w:sz w:val="20"/>
                <w:szCs w:val="20"/>
              </w:rPr>
              <w:t>Comment</w:t>
            </w:r>
          </w:p>
        </w:tc>
      </w:tr>
      <w:tr w:rsidR="00DF317D" w:rsidTr="000C716A" w14:paraId="03175A94" w14:textId="77777777">
        <w:tc>
          <w:tcPr>
            <w:tcW w:w="1817" w:type="dxa"/>
          </w:tcPr>
          <w:p w:rsidRPr="00072786" w:rsidR="00DF317D" w:rsidP="007D2A01" w:rsidRDefault="00072786" w14:paraId="519A77C1" w14:textId="40D6C8A0">
            <w:pPr>
              <w:rPr>
                <w:rFonts w:asciiTheme="minorHAnsi" w:hAnsiTheme="minorHAnsi" w:cstheme="minorHAnsi"/>
                <w:sz w:val="18"/>
                <w:szCs w:val="18"/>
              </w:rPr>
            </w:pPr>
            <w:r w:rsidRPr="00072786">
              <w:rPr>
                <w:rFonts w:asciiTheme="minorHAnsi" w:hAnsiTheme="minorHAnsi" w:cstheme="minorHAnsi"/>
                <w:sz w:val="18"/>
                <w:szCs w:val="18"/>
              </w:rPr>
              <w:t>Shake Energy Collaborative</w:t>
            </w:r>
          </w:p>
        </w:tc>
        <w:tc>
          <w:tcPr>
            <w:tcW w:w="1601" w:type="dxa"/>
          </w:tcPr>
          <w:p w:rsidRPr="00072786" w:rsidR="00DF317D" w:rsidP="007D2A01" w:rsidRDefault="00072786" w14:paraId="2DF10693" w14:textId="7D4AD6A1">
            <w:pPr>
              <w:rPr>
                <w:rFonts w:asciiTheme="minorHAnsi" w:hAnsiTheme="minorHAnsi" w:cstheme="minorHAnsi"/>
                <w:sz w:val="18"/>
                <w:szCs w:val="18"/>
              </w:rPr>
            </w:pPr>
            <w:r w:rsidRPr="00072786">
              <w:rPr>
                <w:rFonts w:asciiTheme="minorHAnsi" w:hAnsiTheme="minorHAnsi" w:cstheme="minorHAnsi"/>
                <w:sz w:val="18"/>
                <w:szCs w:val="18"/>
              </w:rPr>
              <w:t>Chief Executive Officer</w:t>
            </w:r>
          </w:p>
        </w:tc>
        <w:tc>
          <w:tcPr>
            <w:tcW w:w="2730" w:type="dxa"/>
          </w:tcPr>
          <w:p w:rsidRPr="00072786" w:rsidR="00072786" w:rsidP="007D2A01" w:rsidRDefault="00072786" w14:paraId="65DCCBD0" w14:textId="77777777">
            <w:pPr>
              <w:rPr>
                <w:rFonts w:asciiTheme="minorHAnsi" w:hAnsiTheme="minorHAnsi" w:cstheme="minorHAnsi"/>
                <w:sz w:val="18"/>
                <w:szCs w:val="18"/>
              </w:rPr>
            </w:pPr>
          </w:p>
          <w:p w:rsidRPr="00072786" w:rsidR="00DF317D" w:rsidP="007D2A01" w:rsidRDefault="005B7392" w14:paraId="1295F89E" w14:textId="20F1587F">
            <w:pPr>
              <w:rPr>
                <w:rFonts w:asciiTheme="minorHAnsi" w:hAnsiTheme="minorHAnsi" w:cstheme="minorHAnsi"/>
                <w:sz w:val="18"/>
                <w:szCs w:val="18"/>
              </w:rPr>
            </w:pPr>
            <w:hyperlink w:tgtFrame="_blank" w:history="1" r:id="rId9">
              <w:r w:rsidRPr="00072786" w:rsidR="00072786">
                <w:rPr>
                  <w:rStyle w:val="Hyperlink"/>
                  <w:rFonts w:asciiTheme="minorHAnsi" w:hAnsiTheme="minorHAnsi" w:cstheme="minorHAnsi"/>
                  <w:color w:val="1155CC"/>
                  <w:sz w:val="18"/>
                  <w:szCs w:val="18"/>
                </w:rPr>
                <w:t>shake-energy.com</w:t>
              </w:r>
            </w:hyperlink>
          </w:p>
        </w:tc>
        <w:tc>
          <w:tcPr>
            <w:tcW w:w="3027" w:type="dxa"/>
          </w:tcPr>
          <w:p w:rsidRPr="00072786" w:rsidR="00DF317D" w:rsidP="007D2A01" w:rsidRDefault="000C716A" w14:paraId="1E6F7641" w14:textId="1A69F8BC">
            <w:pPr>
              <w:rPr>
                <w:rFonts w:asciiTheme="minorHAnsi" w:hAnsiTheme="minorHAnsi" w:cstheme="minorHAnsi"/>
                <w:sz w:val="18"/>
                <w:szCs w:val="18"/>
              </w:rPr>
            </w:pPr>
            <w:r w:rsidRPr="000C716A">
              <w:rPr>
                <w:rFonts w:asciiTheme="minorHAnsi" w:hAnsiTheme="minorHAnsi" w:cstheme="minorHAnsi"/>
                <w:sz w:val="18"/>
                <w:szCs w:val="18"/>
              </w:rPr>
              <w:t xml:space="preserve">I am having issues with </w:t>
            </w:r>
            <w:r>
              <w:rPr>
                <w:rFonts w:asciiTheme="minorHAnsi" w:hAnsiTheme="minorHAnsi" w:cstheme="minorHAnsi"/>
                <w:sz w:val="18"/>
                <w:szCs w:val="18"/>
              </w:rPr>
              <w:t xml:space="preserve">the CV </w:t>
            </w:r>
            <w:r w:rsidRPr="000C716A">
              <w:rPr>
                <w:rFonts w:asciiTheme="minorHAnsi" w:hAnsiTheme="minorHAnsi" w:cstheme="minorHAnsi"/>
                <w:sz w:val="18"/>
                <w:szCs w:val="18"/>
              </w:rPr>
              <w:t xml:space="preserve">link. Please accept </w:t>
            </w:r>
            <w:r>
              <w:rPr>
                <w:rFonts w:asciiTheme="minorHAnsi" w:hAnsiTheme="minorHAnsi" w:cstheme="minorHAnsi"/>
                <w:sz w:val="18"/>
                <w:szCs w:val="18"/>
              </w:rPr>
              <w:t>Shake Energy’s</w:t>
            </w:r>
            <w:r w:rsidRPr="000C716A">
              <w:rPr>
                <w:rFonts w:asciiTheme="minorHAnsi" w:hAnsiTheme="minorHAnsi" w:cstheme="minorHAnsi"/>
                <w:sz w:val="18"/>
                <w:szCs w:val="18"/>
              </w:rPr>
              <w:t xml:space="preserve"> LOI attached.</w:t>
            </w:r>
          </w:p>
        </w:tc>
      </w:tr>
      <w:tr w:rsidR="00DF317D" w:rsidTr="000C716A" w14:paraId="42606068" w14:textId="77777777">
        <w:tc>
          <w:tcPr>
            <w:tcW w:w="1817" w:type="dxa"/>
          </w:tcPr>
          <w:p w:rsidRPr="00072786" w:rsidR="00072786" w:rsidP="00072786" w:rsidRDefault="00072786" w14:paraId="47E3B954" w14:textId="77777777">
            <w:pPr>
              <w:pStyle w:val="NormalWeb"/>
              <w:shd w:val="clear" w:color="auto" w:fill="FFFFFF"/>
              <w:ind w:firstLine="0"/>
              <w:rPr>
                <w:rFonts w:asciiTheme="minorHAnsi" w:hAnsiTheme="minorHAnsi" w:cstheme="minorHAnsi"/>
                <w:sz w:val="18"/>
                <w:szCs w:val="18"/>
              </w:rPr>
            </w:pPr>
            <w:r w:rsidRPr="00072786">
              <w:rPr>
                <w:rFonts w:asciiTheme="minorHAnsi" w:hAnsiTheme="minorHAnsi" w:cstheme="minorHAnsi"/>
                <w:color w:val="201F1E"/>
                <w:sz w:val="18"/>
                <w:szCs w:val="18"/>
              </w:rPr>
              <w:t>County of Monterey</w:t>
            </w:r>
          </w:p>
          <w:p w:rsidRPr="00072786" w:rsidR="00DF317D" w:rsidP="007D2A01" w:rsidRDefault="00DF317D" w14:paraId="31FAA0E1" w14:textId="77777777">
            <w:pPr>
              <w:rPr>
                <w:rFonts w:asciiTheme="minorHAnsi" w:hAnsiTheme="minorHAnsi" w:cstheme="minorHAnsi"/>
                <w:sz w:val="18"/>
                <w:szCs w:val="18"/>
              </w:rPr>
            </w:pPr>
          </w:p>
        </w:tc>
        <w:tc>
          <w:tcPr>
            <w:tcW w:w="1601" w:type="dxa"/>
          </w:tcPr>
          <w:p w:rsidRPr="00072786" w:rsidR="00072786" w:rsidP="00072786" w:rsidRDefault="00072786" w14:paraId="10AC75D6" w14:textId="77777777">
            <w:pPr>
              <w:pStyle w:val="NormalWeb"/>
              <w:shd w:val="clear" w:color="auto" w:fill="FFFFFF"/>
              <w:ind w:firstLine="0"/>
              <w:rPr>
                <w:rFonts w:asciiTheme="minorHAnsi" w:hAnsiTheme="minorHAnsi" w:cstheme="minorHAnsi"/>
                <w:sz w:val="18"/>
                <w:szCs w:val="18"/>
              </w:rPr>
            </w:pPr>
            <w:r w:rsidRPr="00072786">
              <w:rPr>
                <w:rFonts w:asciiTheme="minorHAnsi" w:hAnsiTheme="minorHAnsi" w:cstheme="minorHAnsi"/>
                <w:color w:val="201F1E"/>
                <w:sz w:val="18"/>
                <w:szCs w:val="18"/>
              </w:rPr>
              <w:t>Sustainable Infrastructure Analyst</w:t>
            </w:r>
          </w:p>
          <w:p w:rsidRPr="00072786" w:rsidR="00DF317D" w:rsidP="007D2A01" w:rsidRDefault="00DF317D" w14:paraId="76FAABA8" w14:textId="77777777">
            <w:pPr>
              <w:rPr>
                <w:rFonts w:asciiTheme="minorHAnsi" w:hAnsiTheme="minorHAnsi" w:cstheme="minorHAnsi"/>
                <w:sz w:val="18"/>
                <w:szCs w:val="18"/>
              </w:rPr>
            </w:pPr>
          </w:p>
        </w:tc>
        <w:tc>
          <w:tcPr>
            <w:tcW w:w="2730" w:type="dxa"/>
          </w:tcPr>
          <w:p w:rsidRPr="00072786" w:rsidR="00DF317D" w:rsidP="007D2A01" w:rsidRDefault="005B7392" w14:paraId="09984DA9" w14:textId="6916BAD0">
            <w:pPr>
              <w:rPr>
                <w:rFonts w:asciiTheme="minorHAnsi" w:hAnsiTheme="minorHAnsi" w:cstheme="minorHAnsi"/>
                <w:sz w:val="18"/>
                <w:szCs w:val="18"/>
              </w:rPr>
            </w:pPr>
            <w:hyperlink w:tgtFrame="_blank" w:history="1" r:id="rId10">
              <w:r w:rsidRPr="00072786" w:rsidR="00072786">
                <w:rPr>
                  <w:rStyle w:val="Hyperlink"/>
                  <w:rFonts w:asciiTheme="minorHAnsi" w:hAnsiTheme="minorHAnsi" w:cstheme="minorHAnsi"/>
                  <w:color w:val="0563C1"/>
                  <w:sz w:val="18"/>
                  <w:szCs w:val="18"/>
                </w:rPr>
                <w:t>website</w:t>
              </w:r>
            </w:hyperlink>
          </w:p>
        </w:tc>
        <w:tc>
          <w:tcPr>
            <w:tcW w:w="3027" w:type="dxa"/>
          </w:tcPr>
          <w:p w:rsidRPr="00072786" w:rsidR="00DF317D" w:rsidP="00072786" w:rsidRDefault="000C716A" w14:paraId="32E8092A" w14:textId="5D4521C7">
            <w:pPr>
              <w:rPr>
                <w:rFonts w:asciiTheme="minorHAnsi" w:hAnsiTheme="minorHAnsi" w:cstheme="minorHAnsi"/>
                <w:sz w:val="18"/>
                <w:szCs w:val="18"/>
              </w:rPr>
            </w:pPr>
            <w:r>
              <w:rPr>
                <w:rFonts w:asciiTheme="minorHAnsi" w:hAnsiTheme="minorHAnsi" w:cstheme="minorHAnsi"/>
                <w:sz w:val="18"/>
                <w:szCs w:val="18"/>
              </w:rPr>
              <w:t>W</w:t>
            </w:r>
            <w:r w:rsidRPr="00072786" w:rsidR="00072786">
              <w:rPr>
                <w:rFonts w:asciiTheme="minorHAnsi" w:hAnsiTheme="minorHAnsi" w:cstheme="minorHAnsi"/>
                <w:sz w:val="18"/>
                <w:szCs w:val="18"/>
              </w:rPr>
              <w:t>ould you provide an estimate for the timeline of the grant award after the 7/18 final application submission? I have a few staff members excited to put hypothetical dates on the project.</w:t>
            </w:r>
          </w:p>
        </w:tc>
      </w:tr>
      <w:tr w:rsidR="00DF317D" w:rsidTr="000C716A" w14:paraId="2DAA991F" w14:textId="77777777">
        <w:tc>
          <w:tcPr>
            <w:tcW w:w="1817" w:type="dxa"/>
          </w:tcPr>
          <w:p w:rsidRPr="00072786" w:rsidR="00DF317D" w:rsidP="007D2A01" w:rsidRDefault="00072786" w14:paraId="74600678" w14:textId="5ECCF508">
            <w:pPr>
              <w:rPr>
                <w:rFonts w:asciiTheme="minorHAnsi" w:hAnsiTheme="minorHAnsi" w:cstheme="minorHAnsi"/>
                <w:sz w:val="18"/>
                <w:szCs w:val="18"/>
              </w:rPr>
            </w:pPr>
            <w:r w:rsidRPr="00072786">
              <w:rPr>
                <w:rFonts w:asciiTheme="minorHAnsi" w:hAnsiTheme="minorHAnsi" w:cstheme="minorHAnsi"/>
                <w:sz w:val="18"/>
                <w:szCs w:val="18"/>
              </w:rPr>
              <w:t>Prairie Band Potawatomi Tribal Nation</w:t>
            </w:r>
          </w:p>
        </w:tc>
        <w:tc>
          <w:tcPr>
            <w:tcW w:w="1601" w:type="dxa"/>
          </w:tcPr>
          <w:p w:rsidRPr="00072786" w:rsidR="00DF317D" w:rsidP="007D2A01" w:rsidRDefault="00072786" w14:paraId="22E52168" w14:textId="67C693F0">
            <w:pPr>
              <w:rPr>
                <w:rFonts w:asciiTheme="minorHAnsi" w:hAnsiTheme="minorHAnsi" w:cstheme="minorHAnsi"/>
                <w:sz w:val="18"/>
                <w:szCs w:val="18"/>
              </w:rPr>
            </w:pPr>
            <w:r w:rsidRPr="00072786">
              <w:rPr>
                <w:rFonts w:asciiTheme="minorHAnsi" w:hAnsiTheme="minorHAnsi" w:cstheme="minorHAnsi"/>
                <w:sz w:val="18"/>
                <w:szCs w:val="18"/>
              </w:rPr>
              <w:t>Tribal Grants Manager</w:t>
            </w:r>
          </w:p>
        </w:tc>
        <w:tc>
          <w:tcPr>
            <w:tcW w:w="2730" w:type="dxa"/>
          </w:tcPr>
          <w:p w:rsidR="00DF317D" w:rsidP="007D2A01" w:rsidRDefault="005B7392" w14:paraId="6A343020" w14:textId="016CB31B">
            <w:pPr>
              <w:rPr>
                <w:rFonts w:asciiTheme="minorHAnsi" w:hAnsiTheme="minorHAnsi" w:cstheme="minorHAnsi"/>
                <w:sz w:val="18"/>
                <w:szCs w:val="18"/>
              </w:rPr>
            </w:pPr>
            <w:hyperlink w:history="1" r:id="rId11">
              <w:r w:rsidRPr="00264A7F" w:rsidR="000C716A">
                <w:rPr>
                  <w:rStyle w:val="Hyperlink"/>
                  <w:rFonts w:asciiTheme="minorHAnsi" w:hAnsiTheme="minorHAnsi" w:cstheme="minorHAnsi"/>
                  <w:sz w:val="18"/>
                  <w:szCs w:val="18"/>
                </w:rPr>
                <w:t>https://www.pbpindiantribe.com/</w:t>
              </w:r>
            </w:hyperlink>
          </w:p>
          <w:p w:rsidRPr="00072786" w:rsidR="000C716A" w:rsidP="007D2A01" w:rsidRDefault="000C716A" w14:paraId="4B3F5757" w14:textId="3CB7974D">
            <w:pPr>
              <w:rPr>
                <w:rFonts w:asciiTheme="minorHAnsi" w:hAnsiTheme="minorHAnsi" w:cstheme="minorHAnsi"/>
                <w:sz w:val="18"/>
                <w:szCs w:val="18"/>
              </w:rPr>
            </w:pPr>
          </w:p>
        </w:tc>
        <w:tc>
          <w:tcPr>
            <w:tcW w:w="3027" w:type="dxa"/>
          </w:tcPr>
          <w:p w:rsidRPr="00072786" w:rsidR="00DF317D" w:rsidP="007D2A01" w:rsidRDefault="000C716A" w14:paraId="58068629" w14:textId="2E080FCF">
            <w:pPr>
              <w:rPr>
                <w:rFonts w:asciiTheme="minorHAnsi" w:hAnsiTheme="minorHAnsi" w:cstheme="minorHAnsi"/>
                <w:sz w:val="18"/>
                <w:szCs w:val="18"/>
              </w:rPr>
            </w:pPr>
            <w:r w:rsidRPr="000C716A">
              <w:rPr>
                <w:rFonts w:asciiTheme="minorHAnsi" w:hAnsiTheme="minorHAnsi" w:cstheme="minorHAnsi"/>
                <w:sz w:val="18"/>
                <w:szCs w:val="18"/>
              </w:rPr>
              <w:t>I was hoping to get confirmation that the LOI was received/uploaded correctly. Would it be possible to get such confirmation for our records?</w:t>
            </w:r>
          </w:p>
        </w:tc>
      </w:tr>
    </w:tbl>
    <w:p w:rsidR="00DF317D" w:rsidP="007D2A01" w:rsidRDefault="00DF317D" w14:paraId="4B34088F" w14:textId="14D396BD"/>
    <w:p w:rsidR="00DF317D" w:rsidP="007D2A01" w:rsidRDefault="00D52AF5" w14:paraId="2FE7DC05" w14:textId="628FBDC0">
      <w:r>
        <w:t>The comments primarily concern processes and not the actual paperwork associated with the application process.  Based on this input, the Agency assumes no issues with the paperwork requested.  However, the Agency determined, outside of public comments, that the request for a technical report and planning documents was excessive as the program deals only with already accepted and available technologies and has removed that requirement for future funding rounds.</w:t>
      </w:r>
    </w:p>
    <w:p w:rsidR="00D52AF5" w:rsidP="007D2A01" w:rsidRDefault="00D52AF5" w14:paraId="3F6F46F1" w14:textId="2B015D60"/>
    <w:p w:rsidRPr="00E958E6" w:rsidR="000F373E" w:rsidP="00E5733C" w:rsidRDefault="00C460EC" w14:paraId="78128B15"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A6E9D2F" w14:textId="77777777"/>
    <w:p w:rsidR="00894185" w:rsidP="00894185" w:rsidRDefault="00894185" w14:paraId="2F052CC8" w14:textId="77777777">
      <w:r>
        <w:t>There is no payment made nor gift given to respondents.</w:t>
      </w:r>
    </w:p>
    <w:p w:rsidR="004B208C" w:rsidP="00E5733C" w:rsidRDefault="004B208C" w14:paraId="5A44E835" w14:textId="77777777"/>
    <w:p w:rsidR="008E3FA4" w:rsidP="00EC2A19" w:rsidRDefault="008E3FA4" w14:paraId="63978983"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47834586" w14:textId="77777777">
      <w:pPr>
        <w:keepNext/>
      </w:pPr>
    </w:p>
    <w:p w:rsidR="004E74D7" w:rsidP="004E74D7" w:rsidRDefault="00894185" w14:paraId="0044CD5C" w14:textId="3C8D0C36">
      <w:r>
        <w:t xml:space="preserve">The information collected pertains mostly to administering federal grant funds according to rules and regulations and to </w:t>
      </w:r>
      <w:r w:rsidRPr="00722BBB">
        <w:rPr>
          <w:bCs/>
        </w:rPr>
        <w:t>program and policy evaluation</w:t>
      </w:r>
      <w:r>
        <w:t xml:space="preserve">. </w:t>
      </w:r>
      <w:r w:rsidR="004E74D7">
        <w:t xml:space="preserve">The Agency does support maintenance of confidentiality when appropriate.  The Agency published a Privacy Act of 1974; System of Records in the Federal Register on May 14, 2019 (84 FR 21315).  A copy of that document can be found at </w:t>
      </w:r>
      <w:hyperlink w:history="1" r:id="rId12">
        <w:r w:rsidR="004E74D7">
          <w:rPr>
            <w:rStyle w:val="Hyperlink"/>
          </w:rPr>
          <w:t>https://www.govinfo.gov/content/pkg/FR-2019-05-14/pdf/2019-09874.pdf</w:t>
        </w:r>
      </w:hyperlink>
      <w:r w:rsidR="004E74D7">
        <w:t>.</w:t>
      </w:r>
    </w:p>
    <w:p w:rsidR="00894185" w:rsidP="00894185" w:rsidRDefault="00894185" w14:paraId="5F46EFB3" w14:textId="6A86EE54"/>
    <w:p w:rsidR="000F373E" w:rsidP="00A35CE0" w:rsidRDefault="000F373E" w14:paraId="6902BB89" w14:textId="77777777"/>
    <w:p w:rsidR="008E3FA4" w:rsidP="008E3FA4" w:rsidRDefault="008E3FA4" w14:paraId="28E15F99" w14:textId="77777777">
      <w:pPr>
        <w:rPr>
          <w:b/>
        </w:rPr>
      </w:pPr>
      <w:r>
        <w:rPr>
          <w:b/>
        </w:rPr>
        <w:lastRenderedPageBreak/>
        <w:t>11.  Provide additional justification for any question of a sensitive nature, such as sexual behavior and attitudes, religious beliefs, and other matters that are commonly considered private.</w:t>
      </w:r>
    </w:p>
    <w:p w:rsidR="008E3FA4" w:rsidP="008E3FA4" w:rsidRDefault="008E3FA4" w14:paraId="691D287A" w14:textId="77777777"/>
    <w:p w:rsidR="001C2822" w:rsidP="001C2822" w:rsidRDefault="008E3FA4" w14:paraId="1EA6BD7E" w14:textId="38DC54BD">
      <w:r>
        <w:t xml:space="preserve">The information collected under </w:t>
      </w:r>
      <w:r w:rsidR="00FA2F5A">
        <w:t xml:space="preserve">NOFO </w:t>
      </w:r>
      <w:r>
        <w:t xml:space="preserve">is </w:t>
      </w:r>
      <w:r w:rsidR="0035056B">
        <w:t xml:space="preserve">technical and </w:t>
      </w:r>
      <w:r>
        <w:t xml:space="preserve">financial in nature.  As a condition for the receipt of federal grant funds, </w:t>
      </w:r>
      <w:r w:rsidR="00031208">
        <w:t>RBCS</w:t>
      </w:r>
      <w:r>
        <w:t xml:space="preserve"> </w:t>
      </w:r>
      <w:r w:rsidR="0031308D">
        <w:t xml:space="preserve">will handle </w:t>
      </w:r>
      <w:r>
        <w:t xml:space="preserve">financial information as </w:t>
      </w:r>
      <w:r w:rsidR="0031308D">
        <w:t xml:space="preserve">part of the </w:t>
      </w:r>
      <w:r w:rsidR="0035056B">
        <w:t xml:space="preserve">partnership </w:t>
      </w:r>
      <w:r>
        <w:t>operations.  However, the information is required to properly administer federal funds</w:t>
      </w:r>
      <w:r w:rsidR="008100FA">
        <w:t>.</w:t>
      </w:r>
    </w:p>
    <w:p w:rsidR="004B208C" w:rsidP="001C2822" w:rsidRDefault="004B208C" w14:paraId="7DC05732" w14:textId="77777777"/>
    <w:p w:rsidR="008E3FA4" w:rsidP="008E3FA4" w:rsidRDefault="008E3FA4" w14:paraId="56DE23DB" w14:textId="77777777">
      <w:pPr>
        <w:rPr>
          <w:b/>
        </w:rPr>
      </w:pPr>
      <w:r w:rsidRPr="003C5FDC">
        <w:rPr>
          <w:b/>
        </w:rPr>
        <w:t>12.  Provide estimates of the hour burden of the collection of information.</w:t>
      </w:r>
    </w:p>
    <w:p w:rsidR="001C2822" w:rsidP="001C2822" w:rsidRDefault="001C2822" w14:paraId="23126ACB" w14:textId="77777777"/>
    <w:p w:rsidR="00B55569" w:rsidP="00E958E6" w:rsidRDefault="00B55569" w14:paraId="1497A63F" w14:textId="1317F038">
      <w:r>
        <w:t xml:space="preserve">The burden for the </w:t>
      </w:r>
      <w:r w:rsidR="00031208">
        <w:t xml:space="preserve">HBIIP </w:t>
      </w:r>
      <w:r>
        <w:t xml:space="preserve">collection of information includes both the upfront one-time application and the on-going reporting, which will include </w:t>
      </w:r>
      <w:r w:rsidR="00CD2BB7">
        <w:t xml:space="preserve">semi-annual, and </w:t>
      </w:r>
      <w:r>
        <w:t>annual</w:t>
      </w:r>
      <w:r w:rsidR="00031208">
        <w:t xml:space="preserve"> </w:t>
      </w:r>
      <w:r>
        <w:t xml:space="preserve">reporting. The reporting may include additional reports for projects that run longer.  So, the estimate of the annual burden and costs reflects the average of the one-time and the annual information collection activities.  These estimates were prepared based on the variety of forms and other information collection methods that will be used by the </w:t>
      </w:r>
      <w:r w:rsidR="00CD2BB7">
        <w:t>RBCS</w:t>
      </w:r>
      <w:r>
        <w:t>.</w:t>
      </w:r>
    </w:p>
    <w:p w:rsidR="009466EF" w:rsidP="00E958E6" w:rsidRDefault="009466EF" w14:paraId="1E2D93EC" w14:textId="77777777"/>
    <w:p w:rsidR="00AB004D" w:rsidP="00AB004D" w:rsidRDefault="00542B7C" w14:paraId="5273E8C3" w14:textId="05F0C81A">
      <w:r w:rsidRPr="00542B7C">
        <w:t>For a detailed breakdown of the burden for the forms and activities, please see the attached spreadsheet.  The collection is summarized as follows:</w:t>
      </w:r>
    </w:p>
    <w:p w:rsidR="00A55C1F" w:rsidP="00AB004D" w:rsidRDefault="00A55C1F" w14:paraId="01394E7D" w14:textId="0E84B800"/>
    <w:p w:rsidR="00A55C1F" w:rsidP="00A55C1F" w:rsidRDefault="00A55C1F" w14:paraId="7E7CA069"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A55C1F" w:rsidTr="003B3BCC" w14:paraId="59B5824F"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A55C1F" w:rsidP="003B3BCC" w:rsidRDefault="00A55C1F" w14:paraId="0E22C54F" w14:textId="77777777">
            <w:pPr>
              <w:suppressAutoHyphens/>
              <w:jc w:val="center"/>
            </w:pPr>
            <w:r w:rsidRPr="007D215E">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A55C1F" w:rsidP="003B3BCC" w:rsidRDefault="00A55C1F" w14:paraId="66F82BCF" w14:textId="77777777">
            <w:pPr>
              <w:suppressAutoHyphens/>
              <w:jc w:val="center"/>
            </w:pPr>
            <w:r w:rsidRPr="007D215E">
              <w:t>Estimated Yearly Average Burden</w:t>
            </w:r>
          </w:p>
        </w:tc>
      </w:tr>
      <w:tr w:rsidR="00A55C1F" w:rsidTr="003B3BCC" w14:paraId="776C5D5A"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A55C1F" w:rsidP="003B3BCC" w:rsidRDefault="00A55C1F" w14:paraId="2354EFEF" w14:textId="77777777">
            <w:pPr>
              <w:suppressAutoHyphens/>
            </w:pPr>
            <w:r w:rsidRPr="007D215E">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A55C1F" w:rsidP="003B3BCC" w:rsidRDefault="00A55C1F" w14:paraId="0C85787F" w14:textId="63EA9121">
            <w:pPr>
              <w:suppressAutoHyphens/>
              <w:jc w:val="center"/>
            </w:pPr>
            <w:r>
              <w:t>100</w:t>
            </w:r>
          </w:p>
        </w:tc>
      </w:tr>
      <w:tr w:rsidR="00A55C1F" w:rsidTr="003B3BCC" w14:paraId="3FC5400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A55C1F" w:rsidP="003B3BCC" w:rsidRDefault="00A55C1F" w14:paraId="13462EE6" w14:textId="77777777">
            <w:pPr>
              <w:suppressAutoHyphens/>
            </w:pPr>
            <w:r w:rsidRPr="007D215E">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A55C1F" w:rsidP="003B3BCC" w:rsidRDefault="00A55C1F" w14:paraId="0681E1EF" w14:textId="30E13E3B">
            <w:pPr>
              <w:suppressAutoHyphens/>
              <w:jc w:val="center"/>
            </w:pPr>
            <w:r>
              <w:t>265</w:t>
            </w:r>
          </w:p>
        </w:tc>
      </w:tr>
      <w:tr w:rsidR="00A55C1F" w:rsidTr="003B3BCC" w14:paraId="667156A8"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A55C1F" w:rsidP="003B3BCC" w:rsidRDefault="00A55C1F" w14:paraId="0D361AD9" w14:textId="77777777">
            <w:pPr>
              <w:suppressAutoHyphens/>
            </w:pPr>
            <w:r w:rsidRPr="007D215E">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A55C1F" w:rsidP="003B3BCC" w:rsidRDefault="00A55C1F" w14:paraId="6FB0A330" w14:textId="4F336AEE">
            <w:pPr>
              <w:suppressAutoHyphens/>
              <w:jc w:val="center"/>
            </w:pPr>
            <w:r>
              <w:t>4,621.75</w:t>
            </w:r>
          </w:p>
        </w:tc>
      </w:tr>
      <w:tr w:rsidR="00A55C1F" w:rsidTr="003B3BCC" w14:paraId="360BA008"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A55C1F" w:rsidP="003B3BCC" w:rsidRDefault="00A55C1F" w14:paraId="25164C5D" w14:textId="77777777">
            <w:pPr>
              <w:suppressAutoHyphens/>
            </w:pPr>
            <w:r w:rsidRPr="007D215E">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A55C1F" w:rsidP="003B3BCC" w:rsidRDefault="00A55C1F" w14:paraId="637C63C0" w14:textId="203B31B8">
            <w:pPr>
              <w:suppressAutoHyphens/>
              <w:jc w:val="center"/>
            </w:pPr>
            <w:r>
              <w:t>$</w:t>
            </w:r>
            <w:r>
              <w:t>82.49</w:t>
            </w:r>
          </w:p>
        </w:tc>
      </w:tr>
      <w:tr w:rsidR="00A55C1F" w:rsidTr="003B3BCC" w14:paraId="44119E2C"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A55C1F" w:rsidP="003B3BCC" w:rsidRDefault="00A55C1F" w14:paraId="7707203B" w14:textId="77777777">
            <w:pPr>
              <w:suppressAutoHyphens/>
            </w:pPr>
            <w:r w:rsidRPr="007D215E">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A55C1F" w:rsidP="003B3BCC" w:rsidRDefault="00A55C1F" w14:paraId="676C62A7" w14:textId="2488BC4D">
            <w:pPr>
              <w:suppressAutoHyphens/>
              <w:jc w:val="center"/>
            </w:pPr>
            <w:r>
              <w:t>$</w:t>
            </w:r>
            <w:r>
              <w:t>381,248</w:t>
            </w:r>
          </w:p>
        </w:tc>
      </w:tr>
    </w:tbl>
    <w:p w:rsidR="00A55C1F" w:rsidP="00AB004D" w:rsidRDefault="00A55C1F" w14:paraId="1493A063" w14:textId="77777777"/>
    <w:p w:rsidR="00CD2BB7" w:rsidP="00E958E6" w:rsidRDefault="00CD2BB7" w14:paraId="47BCA641" w14:textId="7C06E2BF"/>
    <w:p w:rsidR="00542B7C" w:rsidP="00E958E6" w:rsidRDefault="001E5E35" w14:paraId="70DA550F" w14:textId="2D7C9860">
      <w:r w:rsidRPr="00747E6E">
        <w:t xml:space="preserve">The wage rate utilized in the cost calculation are based on the Bureau of Labor Statistics, </w:t>
      </w:r>
      <w:r w:rsidRPr="00747E6E">
        <w:rPr>
          <w:u w:val="single"/>
        </w:rPr>
        <w:t xml:space="preserve">May </w:t>
      </w:r>
      <w:r w:rsidRPr="00747E6E" w:rsidR="005C7B51">
        <w:rPr>
          <w:u w:val="single"/>
        </w:rPr>
        <w:t>20</w:t>
      </w:r>
      <w:r w:rsidR="005C7B51">
        <w:rPr>
          <w:u w:val="single"/>
        </w:rPr>
        <w:t>2</w:t>
      </w:r>
      <w:r w:rsidR="00A55C1F">
        <w:rPr>
          <w:u w:val="single"/>
        </w:rPr>
        <w:t>1</w:t>
      </w:r>
      <w:r w:rsidRPr="00747E6E" w:rsidR="005C7B51">
        <w:rPr>
          <w:u w:val="single"/>
        </w:rPr>
        <w:t xml:space="preserve"> </w:t>
      </w:r>
      <w:r w:rsidRPr="00747E6E">
        <w:rPr>
          <w:u w:val="single"/>
        </w:rPr>
        <w:t>National Employment and Wage Estimates United States</w:t>
      </w:r>
      <w:r w:rsidRPr="00747E6E">
        <w:t xml:space="preserve"> retrieved from </w:t>
      </w:r>
      <w:hyperlink w:history="1" r:id="rId13">
        <w:r w:rsidRPr="00747E6E">
          <w:rPr>
            <w:rStyle w:val="Hyperlink"/>
          </w:rPr>
          <w:t>http://www.bls.gov/oes/c</w:t>
        </w:r>
        <w:r w:rsidRPr="00747E6E">
          <w:rPr>
            <w:rStyle w:val="Hyperlink"/>
          </w:rPr>
          <w:t>u</w:t>
        </w:r>
        <w:r w:rsidRPr="00747E6E">
          <w:rPr>
            <w:rStyle w:val="Hyperlink"/>
          </w:rPr>
          <w:t>rrent/oes_nat.htm</w:t>
        </w:r>
      </w:hyperlink>
      <w:r w:rsidRPr="00747E6E">
        <w:t xml:space="preserve">. </w:t>
      </w:r>
      <w:r>
        <w:t xml:space="preserve"> </w:t>
      </w:r>
      <w:r w:rsidRPr="00747E6E">
        <w:t xml:space="preserve">The category of occupations is management. The professional wage rate is the median hourly wage rate for </w:t>
      </w:r>
      <w:r>
        <w:t>Public Relations and Fundraising Managers</w:t>
      </w:r>
      <w:r w:rsidRPr="00747E6E">
        <w:t xml:space="preserve">, (Occupation Code </w:t>
      </w:r>
      <w:r>
        <w:t>11-2030</w:t>
      </w:r>
      <w:r w:rsidRPr="00747E6E">
        <w:t>) of $</w:t>
      </w:r>
      <w:r w:rsidR="00A55C1F">
        <w:t>63.85</w:t>
      </w:r>
      <w:r w:rsidRPr="00747E6E">
        <w:t xml:space="preserve">.  Historical data provided by the Bureau of Labor Statistics, </w:t>
      </w:r>
      <w:r w:rsidRPr="00747E6E">
        <w:rPr>
          <w:u w:val="single"/>
        </w:rPr>
        <w:t xml:space="preserve">Employer Cost for Employee Compensation, Supplementary Tables, National Compensation Survey, September 2020 </w:t>
      </w:r>
      <w:r w:rsidRPr="00747E6E">
        <w:t>is utilized to calculate the total cost of benefits.</w:t>
      </w:r>
      <w:r w:rsidRPr="00747E6E">
        <w:rPr>
          <w:bCs/>
        </w:rPr>
        <w:t xml:space="preserve">  Benefits as a percentage of total compensation for private industry workers in professional and business services industries were 29.2% of total hourly compensation</w:t>
      </w:r>
      <w:r w:rsidR="00E02787">
        <w:rPr>
          <w:bCs/>
        </w:rPr>
        <w:t xml:space="preserve"> for a grand total of $8</w:t>
      </w:r>
      <w:r w:rsidR="00A55C1F">
        <w:rPr>
          <w:bCs/>
        </w:rPr>
        <w:t>2.49</w:t>
      </w:r>
      <w:r w:rsidR="00E02787">
        <w:rPr>
          <w:bCs/>
        </w:rPr>
        <w:t xml:space="preserve"> per hour.</w:t>
      </w:r>
    </w:p>
    <w:p w:rsidR="00542B7C" w:rsidP="00E958E6" w:rsidRDefault="00542B7C" w14:paraId="195167F1" w14:textId="77777777"/>
    <w:p w:rsidR="008E3FA4" w:rsidP="00B94C10" w:rsidRDefault="008E3FA4" w14:paraId="3FA27F51" w14:textId="77777777">
      <w:pPr>
        <w:keepNext/>
        <w:rPr>
          <w:b/>
        </w:rPr>
      </w:pPr>
      <w:r>
        <w:rPr>
          <w:b/>
        </w:rPr>
        <w:lastRenderedPageBreak/>
        <w:t>13.  Provide an estimate of the total annual cost burden to respondents or record keepers resulting from the collection of information.</w:t>
      </w:r>
    </w:p>
    <w:p w:rsidR="00597A4B" w:rsidP="00B94C10" w:rsidRDefault="00597A4B" w14:paraId="57FB23DC" w14:textId="77777777">
      <w:pPr>
        <w:keepNext/>
        <w:rPr>
          <w:b/>
        </w:rPr>
      </w:pPr>
    </w:p>
    <w:p w:rsidRPr="00597A4B" w:rsidR="00597A4B" w:rsidP="00B94C10" w:rsidRDefault="00597A4B" w14:paraId="589B9C2B" w14:textId="606BDE44">
      <w:pPr>
        <w:keepNext/>
        <w:rPr>
          <w:bCs/>
        </w:rPr>
      </w:pPr>
      <w:r w:rsidRPr="00981EB5">
        <w:rPr>
          <w:bCs/>
        </w:rPr>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007A1D36">
        <w:rPr>
          <w:bCs/>
        </w:rPr>
        <w:t xml:space="preserve">grantees will be required to provide </w:t>
      </w:r>
      <w:r w:rsidRPr="00981EB5">
        <w:rPr>
          <w:bCs/>
        </w:rPr>
        <w:t xml:space="preserve">information </w:t>
      </w:r>
      <w:r w:rsidR="007A1D36">
        <w:rPr>
          <w:bCs/>
        </w:rPr>
        <w:t xml:space="preserve">that </w:t>
      </w:r>
      <w:r w:rsidRPr="00981EB5">
        <w:rPr>
          <w:bCs/>
        </w:rPr>
        <w:t>is required of the</w:t>
      </w:r>
      <w:r w:rsidR="007A1D36">
        <w:rPr>
          <w:bCs/>
        </w:rPr>
        <w:t>m, as indicated in the Grant Agreement</w:t>
      </w:r>
      <w:r w:rsidRPr="00981EB5">
        <w:rPr>
          <w:bCs/>
        </w:rPr>
        <w:t>.  Additional information is information the applicant would have available and would not be expected to recreate and, only requested under limited situations where formal mitigations measures have been required.</w:t>
      </w:r>
    </w:p>
    <w:p w:rsidR="007A1D36" w:rsidP="00B94C10" w:rsidRDefault="007A1D36" w14:paraId="4818E0E7" w14:textId="7D78E311">
      <w:pPr>
        <w:keepNext/>
        <w:rPr>
          <w:bCs/>
        </w:rPr>
      </w:pPr>
    </w:p>
    <w:p w:rsidR="008E3FA4" w:rsidP="00B94C10" w:rsidRDefault="008E3FA4" w14:paraId="46FD63ED" w14:textId="77777777">
      <w:pPr>
        <w:keepNext/>
        <w:rPr>
          <w:b/>
        </w:rPr>
      </w:pPr>
      <w:r w:rsidRPr="003C5FDC">
        <w:rPr>
          <w:b/>
        </w:rPr>
        <w:t>14.  Provide estimates of annualized cost to the Federal Government.</w:t>
      </w:r>
    </w:p>
    <w:p w:rsidR="00E023EE" w:rsidP="00B94C10" w:rsidRDefault="00E023EE" w14:paraId="01EF4F79" w14:textId="77777777">
      <w:pPr>
        <w:keepNext/>
      </w:pPr>
    </w:p>
    <w:p w:rsidR="009A6783" w:rsidP="009A6783" w:rsidRDefault="00D8764B" w14:paraId="5C6CDE7B" w14:textId="77777777">
      <w:pPr>
        <w:keepNext/>
      </w:pPr>
      <w:r>
        <w:t xml:space="preserve">Agency employees </w:t>
      </w:r>
      <w:r w:rsidR="00500F9C">
        <w:t xml:space="preserve">provide guidance and assistance to </w:t>
      </w:r>
      <w:r w:rsidR="00D20470">
        <w:t xml:space="preserve">applicants and awardees </w:t>
      </w:r>
      <w:r w:rsidR="00500F9C">
        <w:t xml:space="preserve">in obtaining and reporting the information needed.  In addition, they </w:t>
      </w:r>
      <w:r w:rsidR="00B94C10">
        <w:t xml:space="preserve">will </w:t>
      </w:r>
      <w:r w:rsidR="00500F9C">
        <w:t>ensure information provided is complete and accurate</w:t>
      </w:r>
      <w:r w:rsidR="00FE261D">
        <w:t>, and</w:t>
      </w:r>
      <w:r w:rsidR="00500F9C">
        <w:t xml:space="preserve"> to reduce the time it takes </w:t>
      </w:r>
      <w:r w:rsidR="00D20470">
        <w:t xml:space="preserve">an applicant and awardee </w:t>
      </w:r>
      <w:r w:rsidR="00500F9C">
        <w:t>to gather and submit th</w:t>
      </w:r>
      <w:r>
        <w:t>e</w:t>
      </w:r>
      <w:r w:rsidR="00500F9C">
        <w:t xml:space="preserve"> required </w:t>
      </w:r>
      <w:r>
        <w:t>information</w:t>
      </w:r>
      <w:r w:rsidR="00500F9C">
        <w:t>.  Lastly, employees review the information</w:t>
      </w:r>
      <w:r>
        <w:t xml:space="preserve"> provided to effectively administer federal grant funds according to applicable rules and regulations. </w:t>
      </w:r>
    </w:p>
    <w:p w:rsidR="00282440" w:rsidRDefault="00282440" w14:paraId="77C501DC" w14:textId="2AD3F620">
      <w:pPr>
        <w:rPr>
          <w:szCs w:val="20"/>
        </w:rPr>
      </w:pPr>
    </w:p>
    <w:p w:rsidR="003C5FDC" w:rsidP="009A6783" w:rsidRDefault="00067D21" w14:paraId="2EB5BF75" w14:textId="1CDE2805">
      <w:pPr>
        <w:keepNext/>
        <w:rPr>
          <w:szCs w:val="20"/>
        </w:rPr>
      </w:pPr>
      <w:r w:rsidRPr="009A6783">
        <w:rPr>
          <w:szCs w:val="20"/>
        </w:rPr>
        <w:t>Calculations are rounded. The cost to the Government is broken down as follows:</w:t>
      </w:r>
    </w:p>
    <w:p w:rsidR="00067D21" w:rsidP="009A6783" w:rsidRDefault="00067D21" w14:paraId="027960B4" w14:textId="77777777">
      <w:pPr>
        <w:keepNext/>
        <w:rPr>
          <w:szCs w:val="20"/>
        </w:rPr>
      </w:pPr>
    </w:p>
    <w:p w:rsidRPr="00067D21" w:rsidR="009A6783" w:rsidP="00067D21" w:rsidRDefault="00067D21" w14:paraId="7421E53F" w14:textId="7DEDE9B5">
      <w:pPr>
        <w:tabs>
          <w:tab w:val="left" w:pos="288"/>
          <w:tab w:val="left" w:pos="432"/>
          <w:tab w:val="left" w:pos="600"/>
          <w:tab w:val="left" w:pos="3600"/>
          <w:tab w:val="left" w:pos="4770"/>
          <w:tab w:val="right" w:pos="5184"/>
          <w:tab w:val="left" w:pos="5674"/>
          <w:tab w:val="left" w:pos="6192"/>
          <w:tab w:val="left" w:pos="6926"/>
          <w:tab w:val="left" w:pos="7200"/>
          <w:tab w:val="left" w:pos="7920"/>
          <w:tab w:val="right" w:pos="8496"/>
        </w:tabs>
        <w:spacing w:line="240" w:lineRule="exact"/>
        <w:rPr>
          <w:color w:val="00B050"/>
          <w:sz w:val="20"/>
          <w:szCs w:val="20"/>
        </w:rPr>
      </w:pPr>
      <w:r w:rsidRPr="00067D21">
        <w:rPr>
          <w:color w:val="00B050"/>
          <w:sz w:val="20"/>
          <w:szCs w:val="20"/>
        </w:rPr>
        <w:tab/>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350"/>
      </w:tblGrid>
      <w:tr w:rsidRPr="00067D21" w:rsidR="000F77F5" w:rsidTr="00042A8D" w14:paraId="603C20B2"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CCE6467" w14:textId="77777777">
            <w:pPr>
              <w:tabs>
                <w:tab w:val="left" w:pos="720"/>
                <w:tab w:val="left" w:pos="6192"/>
              </w:tabs>
              <w:spacing w:line="240" w:lineRule="exact"/>
              <w:rPr>
                <w:b/>
                <w:sz w:val="20"/>
                <w:szCs w:val="20"/>
              </w:rPr>
            </w:pPr>
            <w:r w:rsidRPr="009A6783">
              <w:rPr>
                <w:b/>
                <w:sz w:val="20"/>
                <w:szCs w:val="20"/>
              </w:rPr>
              <w:t>Activity</w:t>
            </w:r>
          </w:p>
        </w:tc>
        <w:tc>
          <w:tcPr>
            <w:tcW w:w="126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64EE6E93" w14:textId="1340284C">
            <w:pPr>
              <w:tabs>
                <w:tab w:val="left" w:pos="720"/>
                <w:tab w:val="left" w:pos="6192"/>
              </w:tabs>
              <w:spacing w:line="240" w:lineRule="exact"/>
              <w:rPr>
                <w:b/>
                <w:sz w:val="20"/>
                <w:szCs w:val="20"/>
              </w:rPr>
            </w:pPr>
            <w:r w:rsidRPr="009A6783">
              <w:rPr>
                <w:b/>
                <w:sz w:val="20"/>
                <w:szCs w:val="20"/>
              </w:rPr>
              <w:t xml:space="preserve">Number of applications </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A14EF38" w14:textId="70E8BB1D">
            <w:pPr>
              <w:tabs>
                <w:tab w:val="left" w:pos="720"/>
                <w:tab w:val="left" w:pos="6192"/>
              </w:tabs>
              <w:spacing w:line="240" w:lineRule="exact"/>
              <w:rPr>
                <w:b/>
                <w:sz w:val="20"/>
                <w:szCs w:val="20"/>
              </w:rPr>
            </w:pPr>
            <w:r w:rsidRPr="009A6783">
              <w:rPr>
                <w:b/>
                <w:sz w:val="20"/>
                <w:szCs w:val="20"/>
              </w:rPr>
              <w:t xml:space="preserve">No. of Review hours per application  </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1E97CB9" w14:textId="416EFF2F">
            <w:pPr>
              <w:tabs>
                <w:tab w:val="left" w:pos="720"/>
                <w:tab w:val="left" w:pos="6192"/>
              </w:tabs>
              <w:spacing w:line="240" w:lineRule="exact"/>
              <w:rPr>
                <w:b/>
                <w:sz w:val="20"/>
                <w:szCs w:val="20"/>
              </w:rPr>
            </w:pPr>
            <w:r w:rsidRPr="009A6783">
              <w:rPr>
                <w:b/>
                <w:sz w:val="20"/>
                <w:szCs w:val="20"/>
              </w:rPr>
              <w:t xml:space="preserve">Total Review  Hours </w:t>
            </w:r>
          </w:p>
        </w:tc>
        <w:tc>
          <w:tcPr>
            <w:tcW w:w="108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02A0DD1" w14:textId="559A778F">
            <w:pPr>
              <w:tabs>
                <w:tab w:val="left" w:pos="720"/>
                <w:tab w:val="left" w:pos="6192"/>
              </w:tabs>
              <w:spacing w:line="240" w:lineRule="exact"/>
              <w:rPr>
                <w:b/>
                <w:sz w:val="20"/>
                <w:szCs w:val="20"/>
              </w:rPr>
            </w:pPr>
            <w:r w:rsidRPr="009A6783">
              <w:rPr>
                <w:b/>
                <w:sz w:val="20"/>
                <w:szCs w:val="20"/>
              </w:rPr>
              <w:t>Rate</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59026087" w14:textId="4FEE0650">
            <w:pPr>
              <w:tabs>
                <w:tab w:val="left" w:pos="720"/>
                <w:tab w:val="left" w:pos="6192"/>
              </w:tabs>
              <w:spacing w:line="240" w:lineRule="exact"/>
              <w:rPr>
                <w:b/>
                <w:sz w:val="20"/>
                <w:szCs w:val="20"/>
              </w:rPr>
            </w:pPr>
            <w:r>
              <w:rPr>
                <w:b/>
                <w:sz w:val="20"/>
                <w:szCs w:val="20"/>
              </w:rPr>
              <w:t>Benefits</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79E7FA51" w14:textId="253AB2CB">
            <w:pPr>
              <w:tabs>
                <w:tab w:val="left" w:pos="720"/>
                <w:tab w:val="left" w:pos="6192"/>
              </w:tabs>
              <w:spacing w:line="240" w:lineRule="exact"/>
              <w:rPr>
                <w:b/>
                <w:sz w:val="20"/>
                <w:szCs w:val="20"/>
              </w:rPr>
            </w:pPr>
            <w:r>
              <w:rPr>
                <w:b/>
                <w:sz w:val="20"/>
                <w:szCs w:val="20"/>
              </w:rPr>
              <w:t>Total Costs</w:t>
            </w:r>
          </w:p>
          <w:p w:rsidRPr="009A6783" w:rsidR="000F77F5" w:rsidP="001A38FA" w:rsidRDefault="000F77F5" w14:paraId="0FA919B2" w14:textId="7A736A6C">
            <w:pPr>
              <w:tabs>
                <w:tab w:val="left" w:pos="720"/>
                <w:tab w:val="left" w:pos="6192"/>
              </w:tabs>
              <w:spacing w:line="240" w:lineRule="exact"/>
              <w:rPr>
                <w:b/>
                <w:sz w:val="20"/>
                <w:szCs w:val="20"/>
              </w:rPr>
            </w:pPr>
          </w:p>
        </w:tc>
      </w:tr>
      <w:tr w:rsidRPr="00067D21" w:rsidR="000F77F5" w:rsidTr="00042A8D" w14:paraId="3C4CB00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58FFE545" w14:textId="77777777">
            <w:pPr>
              <w:tabs>
                <w:tab w:val="left" w:pos="720"/>
                <w:tab w:val="left" w:pos="1200"/>
                <w:tab w:val="left" w:pos="8136"/>
              </w:tabs>
              <w:spacing w:line="240" w:lineRule="exact"/>
              <w:rPr>
                <w:b/>
                <w:bCs/>
                <w:sz w:val="20"/>
                <w:szCs w:val="20"/>
              </w:rPr>
            </w:pPr>
            <w:r w:rsidRPr="00A64B43">
              <w:rPr>
                <w:b/>
                <w:bCs/>
                <w:sz w:val="20"/>
                <w:szCs w:val="20"/>
              </w:rPr>
              <w:t xml:space="preserve">Step 1: </w:t>
            </w:r>
          </w:p>
          <w:p w:rsidRPr="00A64B43" w:rsidR="000F77F5" w:rsidP="00067D21" w:rsidRDefault="00B46E0B" w14:paraId="45023FFF" w14:textId="4E06A3FB">
            <w:pPr>
              <w:tabs>
                <w:tab w:val="left" w:pos="720"/>
                <w:tab w:val="left" w:pos="1200"/>
                <w:tab w:val="left" w:pos="8136"/>
              </w:tabs>
              <w:spacing w:line="240" w:lineRule="exact"/>
              <w:rPr>
                <w:b/>
                <w:bCs/>
                <w:sz w:val="20"/>
                <w:szCs w:val="20"/>
              </w:rPr>
            </w:pPr>
            <w:r>
              <w:rPr>
                <w:b/>
                <w:bCs/>
                <w:sz w:val="20"/>
                <w:szCs w:val="20"/>
              </w:rPr>
              <w:t xml:space="preserve">Letter of Intent and Complete </w:t>
            </w:r>
            <w:r w:rsidRPr="00A64B43" w:rsidR="000F77F5">
              <w:rPr>
                <w:b/>
                <w:bCs/>
                <w:sz w:val="20"/>
                <w:szCs w:val="20"/>
              </w:rPr>
              <w:t xml:space="preserve">Application Review </w:t>
            </w:r>
          </w:p>
          <w:p w:rsidR="000F77F5" w:rsidP="00067D21" w:rsidRDefault="000F77F5" w14:paraId="3F0F49B4" w14:textId="77777777">
            <w:pPr>
              <w:tabs>
                <w:tab w:val="left" w:pos="720"/>
                <w:tab w:val="left" w:pos="1200"/>
                <w:tab w:val="left" w:pos="8136"/>
              </w:tabs>
              <w:spacing w:line="240" w:lineRule="exact"/>
              <w:rPr>
                <w:sz w:val="20"/>
                <w:szCs w:val="20"/>
              </w:rPr>
            </w:pPr>
            <w:r w:rsidRPr="00A64B43">
              <w:rPr>
                <w:sz w:val="20"/>
                <w:szCs w:val="20"/>
              </w:rPr>
              <w:t>(</w:t>
            </w:r>
            <w:r>
              <w:rPr>
                <w:sz w:val="20"/>
                <w:szCs w:val="20"/>
              </w:rPr>
              <w:t>Includes the following activities:</w:t>
            </w:r>
          </w:p>
          <w:p w:rsidR="000F77F5" w:rsidP="00067D21" w:rsidRDefault="000F77F5" w14:paraId="7A86F4E5"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eligibility</w:t>
            </w:r>
          </w:p>
          <w:p w:rsidR="000F77F5" w:rsidP="00067D21" w:rsidRDefault="000F77F5" w14:paraId="15347DF5"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compliance</w:t>
            </w:r>
          </w:p>
          <w:p w:rsidRPr="00A64B43" w:rsidR="000F77F5" w:rsidP="009A629C" w:rsidRDefault="000F77F5" w14:paraId="7DBF3EC7" w14:textId="6844805F">
            <w:pPr>
              <w:tabs>
                <w:tab w:val="left" w:pos="720"/>
                <w:tab w:val="left" w:pos="1200"/>
                <w:tab w:val="left" w:pos="8136"/>
              </w:tabs>
              <w:spacing w:line="240" w:lineRule="exact"/>
              <w:rPr>
                <w:sz w:val="20"/>
                <w:szCs w:val="20"/>
              </w:rPr>
            </w:pPr>
            <w:r>
              <w:rPr>
                <w:sz w:val="20"/>
                <w:szCs w:val="20"/>
              </w:rPr>
              <w:t xml:space="preserve">3) </w:t>
            </w:r>
            <w:r w:rsidRPr="00A64B43">
              <w:rPr>
                <w:sz w:val="20"/>
                <w:szCs w:val="20"/>
              </w:rPr>
              <w:t xml:space="preserve">completeness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2CD84AA3" w14:textId="4D7E16A1">
            <w:pPr>
              <w:tabs>
                <w:tab w:val="left" w:pos="720"/>
                <w:tab w:val="left" w:pos="6192"/>
              </w:tabs>
              <w:spacing w:line="240" w:lineRule="exact"/>
              <w:jc w:val="center"/>
              <w:rPr>
                <w:sz w:val="22"/>
                <w:szCs w:val="22"/>
              </w:rPr>
            </w:pPr>
            <w:r>
              <w:rPr>
                <w:sz w:val="22"/>
                <w:szCs w:val="22"/>
              </w:rPr>
              <w:t>25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0B409E3" w14:textId="7936FEFE">
            <w:pPr>
              <w:tabs>
                <w:tab w:val="left" w:pos="720"/>
                <w:tab w:val="left" w:pos="6192"/>
              </w:tabs>
              <w:spacing w:line="240" w:lineRule="exact"/>
              <w:jc w:val="center"/>
              <w:rPr>
                <w:sz w:val="22"/>
                <w:szCs w:val="22"/>
              </w:rPr>
            </w:pPr>
            <w:r>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7E29DE54" w14:textId="587A5B2B">
            <w:pPr>
              <w:tabs>
                <w:tab w:val="left" w:pos="720"/>
                <w:tab w:val="left" w:pos="6192"/>
              </w:tabs>
              <w:spacing w:line="240" w:lineRule="exact"/>
              <w:jc w:val="center"/>
              <w:rPr>
                <w:sz w:val="22"/>
                <w:szCs w:val="22"/>
              </w:rPr>
            </w:pPr>
            <w:r>
              <w:rPr>
                <w:sz w:val="22"/>
                <w:szCs w:val="22"/>
              </w:rPr>
              <w:t>100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5EC058F" w14:textId="31198BFC">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549B85C" w14:textId="4445A186">
            <w:pPr>
              <w:tabs>
                <w:tab w:val="left" w:pos="720"/>
                <w:tab w:val="left" w:pos="6192"/>
              </w:tabs>
              <w:spacing w:line="240" w:lineRule="exact"/>
              <w:jc w:val="center"/>
              <w:rPr>
                <w:sz w:val="22"/>
                <w:szCs w:val="22"/>
              </w:rPr>
            </w:pPr>
            <w:r w:rsidRPr="000A49EF">
              <w:rPr>
                <w:sz w:val="22"/>
                <w:szCs w:val="22"/>
              </w:rPr>
              <w:t>36.25%</w:t>
            </w:r>
          </w:p>
        </w:tc>
        <w:tc>
          <w:tcPr>
            <w:tcW w:w="1350" w:type="dxa"/>
            <w:tcBorders>
              <w:top w:val="single" w:color="auto" w:sz="4" w:space="0"/>
              <w:left w:val="single" w:color="auto" w:sz="4" w:space="0"/>
              <w:bottom w:val="single" w:color="auto" w:sz="4" w:space="0"/>
              <w:right w:val="single" w:color="auto" w:sz="4" w:space="0"/>
            </w:tcBorders>
          </w:tcPr>
          <w:p w:rsidRPr="00F60B28" w:rsidR="00F60B28" w:rsidP="00F60B28" w:rsidRDefault="00F60B28" w14:paraId="4887A642" w14:textId="3C1C115F">
            <w:pPr>
              <w:tabs>
                <w:tab w:val="left" w:pos="720"/>
                <w:tab w:val="left" w:pos="6192"/>
              </w:tabs>
              <w:spacing w:line="240" w:lineRule="exact"/>
              <w:jc w:val="center"/>
              <w:rPr>
                <w:b/>
                <w:bCs/>
                <w:sz w:val="22"/>
                <w:szCs w:val="22"/>
              </w:rPr>
            </w:pPr>
            <w:r w:rsidRPr="00F60B28">
              <w:rPr>
                <w:b/>
                <w:bCs/>
                <w:sz w:val="22"/>
                <w:szCs w:val="22"/>
              </w:rPr>
              <w:t>$7,</w:t>
            </w:r>
            <w:r w:rsidR="00E02787">
              <w:rPr>
                <w:b/>
                <w:bCs/>
                <w:sz w:val="22"/>
                <w:szCs w:val="22"/>
              </w:rPr>
              <w:t>672</w:t>
            </w:r>
          </w:p>
          <w:p w:rsidRPr="00F60B28" w:rsidR="00F60B28" w:rsidP="00F60B28" w:rsidRDefault="00F60B28" w14:paraId="17021AA7" w14:textId="77777777">
            <w:pPr>
              <w:tabs>
                <w:tab w:val="left" w:pos="720"/>
                <w:tab w:val="left" w:pos="6192"/>
              </w:tabs>
              <w:spacing w:line="240" w:lineRule="exact"/>
              <w:jc w:val="center"/>
              <w:rPr>
                <w:sz w:val="22"/>
                <w:szCs w:val="22"/>
              </w:rPr>
            </w:pPr>
          </w:p>
          <w:p w:rsidRPr="00F60B28" w:rsidR="00F60B28" w:rsidP="00F60B28" w:rsidRDefault="00F60B28" w14:paraId="46C548FE" w14:textId="1BD346A6">
            <w:pPr>
              <w:tabs>
                <w:tab w:val="left" w:pos="720"/>
                <w:tab w:val="left" w:pos="6192"/>
              </w:tabs>
              <w:spacing w:line="240" w:lineRule="exact"/>
              <w:rPr>
                <w:sz w:val="22"/>
                <w:szCs w:val="22"/>
              </w:rPr>
            </w:pPr>
            <w:r w:rsidRPr="00F60B28">
              <w:rPr>
                <w:sz w:val="22"/>
                <w:szCs w:val="22"/>
              </w:rPr>
              <w:t>$5,</w:t>
            </w:r>
            <w:r w:rsidR="00F713A1">
              <w:rPr>
                <w:sz w:val="22"/>
                <w:szCs w:val="22"/>
              </w:rPr>
              <w:t>631</w:t>
            </w:r>
          </w:p>
          <w:p w:rsidRPr="000A49EF" w:rsidR="000F77F5" w:rsidP="00F60B28" w:rsidRDefault="00F60B28" w14:paraId="1E85AD76" w14:textId="3A37A548">
            <w:pPr>
              <w:tabs>
                <w:tab w:val="left" w:pos="720"/>
                <w:tab w:val="left" w:pos="6192"/>
              </w:tabs>
              <w:spacing w:line="240" w:lineRule="exact"/>
              <w:rPr>
                <w:sz w:val="22"/>
                <w:szCs w:val="22"/>
              </w:rPr>
            </w:pPr>
            <w:r w:rsidRPr="00F60B28">
              <w:rPr>
                <w:sz w:val="22"/>
                <w:szCs w:val="22"/>
              </w:rPr>
              <w:t>$2,</w:t>
            </w:r>
            <w:r w:rsidRPr="00F60B28" w:rsidR="00F713A1">
              <w:rPr>
                <w:sz w:val="22"/>
                <w:szCs w:val="22"/>
              </w:rPr>
              <w:t>0</w:t>
            </w:r>
            <w:r w:rsidR="00F713A1">
              <w:rPr>
                <w:sz w:val="22"/>
                <w:szCs w:val="22"/>
              </w:rPr>
              <w:t>41</w:t>
            </w:r>
            <w:r w:rsidRPr="00F60B28" w:rsidR="00F713A1">
              <w:rPr>
                <w:sz w:val="22"/>
                <w:szCs w:val="22"/>
              </w:rPr>
              <w:t xml:space="preserve"> </w:t>
            </w:r>
            <w:r w:rsidRPr="000A49EF" w:rsidR="000F77F5">
              <w:rPr>
                <w:sz w:val="22"/>
                <w:szCs w:val="22"/>
              </w:rPr>
              <w:t>benefits</w:t>
            </w:r>
          </w:p>
        </w:tc>
      </w:tr>
      <w:tr w:rsidRPr="00067D21" w:rsidR="000F77F5" w:rsidTr="00042A8D" w14:paraId="35A60E3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41C699DA" w14:textId="77777777">
            <w:pPr>
              <w:tabs>
                <w:tab w:val="left" w:pos="720"/>
                <w:tab w:val="left" w:pos="1200"/>
                <w:tab w:val="left" w:pos="8136"/>
              </w:tabs>
              <w:spacing w:line="240" w:lineRule="exact"/>
              <w:rPr>
                <w:b/>
                <w:bCs/>
                <w:sz w:val="20"/>
                <w:szCs w:val="20"/>
              </w:rPr>
            </w:pPr>
            <w:r w:rsidRPr="00A64B43">
              <w:rPr>
                <w:b/>
                <w:bCs/>
                <w:sz w:val="20"/>
                <w:szCs w:val="20"/>
              </w:rPr>
              <w:t xml:space="preserve">Step 2: </w:t>
            </w:r>
          </w:p>
          <w:p w:rsidR="000F77F5" w:rsidP="00067D21" w:rsidRDefault="000F77F5" w14:paraId="7F79014F" w14:textId="77777777">
            <w:pPr>
              <w:tabs>
                <w:tab w:val="left" w:pos="720"/>
                <w:tab w:val="left" w:pos="1200"/>
                <w:tab w:val="left" w:pos="8136"/>
              </w:tabs>
              <w:spacing w:line="240" w:lineRule="exact"/>
              <w:rPr>
                <w:sz w:val="20"/>
                <w:szCs w:val="20"/>
              </w:rPr>
            </w:pPr>
            <w:r w:rsidRPr="00A64B43">
              <w:rPr>
                <w:b/>
                <w:bCs/>
                <w:sz w:val="20"/>
                <w:szCs w:val="20"/>
              </w:rPr>
              <w:t>Evaluation Process</w:t>
            </w:r>
            <w:r w:rsidRPr="00A64B43">
              <w:rPr>
                <w:sz w:val="20"/>
                <w:szCs w:val="20"/>
              </w:rPr>
              <w:t xml:space="preserve"> </w:t>
            </w:r>
          </w:p>
          <w:p w:rsidR="000F77F5" w:rsidP="00067D21" w:rsidRDefault="000F77F5" w14:paraId="5C7B1D3E" w14:textId="603432C7">
            <w:pPr>
              <w:tabs>
                <w:tab w:val="left" w:pos="720"/>
                <w:tab w:val="left" w:pos="1200"/>
                <w:tab w:val="left" w:pos="8136"/>
              </w:tabs>
              <w:spacing w:line="240" w:lineRule="exact"/>
              <w:rPr>
                <w:sz w:val="20"/>
                <w:szCs w:val="20"/>
              </w:rPr>
            </w:pPr>
            <w:r>
              <w:rPr>
                <w:sz w:val="20"/>
                <w:szCs w:val="20"/>
              </w:rPr>
              <w:t>Includes the following activities:</w:t>
            </w:r>
          </w:p>
          <w:p w:rsidR="000F77F5" w:rsidP="00067D21" w:rsidRDefault="000F77F5" w14:paraId="01FB44BD"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review of eligible</w:t>
            </w:r>
          </w:p>
          <w:p w:rsidR="000F77F5" w:rsidP="00067D21" w:rsidRDefault="000F77F5" w14:paraId="41392F9F" w14:textId="24BC8A47">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applications</w:t>
            </w:r>
          </w:p>
          <w:p w:rsidR="000F77F5" w:rsidP="00067D21" w:rsidRDefault="000F77F5" w14:paraId="5847FD8D"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priority scoring</w:t>
            </w:r>
          </w:p>
          <w:p w:rsidR="000F77F5" w:rsidP="00067D21" w:rsidRDefault="000F77F5" w14:paraId="50FEC7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determine funding</w:t>
            </w:r>
          </w:p>
          <w:p w:rsidR="000F77F5" w:rsidP="00067D21" w:rsidRDefault="000F77F5" w14:paraId="0558A10A" w14:textId="4724AFC0">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priority</w:t>
            </w:r>
          </w:p>
          <w:p w:rsidR="000F77F5" w:rsidP="00067D21" w:rsidRDefault="000F77F5" w14:paraId="56650E99" w14:textId="39A9EAAD">
            <w:pPr>
              <w:tabs>
                <w:tab w:val="left" w:pos="720"/>
                <w:tab w:val="left" w:pos="1200"/>
                <w:tab w:val="left" w:pos="8136"/>
              </w:tabs>
              <w:spacing w:line="240" w:lineRule="exact"/>
              <w:rPr>
                <w:sz w:val="20"/>
                <w:szCs w:val="20"/>
              </w:rPr>
            </w:pPr>
            <w:r>
              <w:rPr>
                <w:sz w:val="20"/>
                <w:szCs w:val="20"/>
              </w:rPr>
              <w:t xml:space="preserve">4) </w:t>
            </w:r>
            <w:r w:rsidRPr="00A64B43">
              <w:rPr>
                <w:sz w:val="20"/>
                <w:szCs w:val="20"/>
              </w:rPr>
              <w:t>awardee selection</w:t>
            </w:r>
            <w:r>
              <w:rPr>
                <w:sz w:val="20"/>
                <w:szCs w:val="20"/>
              </w:rPr>
              <w:t>.</w:t>
            </w:r>
          </w:p>
          <w:p w:rsidRPr="00A64B43" w:rsidR="000F77F5" w:rsidP="00067D21" w:rsidRDefault="000F77F5" w14:paraId="6509B7C6" w14:textId="3531E683">
            <w:pPr>
              <w:tabs>
                <w:tab w:val="left" w:pos="720"/>
                <w:tab w:val="left" w:pos="1200"/>
                <w:tab w:val="left" w:pos="8136"/>
              </w:tabs>
              <w:spacing w:line="24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40DC0424" w14:textId="558A8C90">
            <w:pPr>
              <w:tabs>
                <w:tab w:val="left" w:pos="720"/>
                <w:tab w:val="left" w:pos="6192"/>
              </w:tabs>
              <w:spacing w:line="240" w:lineRule="exact"/>
              <w:jc w:val="center"/>
              <w:rPr>
                <w:sz w:val="22"/>
                <w:szCs w:val="22"/>
              </w:rPr>
            </w:pPr>
            <w:r>
              <w:rPr>
                <w:sz w:val="22"/>
                <w:szCs w:val="22"/>
              </w:rPr>
              <w:t>25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397B16B" w14:textId="66F5ADA1">
            <w:pPr>
              <w:tabs>
                <w:tab w:val="left" w:pos="720"/>
                <w:tab w:val="left" w:pos="6192"/>
              </w:tabs>
              <w:spacing w:line="240" w:lineRule="exact"/>
              <w:jc w:val="center"/>
              <w:rPr>
                <w:sz w:val="22"/>
                <w:szCs w:val="22"/>
              </w:rPr>
            </w:pPr>
            <w:r w:rsidRPr="000A49EF">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58F336CC" w14:textId="3F3F655A">
            <w:pPr>
              <w:tabs>
                <w:tab w:val="left" w:pos="720"/>
                <w:tab w:val="left" w:pos="6192"/>
              </w:tabs>
              <w:spacing w:line="240" w:lineRule="exact"/>
              <w:jc w:val="center"/>
              <w:rPr>
                <w:sz w:val="22"/>
                <w:szCs w:val="22"/>
              </w:rPr>
            </w:pPr>
            <w:r>
              <w:rPr>
                <w:sz w:val="22"/>
                <w:szCs w:val="22"/>
              </w:rPr>
              <w:t>100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7D7E35A0" w14:textId="03CC856A">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5F2BFF00" w14:textId="191CA9D0">
            <w:pPr>
              <w:tabs>
                <w:tab w:val="left" w:pos="720"/>
                <w:tab w:val="left" w:pos="6192"/>
              </w:tabs>
              <w:spacing w:line="240" w:lineRule="exact"/>
              <w:jc w:val="center"/>
              <w:rPr>
                <w:sz w:val="22"/>
                <w:szCs w:val="22"/>
              </w:rPr>
            </w:pPr>
            <w:r w:rsidRPr="000A49EF">
              <w:rPr>
                <w:sz w:val="22"/>
                <w:szCs w:val="22"/>
              </w:rPr>
              <w:t>36.25%</w:t>
            </w:r>
          </w:p>
        </w:tc>
        <w:tc>
          <w:tcPr>
            <w:tcW w:w="1350" w:type="dxa"/>
            <w:tcBorders>
              <w:top w:val="single" w:color="auto" w:sz="4" w:space="0"/>
              <w:left w:val="single" w:color="auto" w:sz="4" w:space="0"/>
              <w:bottom w:val="single" w:color="auto" w:sz="4" w:space="0"/>
              <w:right w:val="single" w:color="auto" w:sz="4" w:space="0"/>
            </w:tcBorders>
          </w:tcPr>
          <w:p w:rsidRPr="00F60B28" w:rsidR="00F60B28" w:rsidP="00F60B28" w:rsidRDefault="00F60B28" w14:paraId="2D6CE866" w14:textId="5826E735">
            <w:pPr>
              <w:tabs>
                <w:tab w:val="left" w:pos="720"/>
                <w:tab w:val="left" w:pos="6192"/>
              </w:tabs>
              <w:spacing w:line="240" w:lineRule="exact"/>
              <w:rPr>
                <w:b/>
                <w:bCs/>
                <w:sz w:val="22"/>
                <w:szCs w:val="22"/>
              </w:rPr>
            </w:pPr>
            <w:r>
              <w:rPr>
                <w:b/>
                <w:bCs/>
                <w:sz w:val="22"/>
                <w:szCs w:val="22"/>
              </w:rPr>
              <w:t xml:space="preserve">    </w:t>
            </w:r>
            <w:r w:rsidRPr="00F60B28">
              <w:rPr>
                <w:b/>
                <w:bCs/>
                <w:sz w:val="22"/>
                <w:szCs w:val="22"/>
              </w:rPr>
              <w:t>$7,</w:t>
            </w:r>
            <w:r w:rsidR="00F713A1">
              <w:rPr>
                <w:b/>
                <w:bCs/>
                <w:sz w:val="22"/>
                <w:szCs w:val="22"/>
              </w:rPr>
              <w:t>672</w:t>
            </w:r>
            <w:r w:rsidRPr="00F60B28" w:rsidR="00F713A1">
              <w:rPr>
                <w:b/>
                <w:bCs/>
                <w:sz w:val="22"/>
                <w:szCs w:val="22"/>
              </w:rPr>
              <w:t xml:space="preserve"> </w:t>
            </w:r>
          </w:p>
          <w:p w:rsidRPr="00F60B28" w:rsidR="00F60B28" w:rsidP="00F60B28" w:rsidRDefault="00F60B28" w14:paraId="461C6BF1" w14:textId="77777777">
            <w:pPr>
              <w:tabs>
                <w:tab w:val="left" w:pos="720"/>
                <w:tab w:val="left" w:pos="6192"/>
              </w:tabs>
              <w:spacing w:line="240" w:lineRule="exact"/>
              <w:rPr>
                <w:sz w:val="22"/>
                <w:szCs w:val="22"/>
              </w:rPr>
            </w:pPr>
          </w:p>
          <w:p w:rsidRPr="00F60B28" w:rsidR="00F60B28" w:rsidP="00F60B28" w:rsidRDefault="00F60B28" w14:paraId="4B65E30D" w14:textId="77777777">
            <w:pPr>
              <w:tabs>
                <w:tab w:val="left" w:pos="720"/>
                <w:tab w:val="left" w:pos="6192"/>
              </w:tabs>
              <w:spacing w:line="240" w:lineRule="exact"/>
              <w:rPr>
                <w:sz w:val="22"/>
                <w:szCs w:val="22"/>
              </w:rPr>
            </w:pPr>
          </w:p>
          <w:p w:rsidRPr="00F60B28" w:rsidR="00F60B28" w:rsidP="00F60B28" w:rsidRDefault="00F60B28" w14:paraId="1EC45625" w14:textId="6780C2D4">
            <w:pPr>
              <w:tabs>
                <w:tab w:val="left" w:pos="720"/>
                <w:tab w:val="left" w:pos="6192"/>
              </w:tabs>
              <w:spacing w:line="240" w:lineRule="exact"/>
              <w:rPr>
                <w:sz w:val="22"/>
                <w:szCs w:val="22"/>
              </w:rPr>
            </w:pPr>
            <w:r w:rsidRPr="00F60B28">
              <w:rPr>
                <w:sz w:val="22"/>
                <w:szCs w:val="22"/>
              </w:rPr>
              <w:t>$5,</w:t>
            </w:r>
            <w:r w:rsidR="00F713A1">
              <w:rPr>
                <w:sz w:val="22"/>
                <w:szCs w:val="22"/>
              </w:rPr>
              <w:t>631</w:t>
            </w:r>
            <w:r w:rsidRPr="00F60B28" w:rsidR="00F713A1">
              <w:rPr>
                <w:sz w:val="22"/>
                <w:szCs w:val="22"/>
              </w:rPr>
              <w:t xml:space="preserve"> </w:t>
            </w:r>
          </w:p>
          <w:p w:rsidR="000F77F5" w:rsidP="00F60B28" w:rsidRDefault="00F60B28" w14:paraId="6CC61397" w14:textId="2EFD8F22">
            <w:pPr>
              <w:tabs>
                <w:tab w:val="left" w:pos="720"/>
                <w:tab w:val="left" w:pos="6192"/>
              </w:tabs>
              <w:spacing w:line="240" w:lineRule="exact"/>
              <w:rPr>
                <w:sz w:val="22"/>
                <w:szCs w:val="22"/>
              </w:rPr>
            </w:pPr>
            <w:r w:rsidRPr="00F60B28">
              <w:rPr>
                <w:sz w:val="22"/>
                <w:szCs w:val="22"/>
              </w:rPr>
              <w:t>$2,</w:t>
            </w:r>
            <w:r w:rsidRPr="00F60B28" w:rsidR="00F713A1">
              <w:rPr>
                <w:sz w:val="22"/>
                <w:szCs w:val="22"/>
              </w:rPr>
              <w:t>0</w:t>
            </w:r>
            <w:r w:rsidR="00F713A1">
              <w:rPr>
                <w:sz w:val="22"/>
                <w:szCs w:val="22"/>
              </w:rPr>
              <w:t>41</w:t>
            </w:r>
          </w:p>
          <w:p w:rsidRPr="000A49EF" w:rsidR="00F60B28" w:rsidP="00F60B28" w:rsidRDefault="00F60B28" w14:paraId="3751179C" w14:textId="76D8168C">
            <w:pPr>
              <w:tabs>
                <w:tab w:val="left" w:pos="720"/>
                <w:tab w:val="left" w:pos="6192"/>
              </w:tabs>
              <w:spacing w:line="240" w:lineRule="exact"/>
              <w:rPr>
                <w:sz w:val="22"/>
                <w:szCs w:val="22"/>
              </w:rPr>
            </w:pPr>
            <w:r>
              <w:rPr>
                <w:sz w:val="22"/>
                <w:szCs w:val="22"/>
              </w:rPr>
              <w:t>benefits</w:t>
            </w:r>
          </w:p>
        </w:tc>
      </w:tr>
    </w:tbl>
    <w:p w:rsidR="00752C31" w:rsidRDefault="00752C31" w14:paraId="0F4F52AF" w14:textId="5DF35E74"/>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260"/>
      </w:tblGrid>
      <w:tr w:rsidRPr="00067D21" w:rsidR="000F77F5" w:rsidTr="00042A8D" w14:paraId="3B1442FA"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542C8599" w14:textId="37BB57AE">
            <w:pPr>
              <w:tabs>
                <w:tab w:val="left" w:pos="720"/>
                <w:tab w:val="left" w:pos="1200"/>
                <w:tab w:val="left" w:pos="8136"/>
              </w:tabs>
              <w:spacing w:line="240" w:lineRule="exact"/>
              <w:rPr>
                <w:b/>
                <w:bCs/>
                <w:sz w:val="20"/>
                <w:szCs w:val="20"/>
              </w:rPr>
            </w:pPr>
            <w:r w:rsidRPr="009A6783">
              <w:rPr>
                <w:b/>
                <w:bCs/>
                <w:sz w:val="20"/>
                <w:szCs w:val="20"/>
              </w:rPr>
              <w:t>Step 3:</w:t>
            </w:r>
          </w:p>
          <w:p w:rsidRPr="009A6783" w:rsidR="000F77F5" w:rsidP="00067D21" w:rsidRDefault="000F77F5" w14:paraId="57AF169B" w14:textId="7EDD314B">
            <w:pPr>
              <w:tabs>
                <w:tab w:val="left" w:pos="720"/>
                <w:tab w:val="left" w:pos="1200"/>
                <w:tab w:val="left" w:pos="8136"/>
              </w:tabs>
              <w:spacing w:line="240" w:lineRule="exact"/>
              <w:rPr>
                <w:sz w:val="20"/>
                <w:szCs w:val="20"/>
              </w:rPr>
            </w:pPr>
            <w:r w:rsidRPr="009A6783">
              <w:rPr>
                <w:b/>
                <w:bCs/>
                <w:sz w:val="20"/>
                <w:szCs w:val="20"/>
              </w:rPr>
              <w:lastRenderedPageBreak/>
              <w:t>Post Award</w:t>
            </w:r>
            <w:r w:rsidRPr="009A6783">
              <w:rPr>
                <w:sz w:val="20"/>
                <w:szCs w:val="20"/>
              </w:rPr>
              <w:t>: Includes the following activities)</w:t>
            </w:r>
          </w:p>
          <w:p w:rsidRPr="009A6783" w:rsidR="000F77F5" w:rsidP="00067D21" w:rsidRDefault="000F77F5" w14:paraId="3AA8704E" w14:textId="60BDBD22">
            <w:pPr>
              <w:tabs>
                <w:tab w:val="left" w:pos="720"/>
                <w:tab w:val="left" w:pos="1200"/>
                <w:tab w:val="left" w:pos="8136"/>
              </w:tabs>
              <w:spacing w:line="240" w:lineRule="exact"/>
              <w:rPr>
                <w:sz w:val="20"/>
                <w:szCs w:val="20"/>
              </w:rPr>
            </w:pPr>
            <w:r w:rsidRPr="009A6783">
              <w:rPr>
                <w:sz w:val="20"/>
                <w:szCs w:val="20"/>
              </w:rPr>
              <w:t xml:space="preserve">1) Advance of </w:t>
            </w:r>
            <w:r>
              <w:rPr>
                <w:sz w:val="20"/>
                <w:szCs w:val="20"/>
              </w:rPr>
              <w:t>f</w:t>
            </w:r>
            <w:r w:rsidRPr="009A6783">
              <w:rPr>
                <w:sz w:val="20"/>
                <w:szCs w:val="20"/>
              </w:rPr>
              <w:t>unds</w:t>
            </w:r>
          </w:p>
          <w:p w:rsidR="000F77F5" w:rsidP="00067D21" w:rsidRDefault="000F77F5" w14:paraId="3F4B8310" w14:textId="77777777">
            <w:pPr>
              <w:tabs>
                <w:tab w:val="left" w:pos="720"/>
                <w:tab w:val="left" w:pos="1200"/>
                <w:tab w:val="left" w:pos="8136"/>
              </w:tabs>
              <w:spacing w:line="240" w:lineRule="exact"/>
              <w:rPr>
                <w:sz w:val="20"/>
                <w:szCs w:val="20"/>
              </w:rPr>
            </w:pPr>
            <w:r w:rsidRPr="009A6783">
              <w:rPr>
                <w:sz w:val="20"/>
                <w:szCs w:val="20"/>
              </w:rPr>
              <w:t>2) Review of Semi</w:t>
            </w:r>
            <w:r>
              <w:rPr>
                <w:sz w:val="20"/>
                <w:szCs w:val="20"/>
              </w:rPr>
              <w:t>-</w:t>
            </w:r>
          </w:p>
          <w:p w:rsidRPr="009A6783" w:rsidR="000F77F5" w:rsidP="00067D21" w:rsidRDefault="000F77F5" w14:paraId="515B32C6" w14:textId="40920B70">
            <w:pPr>
              <w:tabs>
                <w:tab w:val="left" w:pos="720"/>
                <w:tab w:val="left" w:pos="1200"/>
                <w:tab w:val="left" w:pos="8136"/>
              </w:tabs>
              <w:spacing w:line="240" w:lineRule="exact"/>
              <w:rPr>
                <w:sz w:val="20"/>
                <w:szCs w:val="20"/>
              </w:rPr>
            </w:pPr>
            <w:r>
              <w:rPr>
                <w:sz w:val="20"/>
                <w:szCs w:val="20"/>
              </w:rPr>
              <w:t xml:space="preserve">    A</w:t>
            </w:r>
            <w:r w:rsidRPr="009A6783">
              <w:rPr>
                <w:sz w:val="20"/>
                <w:szCs w:val="20"/>
              </w:rPr>
              <w:t>nnual reports</w:t>
            </w:r>
          </w:p>
          <w:p w:rsidRPr="009A6783" w:rsidR="000F77F5" w:rsidP="00FA4B2D" w:rsidRDefault="000F77F5" w14:paraId="0FDF6954" w14:textId="77777777">
            <w:pPr>
              <w:tabs>
                <w:tab w:val="left" w:pos="720"/>
                <w:tab w:val="left" w:pos="1200"/>
                <w:tab w:val="left" w:pos="8136"/>
              </w:tabs>
              <w:spacing w:line="240" w:lineRule="exact"/>
              <w:rPr>
                <w:sz w:val="20"/>
                <w:szCs w:val="20"/>
              </w:rPr>
            </w:pPr>
            <w:r w:rsidRPr="009A6783">
              <w:rPr>
                <w:sz w:val="20"/>
                <w:szCs w:val="20"/>
              </w:rPr>
              <w:t>3) Servicing</w:t>
            </w:r>
          </w:p>
          <w:p w:rsidRPr="009A6783" w:rsidR="000F77F5" w:rsidP="00FA4B2D" w:rsidRDefault="000F77F5" w14:paraId="7FA7C954" w14:textId="77777777">
            <w:pPr>
              <w:tabs>
                <w:tab w:val="left" w:pos="720"/>
                <w:tab w:val="left" w:pos="1200"/>
                <w:tab w:val="left" w:pos="8136"/>
              </w:tabs>
              <w:spacing w:line="240" w:lineRule="exact"/>
              <w:rPr>
                <w:sz w:val="20"/>
                <w:szCs w:val="20"/>
              </w:rPr>
            </w:pPr>
            <w:r w:rsidRPr="009A6783">
              <w:rPr>
                <w:sz w:val="20"/>
                <w:szCs w:val="20"/>
              </w:rPr>
              <w:t>4) Grant closing</w:t>
            </w:r>
          </w:p>
          <w:p w:rsidRPr="009A6783" w:rsidR="000F77F5" w:rsidP="00FA4B2D" w:rsidRDefault="000F77F5" w14:paraId="4B45ED93" w14:textId="77777777">
            <w:pPr>
              <w:tabs>
                <w:tab w:val="left" w:pos="720"/>
                <w:tab w:val="left" w:pos="1200"/>
                <w:tab w:val="left" w:pos="8136"/>
              </w:tabs>
              <w:spacing w:line="240" w:lineRule="exact"/>
              <w:rPr>
                <w:sz w:val="20"/>
                <w:szCs w:val="20"/>
              </w:rPr>
            </w:pPr>
            <w:r w:rsidRPr="009A6783">
              <w:rPr>
                <w:sz w:val="20"/>
                <w:szCs w:val="20"/>
              </w:rPr>
              <w:t>5) Annual Audit</w:t>
            </w:r>
          </w:p>
          <w:p w:rsidRPr="009A6783" w:rsidR="000F77F5" w:rsidP="00FA4B2D" w:rsidRDefault="000F77F5" w14:paraId="3E7BFA1F" w14:textId="3FC8FC1D">
            <w:pPr>
              <w:tabs>
                <w:tab w:val="left" w:pos="720"/>
                <w:tab w:val="left" w:pos="1200"/>
                <w:tab w:val="left" w:pos="8136"/>
              </w:tabs>
              <w:spacing w:line="240" w:lineRule="exact"/>
              <w:rPr>
                <w:sz w:val="20"/>
                <w:szCs w:val="20"/>
              </w:rPr>
            </w:pPr>
            <w:r w:rsidRPr="009A6783">
              <w:rPr>
                <w:sz w:val="20"/>
                <w:szCs w:val="20"/>
              </w:rPr>
              <w:t xml:space="preserve">    review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35373C32" w14:textId="2046EC7C">
            <w:pPr>
              <w:tabs>
                <w:tab w:val="left" w:pos="720"/>
                <w:tab w:val="left" w:pos="6192"/>
              </w:tabs>
              <w:spacing w:line="240" w:lineRule="exact"/>
              <w:jc w:val="center"/>
              <w:rPr>
                <w:sz w:val="22"/>
                <w:szCs w:val="22"/>
              </w:rPr>
            </w:pPr>
            <w:r>
              <w:rPr>
                <w:sz w:val="22"/>
                <w:szCs w:val="22"/>
              </w:rPr>
              <w:lastRenderedPageBreak/>
              <w:t>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75CF2E" w14:textId="77777777">
            <w:pPr>
              <w:tabs>
                <w:tab w:val="left" w:pos="720"/>
                <w:tab w:val="left" w:pos="6192"/>
              </w:tabs>
              <w:spacing w:line="240" w:lineRule="exact"/>
              <w:jc w:val="center"/>
              <w:rPr>
                <w:sz w:val="22"/>
                <w:szCs w:val="22"/>
              </w:rPr>
            </w:pPr>
            <w:r w:rsidRPr="000A49EF">
              <w:rPr>
                <w:sz w:val="22"/>
                <w:szCs w:val="22"/>
              </w:rPr>
              <w:t>10</w:t>
            </w:r>
          </w:p>
          <w:p w:rsidRPr="000A49EF" w:rsidR="000F77F5" w:rsidP="00425242" w:rsidRDefault="000F77F5" w14:paraId="19386D7B" w14:textId="77777777">
            <w:pPr>
              <w:tabs>
                <w:tab w:val="left" w:pos="720"/>
                <w:tab w:val="left" w:pos="6192"/>
              </w:tabs>
              <w:spacing w:line="240" w:lineRule="exact"/>
              <w:jc w:val="center"/>
              <w:rPr>
                <w:sz w:val="22"/>
                <w:szCs w:val="22"/>
              </w:rPr>
            </w:pPr>
          </w:p>
          <w:p w:rsidRPr="000A49EF" w:rsidR="000F77F5" w:rsidP="00425242" w:rsidRDefault="000F77F5" w14:paraId="230D2833" w14:textId="7D8BFFB1">
            <w:pPr>
              <w:tabs>
                <w:tab w:val="left" w:pos="720"/>
                <w:tab w:val="left" w:pos="6192"/>
              </w:tabs>
              <w:spacing w:line="240" w:lineRule="exact"/>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1D8C8B5B" w14:textId="5BEB1E26">
            <w:pPr>
              <w:tabs>
                <w:tab w:val="left" w:pos="720"/>
                <w:tab w:val="left" w:pos="6192"/>
              </w:tabs>
              <w:spacing w:line="240" w:lineRule="exact"/>
              <w:jc w:val="center"/>
              <w:rPr>
                <w:sz w:val="22"/>
                <w:szCs w:val="22"/>
              </w:rPr>
            </w:pPr>
            <w:r>
              <w:rPr>
                <w:sz w:val="22"/>
                <w:szCs w:val="22"/>
              </w:rPr>
              <w:lastRenderedPageBreak/>
              <w:t>50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4ACC04CB" w14:textId="5068CC8A">
            <w:pPr>
              <w:tabs>
                <w:tab w:val="left" w:pos="720"/>
                <w:tab w:val="left" w:pos="6192"/>
              </w:tabs>
              <w:spacing w:line="240" w:lineRule="exact"/>
              <w:jc w:val="center"/>
              <w:rPr>
                <w:sz w:val="22"/>
                <w:szCs w:val="22"/>
              </w:rPr>
            </w:pPr>
            <w:r w:rsidRPr="000A49EF">
              <w:rPr>
                <w:sz w:val="22"/>
                <w:szCs w:val="22"/>
              </w:rPr>
              <w:t>$</w:t>
            </w:r>
            <w:r w:rsidR="00E02787">
              <w:rPr>
                <w:sz w:val="22"/>
                <w:szCs w:val="22"/>
              </w:rPr>
              <w:t>56.31</w:t>
            </w:r>
            <w:r w:rsidRPr="000A49EF" w:rsidR="000F77F5">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DD90A65" w14:textId="3E5D5140">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Pr="00F60B28" w:rsidR="000F77F5" w:rsidP="00042A8D" w:rsidRDefault="00F60B28" w14:paraId="21841374" w14:textId="5F7BA505">
            <w:pPr>
              <w:pBdr>
                <w:bottom w:val="single" w:color="auto" w:sz="12" w:space="1"/>
              </w:pBdr>
              <w:tabs>
                <w:tab w:val="left" w:pos="720"/>
                <w:tab w:val="left" w:pos="6192"/>
              </w:tabs>
              <w:spacing w:line="240" w:lineRule="exact"/>
              <w:rPr>
                <w:b/>
                <w:bCs/>
                <w:sz w:val="22"/>
                <w:szCs w:val="22"/>
              </w:rPr>
            </w:pPr>
            <w:r>
              <w:rPr>
                <w:b/>
                <w:bCs/>
                <w:sz w:val="22"/>
                <w:szCs w:val="22"/>
              </w:rPr>
              <w:t xml:space="preserve">   </w:t>
            </w:r>
            <w:r w:rsidRPr="00F60B28">
              <w:rPr>
                <w:b/>
                <w:bCs/>
                <w:sz w:val="22"/>
                <w:szCs w:val="22"/>
              </w:rPr>
              <w:t>$3,</w:t>
            </w:r>
            <w:r w:rsidR="00F713A1">
              <w:rPr>
                <w:b/>
                <w:bCs/>
                <w:sz w:val="22"/>
                <w:szCs w:val="22"/>
              </w:rPr>
              <w:t>836</w:t>
            </w:r>
          </w:p>
          <w:p w:rsidR="00066AD3" w:rsidP="00425242" w:rsidRDefault="00066AD3" w14:paraId="72E5D5A4" w14:textId="77777777">
            <w:pPr>
              <w:pBdr>
                <w:bottom w:val="single" w:color="auto" w:sz="12" w:space="1"/>
              </w:pBdr>
              <w:tabs>
                <w:tab w:val="left" w:pos="720"/>
                <w:tab w:val="left" w:pos="6192"/>
              </w:tabs>
              <w:spacing w:line="240" w:lineRule="exact"/>
              <w:jc w:val="center"/>
              <w:rPr>
                <w:sz w:val="22"/>
                <w:szCs w:val="22"/>
              </w:rPr>
            </w:pPr>
          </w:p>
          <w:p w:rsidR="00066AD3" w:rsidP="00425242" w:rsidRDefault="00066AD3" w14:paraId="3FDF4A97" w14:textId="77777777">
            <w:pPr>
              <w:tabs>
                <w:tab w:val="left" w:pos="720"/>
                <w:tab w:val="left" w:pos="6192"/>
              </w:tabs>
              <w:spacing w:line="240" w:lineRule="exact"/>
              <w:jc w:val="center"/>
              <w:rPr>
                <w:sz w:val="22"/>
                <w:szCs w:val="22"/>
              </w:rPr>
            </w:pPr>
          </w:p>
          <w:p w:rsidRPr="00F60B28" w:rsidR="00F60B28" w:rsidP="00F60B28" w:rsidRDefault="00F60B28" w14:paraId="6B2B48F7" w14:textId="25769752">
            <w:pPr>
              <w:tabs>
                <w:tab w:val="left" w:pos="720"/>
                <w:tab w:val="left" w:pos="6192"/>
              </w:tabs>
              <w:spacing w:line="240" w:lineRule="exact"/>
              <w:rPr>
                <w:sz w:val="22"/>
                <w:szCs w:val="22"/>
              </w:rPr>
            </w:pPr>
            <w:r w:rsidRPr="00F60B28">
              <w:rPr>
                <w:sz w:val="22"/>
                <w:szCs w:val="22"/>
              </w:rPr>
              <w:t>$2,</w:t>
            </w:r>
            <w:r w:rsidR="00F713A1">
              <w:rPr>
                <w:sz w:val="22"/>
                <w:szCs w:val="22"/>
              </w:rPr>
              <w:t>816</w:t>
            </w:r>
            <w:r w:rsidRPr="00F60B28" w:rsidR="00F713A1">
              <w:rPr>
                <w:sz w:val="22"/>
                <w:szCs w:val="22"/>
              </w:rPr>
              <w:t xml:space="preserve"> </w:t>
            </w:r>
          </w:p>
          <w:p w:rsidR="00066AD3" w:rsidP="00F60B28" w:rsidRDefault="00F60B28" w14:paraId="79A12587" w14:textId="5197EAD9">
            <w:pPr>
              <w:tabs>
                <w:tab w:val="left" w:pos="720"/>
                <w:tab w:val="left" w:pos="6192"/>
              </w:tabs>
              <w:spacing w:line="240" w:lineRule="exact"/>
              <w:rPr>
                <w:sz w:val="22"/>
                <w:szCs w:val="22"/>
              </w:rPr>
            </w:pPr>
            <w:r w:rsidRPr="00F60B28">
              <w:rPr>
                <w:sz w:val="22"/>
                <w:szCs w:val="22"/>
              </w:rPr>
              <w:t>$1,</w:t>
            </w:r>
            <w:r w:rsidRPr="00F60B28" w:rsidR="00F713A1">
              <w:rPr>
                <w:sz w:val="22"/>
                <w:szCs w:val="22"/>
              </w:rPr>
              <w:t>0</w:t>
            </w:r>
            <w:r w:rsidR="00F713A1">
              <w:rPr>
                <w:sz w:val="22"/>
                <w:szCs w:val="22"/>
              </w:rPr>
              <w:t>21</w:t>
            </w:r>
            <w:r w:rsidRPr="00F60B28" w:rsidR="00F713A1">
              <w:rPr>
                <w:sz w:val="22"/>
                <w:szCs w:val="22"/>
              </w:rPr>
              <w:t xml:space="preserve"> </w:t>
            </w:r>
          </w:p>
          <w:p w:rsidRPr="000A49EF" w:rsidR="00F60B28" w:rsidP="00F60B28" w:rsidRDefault="00F60B28" w14:paraId="4B554DBD" w14:textId="112DD707">
            <w:pPr>
              <w:tabs>
                <w:tab w:val="left" w:pos="720"/>
                <w:tab w:val="left" w:pos="6192"/>
              </w:tabs>
              <w:spacing w:line="240" w:lineRule="exact"/>
              <w:rPr>
                <w:sz w:val="22"/>
                <w:szCs w:val="22"/>
              </w:rPr>
            </w:pPr>
            <w:r>
              <w:rPr>
                <w:sz w:val="22"/>
                <w:szCs w:val="22"/>
              </w:rPr>
              <w:t>benefits</w:t>
            </w:r>
          </w:p>
        </w:tc>
      </w:tr>
      <w:tr w:rsidRPr="00067D21" w:rsidR="000F77F5" w:rsidTr="00042A8D" w14:paraId="36C93BCA"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2A38B759" w14:textId="77777777">
            <w:pPr>
              <w:tabs>
                <w:tab w:val="left" w:pos="720"/>
                <w:tab w:val="left" w:pos="1200"/>
                <w:tab w:val="left" w:pos="8136"/>
              </w:tabs>
              <w:spacing w:line="240" w:lineRule="exact"/>
              <w:rPr>
                <w:b/>
                <w:bCs/>
                <w:sz w:val="20"/>
                <w:szCs w:val="20"/>
              </w:rPr>
            </w:pPr>
            <w:r w:rsidRPr="00A64B43">
              <w:rPr>
                <w:b/>
                <w:bCs/>
                <w:sz w:val="20"/>
                <w:szCs w:val="20"/>
              </w:rPr>
              <w:lastRenderedPageBreak/>
              <w:t>Post Award:</w:t>
            </w:r>
          </w:p>
          <w:p w:rsidRPr="00A64B43" w:rsidR="000F77F5" w:rsidP="00067D21" w:rsidRDefault="000F77F5" w14:paraId="135A372E" w14:textId="76EE2CC7">
            <w:pPr>
              <w:tabs>
                <w:tab w:val="left" w:pos="720"/>
                <w:tab w:val="left" w:pos="1200"/>
                <w:tab w:val="left" w:pos="8136"/>
              </w:tabs>
              <w:spacing w:line="240" w:lineRule="exact"/>
              <w:rPr>
                <w:sz w:val="20"/>
                <w:szCs w:val="20"/>
              </w:rPr>
            </w:pPr>
            <w:r w:rsidRPr="00A64B43">
              <w:rPr>
                <w:sz w:val="20"/>
                <w:szCs w:val="20"/>
              </w:rPr>
              <w:t>Record Keeping</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703A8B2" w14:textId="78A4A24A">
            <w:pPr>
              <w:tabs>
                <w:tab w:val="left" w:pos="720"/>
                <w:tab w:val="left" w:pos="6192"/>
              </w:tabs>
              <w:spacing w:line="240" w:lineRule="exact"/>
              <w:jc w:val="center"/>
              <w:rPr>
                <w:sz w:val="22"/>
                <w:szCs w:val="22"/>
              </w:rPr>
            </w:pPr>
            <w:r>
              <w:rPr>
                <w:sz w:val="22"/>
                <w:szCs w:val="22"/>
              </w:rPr>
              <w:t>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D3B17B8" w14:textId="77777777">
            <w:pPr>
              <w:tabs>
                <w:tab w:val="left" w:pos="720"/>
                <w:tab w:val="left" w:pos="6192"/>
              </w:tabs>
              <w:spacing w:line="240" w:lineRule="exact"/>
              <w:jc w:val="center"/>
              <w:rPr>
                <w:sz w:val="22"/>
                <w:szCs w:val="22"/>
              </w:rPr>
            </w:pPr>
            <w:r w:rsidRPr="000A49EF">
              <w:rPr>
                <w:sz w:val="22"/>
                <w:szCs w:val="22"/>
              </w:rPr>
              <w:t>2</w:t>
            </w:r>
          </w:p>
          <w:p w:rsidRPr="000A49EF" w:rsidR="000F77F5" w:rsidP="00F76B86" w:rsidRDefault="000F77F5" w14:paraId="326B64FE" w14:textId="6DC76526">
            <w:pPr>
              <w:tabs>
                <w:tab w:val="left" w:pos="720"/>
                <w:tab w:val="left" w:pos="6192"/>
              </w:tabs>
              <w:spacing w:line="240" w:lineRule="exact"/>
              <w:rPr>
                <w:sz w:val="22"/>
                <w:szCs w:val="22"/>
              </w:rPr>
            </w:pPr>
            <w:r w:rsidRPr="000A49EF">
              <w:rPr>
                <w:sz w:val="22"/>
                <w:szCs w:val="22"/>
              </w:rPr>
              <w:t>(2 hrs. x 3 reports)</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7B69736" w14:textId="5EF2EF0F">
            <w:pPr>
              <w:tabs>
                <w:tab w:val="left" w:pos="720"/>
                <w:tab w:val="left" w:pos="6192"/>
              </w:tabs>
              <w:spacing w:line="240" w:lineRule="exact"/>
              <w:jc w:val="center"/>
              <w:rPr>
                <w:sz w:val="22"/>
                <w:szCs w:val="22"/>
              </w:rPr>
            </w:pPr>
            <w:r>
              <w:rPr>
                <w:sz w:val="22"/>
                <w:szCs w:val="22"/>
              </w:rPr>
              <w:t>10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5D0E442E" w14:textId="4C195A4D">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09235A4" w14:textId="4B293CFA">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Pr="00F60B28" w:rsidR="00066AD3" w:rsidP="008754FD" w:rsidRDefault="00F60B28" w14:paraId="7FFF9BF5" w14:textId="03AA2327">
            <w:pPr>
              <w:tabs>
                <w:tab w:val="left" w:pos="720"/>
                <w:tab w:val="left" w:pos="6192"/>
              </w:tabs>
              <w:spacing w:line="240" w:lineRule="exact"/>
              <w:rPr>
                <w:b/>
                <w:bCs/>
                <w:sz w:val="22"/>
                <w:szCs w:val="22"/>
              </w:rPr>
            </w:pPr>
            <w:r>
              <w:rPr>
                <w:b/>
                <w:bCs/>
                <w:sz w:val="22"/>
                <w:szCs w:val="22"/>
              </w:rPr>
              <w:t xml:space="preserve">    </w:t>
            </w:r>
            <w:r w:rsidRPr="00F60B28" w:rsidR="000F77F5">
              <w:rPr>
                <w:b/>
                <w:bCs/>
                <w:sz w:val="22"/>
                <w:szCs w:val="22"/>
              </w:rPr>
              <w:t>$</w:t>
            </w:r>
            <w:r w:rsidRPr="00F60B28" w:rsidR="00F713A1">
              <w:rPr>
                <w:b/>
                <w:bCs/>
                <w:sz w:val="22"/>
                <w:szCs w:val="22"/>
              </w:rPr>
              <w:t>76</w:t>
            </w:r>
            <w:r w:rsidR="00F713A1">
              <w:rPr>
                <w:b/>
                <w:bCs/>
                <w:sz w:val="22"/>
                <w:szCs w:val="22"/>
              </w:rPr>
              <w:t>7</w:t>
            </w:r>
          </w:p>
          <w:p w:rsidRPr="000A49EF" w:rsidR="00066AD3" w:rsidP="008754FD" w:rsidRDefault="00066AD3" w14:paraId="4551BFD0" w14:textId="1A3BB79C">
            <w:pPr>
              <w:tabs>
                <w:tab w:val="left" w:pos="720"/>
                <w:tab w:val="left" w:pos="6192"/>
              </w:tabs>
              <w:spacing w:line="240" w:lineRule="exact"/>
              <w:rPr>
                <w:sz w:val="22"/>
                <w:szCs w:val="22"/>
              </w:rPr>
            </w:pPr>
            <w:r>
              <w:rPr>
                <w:sz w:val="22"/>
                <w:szCs w:val="22"/>
              </w:rPr>
              <w:t>________</w:t>
            </w:r>
          </w:p>
          <w:p w:rsidRPr="000A49EF" w:rsidR="000F77F5" w:rsidP="008754FD" w:rsidRDefault="000F77F5" w14:paraId="45A75C04" w14:textId="31134737">
            <w:pPr>
              <w:tabs>
                <w:tab w:val="left" w:pos="720"/>
                <w:tab w:val="left" w:pos="6192"/>
              </w:tabs>
              <w:spacing w:line="240" w:lineRule="exact"/>
              <w:rPr>
                <w:sz w:val="22"/>
                <w:szCs w:val="22"/>
              </w:rPr>
            </w:pPr>
            <w:r w:rsidRPr="000A49EF">
              <w:rPr>
                <w:sz w:val="22"/>
                <w:szCs w:val="22"/>
              </w:rPr>
              <w:t>$</w:t>
            </w:r>
            <w:r w:rsidR="00F713A1">
              <w:rPr>
                <w:sz w:val="22"/>
                <w:szCs w:val="22"/>
              </w:rPr>
              <w:t>563</w:t>
            </w:r>
          </w:p>
          <w:p w:rsidRPr="000A49EF" w:rsidR="000F77F5" w:rsidP="000A49EF" w:rsidRDefault="000F77F5" w14:paraId="294CC737" w14:textId="4F09ECC1">
            <w:pPr>
              <w:tabs>
                <w:tab w:val="left" w:pos="720"/>
                <w:tab w:val="left" w:pos="6192"/>
              </w:tabs>
              <w:spacing w:line="240" w:lineRule="exact"/>
              <w:rPr>
                <w:sz w:val="22"/>
                <w:szCs w:val="22"/>
              </w:rPr>
            </w:pPr>
            <w:r w:rsidRPr="000A49EF">
              <w:rPr>
                <w:sz w:val="22"/>
                <w:szCs w:val="22"/>
              </w:rPr>
              <w:t>$</w:t>
            </w:r>
            <w:r w:rsidR="00F713A1">
              <w:rPr>
                <w:sz w:val="22"/>
                <w:szCs w:val="22"/>
              </w:rPr>
              <w:t>204</w:t>
            </w:r>
            <w:r w:rsidRPr="000A49EF" w:rsidR="00F713A1">
              <w:rPr>
                <w:sz w:val="22"/>
                <w:szCs w:val="22"/>
              </w:rPr>
              <w:t xml:space="preserve"> </w:t>
            </w:r>
            <w:r w:rsidRPr="000A49EF">
              <w:rPr>
                <w:sz w:val="22"/>
                <w:szCs w:val="22"/>
              </w:rPr>
              <w:t>benefits</w:t>
            </w:r>
          </w:p>
        </w:tc>
      </w:tr>
      <w:tr w:rsidRPr="00067D21" w:rsidR="000F77F5" w:rsidTr="00042A8D" w14:paraId="0E88E630" w14:textId="77777777">
        <w:tc>
          <w:tcPr>
            <w:tcW w:w="1975" w:type="dxa"/>
            <w:tcBorders>
              <w:top w:val="single" w:color="auto" w:sz="4" w:space="0"/>
              <w:left w:val="single" w:color="auto" w:sz="4" w:space="0"/>
              <w:bottom w:val="single" w:color="auto" w:sz="4" w:space="0"/>
              <w:right w:val="single" w:color="auto" w:sz="4" w:space="0"/>
            </w:tcBorders>
          </w:tcPr>
          <w:p w:rsidRPr="00067D21" w:rsidR="000F77F5" w:rsidP="00067D21" w:rsidRDefault="000F77F5" w14:paraId="13114D71" w14:textId="581C0C1A">
            <w:pPr>
              <w:tabs>
                <w:tab w:val="left" w:pos="720"/>
                <w:tab w:val="left" w:pos="6192"/>
              </w:tabs>
              <w:spacing w:line="240" w:lineRule="exact"/>
              <w:rPr>
                <w:b/>
                <w:color w:val="00B050"/>
                <w:sz w:val="20"/>
                <w:szCs w:val="20"/>
              </w:rPr>
            </w:pPr>
            <w:r w:rsidRPr="00F231F4">
              <w:rPr>
                <w:b/>
                <w:sz w:val="20"/>
                <w:szCs w:val="20"/>
              </w:rPr>
              <w:t>TOTAL</w:t>
            </w:r>
            <w:r>
              <w:rPr>
                <w:b/>
                <w:sz w:val="20"/>
                <w:szCs w:val="20"/>
              </w:rPr>
              <w:t xml:space="preserve"> Annual Cost to the Federal Government</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9D49CCE" w14:textId="77777777">
            <w:pPr>
              <w:tabs>
                <w:tab w:val="left" w:pos="720"/>
                <w:tab w:val="left" w:pos="6192"/>
              </w:tabs>
              <w:spacing w:line="240" w:lineRule="exact"/>
              <w:jc w:val="center"/>
              <w:rPr>
                <w:b/>
                <w:color w:val="00B050"/>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C903985" w14:textId="77777777">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30EE080" w14:textId="77777777">
            <w:pPr>
              <w:tabs>
                <w:tab w:val="left" w:pos="720"/>
                <w:tab w:val="left" w:pos="6192"/>
              </w:tabs>
              <w:spacing w:line="240" w:lineRule="exact"/>
              <w:jc w:val="center"/>
              <w:rPr>
                <w:b/>
                <w:color w:val="00B050"/>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3FB5D04" w14:textId="782BCAC5">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68006BE3" w14:textId="77777777">
            <w:pPr>
              <w:tabs>
                <w:tab w:val="left" w:pos="720"/>
                <w:tab w:val="left" w:pos="6192"/>
              </w:tabs>
              <w:spacing w:line="240" w:lineRule="exact"/>
              <w:jc w:val="center"/>
              <w:rPr>
                <w:b/>
                <w:color w:val="00B050"/>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042A8D" w:rsidRDefault="000F77F5" w14:paraId="6FCED7CD" w14:textId="4ACC8D31">
            <w:pPr>
              <w:tabs>
                <w:tab w:val="left" w:pos="720"/>
                <w:tab w:val="left" w:pos="6192"/>
              </w:tabs>
              <w:spacing w:line="240" w:lineRule="exact"/>
              <w:rPr>
                <w:b/>
                <w:color w:val="00B050"/>
                <w:sz w:val="22"/>
                <w:szCs w:val="22"/>
              </w:rPr>
            </w:pPr>
            <w:r w:rsidRPr="000A49EF">
              <w:rPr>
                <w:b/>
                <w:sz w:val="22"/>
                <w:szCs w:val="22"/>
              </w:rPr>
              <w:t>$</w:t>
            </w:r>
            <w:r w:rsidR="00F60B28">
              <w:rPr>
                <w:b/>
                <w:sz w:val="22"/>
                <w:szCs w:val="22"/>
              </w:rPr>
              <w:t>19,</w:t>
            </w:r>
            <w:r w:rsidR="00F713A1">
              <w:rPr>
                <w:b/>
                <w:sz w:val="22"/>
                <w:szCs w:val="22"/>
              </w:rPr>
              <w:t>948</w:t>
            </w:r>
          </w:p>
        </w:tc>
      </w:tr>
    </w:tbl>
    <w:p w:rsidR="00A64B43" w:rsidP="00A64B43" w:rsidRDefault="00A64B43" w14:paraId="2E34A67D" w14:textId="77777777">
      <w:pPr>
        <w:rPr>
          <w:rFonts w:eastAsia="Calibri"/>
          <w:b/>
        </w:rPr>
      </w:pPr>
    </w:p>
    <w:p w:rsidRPr="00981EB5" w:rsidR="00981EB5" w:rsidP="00067D21" w:rsidRDefault="00981EB5" w14:paraId="128FAA10" w14:textId="62A5C50D">
      <w:pPr>
        <w:spacing w:line="240" w:lineRule="exact"/>
        <w:rPr>
          <w:szCs w:val="20"/>
        </w:rPr>
      </w:pPr>
      <w:r w:rsidRPr="00981EB5">
        <w:rPr>
          <w:szCs w:val="20"/>
        </w:rPr>
        <w:t xml:space="preserve">The estimated annualized cost to the Federal Government to </w:t>
      </w:r>
      <w:r w:rsidRPr="00F713A1">
        <w:rPr>
          <w:szCs w:val="20"/>
        </w:rPr>
        <w:t xml:space="preserve">be </w:t>
      </w:r>
      <w:r w:rsidRPr="00410954" w:rsidR="00042A8D">
        <w:rPr>
          <w:sz w:val="22"/>
          <w:szCs w:val="22"/>
        </w:rPr>
        <w:t>$</w:t>
      </w:r>
      <w:r w:rsidRPr="00410954" w:rsidR="00F60B28">
        <w:rPr>
          <w:sz w:val="22"/>
          <w:szCs w:val="22"/>
        </w:rPr>
        <w:t>19,</w:t>
      </w:r>
      <w:r w:rsidRPr="00410954" w:rsidR="00F713A1">
        <w:rPr>
          <w:sz w:val="22"/>
          <w:szCs w:val="22"/>
        </w:rPr>
        <w:t>948</w:t>
      </w:r>
      <w:r w:rsidRPr="003F4DAE">
        <w:rPr>
          <w:szCs w:val="20"/>
        </w:rPr>
        <w:t>. The</w:t>
      </w:r>
      <w:r w:rsidRPr="00981EB5">
        <w:rPr>
          <w:szCs w:val="20"/>
        </w:rPr>
        <w:t xml:space="preserve"> method used to estimate cost was to rely on the </w:t>
      </w:r>
      <w:r w:rsidR="00556D0C">
        <w:rPr>
          <w:szCs w:val="20"/>
        </w:rPr>
        <w:t xml:space="preserve">estimated </w:t>
      </w:r>
      <w:r w:rsidRPr="00981EB5">
        <w:rPr>
          <w:szCs w:val="20"/>
        </w:rPr>
        <w:t xml:space="preserve">amount of time </w:t>
      </w:r>
      <w:r w:rsidR="00556D0C">
        <w:rPr>
          <w:szCs w:val="20"/>
        </w:rPr>
        <w:t xml:space="preserve">the </w:t>
      </w:r>
      <w:r w:rsidRPr="00981EB5">
        <w:rPr>
          <w:szCs w:val="20"/>
        </w:rPr>
        <w:t xml:space="preserve">national office program staff </w:t>
      </w:r>
      <w:r w:rsidR="00556D0C">
        <w:rPr>
          <w:szCs w:val="20"/>
        </w:rPr>
        <w:t xml:space="preserve">is expected to spend </w:t>
      </w:r>
      <w:r w:rsidRPr="00981EB5">
        <w:rPr>
          <w:szCs w:val="20"/>
        </w:rPr>
        <w:t xml:space="preserve">on each component of the program. The </w:t>
      </w:r>
      <w:r w:rsidR="00556D0C">
        <w:rPr>
          <w:szCs w:val="20"/>
        </w:rPr>
        <w:t xml:space="preserve">Office of Personnel and Management </w:t>
      </w:r>
      <w:r w:rsidRPr="00981EB5">
        <w:rPr>
          <w:szCs w:val="20"/>
        </w:rPr>
        <w:t xml:space="preserve">GS wage rate tables for </w:t>
      </w:r>
      <w:r w:rsidRPr="00981EB5" w:rsidR="00F713A1">
        <w:rPr>
          <w:szCs w:val="20"/>
        </w:rPr>
        <w:t>202</w:t>
      </w:r>
      <w:r w:rsidR="00F713A1">
        <w:rPr>
          <w:szCs w:val="20"/>
        </w:rPr>
        <w:t>1</w:t>
      </w:r>
      <w:r w:rsidRPr="00981EB5" w:rsidR="00F713A1">
        <w:rPr>
          <w:szCs w:val="20"/>
        </w:rPr>
        <w:t xml:space="preserve"> </w:t>
      </w:r>
      <w:r w:rsidRPr="00981EB5">
        <w:rPr>
          <w:szCs w:val="20"/>
        </w:rPr>
        <w:t>are used to estimate the wage rates for each type of Agency function. Wage rates are adjusted to include 36.25% for employee benefits.</w:t>
      </w:r>
    </w:p>
    <w:p w:rsidRPr="00981EB5" w:rsidR="00981EB5" w:rsidP="00067D21" w:rsidRDefault="00981EB5" w14:paraId="29BD5358" w14:textId="77777777">
      <w:pPr>
        <w:spacing w:line="240" w:lineRule="exact"/>
        <w:rPr>
          <w:szCs w:val="20"/>
        </w:rPr>
      </w:pPr>
    </w:p>
    <w:p w:rsidRPr="00FA4B2D" w:rsidR="00A61287" w:rsidP="00A61287" w:rsidRDefault="00F60B28" w14:paraId="47CAE6CB" w14:textId="06615C4A">
      <w:pPr>
        <w:rPr>
          <w:color w:val="00B050"/>
        </w:rPr>
      </w:pPr>
      <w:r w:rsidRPr="00F60B28">
        <w:rPr>
          <w:szCs w:val="20"/>
        </w:rPr>
        <w:t>Salary Table 2021-DCB of the general schedule for a GS-13, step 5 for the Washington-Baltimore-Arlington, DC-MD-VA-WV-PA locality area was used for wage calculation purposes.  The cost of total</w:t>
      </w:r>
      <w:r>
        <w:rPr>
          <w:szCs w:val="20"/>
        </w:rPr>
        <w:t xml:space="preserve"> </w:t>
      </w:r>
      <w:r w:rsidRPr="00F60B28">
        <w:rPr>
          <w:szCs w:val="20"/>
        </w:rPr>
        <w:t>benefits as a percentage of total hourly compensation for Federal Government employees has been calculated by multiplying 36.25% by the hourly OPM wage in accordance with OMB Memorandum M-08 13.</w:t>
      </w:r>
    </w:p>
    <w:p w:rsidR="00723CCF" w:rsidP="00C56753" w:rsidRDefault="00723CCF" w14:paraId="0DA7CF3D" w14:textId="77777777"/>
    <w:p w:rsidR="00C56753" w:rsidP="00C56753" w:rsidRDefault="0001002F" w14:paraId="3CA2A86B" w14:textId="463D6FA0">
      <w:r w:rsidRPr="00981EB5">
        <w:t xml:space="preserve">Cost per hour for </w:t>
      </w:r>
      <w:r w:rsidRPr="00981EB5" w:rsidR="00C56753">
        <w:t xml:space="preserve">staff is </w:t>
      </w:r>
      <w:r w:rsidRPr="00981EB5">
        <w:t xml:space="preserve">derived from the OPM </w:t>
      </w:r>
      <w:r w:rsidR="00556D0C">
        <w:t xml:space="preserve">GS Wage Table, </w:t>
      </w:r>
      <w:r w:rsidRPr="00981EB5">
        <w:t xml:space="preserve">January, </w:t>
      </w:r>
      <w:r w:rsidRPr="00981EB5" w:rsidR="00E02787">
        <w:t>202</w:t>
      </w:r>
      <w:r w:rsidR="00E02787">
        <w:t>1</w:t>
      </w:r>
      <w:r w:rsidRPr="00981EB5" w:rsidR="00E02787">
        <w:t xml:space="preserve"> </w:t>
      </w:r>
      <w:r w:rsidRPr="00981EB5">
        <w:t xml:space="preserve">at </w:t>
      </w:r>
      <w:r w:rsidRPr="00C56753" w:rsidR="00C56753">
        <w:t xml:space="preserve"> </w:t>
      </w:r>
      <w:hyperlink w:history="1" r:id="rId14">
        <w:r w:rsidRPr="0004061E" w:rsidR="00E02787">
          <w:rPr>
            <w:rStyle w:val="Hyperlink"/>
          </w:rPr>
          <w:t>https://www.opm.gov/policy-data-oversight/pay-leave/salaries-wages/salary-tables/pdf/2021/DCB_h.pdf</w:t>
        </w:r>
      </w:hyperlink>
      <w:r w:rsidR="00E02787">
        <w:t xml:space="preserve"> </w:t>
      </w:r>
    </w:p>
    <w:p w:rsidR="008E3FA4" w:rsidP="008E3FA4" w:rsidRDefault="008E3FA4" w14:paraId="0737982F" w14:textId="77777777">
      <w:pPr>
        <w:rPr>
          <w:b/>
        </w:rPr>
      </w:pPr>
      <w:r>
        <w:rPr>
          <w:b/>
        </w:rPr>
        <w:t>15.  Explain the reason for any program changes or adjustments reported in Items 13 or 14 of the OMB Form 83-I.</w:t>
      </w:r>
    </w:p>
    <w:p w:rsidR="004123F6" w:rsidP="00E5733C" w:rsidRDefault="004123F6" w14:paraId="7AD5F74C" w14:textId="77777777"/>
    <w:p w:rsidR="00042A8D" w:rsidP="00042A8D" w:rsidRDefault="00A55C1F" w14:paraId="38CBCBC2" w14:textId="7CD2D209">
      <w:pPr>
        <w:pStyle w:val="CommentText"/>
        <w:rPr>
          <w:bCs/>
          <w:sz w:val="24"/>
          <w:szCs w:val="24"/>
        </w:rPr>
      </w:pPr>
      <w:r>
        <w:rPr>
          <w:bCs/>
          <w:sz w:val="24"/>
          <w:szCs w:val="24"/>
        </w:rPr>
        <w:t>Changes from the previous</w:t>
      </w:r>
      <w:r w:rsidR="005B7392">
        <w:rPr>
          <w:bCs/>
          <w:sz w:val="24"/>
          <w:szCs w:val="24"/>
        </w:rPr>
        <w:t xml:space="preserve"> collection are summarized in the following table:</w:t>
      </w:r>
    </w:p>
    <w:p w:rsidR="005B7392" w:rsidP="00042A8D" w:rsidRDefault="005B7392" w14:paraId="3ED0A439" w14:textId="6538F70C">
      <w:pPr>
        <w:pStyle w:val="CommentText"/>
        <w:rPr>
          <w:bCs/>
          <w:sz w:val="24"/>
          <w:szCs w:val="24"/>
        </w:rPr>
      </w:pPr>
    </w:p>
    <w:tbl>
      <w:tblPr>
        <w:tblStyle w:val="TableGrid"/>
        <w:tblW w:w="0" w:type="auto"/>
        <w:tblLook w:val="04A0" w:firstRow="1" w:lastRow="0" w:firstColumn="1" w:lastColumn="0" w:noHBand="0" w:noVBand="1"/>
      </w:tblPr>
      <w:tblGrid>
        <w:gridCol w:w="1975"/>
        <w:gridCol w:w="3778"/>
        <w:gridCol w:w="2877"/>
      </w:tblGrid>
      <w:tr w:rsidR="005B7392" w:rsidTr="005B7392" w14:paraId="65EC0B7D" w14:textId="77777777">
        <w:tc>
          <w:tcPr>
            <w:tcW w:w="1975" w:type="dxa"/>
          </w:tcPr>
          <w:p w:rsidR="005B7392" w:rsidP="00042A8D" w:rsidRDefault="005B7392" w14:paraId="7F9D654A" w14:textId="51ECB4A7">
            <w:pPr>
              <w:pStyle w:val="CommentText"/>
              <w:rPr>
                <w:bCs/>
                <w:sz w:val="24"/>
                <w:szCs w:val="24"/>
              </w:rPr>
            </w:pPr>
            <w:r>
              <w:rPr>
                <w:bCs/>
                <w:sz w:val="24"/>
                <w:szCs w:val="24"/>
              </w:rPr>
              <w:t>Item</w:t>
            </w:r>
          </w:p>
        </w:tc>
        <w:tc>
          <w:tcPr>
            <w:tcW w:w="3778" w:type="dxa"/>
          </w:tcPr>
          <w:p w:rsidR="005B7392" w:rsidP="00042A8D" w:rsidRDefault="005B7392" w14:paraId="5443BC05" w14:textId="22F16966">
            <w:pPr>
              <w:pStyle w:val="CommentText"/>
              <w:rPr>
                <w:bCs/>
                <w:sz w:val="24"/>
                <w:szCs w:val="24"/>
              </w:rPr>
            </w:pPr>
            <w:r>
              <w:rPr>
                <w:bCs/>
                <w:sz w:val="24"/>
                <w:szCs w:val="24"/>
              </w:rPr>
              <w:t>Change</w:t>
            </w:r>
          </w:p>
        </w:tc>
        <w:tc>
          <w:tcPr>
            <w:tcW w:w="2877" w:type="dxa"/>
          </w:tcPr>
          <w:p w:rsidR="005B7392" w:rsidP="00042A8D" w:rsidRDefault="005B7392" w14:paraId="4590FAA3" w14:textId="44CD0180">
            <w:pPr>
              <w:pStyle w:val="CommentText"/>
              <w:rPr>
                <w:bCs/>
                <w:sz w:val="24"/>
                <w:szCs w:val="24"/>
              </w:rPr>
            </w:pPr>
            <w:r>
              <w:rPr>
                <w:bCs/>
                <w:sz w:val="24"/>
                <w:szCs w:val="24"/>
              </w:rPr>
              <w:t>Reason</w:t>
            </w:r>
          </w:p>
        </w:tc>
      </w:tr>
      <w:tr w:rsidR="005B7392" w:rsidTr="005B7392" w14:paraId="1D311F57" w14:textId="77777777">
        <w:tc>
          <w:tcPr>
            <w:tcW w:w="1975" w:type="dxa"/>
          </w:tcPr>
          <w:p w:rsidR="005B7392" w:rsidP="00042A8D" w:rsidRDefault="005B7392" w14:paraId="2B81B72B" w14:textId="7074B4C0">
            <w:pPr>
              <w:pStyle w:val="CommentText"/>
              <w:rPr>
                <w:bCs/>
                <w:sz w:val="24"/>
                <w:szCs w:val="24"/>
              </w:rPr>
            </w:pPr>
            <w:r>
              <w:rPr>
                <w:bCs/>
                <w:sz w:val="24"/>
                <w:szCs w:val="24"/>
              </w:rPr>
              <w:t>No. of Respondents</w:t>
            </w:r>
          </w:p>
        </w:tc>
        <w:tc>
          <w:tcPr>
            <w:tcW w:w="3778" w:type="dxa"/>
          </w:tcPr>
          <w:p w:rsidR="005B7392" w:rsidP="00042A8D" w:rsidRDefault="005B7392" w14:paraId="2A5CB0A8" w14:textId="5A67CD21">
            <w:pPr>
              <w:pStyle w:val="CommentText"/>
              <w:rPr>
                <w:bCs/>
                <w:sz w:val="24"/>
                <w:szCs w:val="24"/>
              </w:rPr>
            </w:pPr>
            <w:r>
              <w:rPr>
                <w:bCs/>
                <w:sz w:val="24"/>
                <w:szCs w:val="24"/>
              </w:rPr>
              <w:t>-110</w:t>
            </w:r>
          </w:p>
        </w:tc>
        <w:tc>
          <w:tcPr>
            <w:tcW w:w="2877" w:type="dxa"/>
          </w:tcPr>
          <w:p w:rsidR="005B7392" w:rsidP="00042A8D" w:rsidRDefault="005B7392" w14:paraId="40F1F42C" w14:textId="5CBB004D">
            <w:pPr>
              <w:pStyle w:val="CommentText"/>
              <w:rPr>
                <w:bCs/>
                <w:sz w:val="24"/>
                <w:szCs w:val="24"/>
              </w:rPr>
            </w:pPr>
            <w:r>
              <w:rPr>
                <w:bCs/>
                <w:sz w:val="24"/>
                <w:szCs w:val="24"/>
              </w:rPr>
              <w:t>Removal of technical and planning document from pre-award activities. Correction of miscategorized form.</w:t>
            </w:r>
          </w:p>
        </w:tc>
      </w:tr>
      <w:tr w:rsidR="005B7392" w:rsidTr="005B7392" w14:paraId="6AD9E852" w14:textId="77777777">
        <w:tc>
          <w:tcPr>
            <w:tcW w:w="1975" w:type="dxa"/>
          </w:tcPr>
          <w:p w:rsidR="005B7392" w:rsidP="00042A8D" w:rsidRDefault="005B7392" w14:paraId="008C20E7" w14:textId="55C9B71C">
            <w:pPr>
              <w:pStyle w:val="CommentText"/>
              <w:rPr>
                <w:bCs/>
                <w:sz w:val="24"/>
                <w:szCs w:val="24"/>
              </w:rPr>
            </w:pPr>
            <w:r>
              <w:rPr>
                <w:bCs/>
                <w:sz w:val="24"/>
                <w:szCs w:val="24"/>
              </w:rPr>
              <w:t>Total Responses</w:t>
            </w:r>
          </w:p>
        </w:tc>
        <w:tc>
          <w:tcPr>
            <w:tcW w:w="3778" w:type="dxa"/>
          </w:tcPr>
          <w:p w:rsidR="005B7392" w:rsidP="00042A8D" w:rsidRDefault="005B7392" w14:paraId="1AD6FEA9" w14:textId="58B33ECE">
            <w:pPr>
              <w:pStyle w:val="CommentText"/>
              <w:rPr>
                <w:bCs/>
                <w:sz w:val="24"/>
                <w:szCs w:val="24"/>
              </w:rPr>
            </w:pPr>
            <w:r>
              <w:rPr>
                <w:bCs/>
                <w:sz w:val="24"/>
                <w:szCs w:val="24"/>
              </w:rPr>
              <w:t>-110</w:t>
            </w:r>
          </w:p>
        </w:tc>
        <w:tc>
          <w:tcPr>
            <w:tcW w:w="2877" w:type="dxa"/>
          </w:tcPr>
          <w:p w:rsidR="005B7392" w:rsidP="00042A8D" w:rsidRDefault="005B7392" w14:paraId="44F44A79" w14:textId="5B12E56F">
            <w:pPr>
              <w:pStyle w:val="CommentText"/>
              <w:rPr>
                <w:bCs/>
                <w:sz w:val="24"/>
                <w:szCs w:val="24"/>
              </w:rPr>
            </w:pPr>
            <w:r>
              <w:rPr>
                <w:bCs/>
                <w:sz w:val="24"/>
                <w:szCs w:val="24"/>
              </w:rPr>
              <w:t xml:space="preserve">Removal of technical and planning document from pre-award activities. </w:t>
            </w:r>
            <w:r>
              <w:rPr>
                <w:bCs/>
                <w:sz w:val="24"/>
                <w:szCs w:val="24"/>
              </w:rPr>
              <w:lastRenderedPageBreak/>
              <w:t>Correction of miscategorized form.</w:t>
            </w:r>
          </w:p>
        </w:tc>
      </w:tr>
      <w:tr w:rsidR="005B7392" w:rsidTr="005B7392" w14:paraId="258F817D" w14:textId="77777777">
        <w:tc>
          <w:tcPr>
            <w:tcW w:w="1975" w:type="dxa"/>
          </w:tcPr>
          <w:p w:rsidR="005B7392" w:rsidP="00042A8D" w:rsidRDefault="005B7392" w14:paraId="44B28A93" w14:textId="639F1C6F">
            <w:pPr>
              <w:pStyle w:val="CommentText"/>
              <w:rPr>
                <w:bCs/>
                <w:sz w:val="24"/>
                <w:szCs w:val="24"/>
              </w:rPr>
            </w:pPr>
            <w:r>
              <w:rPr>
                <w:bCs/>
                <w:sz w:val="24"/>
                <w:szCs w:val="24"/>
              </w:rPr>
              <w:lastRenderedPageBreak/>
              <w:t>Est. Total Hours</w:t>
            </w:r>
          </w:p>
        </w:tc>
        <w:tc>
          <w:tcPr>
            <w:tcW w:w="3778" w:type="dxa"/>
          </w:tcPr>
          <w:p w:rsidR="005B7392" w:rsidP="00042A8D" w:rsidRDefault="005B7392" w14:paraId="107AFBC0" w14:textId="7F4D9F67">
            <w:pPr>
              <w:pStyle w:val="CommentText"/>
              <w:rPr>
                <w:bCs/>
                <w:sz w:val="24"/>
                <w:szCs w:val="24"/>
              </w:rPr>
            </w:pPr>
            <w:r>
              <w:rPr>
                <w:bCs/>
                <w:sz w:val="24"/>
                <w:szCs w:val="24"/>
              </w:rPr>
              <w:t>+1,125.5</w:t>
            </w:r>
          </w:p>
        </w:tc>
        <w:tc>
          <w:tcPr>
            <w:tcW w:w="2877" w:type="dxa"/>
          </w:tcPr>
          <w:p w:rsidR="005B7392" w:rsidP="00042A8D" w:rsidRDefault="005B7392" w14:paraId="5918C020" w14:textId="3A9A5606">
            <w:pPr>
              <w:pStyle w:val="CommentText"/>
              <w:rPr>
                <w:bCs/>
                <w:sz w:val="24"/>
                <w:szCs w:val="24"/>
              </w:rPr>
            </w:pPr>
            <w:r>
              <w:rPr>
                <w:bCs/>
                <w:sz w:val="24"/>
                <w:szCs w:val="24"/>
              </w:rPr>
              <w:t>While there was a decrease due to the removal of the technical and planning documents from pre-award, the reduction was negated by an increase in number of letters of intent and change in wage rates from 2021 to 2022 tables.</w:t>
            </w:r>
          </w:p>
        </w:tc>
      </w:tr>
      <w:tr w:rsidR="005B7392" w:rsidTr="005B7392" w14:paraId="3D93A9DB" w14:textId="77777777">
        <w:tc>
          <w:tcPr>
            <w:tcW w:w="1975" w:type="dxa"/>
          </w:tcPr>
          <w:p w:rsidR="005B7392" w:rsidP="00042A8D" w:rsidRDefault="005B7392" w14:paraId="0D67678A" w14:textId="4C2FDF9F">
            <w:pPr>
              <w:pStyle w:val="CommentText"/>
              <w:rPr>
                <w:bCs/>
                <w:sz w:val="24"/>
                <w:szCs w:val="24"/>
              </w:rPr>
            </w:pPr>
            <w:r>
              <w:rPr>
                <w:bCs/>
                <w:sz w:val="24"/>
                <w:szCs w:val="24"/>
              </w:rPr>
              <w:t>Total Cost</w:t>
            </w:r>
          </w:p>
        </w:tc>
        <w:tc>
          <w:tcPr>
            <w:tcW w:w="3778" w:type="dxa"/>
          </w:tcPr>
          <w:p w:rsidR="005B7392" w:rsidP="00042A8D" w:rsidRDefault="005B7392" w14:paraId="52FBC56A" w14:textId="35DF2F38">
            <w:pPr>
              <w:pStyle w:val="CommentText"/>
              <w:rPr>
                <w:bCs/>
                <w:sz w:val="24"/>
                <w:szCs w:val="24"/>
              </w:rPr>
            </w:pPr>
            <w:r>
              <w:rPr>
                <w:bCs/>
                <w:sz w:val="24"/>
                <w:szCs w:val="24"/>
              </w:rPr>
              <w:t>+$85,493</w:t>
            </w:r>
          </w:p>
        </w:tc>
        <w:tc>
          <w:tcPr>
            <w:tcW w:w="2877" w:type="dxa"/>
          </w:tcPr>
          <w:p w:rsidR="005B7392" w:rsidP="00042A8D" w:rsidRDefault="005B7392" w14:paraId="1FD15AC3" w14:textId="37267919">
            <w:pPr>
              <w:pStyle w:val="CommentText"/>
              <w:rPr>
                <w:bCs/>
                <w:sz w:val="24"/>
                <w:szCs w:val="24"/>
              </w:rPr>
            </w:pPr>
            <w:r>
              <w:rPr>
                <w:bCs/>
                <w:sz w:val="24"/>
                <w:szCs w:val="24"/>
              </w:rPr>
              <w:t>While there was a decrease due to the removal of the technical and planning documents from pre-award, the reduction was negated by an increase in number of letters of intent and change in wage rates from 2021 to 2022 tables.</w:t>
            </w:r>
          </w:p>
        </w:tc>
      </w:tr>
    </w:tbl>
    <w:p w:rsidRPr="00042A8D" w:rsidR="005B7392" w:rsidP="00042A8D" w:rsidRDefault="005B7392" w14:paraId="556A671E" w14:textId="77777777">
      <w:pPr>
        <w:pStyle w:val="CommentText"/>
        <w:rPr>
          <w:bCs/>
          <w:sz w:val="24"/>
          <w:szCs w:val="24"/>
        </w:rPr>
      </w:pPr>
    </w:p>
    <w:p w:rsidR="00954DB7" w:rsidP="00B9117F" w:rsidRDefault="002C7F79" w14:paraId="7D7D0F99" w14:textId="7D54A3AB">
      <w:pPr>
        <w:autoSpaceDE w:val="0"/>
        <w:autoSpaceDN w:val="0"/>
      </w:pPr>
      <w:r>
        <w:t xml:space="preserve">. </w:t>
      </w:r>
    </w:p>
    <w:p w:rsidR="00614BC2" w:rsidP="00614BC2" w:rsidRDefault="00614BC2" w14:paraId="11A09C60" w14:textId="77777777">
      <w:pPr>
        <w:rPr>
          <w:b/>
        </w:rPr>
      </w:pPr>
      <w:r>
        <w:rPr>
          <w:b/>
        </w:rPr>
        <w:t>16.  For collection of information whose results will be published, outline plans for the tabulation and publication.</w:t>
      </w:r>
    </w:p>
    <w:p w:rsidR="00DC5ABF" w:rsidP="00E5733C" w:rsidRDefault="00DC5ABF" w14:paraId="599BC87E" w14:textId="77777777"/>
    <w:p w:rsidR="004B208C" w:rsidP="004B208C" w:rsidRDefault="00913FEA" w14:paraId="48677DC3" w14:textId="77777777">
      <w:r>
        <w:t xml:space="preserve">RBCS has no </w:t>
      </w:r>
      <w:r w:rsidR="00597A4B">
        <w:t xml:space="preserve">such </w:t>
      </w:r>
      <w:r>
        <w:t>plans</w:t>
      </w:r>
      <w:r w:rsidR="00597A4B">
        <w:t>.</w:t>
      </w:r>
    </w:p>
    <w:p w:rsidR="00F713A1" w:rsidP="00614BC2" w:rsidRDefault="00F713A1" w14:paraId="7EF73ED1" w14:textId="77777777">
      <w:pPr>
        <w:rPr>
          <w:b/>
        </w:rPr>
      </w:pPr>
    </w:p>
    <w:p w:rsidR="00614BC2" w:rsidP="00614BC2" w:rsidRDefault="00614BC2" w14:paraId="7B752C6E" w14:textId="5AD3808B">
      <w:pPr>
        <w:rPr>
          <w:b/>
        </w:rPr>
      </w:pPr>
      <w:r w:rsidRPr="003C5FDC">
        <w:rPr>
          <w:b/>
        </w:rPr>
        <w:t>17.  If seeking approval to not display the expiration date for the OMB approval of information collection, explain the reasons that display would be inappropriate.</w:t>
      </w:r>
    </w:p>
    <w:p w:rsidR="00DC5ABF" w:rsidP="00E5733C" w:rsidRDefault="00DC5ABF" w14:paraId="593668A7" w14:textId="77777777">
      <w:pPr>
        <w:ind w:left="360"/>
      </w:pPr>
    </w:p>
    <w:p w:rsidR="00B442AF" w:rsidRDefault="00F713A1" w14:paraId="056657DC" w14:textId="59A08661">
      <w:pPr>
        <w:rPr>
          <w:b/>
        </w:rPr>
      </w:pPr>
      <w:r>
        <w:t>N/A</w:t>
      </w:r>
    </w:p>
    <w:p w:rsidR="001E5E35" w:rsidP="00614BC2" w:rsidRDefault="001E5E35" w14:paraId="6EFB8E3E" w14:textId="77777777">
      <w:pPr>
        <w:rPr>
          <w:b/>
        </w:rPr>
      </w:pPr>
    </w:p>
    <w:p w:rsidR="00614BC2" w:rsidP="00614BC2" w:rsidRDefault="00614BC2" w14:paraId="0E57299C" w14:textId="0C96E8A2">
      <w:pPr>
        <w:rPr>
          <w:b/>
        </w:rPr>
      </w:pPr>
      <w:r>
        <w:rPr>
          <w:b/>
        </w:rPr>
        <w:t>18.  Explain each exception statement to the certification statement identified in Items 19 and 20 on OMB Form 83-I.</w:t>
      </w:r>
    </w:p>
    <w:p w:rsidR="00614BC2" w:rsidP="00614BC2" w:rsidRDefault="00614BC2" w14:paraId="40E3F241" w14:textId="77777777"/>
    <w:p w:rsidR="00A2270C" w:rsidP="00A2270C" w:rsidRDefault="00913FEA" w14:paraId="03D184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RBCS </w:t>
      </w:r>
      <w:r w:rsidRPr="00A2270C" w:rsidR="00A2270C">
        <w:t>is able to certify compliance with all provisions under Item 19 of OMB Form 83-I.</w:t>
      </w:r>
    </w:p>
    <w:p w:rsidRPr="00A2270C" w:rsidR="0086122F" w:rsidP="00A2270C" w:rsidRDefault="0086122F"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14BC2" w:rsidP="00614BC2" w:rsidRDefault="00614BC2" w14:paraId="39A39AC6" w14:textId="438CE393">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rsidRDefault="003526FF" w14:paraId="547579CA" w14:textId="77777777"/>
    <w:p w:rsidR="00964B45" w:rsidP="003526FF" w:rsidRDefault="00964B45" w14:paraId="39CE2EBF" w14:textId="6170F64C">
      <w:r>
        <w:t>This information collection is not related to the Service Center</w:t>
      </w:r>
      <w:r w:rsidR="003526FF">
        <w:t xml:space="preserve">s as they </w:t>
      </w:r>
      <w:r>
        <w:t>are not involved</w:t>
      </w:r>
      <w:r w:rsidR="003526FF">
        <w:t xml:space="preserve"> in the administration of </w:t>
      </w:r>
      <w:r w:rsidR="00771D26">
        <w:t>REPP</w:t>
      </w:r>
      <w:r w:rsidR="00A72491">
        <w:t xml:space="preserve">. </w:t>
      </w:r>
    </w:p>
    <w:p w:rsidR="002E1BF7" w:rsidP="003526FF" w:rsidRDefault="002E1BF7" w14:paraId="7F51234B" w14:textId="66C40395"/>
    <w:p w:rsidRPr="002E1BF7" w:rsidR="002E1BF7" w:rsidP="002E1BF7" w:rsidRDefault="002E1BF7" w14:paraId="08CA5767" w14:textId="52E088E8">
      <w:pPr>
        <w:jc w:val="center"/>
        <w:rPr>
          <w:b/>
          <w:bCs/>
        </w:rPr>
      </w:pPr>
      <w:r w:rsidRPr="002E1BF7">
        <w:rPr>
          <w:b/>
          <w:bCs/>
        </w:rPr>
        <w:t># # #</w:t>
      </w:r>
    </w:p>
    <w:sectPr w:rsidRPr="002E1BF7" w:rsidR="002E1BF7">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7411" w14:textId="77777777" w:rsidR="001739D2" w:rsidRDefault="001739D2" w:rsidP="00895E62">
      <w:r>
        <w:separator/>
      </w:r>
    </w:p>
  </w:endnote>
  <w:endnote w:type="continuationSeparator" w:id="0">
    <w:p w14:paraId="0CDB584F" w14:textId="77777777" w:rsidR="001739D2" w:rsidRDefault="001739D2" w:rsidP="008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E5FD" w14:textId="008A7498" w:rsidR="00064D6A" w:rsidRDefault="00064D6A">
    <w:pPr>
      <w:pStyle w:val="Footer"/>
      <w:jc w:val="center"/>
    </w:pPr>
    <w:r>
      <w:fldChar w:fldCharType="begin"/>
    </w:r>
    <w:r>
      <w:instrText xml:space="preserve"> PAGE   \* MERGEFORMAT </w:instrText>
    </w:r>
    <w:r>
      <w:fldChar w:fldCharType="separate"/>
    </w:r>
    <w:r>
      <w:rPr>
        <w:noProof/>
      </w:rPr>
      <w:t>2</w:t>
    </w:r>
    <w:r>
      <w:rPr>
        <w:noProof/>
      </w:rPr>
      <w:fldChar w:fldCharType="end"/>
    </w:r>
  </w:p>
  <w:p w14:paraId="49E6235B" w14:textId="77777777" w:rsidR="00064D6A" w:rsidRDefault="0006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22DB" w14:textId="77777777" w:rsidR="001739D2" w:rsidRDefault="001739D2" w:rsidP="00895E62">
      <w:r>
        <w:separator/>
      </w:r>
    </w:p>
  </w:footnote>
  <w:footnote w:type="continuationSeparator" w:id="0">
    <w:p w14:paraId="15C2101C" w14:textId="77777777" w:rsidR="001739D2" w:rsidRDefault="001739D2" w:rsidP="008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3692" w14:textId="542029E1" w:rsidR="00064D6A" w:rsidRDefault="00064D6A" w:rsidP="00613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26416"/>
    <w:multiLevelType w:val="hybridMultilevel"/>
    <w:tmpl w:val="5088C7E6"/>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C784A"/>
    <w:multiLevelType w:val="hybridMultilevel"/>
    <w:tmpl w:val="17709108"/>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04688"/>
    <w:multiLevelType w:val="hybridMultilevel"/>
    <w:tmpl w:val="F950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854B8"/>
    <w:multiLevelType w:val="hybridMultilevel"/>
    <w:tmpl w:val="BB28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D081E"/>
    <w:multiLevelType w:val="hybridMultilevel"/>
    <w:tmpl w:val="0F300712"/>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3752C"/>
    <w:multiLevelType w:val="hybridMultilevel"/>
    <w:tmpl w:val="34F04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775456"/>
    <w:multiLevelType w:val="hybridMultilevel"/>
    <w:tmpl w:val="43E6443C"/>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B181C"/>
    <w:multiLevelType w:val="hybridMultilevel"/>
    <w:tmpl w:val="81DA2172"/>
    <w:lvl w:ilvl="0" w:tplc="7F86A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A1FC3"/>
    <w:multiLevelType w:val="hybridMultilevel"/>
    <w:tmpl w:val="89D42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7D2567"/>
    <w:multiLevelType w:val="hybridMultilevel"/>
    <w:tmpl w:val="2C6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26269"/>
    <w:multiLevelType w:val="hybridMultilevel"/>
    <w:tmpl w:val="84AC6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27" w15:restartNumberingAfterBreak="0">
    <w:nsid w:val="428F1A1F"/>
    <w:multiLevelType w:val="hybridMultilevel"/>
    <w:tmpl w:val="766EE04E"/>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F6675"/>
    <w:multiLevelType w:val="hybridMultilevel"/>
    <w:tmpl w:val="E376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F1110"/>
    <w:multiLevelType w:val="hybridMultilevel"/>
    <w:tmpl w:val="A2261A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D5075C"/>
    <w:multiLevelType w:val="hybridMultilevel"/>
    <w:tmpl w:val="E3C21D1E"/>
    <w:lvl w:ilvl="0" w:tplc="D9FE61C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262AFE"/>
    <w:multiLevelType w:val="hybridMultilevel"/>
    <w:tmpl w:val="FE5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561B5"/>
    <w:multiLevelType w:val="hybridMultilevel"/>
    <w:tmpl w:val="5390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5733086"/>
    <w:multiLevelType w:val="hybridMultilevel"/>
    <w:tmpl w:val="97C85C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D3AEC"/>
    <w:multiLevelType w:val="hybridMultilevel"/>
    <w:tmpl w:val="0AA0D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716794"/>
    <w:multiLevelType w:val="hybridMultilevel"/>
    <w:tmpl w:val="5FEE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322471"/>
    <w:multiLevelType w:val="hybridMultilevel"/>
    <w:tmpl w:val="D18EE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B2452"/>
    <w:multiLevelType w:val="hybridMultilevel"/>
    <w:tmpl w:val="6AEEB150"/>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B7E59CC"/>
    <w:multiLevelType w:val="hybridMultilevel"/>
    <w:tmpl w:val="8B221DB2"/>
    <w:lvl w:ilvl="0" w:tplc="AD866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3"/>
  </w:num>
  <w:num w:numId="3">
    <w:abstractNumId w:val="25"/>
  </w:num>
  <w:num w:numId="4">
    <w:abstractNumId w:val="1"/>
  </w:num>
  <w:num w:numId="5">
    <w:abstractNumId w:val="49"/>
  </w:num>
  <w:num w:numId="6">
    <w:abstractNumId w:val="19"/>
  </w:num>
  <w:num w:numId="7">
    <w:abstractNumId w:val="40"/>
  </w:num>
  <w:num w:numId="8">
    <w:abstractNumId w:val="13"/>
  </w:num>
  <w:num w:numId="9">
    <w:abstractNumId w:val="20"/>
  </w:num>
  <w:num w:numId="10">
    <w:abstractNumId w:val="7"/>
  </w:num>
  <w:num w:numId="11">
    <w:abstractNumId w:val="31"/>
  </w:num>
  <w:num w:numId="12">
    <w:abstractNumId w:val="39"/>
  </w:num>
  <w:num w:numId="13">
    <w:abstractNumId w:val="30"/>
  </w:num>
  <w:num w:numId="14">
    <w:abstractNumId w:val="14"/>
  </w:num>
  <w:num w:numId="15">
    <w:abstractNumId w:val="48"/>
  </w:num>
  <w:num w:numId="16">
    <w:abstractNumId w:val="9"/>
  </w:num>
  <w:num w:numId="17">
    <w:abstractNumId w:val="6"/>
  </w:num>
  <w:num w:numId="18">
    <w:abstractNumId w:val="44"/>
  </w:num>
  <w:num w:numId="19">
    <w:abstractNumId w:val="3"/>
  </w:num>
  <w:num w:numId="20">
    <w:abstractNumId w:val="18"/>
  </w:num>
  <w:num w:numId="21">
    <w:abstractNumId w:val="16"/>
  </w:num>
  <w:num w:numId="22">
    <w:abstractNumId w:val="0"/>
  </w:num>
  <w:num w:numId="23">
    <w:abstractNumId w:val="15"/>
  </w:num>
  <w:num w:numId="24">
    <w:abstractNumId w:val="32"/>
  </w:num>
  <w:num w:numId="25">
    <w:abstractNumId w:val="26"/>
  </w:num>
  <w:num w:numId="26">
    <w:abstractNumId w:val="38"/>
  </w:num>
  <w:num w:numId="27">
    <w:abstractNumId w:val="38"/>
  </w:num>
  <w:num w:numId="28">
    <w:abstractNumId w:val="34"/>
  </w:num>
  <w:num w:numId="29">
    <w:abstractNumId w:val="5"/>
  </w:num>
  <w:num w:numId="30">
    <w:abstractNumId w:val="36"/>
  </w:num>
  <w:num w:numId="31">
    <w:abstractNumId w:val="2"/>
  </w:num>
  <w:num w:numId="32">
    <w:abstractNumId w:val="11"/>
  </w:num>
  <w:num w:numId="33">
    <w:abstractNumId w:val="35"/>
  </w:num>
  <w:num w:numId="34">
    <w:abstractNumId w:val="17"/>
  </w:num>
  <w:num w:numId="35">
    <w:abstractNumId w:val="27"/>
  </w:num>
  <w:num w:numId="36">
    <w:abstractNumId w:val="37"/>
  </w:num>
  <w:num w:numId="37">
    <w:abstractNumId w:val="42"/>
  </w:num>
  <w:num w:numId="38">
    <w:abstractNumId w:val="12"/>
  </w:num>
  <w:num w:numId="39">
    <w:abstractNumId w:val="46"/>
  </w:num>
  <w:num w:numId="40">
    <w:abstractNumId w:val="4"/>
  </w:num>
  <w:num w:numId="41">
    <w:abstractNumId w:val="29"/>
  </w:num>
  <w:num w:numId="42">
    <w:abstractNumId w:val="22"/>
  </w:num>
  <w:num w:numId="43">
    <w:abstractNumId w:val="28"/>
  </w:num>
  <w:num w:numId="44">
    <w:abstractNumId w:val="8"/>
  </w:num>
  <w:num w:numId="45">
    <w:abstractNumId w:val="10"/>
  </w:num>
  <w:num w:numId="46">
    <w:abstractNumId w:val="43"/>
  </w:num>
  <w:num w:numId="47">
    <w:abstractNumId w:val="41"/>
  </w:num>
  <w:num w:numId="48">
    <w:abstractNumId w:val="50"/>
  </w:num>
  <w:num w:numId="49">
    <w:abstractNumId w:val="45"/>
  </w:num>
  <w:num w:numId="50">
    <w:abstractNumId w:val="21"/>
  </w:num>
  <w:num w:numId="51">
    <w:abstractNumId w:val="24"/>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F41"/>
    <w:rsid w:val="00007248"/>
    <w:rsid w:val="0001002F"/>
    <w:rsid w:val="00012BD4"/>
    <w:rsid w:val="00012E7D"/>
    <w:rsid w:val="00015720"/>
    <w:rsid w:val="00020698"/>
    <w:rsid w:val="00020AF1"/>
    <w:rsid w:val="000227E3"/>
    <w:rsid w:val="0002306C"/>
    <w:rsid w:val="00031208"/>
    <w:rsid w:val="00034A78"/>
    <w:rsid w:val="000363B1"/>
    <w:rsid w:val="000411D8"/>
    <w:rsid w:val="00042A8D"/>
    <w:rsid w:val="00042A9A"/>
    <w:rsid w:val="0004487C"/>
    <w:rsid w:val="00053509"/>
    <w:rsid w:val="00064D6A"/>
    <w:rsid w:val="00066AD3"/>
    <w:rsid w:val="00067D21"/>
    <w:rsid w:val="00072786"/>
    <w:rsid w:val="0007671D"/>
    <w:rsid w:val="00085FC3"/>
    <w:rsid w:val="00086420"/>
    <w:rsid w:val="0009118D"/>
    <w:rsid w:val="00091ACF"/>
    <w:rsid w:val="00091F7E"/>
    <w:rsid w:val="000936DF"/>
    <w:rsid w:val="000940CD"/>
    <w:rsid w:val="00094D69"/>
    <w:rsid w:val="000968C7"/>
    <w:rsid w:val="00097211"/>
    <w:rsid w:val="00097C6E"/>
    <w:rsid w:val="00097FF4"/>
    <w:rsid w:val="000A079F"/>
    <w:rsid w:val="000A1158"/>
    <w:rsid w:val="000A49EF"/>
    <w:rsid w:val="000A7C25"/>
    <w:rsid w:val="000B32B8"/>
    <w:rsid w:val="000B32D4"/>
    <w:rsid w:val="000B58B8"/>
    <w:rsid w:val="000C5A62"/>
    <w:rsid w:val="000C716A"/>
    <w:rsid w:val="000D6844"/>
    <w:rsid w:val="000E150A"/>
    <w:rsid w:val="000E2ECB"/>
    <w:rsid w:val="000E410B"/>
    <w:rsid w:val="000F240E"/>
    <w:rsid w:val="000F373E"/>
    <w:rsid w:val="000F3C7B"/>
    <w:rsid w:val="000F5513"/>
    <w:rsid w:val="000F77F5"/>
    <w:rsid w:val="0010194D"/>
    <w:rsid w:val="00103A1B"/>
    <w:rsid w:val="00103B7C"/>
    <w:rsid w:val="0010428A"/>
    <w:rsid w:val="00112F11"/>
    <w:rsid w:val="00117063"/>
    <w:rsid w:val="00121127"/>
    <w:rsid w:val="00132F77"/>
    <w:rsid w:val="0013391E"/>
    <w:rsid w:val="00133A97"/>
    <w:rsid w:val="0013711A"/>
    <w:rsid w:val="001439E9"/>
    <w:rsid w:val="00143EB7"/>
    <w:rsid w:val="001533CC"/>
    <w:rsid w:val="00155B1C"/>
    <w:rsid w:val="00155C31"/>
    <w:rsid w:val="001739D2"/>
    <w:rsid w:val="00177B76"/>
    <w:rsid w:val="00177DA7"/>
    <w:rsid w:val="001850EA"/>
    <w:rsid w:val="001855EE"/>
    <w:rsid w:val="001872CE"/>
    <w:rsid w:val="00190A9B"/>
    <w:rsid w:val="0019275E"/>
    <w:rsid w:val="00197ABF"/>
    <w:rsid w:val="001A38FA"/>
    <w:rsid w:val="001A3C82"/>
    <w:rsid w:val="001C104F"/>
    <w:rsid w:val="001C2822"/>
    <w:rsid w:val="001C6D5D"/>
    <w:rsid w:val="001D69CC"/>
    <w:rsid w:val="001E45E9"/>
    <w:rsid w:val="001E5E35"/>
    <w:rsid w:val="001F221F"/>
    <w:rsid w:val="001F532F"/>
    <w:rsid w:val="00202EAD"/>
    <w:rsid w:val="00203243"/>
    <w:rsid w:val="00205C70"/>
    <w:rsid w:val="002117F8"/>
    <w:rsid w:val="00211E96"/>
    <w:rsid w:val="002144D9"/>
    <w:rsid w:val="002144E3"/>
    <w:rsid w:val="00223DDF"/>
    <w:rsid w:val="0022515F"/>
    <w:rsid w:val="00227667"/>
    <w:rsid w:val="0023708C"/>
    <w:rsid w:val="002418D1"/>
    <w:rsid w:val="002467AE"/>
    <w:rsid w:val="0024785F"/>
    <w:rsid w:val="00251A2E"/>
    <w:rsid w:val="0025359B"/>
    <w:rsid w:val="00254DC2"/>
    <w:rsid w:val="0026173C"/>
    <w:rsid w:val="00261A00"/>
    <w:rsid w:val="002620FF"/>
    <w:rsid w:val="002652C5"/>
    <w:rsid w:val="0027266B"/>
    <w:rsid w:val="002735F9"/>
    <w:rsid w:val="002776A0"/>
    <w:rsid w:val="00280572"/>
    <w:rsid w:val="002817CB"/>
    <w:rsid w:val="00281F43"/>
    <w:rsid w:val="00282440"/>
    <w:rsid w:val="00282F8A"/>
    <w:rsid w:val="00283A61"/>
    <w:rsid w:val="00283F63"/>
    <w:rsid w:val="002840C8"/>
    <w:rsid w:val="0028594F"/>
    <w:rsid w:val="00296AA3"/>
    <w:rsid w:val="002973B1"/>
    <w:rsid w:val="00297B89"/>
    <w:rsid w:val="002A03C8"/>
    <w:rsid w:val="002A426D"/>
    <w:rsid w:val="002B28DD"/>
    <w:rsid w:val="002C1B0D"/>
    <w:rsid w:val="002C2F5D"/>
    <w:rsid w:val="002C3D3C"/>
    <w:rsid w:val="002C7F79"/>
    <w:rsid w:val="002D0EF0"/>
    <w:rsid w:val="002D6434"/>
    <w:rsid w:val="002E1BF7"/>
    <w:rsid w:val="002E3D86"/>
    <w:rsid w:val="002E42FD"/>
    <w:rsid w:val="002F076B"/>
    <w:rsid w:val="002F4CB4"/>
    <w:rsid w:val="002F6BB1"/>
    <w:rsid w:val="002F70C4"/>
    <w:rsid w:val="00304567"/>
    <w:rsid w:val="00304817"/>
    <w:rsid w:val="0031081A"/>
    <w:rsid w:val="00310A23"/>
    <w:rsid w:val="00311553"/>
    <w:rsid w:val="00312022"/>
    <w:rsid w:val="0031308D"/>
    <w:rsid w:val="00313150"/>
    <w:rsid w:val="00313694"/>
    <w:rsid w:val="00321298"/>
    <w:rsid w:val="00333993"/>
    <w:rsid w:val="0035056B"/>
    <w:rsid w:val="00350971"/>
    <w:rsid w:val="003523A1"/>
    <w:rsid w:val="003526FF"/>
    <w:rsid w:val="00365AE7"/>
    <w:rsid w:val="00370185"/>
    <w:rsid w:val="003710C6"/>
    <w:rsid w:val="00375BDA"/>
    <w:rsid w:val="00380363"/>
    <w:rsid w:val="003855F7"/>
    <w:rsid w:val="00385D51"/>
    <w:rsid w:val="00385E99"/>
    <w:rsid w:val="00386C0F"/>
    <w:rsid w:val="0038710A"/>
    <w:rsid w:val="003915E4"/>
    <w:rsid w:val="003917AB"/>
    <w:rsid w:val="00392643"/>
    <w:rsid w:val="003972FA"/>
    <w:rsid w:val="003976A6"/>
    <w:rsid w:val="003A38D1"/>
    <w:rsid w:val="003B0B48"/>
    <w:rsid w:val="003B114B"/>
    <w:rsid w:val="003B1A66"/>
    <w:rsid w:val="003B7BF9"/>
    <w:rsid w:val="003C1107"/>
    <w:rsid w:val="003C5FDC"/>
    <w:rsid w:val="003C7873"/>
    <w:rsid w:val="003D63DC"/>
    <w:rsid w:val="003E1348"/>
    <w:rsid w:val="003E1652"/>
    <w:rsid w:val="003E6114"/>
    <w:rsid w:val="003F4DAE"/>
    <w:rsid w:val="00401478"/>
    <w:rsid w:val="00405979"/>
    <w:rsid w:val="00410954"/>
    <w:rsid w:val="00411760"/>
    <w:rsid w:val="004123F6"/>
    <w:rsid w:val="00412D4A"/>
    <w:rsid w:val="0041390D"/>
    <w:rsid w:val="00416625"/>
    <w:rsid w:val="00422A6E"/>
    <w:rsid w:val="00422CAF"/>
    <w:rsid w:val="00425242"/>
    <w:rsid w:val="004271B8"/>
    <w:rsid w:val="00427329"/>
    <w:rsid w:val="00430E40"/>
    <w:rsid w:val="00432EB9"/>
    <w:rsid w:val="00434586"/>
    <w:rsid w:val="00436519"/>
    <w:rsid w:val="00446ADD"/>
    <w:rsid w:val="00446D63"/>
    <w:rsid w:val="00446DDD"/>
    <w:rsid w:val="004566CF"/>
    <w:rsid w:val="00457851"/>
    <w:rsid w:val="004631C6"/>
    <w:rsid w:val="00463F7B"/>
    <w:rsid w:val="004653DF"/>
    <w:rsid w:val="00467039"/>
    <w:rsid w:val="004675F0"/>
    <w:rsid w:val="00467B64"/>
    <w:rsid w:val="004873E8"/>
    <w:rsid w:val="0048761A"/>
    <w:rsid w:val="00487F2E"/>
    <w:rsid w:val="004A3EC5"/>
    <w:rsid w:val="004A4AFB"/>
    <w:rsid w:val="004B0F75"/>
    <w:rsid w:val="004B208C"/>
    <w:rsid w:val="004B2E26"/>
    <w:rsid w:val="004B3285"/>
    <w:rsid w:val="004B4661"/>
    <w:rsid w:val="004B5DEA"/>
    <w:rsid w:val="004D1F1D"/>
    <w:rsid w:val="004E1BC8"/>
    <w:rsid w:val="004E3F7F"/>
    <w:rsid w:val="004E74D7"/>
    <w:rsid w:val="004F35D6"/>
    <w:rsid w:val="004F4DF7"/>
    <w:rsid w:val="004F692D"/>
    <w:rsid w:val="004F70AC"/>
    <w:rsid w:val="004F74C7"/>
    <w:rsid w:val="00500F9C"/>
    <w:rsid w:val="00501459"/>
    <w:rsid w:val="00503E03"/>
    <w:rsid w:val="00505271"/>
    <w:rsid w:val="00517BB6"/>
    <w:rsid w:val="00522441"/>
    <w:rsid w:val="005264E2"/>
    <w:rsid w:val="00526632"/>
    <w:rsid w:val="005271E4"/>
    <w:rsid w:val="00530935"/>
    <w:rsid w:val="00530F2F"/>
    <w:rsid w:val="00531EED"/>
    <w:rsid w:val="0053225A"/>
    <w:rsid w:val="005324AF"/>
    <w:rsid w:val="0054187E"/>
    <w:rsid w:val="00542B7C"/>
    <w:rsid w:val="00542EA1"/>
    <w:rsid w:val="0054328F"/>
    <w:rsid w:val="00544F33"/>
    <w:rsid w:val="00547C17"/>
    <w:rsid w:val="00556D0C"/>
    <w:rsid w:val="00557100"/>
    <w:rsid w:val="0055719C"/>
    <w:rsid w:val="005602A0"/>
    <w:rsid w:val="005618C0"/>
    <w:rsid w:val="00562164"/>
    <w:rsid w:val="005626C5"/>
    <w:rsid w:val="00564CD4"/>
    <w:rsid w:val="0056625C"/>
    <w:rsid w:val="00570200"/>
    <w:rsid w:val="00576FB2"/>
    <w:rsid w:val="0058415C"/>
    <w:rsid w:val="0059252C"/>
    <w:rsid w:val="005943F7"/>
    <w:rsid w:val="005952A0"/>
    <w:rsid w:val="00595493"/>
    <w:rsid w:val="0059612E"/>
    <w:rsid w:val="00597A4B"/>
    <w:rsid w:val="005A68E3"/>
    <w:rsid w:val="005B1770"/>
    <w:rsid w:val="005B5A69"/>
    <w:rsid w:val="005B7392"/>
    <w:rsid w:val="005C09F7"/>
    <w:rsid w:val="005C46E3"/>
    <w:rsid w:val="005C49D3"/>
    <w:rsid w:val="005C7B51"/>
    <w:rsid w:val="005E19BD"/>
    <w:rsid w:val="005E61F3"/>
    <w:rsid w:val="005F485F"/>
    <w:rsid w:val="005F638A"/>
    <w:rsid w:val="00603145"/>
    <w:rsid w:val="00605A6A"/>
    <w:rsid w:val="00606D54"/>
    <w:rsid w:val="006105E1"/>
    <w:rsid w:val="00610FD4"/>
    <w:rsid w:val="00612107"/>
    <w:rsid w:val="00613FDD"/>
    <w:rsid w:val="00614AAB"/>
    <w:rsid w:val="00614BC2"/>
    <w:rsid w:val="00616765"/>
    <w:rsid w:val="00625A3C"/>
    <w:rsid w:val="00632590"/>
    <w:rsid w:val="00637DA4"/>
    <w:rsid w:val="00640154"/>
    <w:rsid w:val="00641B26"/>
    <w:rsid w:val="006431FC"/>
    <w:rsid w:val="0064681E"/>
    <w:rsid w:val="00647D7E"/>
    <w:rsid w:val="00654646"/>
    <w:rsid w:val="00657DC5"/>
    <w:rsid w:val="00662A53"/>
    <w:rsid w:val="00663992"/>
    <w:rsid w:val="00665644"/>
    <w:rsid w:val="00670CBC"/>
    <w:rsid w:val="00673A42"/>
    <w:rsid w:val="006745FB"/>
    <w:rsid w:val="0067534E"/>
    <w:rsid w:val="00676749"/>
    <w:rsid w:val="00677B18"/>
    <w:rsid w:val="00680C12"/>
    <w:rsid w:val="00680F89"/>
    <w:rsid w:val="00691F2F"/>
    <w:rsid w:val="006939D7"/>
    <w:rsid w:val="00694968"/>
    <w:rsid w:val="006949FD"/>
    <w:rsid w:val="006A1F76"/>
    <w:rsid w:val="006A2DB1"/>
    <w:rsid w:val="006A5149"/>
    <w:rsid w:val="006B0069"/>
    <w:rsid w:val="006B3032"/>
    <w:rsid w:val="006B37EA"/>
    <w:rsid w:val="006B6564"/>
    <w:rsid w:val="006C056F"/>
    <w:rsid w:val="006C1234"/>
    <w:rsid w:val="006C508C"/>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7775"/>
    <w:rsid w:val="006F7D29"/>
    <w:rsid w:val="00704B3B"/>
    <w:rsid w:val="007072DC"/>
    <w:rsid w:val="0071118D"/>
    <w:rsid w:val="00716342"/>
    <w:rsid w:val="00721464"/>
    <w:rsid w:val="00721DAA"/>
    <w:rsid w:val="00723CCF"/>
    <w:rsid w:val="00724CDA"/>
    <w:rsid w:val="00725E79"/>
    <w:rsid w:val="00740263"/>
    <w:rsid w:val="00743864"/>
    <w:rsid w:val="00745DEF"/>
    <w:rsid w:val="00745F55"/>
    <w:rsid w:val="00750BEE"/>
    <w:rsid w:val="00752C31"/>
    <w:rsid w:val="00754903"/>
    <w:rsid w:val="00755F9C"/>
    <w:rsid w:val="00757CCC"/>
    <w:rsid w:val="0076154A"/>
    <w:rsid w:val="00766FEE"/>
    <w:rsid w:val="00771D26"/>
    <w:rsid w:val="00773ED2"/>
    <w:rsid w:val="00775E13"/>
    <w:rsid w:val="00776106"/>
    <w:rsid w:val="007840DA"/>
    <w:rsid w:val="00784C8E"/>
    <w:rsid w:val="007852EC"/>
    <w:rsid w:val="00786987"/>
    <w:rsid w:val="00790C36"/>
    <w:rsid w:val="007A046F"/>
    <w:rsid w:val="007A1D36"/>
    <w:rsid w:val="007A34E0"/>
    <w:rsid w:val="007A6D35"/>
    <w:rsid w:val="007B348E"/>
    <w:rsid w:val="007B4045"/>
    <w:rsid w:val="007B5C22"/>
    <w:rsid w:val="007B7846"/>
    <w:rsid w:val="007B78E5"/>
    <w:rsid w:val="007B7A75"/>
    <w:rsid w:val="007C0DB9"/>
    <w:rsid w:val="007C59A4"/>
    <w:rsid w:val="007D0AE3"/>
    <w:rsid w:val="007D270F"/>
    <w:rsid w:val="007D2A01"/>
    <w:rsid w:val="007E2555"/>
    <w:rsid w:val="007E46E2"/>
    <w:rsid w:val="007F1B84"/>
    <w:rsid w:val="007F2939"/>
    <w:rsid w:val="007F2C90"/>
    <w:rsid w:val="007F42C5"/>
    <w:rsid w:val="008035B8"/>
    <w:rsid w:val="00804AA4"/>
    <w:rsid w:val="00806B0C"/>
    <w:rsid w:val="00807760"/>
    <w:rsid w:val="00810039"/>
    <w:rsid w:val="008100FA"/>
    <w:rsid w:val="00814EAB"/>
    <w:rsid w:val="008152A3"/>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3B3B"/>
    <w:rsid w:val="0086487C"/>
    <w:rsid w:val="008745DB"/>
    <w:rsid w:val="00874B72"/>
    <w:rsid w:val="008754FD"/>
    <w:rsid w:val="00876197"/>
    <w:rsid w:val="00877AEE"/>
    <w:rsid w:val="00887689"/>
    <w:rsid w:val="00894185"/>
    <w:rsid w:val="00895B77"/>
    <w:rsid w:val="00895E62"/>
    <w:rsid w:val="00896C8D"/>
    <w:rsid w:val="008A7AB5"/>
    <w:rsid w:val="008B21E3"/>
    <w:rsid w:val="008B32C5"/>
    <w:rsid w:val="008B3D7A"/>
    <w:rsid w:val="008B3FC5"/>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0AD0"/>
    <w:rsid w:val="00913FEA"/>
    <w:rsid w:val="00917AAD"/>
    <w:rsid w:val="00931D32"/>
    <w:rsid w:val="009337F9"/>
    <w:rsid w:val="00933B3C"/>
    <w:rsid w:val="0094025D"/>
    <w:rsid w:val="00942593"/>
    <w:rsid w:val="009466EF"/>
    <w:rsid w:val="009477BC"/>
    <w:rsid w:val="00951DE9"/>
    <w:rsid w:val="00954DB7"/>
    <w:rsid w:val="009630D4"/>
    <w:rsid w:val="00963664"/>
    <w:rsid w:val="00964B45"/>
    <w:rsid w:val="00965CEA"/>
    <w:rsid w:val="00973B13"/>
    <w:rsid w:val="009812DA"/>
    <w:rsid w:val="00981EB5"/>
    <w:rsid w:val="009850AD"/>
    <w:rsid w:val="0099022E"/>
    <w:rsid w:val="009909B3"/>
    <w:rsid w:val="0099615D"/>
    <w:rsid w:val="009A3107"/>
    <w:rsid w:val="009A629C"/>
    <w:rsid w:val="009A6608"/>
    <w:rsid w:val="009A6783"/>
    <w:rsid w:val="009B46BA"/>
    <w:rsid w:val="009B62C5"/>
    <w:rsid w:val="009B64AF"/>
    <w:rsid w:val="009C0997"/>
    <w:rsid w:val="009C12F7"/>
    <w:rsid w:val="009C18B7"/>
    <w:rsid w:val="009C2909"/>
    <w:rsid w:val="009D0851"/>
    <w:rsid w:val="009D19F5"/>
    <w:rsid w:val="009E3B01"/>
    <w:rsid w:val="009E4064"/>
    <w:rsid w:val="009E4161"/>
    <w:rsid w:val="009E565C"/>
    <w:rsid w:val="009E7722"/>
    <w:rsid w:val="009F2BE2"/>
    <w:rsid w:val="009F6BCA"/>
    <w:rsid w:val="00A2270C"/>
    <w:rsid w:val="00A231EA"/>
    <w:rsid w:val="00A23B72"/>
    <w:rsid w:val="00A263EF"/>
    <w:rsid w:val="00A30ADB"/>
    <w:rsid w:val="00A35CE0"/>
    <w:rsid w:val="00A40AD8"/>
    <w:rsid w:val="00A41B56"/>
    <w:rsid w:val="00A420AD"/>
    <w:rsid w:val="00A4266B"/>
    <w:rsid w:val="00A43D57"/>
    <w:rsid w:val="00A55C1F"/>
    <w:rsid w:val="00A61287"/>
    <w:rsid w:val="00A61659"/>
    <w:rsid w:val="00A63BF7"/>
    <w:rsid w:val="00A64B43"/>
    <w:rsid w:val="00A65813"/>
    <w:rsid w:val="00A71558"/>
    <w:rsid w:val="00A71917"/>
    <w:rsid w:val="00A72491"/>
    <w:rsid w:val="00A738E8"/>
    <w:rsid w:val="00A82503"/>
    <w:rsid w:val="00A830D8"/>
    <w:rsid w:val="00A83D8F"/>
    <w:rsid w:val="00A86E70"/>
    <w:rsid w:val="00A92D68"/>
    <w:rsid w:val="00A95B40"/>
    <w:rsid w:val="00A95CC8"/>
    <w:rsid w:val="00AA0C32"/>
    <w:rsid w:val="00AA18E2"/>
    <w:rsid w:val="00AA3661"/>
    <w:rsid w:val="00AB004D"/>
    <w:rsid w:val="00AB0A0E"/>
    <w:rsid w:val="00AB522E"/>
    <w:rsid w:val="00AB6433"/>
    <w:rsid w:val="00AB67AE"/>
    <w:rsid w:val="00AC3712"/>
    <w:rsid w:val="00AD16E0"/>
    <w:rsid w:val="00AD30AD"/>
    <w:rsid w:val="00AD41FF"/>
    <w:rsid w:val="00AE31CE"/>
    <w:rsid w:val="00AE74BB"/>
    <w:rsid w:val="00AF1EF9"/>
    <w:rsid w:val="00AF56FA"/>
    <w:rsid w:val="00AF5860"/>
    <w:rsid w:val="00AF59F4"/>
    <w:rsid w:val="00B0376A"/>
    <w:rsid w:val="00B054AB"/>
    <w:rsid w:val="00B117F1"/>
    <w:rsid w:val="00B14F6D"/>
    <w:rsid w:val="00B17651"/>
    <w:rsid w:val="00B22B3D"/>
    <w:rsid w:val="00B22B6C"/>
    <w:rsid w:val="00B255B3"/>
    <w:rsid w:val="00B33E88"/>
    <w:rsid w:val="00B376EB"/>
    <w:rsid w:val="00B442AF"/>
    <w:rsid w:val="00B449BB"/>
    <w:rsid w:val="00B44A7C"/>
    <w:rsid w:val="00B44ED7"/>
    <w:rsid w:val="00B46E0B"/>
    <w:rsid w:val="00B50E1E"/>
    <w:rsid w:val="00B55569"/>
    <w:rsid w:val="00B57775"/>
    <w:rsid w:val="00B648EB"/>
    <w:rsid w:val="00B665E2"/>
    <w:rsid w:val="00B72EB6"/>
    <w:rsid w:val="00B77EB9"/>
    <w:rsid w:val="00B80585"/>
    <w:rsid w:val="00B815CE"/>
    <w:rsid w:val="00B81E99"/>
    <w:rsid w:val="00B832A7"/>
    <w:rsid w:val="00B9117F"/>
    <w:rsid w:val="00B928CB"/>
    <w:rsid w:val="00B9326D"/>
    <w:rsid w:val="00B935C9"/>
    <w:rsid w:val="00B93D72"/>
    <w:rsid w:val="00B94C10"/>
    <w:rsid w:val="00B97E20"/>
    <w:rsid w:val="00B97FE9"/>
    <w:rsid w:val="00BA008B"/>
    <w:rsid w:val="00BA2B50"/>
    <w:rsid w:val="00BB4068"/>
    <w:rsid w:val="00BD1890"/>
    <w:rsid w:val="00BD2860"/>
    <w:rsid w:val="00BD61DB"/>
    <w:rsid w:val="00BD76C3"/>
    <w:rsid w:val="00BE2674"/>
    <w:rsid w:val="00BF08CA"/>
    <w:rsid w:val="00BF096C"/>
    <w:rsid w:val="00BF3B02"/>
    <w:rsid w:val="00BF41B5"/>
    <w:rsid w:val="00BF56A9"/>
    <w:rsid w:val="00C01180"/>
    <w:rsid w:val="00C01C6A"/>
    <w:rsid w:val="00C040A5"/>
    <w:rsid w:val="00C07943"/>
    <w:rsid w:val="00C1648C"/>
    <w:rsid w:val="00C2332E"/>
    <w:rsid w:val="00C23AEC"/>
    <w:rsid w:val="00C254D4"/>
    <w:rsid w:val="00C25D92"/>
    <w:rsid w:val="00C26077"/>
    <w:rsid w:val="00C32A6C"/>
    <w:rsid w:val="00C363F1"/>
    <w:rsid w:val="00C42A8F"/>
    <w:rsid w:val="00C460EC"/>
    <w:rsid w:val="00C507E1"/>
    <w:rsid w:val="00C56753"/>
    <w:rsid w:val="00C61122"/>
    <w:rsid w:val="00C64722"/>
    <w:rsid w:val="00C65973"/>
    <w:rsid w:val="00C65FF3"/>
    <w:rsid w:val="00C66F55"/>
    <w:rsid w:val="00C7721C"/>
    <w:rsid w:val="00C82008"/>
    <w:rsid w:val="00C86572"/>
    <w:rsid w:val="00C9042E"/>
    <w:rsid w:val="00C92385"/>
    <w:rsid w:val="00C949F9"/>
    <w:rsid w:val="00C9753D"/>
    <w:rsid w:val="00C97B1E"/>
    <w:rsid w:val="00CB0A58"/>
    <w:rsid w:val="00CB64D6"/>
    <w:rsid w:val="00CC0896"/>
    <w:rsid w:val="00CC385D"/>
    <w:rsid w:val="00CC7F1E"/>
    <w:rsid w:val="00CD2BB7"/>
    <w:rsid w:val="00CE186B"/>
    <w:rsid w:val="00CE50B4"/>
    <w:rsid w:val="00CE5F97"/>
    <w:rsid w:val="00CF0E10"/>
    <w:rsid w:val="00CF2310"/>
    <w:rsid w:val="00D03D99"/>
    <w:rsid w:val="00D047F4"/>
    <w:rsid w:val="00D05595"/>
    <w:rsid w:val="00D1044E"/>
    <w:rsid w:val="00D11362"/>
    <w:rsid w:val="00D14578"/>
    <w:rsid w:val="00D16603"/>
    <w:rsid w:val="00D20470"/>
    <w:rsid w:val="00D210BD"/>
    <w:rsid w:val="00D2673E"/>
    <w:rsid w:val="00D27593"/>
    <w:rsid w:val="00D35302"/>
    <w:rsid w:val="00D36E87"/>
    <w:rsid w:val="00D41144"/>
    <w:rsid w:val="00D52AF5"/>
    <w:rsid w:val="00D55E03"/>
    <w:rsid w:val="00D60E05"/>
    <w:rsid w:val="00D61844"/>
    <w:rsid w:val="00D63457"/>
    <w:rsid w:val="00D63809"/>
    <w:rsid w:val="00D65354"/>
    <w:rsid w:val="00D736B4"/>
    <w:rsid w:val="00D744BD"/>
    <w:rsid w:val="00D74D0A"/>
    <w:rsid w:val="00D80A27"/>
    <w:rsid w:val="00D80BF7"/>
    <w:rsid w:val="00D81DCE"/>
    <w:rsid w:val="00D86C36"/>
    <w:rsid w:val="00D8764B"/>
    <w:rsid w:val="00D94F14"/>
    <w:rsid w:val="00D97534"/>
    <w:rsid w:val="00DA0DB9"/>
    <w:rsid w:val="00DA15E0"/>
    <w:rsid w:val="00DA6A56"/>
    <w:rsid w:val="00DA7D99"/>
    <w:rsid w:val="00DB1101"/>
    <w:rsid w:val="00DB12E3"/>
    <w:rsid w:val="00DB33F2"/>
    <w:rsid w:val="00DB51E0"/>
    <w:rsid w:val="00DC0F9D"/>
    <w:rsid w:val="00DC3D7F"/>
    <w:rsid w:val="00DC4386"/>
    <w:rsid w:val="00DC5ABF"/>
    <w:rsid w:val="00DD7973"/>
    <w:rsid w:val="00DE6831"/>
    <w:rsid w:val="00DF3012"/>
    <w:rsid w:val="00DF317D"/>
    <w:rsid w:val="00E023EE"/>
    <w:rsid w:val="00E02787"/>
    <w:rsid w:val="00E027C5"/>
    <w:rsid w:val="00E100ED"/>
    <w:rsid w:val="00E11A8A"/>
    <w:rsid w:val="00E1617A"/>
    <w:rsid w:val="00E21390"/>
    <w:rsid w:val="00E215F8"/>
    <w:rsid w:val="00E24795"/>
    <w:rsid w:val="00E357E3"/>
    <w:rsid w:val="00E362D5"/>
    <w:rsid w:val="00E37F76"/>
    <w:rsid w:val="00E4186D"/>
    <w:rsid w:val="00E454ED"/>
    <w:rsid w:val="00E5143B"/>
    <w:rsid w:val="00E52288"/>
    <w:rsid w:val="00E540C3"/>
    <w:rsid w:val="00E564A0"/>
    <w:rsid w:val="00E5733C"/>
    <w:rsid w:val="00E62E7E"/>
    <w:rsid w:val="00E65DD3"/>
    <w:rsid w:val="00E6698A"/>
    <w:rsid w:val="00E84963"/>
    <w:rsid w:val="00E90407"/>
    <w:rsid w:val="00E922CD"/>
    <w:rsid w:val="00E92441"/>
    <w:rsid w:val="00E958E6"/>
    <w:rsid w:val="00E95DD5"/>
    <w:rsid w:val="00EA125F"/>
    <w:rsid w:val="00EA2A0B"/>
    <w:rsid w:val="00EB0543"/>
    <w:rsid w:val="00EB157F"/>
    <w:rsid w:val="00EB79C7"/>
    <w:rsid w:val="00EC1ED9"/>
    <w:rsid w:val="00EC2A19"/>
    <w:rsid w:val="00EC6044"/>
    <w:rsid w:val="00ED03DD"/>
    <w:rsid w:val="00ED0B0C"/>
    <w:rsid w:val="00ED6773"/>
    <w:rsid w:val="00EE02B5"/>
    <w:rsid w:val="00EE3719"/>
    <w:rsid w:val="00EF124A"/>
    <w:rsid w:val="00EF125F"/>
    <w:rsid w:val="00EF2D85"/>
    <w:rsid w:val="00F0016B"/>
    <w:rsid w:val="00F05B60"/>
    <w:rsid w:val="00F172E8"/>
    <w:rsid w:val="00F231F4"/>
    <w:rsid w:val="00F23FB0"/>
    <w:rsid w:val="00F27F00"/>
    <w:rsid w:val="00F403E1"/>
    <w:rsid w:val="00F40E29"/>
    <w:rsid w:val="00F42B7F"/>
    <w:rsid w:val="00F4570B"/>
    <w:rsid w:val="00F45C35"/>
    <w:rsid w:val="00F47CCF"/>
    <w:rsid w:val="00F50027"/>
    <w:rsid w:val="00F56BCB"/>
    <w:rsid w:val="00F579CD"/>
    <w:rsid w:val="00F60B28"/>
    <w:rsid w:val="00F61708"/>
    <w:rsid w:val="00F713A1"/>
    <w:rsid w:val="00F72945"/>
    <w:rsid w:val="00F73A71"/>
    <w:rsid w:val="00F76100"/>
    <w:rsid w:val="00F76B86"/>
    <w:rsid w:val="00F804F2"/>
    <w:rsid w:val="00F81C00"/>
    <w:rsid w:val="00F83E2D"/>
    <w:rsid w:val="00F85E36"/>
    <w:rsid w:val="00F87E59"/>
    <w:rsid w:val="00F90964"/>
    <w:rsid w:val="00F93B88"/>
    <w:rsid w:val="00F9415A"/>
    <w:rsid w:val="00F96398"/>
    <w:rsid w:val="00F97017"/>
    <w:rsid w:val="00F97368"/>
    <w:rsid w:val="00FA2F5A"/>
    <w:rsid w:val="00FA3D19"/>
    <w:rsid w:val="00FA4B2D"/>
    <w:rsid w:val="00FA5E6F"/>
    <w:rsid w:val="00FB0C6B"/>
    <w:rsid w:val="00FB10DA"/>
    <w:rsid w:val="00FB7A6E"/>
    <w:rsid w:val="00FD0025"/>
    <w:rsid w:val="00FD40FA"/>
    <w:rsid w:val="00FD7451"/>
    <w:rsid w:val="00FE261D"/>
    <w:rsid w:val="00FE4161"/>
    <w:rsid w:val="00FE566B"/>
    <w:rsid w:val="00FF0915"/>
    <w:rsid w:val="00FF303B"/>
    <w:rsid w:val="00FF36EB"/>
    <w:rsid w:val="00FF4BB5"/>
    <w:rsid w:val="00FF5775"/>
    <w:rsid w:val="00FF70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4288">
      <w:bodyDiv w:val="1"/>
      <w:marLeft w:val="0"/>
      <w:marRight w:val="0"/>
      <w:marTop w:val="0"/>
      <w:marBottom w:val="0"/>
      <w:divBdr>
        <w:top w:val="none" w:sz="0" w:space="0" w:color="auto"/>
        <w:left w:val="none" w:sz="0" w:space="0" w:color="auto"/>
        <w:bottom w:val="none" w:sz="0" w:space="0" w:color="auto"/>
        <w:right w:val="none" w:sz="0" w:space="0" w:color="auto"/>
      </w:divBdr>
    </w:div>
    <w:div w:id="262884594">
      <w:bodyDiv w:val="1"/>
      <w:marLeft w:val="0"/>
      <w:marRight w:val="0"/>
      <w:marTop w:val="0"/>
      <w:marBottom w:val="0"/>
      <w:divBdr>
        <w:top w:val="none" w:sz="0" w:space="0" w:color="auto"/>
        <w:left w:val="none" w:sz="0" w:space="0" w:color="auto"/>
        <w:bottom w:val="none" w:sz="0" w:space="0" w:color="auto"/>
        <w:right w:val="none" w:sz="0" w:space="0" w:color="auto"/>
      </w:divBdr>
    </w:div>
    <w:div w:id="498815518">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719205463">
      <w:bodyDiv w:val="1"/>
      <w:marLeft w:val="0"/>
      <w:marRight w:val="0"/>
      <w:marTop w:val="0"/>
      <w:marBottom w:val="0"/>
      <w:divBdr>
        <w:top w:val="none" w:sz="0" w:space="0" w:color="auto"/>
        <w:left w:val="none" w:sz="0" w:space="0" w:color="auto"/>
        <w:bottom w:val="none" w:sz="0" w:space="0" w:color="auto"/>
        <w:right w:val="none" w:sz="0" w:space="0" w:color="auto"/>
      </w:divBdr>
    </w:div>
    <w:div w:id="794107249">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954865138">
      <w:bodyDiv w:val="1"/>
      <w:marLeft w:val="0"/>
      <w:marRight w:val="0"/>
      <w:marTop w:val="0"/>
      <w:marBottom w:val="0"/>
      <w:divBdr>
        <w:top w:val="none" w:sz="0" w:space="0" w:color="auto"/>
        <w:left w:val="none" w:sz="0" w:space="0" w:color="auto"/>
        <w:bottom w:val="none" w:sz="0" w:space="0" w:color="auto"/>
        <w:right w:val="none" w:sz="0" w:space="0" w:color="auto"/>
      </w:divBdr>
    </w:div>
    <w:div w:id="1022362274">
      <w:bodyDiv w:val="1"/>
      <w:marLeft w:val="0"/>
      <w:marRight w:val="0"/>
      <w:marTop w:val="0"/>
      <w:marBottom w:val="0"/>
      <w:divBdr>
        <w:top w:val="none" w:sz="0" w:space="0" w:color="auto"/>
        <w:left w:val="none" w:sz="0" w:space="0" w:color="auto"/>
        <w:bottom w:val="none" w:sz="0" w:space="0" w:color="auto"/>
        <w:right w:val="none" w:sz="0" w:space="0" w:color="auto"/>
      </w:divBdr>
    </w:div>
    <w:div w:id="1092238142">
      <w:bodyDiv w:val="1"/>
      <w:marLeft w:val="0"/>
      <w:marRight w:val="0"/>
      <w:marTop w:val="0"/>
      <w:marBottom w:val="0"/>
      <w:divBdr>
        <w:top w:val="none" w:sz="0" w:space="0" w:color="auto"/>
        <w:left w:val="none" w:sz="0" w:space="0" w:color="auto"/>
        <w:bottom w:val="none" w:sz="0" w:space="0" w:color="auto"/>
        <w:right w:val="none" w:sz="0" w:space="0" w:color="auto"/>
      </w:divBdr>
    </w:div>
    <w:div w:id="1333685462">
      <w:bodyDiv w:val="1"/>
      <w:marLeft w:val="0"/>
      <w:marRight w:val="0"/>
      <w:marTop w:val="0"/>
      <w:marBottom w:val="0"/>
      <w:divBdr>
        <w:top w:val="none" w:sz="0" w:space="0" w:color="auto"/>
        <w:left w:val="none" w:sz="0" w:space="0" w:color="auto"/>
        <w:bottom w:val="none" w:sz="0" w:space="0" w:color="auto"/>
        <w:right w:val="none" w:sz="0" w:space="0" w:color="auto"/>
      </w:divBdr>
    </w:div>
    <w:div w:id="1784961278">
      <w:bodyDiv w:val="1"/>
      <w:marLeft w:val="0"/>
      <w:marRight w:val="0"/>
      <w:marTop w:val="0"/>
      <w:marBottom w:val="0"/>
      <w:divBdr>
        <w:top w:val="none" w:sz="0" w:space="0" w:color="auto"/>
        <w:left w:val="none" w:sz="0" w:space="0" w:color="auto"/>
        <w:bottom w:val="none" w:sz="0" w:space="0" w:color="auto"/>
        <w:right w:val="none" w:sz="0" w:space="0" w:color="auto"/>
      </w:divBdr>
    </w:div>
    <w:div w:id="1804040732">
      <w:bodyDiv w:val="1"/>
      <w:marLeft w:val="0"/>
      <w:marRight w:val="0"/>
      <w:marTop w:val="0"/>
      <w:marBottom w:val="0"/>
      <w:divBdr>
        <w:top w:val="none" w:sz="0" w:space="0" w:color="auto"/>
        <w:left w:val="none" w:sz="0" w:space="0" w:color="auto"/>
        <w:bottom w:val="none" w:sz="0" w:space="0" w:color="auto"/>
        <w:right w:val="none" w:sz="0" w:space="0" w:color="auto"/>
      </w:divBdr>
    </w:div>
    <w:div w:id="1878352224">
      <w:bodyDiv w:val="1"/>
      <w:marLeft w:val="0"/>
      <w:marRight w:val="0"/>
      <w:marTop w:val="0"/>
      <w:marBottom w:val="0"/>
      <w:divBdr>
        <w:top w:val="none" w:sz="0" w:space="0" w:color="auto"/>
        <w:left w:val="none" w:sz="0" w:space="0" w:color="auto"/>
        <w:bottom w:val="none" w:sz="0" w:space="0" w:color="auto"/>
        <w:right w:val="none" w:sz="0" w:space="0" w:color="auto"/>
      </w:divBdr>
    </w:div>
    <w:div w:id="1933001626">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7338652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DA\RD\Shared\DCWA2\Innovation_Center\Regulations\Paperwork%20Reduction%20Act\RUS\Burden\0572-0112\FY20\%3ehttps:\www.govinfo.gov\content\pkg\FR-2019-05-14\pdf\2019-09874.pdf%3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pindiantrib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cc02.safelinks.protection.outlook.com/?url=https%3A%2F%2Fwww.co.monterey.ca.us%2Fgovernment%2Fdepartments-a-h%2Fadministrative-office%2Fintergovernmental-and-legislative-affairs%2Fsustainability&amp;data=05%7C01%7C%7C92c9b9486b544db4986508da22f4ccfd%7Ced5b36e701ee4ebc867ee03cfa0d4697%7C0%7C0%7C637860732046635195%7CUnknown%7CTWFpbGZsb3d8eyJWIjoiMC4wLjAwMDAiLCJQIjoiV2luMzIiLCJBTiI6Ik1haWwiLCJXVCI6Mn0%3D%7C3000%7C%7C%7C&amp;sdata=iWa%2BFmUa%2BgsDDCkuTL%2FyXNHULWbQOR%2BePLb6KeGXlGQ%3D&amp;reserved=0" TargetMode="External"/><Relationship Id="rId4" Type="http://schemas.openxmlformats.org/officeDocument/2006/relationships/settings" Target="settings.xml"/><Relationship Id="rId9" Type="http://schemas.openxmlformats.org/officeDocument/2006/relationships/hyperlink" Target="https://gcc02.safelinks.protection.outlook.com/?url=http%3A%2F%2Fshake-energy.com%2F&amp;data=05%7C01%7C%7C9c81c5f976754ec09c2108da22f7f620%7Ced5b36e701ee4ebc867ee03cfa0d4697%7C0%7C0%7C637860745622879816%7CUnknown%7CTWFpbGZsb3d8eyJWIjoiMC4wLjAwMDAiLCJQIjoiV2luMzIiLCJBTiI6Ik1haWwiLCJXVCI6Mn0%3D%7C3000%7C%7C%7C&amp;sdata=gbkjwaVw9f8TeYydFlSZGlrmdya3HOWwHBHLqFNCiYI%3D&amp;reserved=0" TargetMode="External"/><Relationship Id="rId1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1B80-C8C9-4A12-93E9-165938F9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3665</Words>
  <Characters>22640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26253</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Woolard, Susan - RD, National Office</cp:lastModifiedBy>
  <cp:revision>4</cp:revision>
  <cp:lastPrinted>2020-02-27T18:36:00Z</cp:lastPrinted>
  <dcterms:created xsi:type="dcterms:W3CDTF">2022-05-16T17:34:00Z</dcterms:created>
  <dcterms:modified xsi:type="dcterms:W3CDTF">2022-05-19T19:07:00Z</dcterms:modified>
</cp:coreProperties>
</file>