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DD0" w:rsidR="00447C1E" w:rsidP="00447C1E" w:rsidRDefault="00447C1E" w14:paraId="151DBEF4"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31334925" w14:textId="77777777">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947CE3">
        <w:rPr>
          <w:rFonts w:ascii="Times New Roman" w:hAnsi="Times New Roman"/>
          <w:b/>
          <w:szCs w:val="24"/>
          <w:lang w:val="es-US"/>
        </w:rPr>
        <w:t>0446</w:t>
      </w:r>
      <w:r w:rsidRPr="00BD1DD0" w:rsidR="00B335C9">
        <w:rPr>
          <w:rFonts w:ascii="Times New Roman" w:hAnsi="Times New Roman"/>
          <w:b/>
          <w:szCs w:val="24"/>
          <w:lang w:val="es-US"/>
        </w:rPr>
        <w:t xml:space="preserve">:  </w:t>
      </w:r>
    </w:p>
    <w:p w:rsidRPr="00947CE3" w:rsidR="00947CE3" w:rsidP="00947CE3" w:rsidRDefault="00947CE3" w14:paraId="1789D441" w14:textId="77777777">
      <w:pPr>
        <w:widowControl/>
        <w:tabs>
          <w:tab w:val="center" w:pos="4680"/>
        </w:tabs>
        <w:suppressAutoHyphens/>
        <w:spacing w:line="480" w:lineRule="auto"/>
        <w:jc w:val="center"/>
        <w:rPr>
          <w:rFonts w:ascii="Times New Roman" w:hAnsi="Times New Roman"/>
          <w:b/>
          <w:i/>
          <w:szCs w:val="24"/>
        </w:rPr>
      </w:pPr>
      <w:r w:rsidRPr="00947CE3">
        <w:rPr>
          <w:rFonts w:ascii="Times New Roman" w:hAnsi="Times New Roman"/>
          <w:b/>
          <w:szCs w:val="24"/>
        </w:rPr>
        <w:t>Federal Collection Methods for Supplemental Nutrition Assistance Program Recipient Claims</w:t>
      </w:r>
    </w:p>
    <w:p w:rsidRPr="002568E6" w:rsidR="00B335C9" w:rsidP="00447C1E" w:rsidRDefault="00B335C9" w14:paraId="1DA083DA" w14:textId="77777777">
      <w:pPr>
        <w:tabs>
          <w:tab w:val="right" w:pos="9360"/>
        </w:tabs>
        <w:spacing w:line="480" w:lineRule="auto"/>
        <w:jc w:val="center"/>
        <w:rPr>
          <w:rFonts w:ascii="Times New Roman" w:hAnsi="Times New Roman"/>
          <w:szCs w:val="24"/>
          <w:lang w:val="es-US"/>
        </w:rPr>
      </w:pPr>
    </w:p>
    <w:p w:rsidRPr="002568E6" w:rsidR="00B335C9" w:rsidP="00447C1E" w:rsidRDefault="00B335C9" w14:paraId="31EF0B8D" w14:textId="77777777">
      <w:pPr>
        <w:tabs>
          <w:tab w:val="right" w:pos="9360"/>
        </w:tabs>
        <w:spacing w:line="480" w:lineRule="auto"/>
        <w:jc w:val="center"/>
        <w:rPr>
          <w:rFonts w:ascii="Times New Roman" w:hAnsi="Times New Roman"/>
          <w:szCs w:val="24"/>
          <w:lang w:val="es-US"/>
        </w:rPr>
      </w:pPr>
    </w:p>
    <w:p w:rsidR="00947CE3" w:rsidP="00947CE3" w:rsidRDefault="00947CE3" w14:paraId="3A9AF365" w14:textId="77777777">
      <w:pPr>
        <w:spacing w:line="480" w:lineRule="auto"/>
        <w:jc w:val="center"/>
        <w:rPr>
          <w:rFonts w:ascii="Times New Roman" w:hAnsi="Times New Roman"/>
          <w:szCs w:val="24"/>
          <w:lang w:val="es-US"/>
        </w:rPr>
      </w:pPr>
    </w:p>
    <w:p w:rsidR="00947CE3" w:rsidP="00947CE3" w:rsidRDefault="00947CE3" w14:paraId="657834FE" w14:textId="77777777">
      <w:pPr>
        <w:spacing w:line="480" w:lineRule="auto"/>
        <w:jc w:val="center"/>
        <w:rPr>
          <w:rFonts w:ascii="Times New Roman" w:hAnsi="Times New Roman"/>
          <w:szCs w:val="24"/>
          <w:lang w:val="es-US"/>
        </w:rPr>
      </w:pPr>
    </w:p>
    <w:p w:rsidR="00947CE3" w:rsidP="00947CE3" w:rsidRDefault="00947CE3" w14:paraId="4F95E32B" w14:textId="77777777">
      <w:pPr>
        <w:spacing w:line="480" w:lineRule="auto"/>
        <w:jc w:val="center"/>
        <w:rPr>
          <w:rFonts w:ascii="Times New Roman" w:hAnsi="Times New Roman"/>
          <w:szCs w:val="24"/>
          <w:lang w:val="es-US"/>
        </w:rPr>
      </w:pPr>
    </w:p>
    <w:p w:rsidR="00947CE3" w:rsidP="00947CE3" w:rsidRDefault="00947CE3" w14:paraId="4438BBDE" w14:textId="77777777">
      <w:pPr>
        <w:spacing w:line="480" w:lineRule="auto"/>
        <w:jc w:val="center"/>
        <w:rPr>
          <w:rFonts w:ascii="Times New Roman" w:hAnsi="Times New Roman"/>
          <w:szCs w:val="24"/>
          <w:lang w:val="es-US"/>
        </w:rPr>
      </w:pPr>
    </w:p>
    <w:p w:rsidR="00947CE3" w:rsidP="00947CE3" w:rsidRDefault="00947CE3" w14:paraId="4F8C05EB" w14:textId="77777777">
      <w:pPr>
        <w:spacing w:line="480" w:lineRule="auto"/>
        <w:jc w:val="center"/>
        <w:rPr>
          <w:rFonts w:ascii="Times New Roman" w:hAnsi="Times New Roman"/>
          <w:szCs w:val="24"/>
          <w:lang w:val="es-US"/>
        </w:rPr>
      </w:pPr>
    </w:p>
    <w:p w:rsidR="00947CE3" w:rsidP="00947CE3" w:rsidRDefault="00947CE3" w14:paraId="49CBF325" w14:textId="77777777">
      <w:pPr>
        <w:spacing w:line="480" w:lineRule="auto"/>
        <w:jc w:val="center"/>
        <w:rPr>
          <w:rFonts w:ascii="Times New Roman" w:hAnsi="Times New Roman"/>
          <w:szCs w:val="24"/>
          <w:lang w:val="es-US"/>
        </w:rPr>
      </w:pPr>
    </w:p>
    <w:p w:rsidR="00947CE3" w:rsidP="00947CE3" w:rsidRDefault="00947CE3" w14:paraId="303BA610" w14:textId="77777777">
      <w:pPr>
        <w:spacing w:line="480" w:lineRule="auto"/>
        <w:jc w:val="center"/>
        <w:rPr>
          <w:rFonts w:ascii="Times New Roman" w:hAnsi="Times New Roman"/>
          <w:szCs w:val="24"/>
          <w:lang w:val="es-US"/>
        </w:rPr>
      </w:pPr>
    </w:p>
    <w:p w:rsidR="00947CE3" w:rsidP="00947CE3" w:rsidRDefault="00947CE3" w14:paraId="7B5E828F" w14:textId="77777777">
      <w:pPr>
        <w:spacing w:line="480" w:lineRule="auto"/>
        <w:jc w:val="center"/>
        <w:rPr>
          <w:rFonts w:ascii="Times New Roman" w:hAnsi="Times New Roman"/>
          <w:szCs w:val="24"/>
          <w:lang w:val="es-US"/>
        </w:rPr>
      </w:pPr>
    </w:p>
    <w:p w:rsidRPr="002568E6" w:rsidR="00947CE3" w:rsidP="00947CE3" w:rsidRDefault="00947CE3" w14:paraId="73C3A47A" w14:textId="77777777">
      <w:pPr>
        <w:spacing w:line="480" w:lineRule="auto"/>
        <w:jc w:val="center"/>
        <w:rPr>
          <w:rFonts w:ascii="Times New Roman" w:hAnsi="Times New Roman"/>
          <w:szCs w:val="24"/>
          <w:lang w:val="es-US"/>
        </w:rPr>
      </w:pPr>
      <w:r>
        <w:rPr>
          <w:rFonts w:ascii="Times New Roman" w:hAnsi="Times New Roman"/>
          <w:szCs w:val="24"/>
          <w:lang w:val="es-US"/>
        </w:rPr>
        <w:t>Evan Sieradzki</w:t>
      </w:r>
    </w:p>
    <w:p w:rsidRPr="002568E6" w:rsidR="00947CE3" w:rsidP="00947CE3" w:rsidRDefault="00947CE3" w14:paraId="3389D854" w14:textId="77777777">
      <w:pPr>
        <w:spacing w:line="480" w:lineRule="auto"/>
        <w:jc w:val="center"/>
        <w:rPr>
          <w:rFonts w:ascii="Times New Roman" w:hAnsi="Times New Roman"/>
          <w:szCs w:val="24"/>
        </w:rPr>
      </w:pPr>
      <w:r>
        <w:rPr>
          <w:rFonts w:ascii="Times New Roman" w:hAnsi="Times New Roman"/>
          <w:szCs w:val="24"/>
        </w:rPr>
        <w:t>Program Analyst</w:t>
      </w:r>
    </w:p>
    <w:p w:rsidRPr="002568E6" w:rsidR="00947CE3" w:rsidP="00947CE3" w:rsidRDefault="00947CE3" w14:paraId="4A3CD9AB" w14:textId="77777777">
      <w:pPr>
        <w:tabs>
          <w:tab w:val="left" w:pos="-720"/>
        </w:tabs>
        <w:suppressAutoHyphens/>
        <w:spacing w:line="480" w:lineRule="auto"/>
        <w:jc w:val="center"/>
        <w:rPr>
          <w:rFonts w:ascii="Times New Roman" w:hAnsi="Times New Roman"/>
          <w:szCs w:val="24"/>
        </w:rPr>
      </w:pPr>
      <w:r>
        <w:rPr>
          <w:rFonts w:ascii="Times New Roman" w:hAnsi="Times New Roman"/>
          <w:szCs w:val="24"/>
        </w:rPr>
        <w:t>Food and Nutrition Service, USDA</w:t>
      </w:r>
    </w:p>
    <w:p w:rsidR="00947CE3" w:rsidP="00947CE3" w:rsidRDefault="00947CE3" w14:paraId="1B775615" w14:textId="77777777">
      <w:pPr>
        <w:spacing w:line="480" w:lineRule="auto"/>
        <w:jc w:val="center"/>
        <w:rPr>
          <w:rFonts w:ascii="Times New Roman" w:hAnsi="Times New Roman"/>
          <w:szCs w:val="24"/>
        </w:rPr>
      </w:pPr>
      <w:r>
        <w:rPr>
          <w:rFonts w:ascii="Times New Roman" w:hAnsi="Times New Roman"/>
          <w:szCs w:val="24"/>
        </w:rPr>
        <w:t>Program Accountability and Administration Division</w:t>
      </w:r>
    </w:p>
    <w:p w:rsidR="00947CE3" w:rsidP="00947CE3" w:rsidRDefault="00947CE3" w14:paraId="4C2E18C1" w14:textId="77777777">
      <w:pPr>
        <w:spacing w:line="480" w:lineRule="auto"/>
        <w:jc w:val="center"/>
        <w:rPr>
          <w:rFonts w:ascii="Times New Roman" w:hAnsi="Times New Roman"/>
          <w:szCs w:val="24"/>
        </w:rPr>
      </w:pPr>
      <w:r>
        <w:rPr>
          <w:rFonts w:ascii="Times New Roman" w:hAnsi="Times New Roman"/>
          <w:szCs w:val="24"/>
        </w:rPr>
        <w:t>Supplemental Nutrition Assistance Program (SNAP)</w:t>
      </w:r>
    </w:p>
    <w:p w:rsidR="00947CE3" w:rsidP="00947CE3" w:rsidRDefault="00947CE3" w14:paraId="1F7875A3" w14:textId="77777777">
      <w:pPr>
        <w:spacing w:line="480" w:lineRule="auto"/>
        <w:jc w:val="center"/>
        <w:rPr>
          <w:rFonts w:ascii="Times New Roman" w:hAnsi="Times New Roman"/>
          <w:szCs w:val="24"/>
        </w:rPr>
      </w:pPr>
      <w:r>
        <w:rPr>
          <w:rFonts w:ascii="Times New Roman" w:hAnsi="Times New Roman"/>
          <w:szCs w:val="24"/>
        </w:rPr>
        <w:t>1320 Braddock Place</w:t>
      </w:r>
    </w:p>
    <w:p w:rsidR="00947CE3" w:rsidP="00947CE3" w:rsidRDefault="00947CE3" w14:paraId="6B45B9AA" w14:textId="77777777">
      <w:pPr>
        <w:spacing w:line="480" w:lineRule="auto"/>
        <w:jc w:val="center"/>
        <w:rPr>
          <w:rFonts w:ascii="Times New Roman" w:hAnsi="Times New Roman"/>
          <w:szCs w:val="24"/>
        </w:rPr>
      </w:pPr>
      <w:r>
        <w:rPr>
          <w:rFonts w:ascii="Times New Roman" w:hAnsi="Times New Roman"/>
          <w:szCs w:val="24"/>
        </w:rPr>
        <w:t>Alexandria, VA 22314</w:t>
      </w:r>
    </w:p>
    <w:p w:rsidR="00947CE3" w:rsidP="00947CE3" w:rsidRDefault="00947CE3" w14:paraId="6CF0AB96" w14:textId="77777777">
      <w:pPr>
        <w:spacing w:line="480" w:lineRule="auto"/>
        <w:jc w:val="center"/>
        <w:rPr>
          <w:rFonts w:ascii="Times New Roman" w:hAnsi="Times New Roman"/>
          <w:szCs w:val="24"/>
        </w:rPr>
      </w:pPr>
      <w:r>
        <w:rPr>
          <w:rFonts w:ascii="Times New Roman" w:hAnsi="Times New Roman"/>
          <w:szCs w:val="24"/>
        </w:rPr>
        <w:t>703-605-3212</w:t>
      </w:r>
    </w:p>
    <w:p w:rsidRPr="002568E6" w:rsidR="00947CE3" w:rsidP="00947CE3" w:rsidRDefault="00947CE3" w14:paraId="67F38B02" w14:textId="77777777">
      <w:pPr>
        <w:spacing w:line="480" w:lineRule="auto"/>
        <w:jc w:val="center"/>
        <w:rPr>
          <w:rFonts w:ascii="Times New Roman" w:hAnsi="Times New Roman"/>
          <w:szCs w:val="24"/>
        </w:rPr>
      </w:pPr>
      <w:r>
        <w:rPr>
          <w:rFonts w:ascii="Times New Roman" w:hAnsi="Times New Roman"/>
          <w:szCs w:val="24"/>
        </w:rPr>
        <w:t>evan.sieradzki@usda.gov</w:t>
      </w:r>
    </w:p>
    <w:p w:rsidRPr="00947CE3" w:rsidR="00905A5F" w:rsidP="00947CE3" w:rsidRDefault="00905A5F" w14:paraId="0528ACC3" w14:textId="77777777">
      <w:pPr>
        <w:widowControl/>
        <w:overflowPunct/>
        <w:autoSpaceDE/>
        <w:autoSpaceDN/>
        <w:adjustRightInd/>
        <w:textAlignment w:val="auto"/>
        <w:rPr>
          <w:rFonts w:ascii="Times New Roman" w:hAnsi="Times New Roman"/>
          <w:szCs w:val="24"/>
        </w:rPr>
      </w:pPr>
      <w:r>
        <w:rPr>
          <w:rFonts w:ascii="Times New Roman" w:hAnsi="Times New Roman"/>
          <w:b/>
          <w:szCs w:val="24"/>
          <w:u w:val="single"/>
        </w:rPr>
        <w:lastRenderedPageBreak/>
        <w:t>Table of Contents</w:t>
      </w:r>
    </w:p>
    <w:p w:rsidR="00BD1DD0" w:rsidRDefault="00905A5F" w14:paraId="047870F0" w14:textId="0F490352">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E931E0">
          <w:rPr>
            <w:webHidden/>
          </w:rPr>
          <w:t>3</w:t>
        </w:r>
        <w:r w:rsidR="00BD1DD0">
          <w:rPr>
            <w:webHidden/>
          </w:rPr>
          <w:fldChar w:fldCharType="end"/>
        </w:r>
      </w:hyperlink>
    </w:p>
    <w:p w:rsidR="00BD1DD0" w:rsidRDefault="006D683E" w14:paraId="1B914E3A" w14:textId="7F6A7A9B">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E931E0">
          <w:rPr>
            <w:webHidden/>
          </w:rPr>
          <w:t>3</w:t>
        </w:r>
        <w:r w:rsidR="00BD1DD0">
          <w:rPr>
            <w:webHidden/>
          </w:rPr>
          <w:fldChar w:fldCharType="end"/>
        </w:r>
      </w:hyperlink>
    </w:p>
    <w:p w:rsidR="00BD1DD0" w:rsidRDefault="006D683E" w14:paraId="3072D2E6" w14:textId="4424FA93">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E931E0">
          <w:rPr>
            <w:webHidden/>
          </w:rPr>
          <w:t>4</w:t>
        </w:r>
        <w:r w:rsidR="00BD1DD0">
          <w:rPr>
            <w:webHidden/>
          </w:rPr>
          <w:fldChar w:fldCharType="end"/>
        </w:r>
      </w:hyperlink>
    </w:p>
    <w:p w:rsidR="00BD1DD0" w:rsidRDefault="006D683E" w14:paraId="40119480" w14:textId="0C9AAE64">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E931E0">
          <w:rPr>
            <w:webHidden/>
          </w:rPr>
          <w:t>5</w:t>
        </w:r>
        <w:r w:rsidR="00BD1DD0">
          <w:rPr>
            <w:webHidden/>
          </w:rPr>
          <w:fldChar w:fldCharType="end"/>
        </w:r>
      </w:hyperlink>
    </w:p>
    <w:p w:rsidR="00BD1DD0" w:rsidRDefault="006D683E" w14:paraId="7D7ACF42" w14:textId="11E952CE">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E931E0">
          <w:rPr>
            <w:webHidden/>
          </w:rPr>
          <w:t>6</w:t>
        </w:r>
        <w:r w:rsidR="00BD1DD0">
          <w:rPr>
            <w:webHidden/>
          </w:rPr>
          <w:fldChar w:fldCharType="end"/>
        </w:r>
      </w:hyperlink>
    </w:p>
    <w:p w:rsidR="00BD1DD0" w:rsidRDefault="006D683E" w14:paraId="6B6E123B" w14:textId="12507278">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E931E0">
          <w:rPr>
            <w:webHidden/>
          </w:rPr>
          <w:t>6</w:t>
        </w:r>
        <w:r w:rsidR="00BD1DD0">
          <w:rPr>
            <w:webHidden/>
          </w:rPr>
          <w:fldChar w:fldCharType="end"/>
        </w:r>
      </w:hyperlink>
    </w:p>
    <w:p w:rsidR="00BD1DD0" w:rsidRDefault="006D683E" w14:paraId="78BE59FD" w14:textId="187060C3">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E931E0">
          <w:rPr>
            <w:webHidden/>
          </w:rPr>
          <w:t>6</w:t>
        </w:r>
        <w:r w:rsidR="00BD1DD0">
          <w:rPr>
            <w:webHidden/>
          </w:rPr>
          <w:fldChar w:fldCharType="end"/>
        </w:r>
      </w:hyperlink>
    </w:p>
    <w:p w:rsidR="00BD1DD0" w:rsidRDefault="006D683E" w14:paraId="398F4927" w14:textId="0538EE2F">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E931E0">
          <w:rPr>
            <w:webHidden/>
          </w:rPr>
          <w:t>7</w:t>
        </w:r>
        <w:r w:rsidR="00BD1DD0">
          <w:rPr>
            <w:webHidden/>
          </w:rPr>
          <w:fldChar w:fldCharType="end"/>
        </w:r>
      </w:hyperlink>
    </w:p>
    <w:p w:rsidR="00BD1DD0" w:rsidRDefault="006D683E" w14:paraId="48F63BF4" w14:textId="743FA2F8">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E931E0">
          <w:rPr>
            <w:webHidden/>
          </w:rPr>
          <w:t>8</w:t>
        </w:r>
        <w:r w:rsidR="00BD1DD0">
          <w:rPr>
            <w:webHidden/>
          </w:rPr>
          <w:fldChar w:fldCharType="end"/>
        </w:r>
      </w:hyperlink>
    </w:p>
    <w:p w:rsidR="00BD1DD0" w:rsidRDefault="006D683E" w14:paraId="2966D0DD" w14:textId="5017CE24">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E931E0">
          <w:rPr>
            <w:webHidden/>
          </w:rPr>
          <w:t>8</w:t>
        </w:r>
        <w:r w:rsidR="00BD1DD0">
          <w:rPr>
            <w:webHidden/>
          </w:rPr>
          <w:fldChar w:fldCharType="end"/>
        </w:r>
      </w:hyperlink>
    </w:p>
    <w:p w:rsidR="00BD1DD0" w:rsidRDefault="006D683E" w14:paraId="6867843A" w14:textId="30B188AB">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E931E0">
          <w:rPr>
            <w:webHidden/>
          </w:rPr>
          <w:t>9</w:t>
        </w:r>
        <w:r w:rsidR="00BD1DD0">
          <w:rPr>
            <w:webHidden/>
          </w:rPr>
          <w:fldChar w:fldCharType="end"/>
        </w:r>
      </w:hyperlink>
    </w:p>
    <w:p w:rsidR="00BD1DD0" w:rsidRDefault="006D683E" w14:paraId="66488C05" w14:textId="0F76C963">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E931E0">
          <w:rPr>
            <w:webHidden/>
          </w:rPr>
          <w:t>9</w:t>
        </w:r>
        <w:r w:rsidR="00BD1DD0">
          <w:rPr>
            <w:webHidden/>
          </w:rPr>
          <w:fldChar w:fldCharType="end"/>
        </w:r>
      </w:hyperlink>
    </w:p>
    <w:p w:rsidR="00BD1DD0" w:rsidRDefault="006D683E" w14:paraId="08308BB0" w14:textId="0293B959">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E931E0">
          <w:rPr>
            <w:webHidden/>
          </w:rPr>
          <w:t>14</w:t>
        </w:r>
        <w:r w:rsidR="00BD1DD0">
          <w:rPr>
            <w:webHidden/>
          </w:rPr>
          <w:fldChar w:fldCharType="end"/>
        </w:r>
      </w:hyperlink>
    </w:p>
    <w:p w:rsidR="00BD1DD0" w:rsidRDefault="006D683E" w14:paraId="496B99AE" w14:textId="1D8BFE1C">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E931E0">
          <w:rPr>
            <w:webHidden/>
          </w:rPr>
          <w:t>14</w:t>
        </w:r>
        <w:r w:rsidR="00BD1DD0">
          <w:rPr>
            <w:webHidden/>
          </w:rPr>
          <w:fldChar w:fldCharType="end"/>
        </w:r>
      </w:hyperlink>
    </w:p>
    <w:p w:rsidR="00BD1DD0" w:rsidRDefault="006D683E" w14:paraId="3FF391A3" w14:textId="6AB779CD">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E931E0">
          <w:rPr>
            <w:webHidden/>
          </w:rPr>
          <w:t>16</w:t>
        </w:r>
        <w:r w:rsidR="00BD1DD0">
          <w:rPr>
            <w:webHidden/>
          </w:rPr>
          <w:fldChar w:fldCharType="end"/>
        </w:r>
      </w:hyperlink>
    </w:p>
    <w:p w:rsidR="00BD1DD0" w:rsidRDefault="006D683E" w14:paraId="7E26E37E" w14:textId="64C27DEC">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E931E0">
          <w:rPr>
            <w:webHidden/>
          </w:rPr>
          <w:t>16</w:t>
        </w:r>
        <w:r w:rsidR="00BD1DD0">
          <w:rPr>
            <w:webHidden/>
          </w:rPr>
          <w:fldChar w:fldCharType="end"/>
        </w:r>
      </w:hyperlink>
    </w:p>
    <w:p w:rsidR="00BD1DD0" w:rsidRDefault="006D683E" w14:paraId="34F24B57" w14:textId="1574B78D">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E931E0">
          <w:rPr>
            <w:webHidden/>
          </w:rPr>
          <w:t>16</w:t>
        </w:r>
        <w:r w:rsidR="00BD1DD0">
          <w:rPr>
            <w:webHidden/>
          </w:rPr>
          <w:fldChar w:fldCharType="end"/>
        </w:r>
      </w:hyperlink>
    </w:p>
    <w:p w:rsidR="00BD1DD0" w:rsidRDefault="006D683E" w14:paraId="4E41181B" w14:textId="11CD33A0">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E931E0">
          <w:rPr>
            <w:webHidden/>
          </w:rPr>
          <w:t>17</w:t>
        </w:r>
        <w:r w:rsidR="00BD1DD0">
          <w:rPr>
            <w:webHidden/>
          </w:rPr>
          <w:fldChar w:fldCharType="end"/>
        </w:r>
      </w:hyperlink>
    </w:p>
    <w:p w:rsidR="00905A5F" w:rsidP="009F7E1A" w:rsidRDefault="00905A5F" w14:paraId="324692EF"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587FAD78" w14:textId="77777777">
      <w:pPr>
        <w:tabs>
          <w:tab w:val="center" w:pos="4680"/>
        </w:tabs>
        <w:rPr>
          <w:rFonts w:ascii="Times New Roman" w:hAnsi="Times New Roman"/>
          <w:b/>
          <w:szCs w:val="24"/>
          <w:u w:val="single"/>
        </w:rPr>
      </w:pPr>
    </w:p>
    <w:p w:rsidR="00905A5F" w:rsidP="009F7E1A" w:rsidRDefault="00905A5F" w14:paraId="352EBBD9" w14:textId="77777777">
      <w:pPr>
        <w:tabs>
          <w:tab w:val="center" w:pos="4680"/>
        </w:tabs>
        <w:rPr>
          <w:rFonts w:ascii="Times New Roman" w:hAnsi="Times New Roman"/>
          <w:b/>
          <w:szCs w:val="24"/>
          <w:u w:val="single"/>
        </w:rPr>
      </w:pPr>
    </w:p>
    <w:p w:rsidR="002568E6" w:rsidP="009F7E1A" w:rsidRDefault="00905A5F" w14:paraId="5CE932D8"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P="009F7E1A" w:rsidRDefault="00947CE3" w14:paraId="79507F74" w14:textId="77777777">
      <w:pPr>
        <w:tabs>
          <w:tab w:val="center" w:pos="4680"/>
        </w:tabs>
        <w:rPr>
          <w:rFonts w:ascii="Times New Roman" w:hAnsi="Times New Roman"/>
          <w:szCs w:val="24"/>
        </w:rPr>
      </w:pPr>
      <w:r>
        <w:rPr>
          <w:rFonts w:ascii="Times New Roman" w:hAnsi="Times New Roman"/>
          <w:szCs w:val="24"/>
        </w:rPr>
        <w:t>Appendix A: Legal Authority</w:t>
      </w:r>
    </w:p>
    <w:p w:rsidR="00947CE3" w:rsidP="009F7E1A" w:rsidRDefault="00947CE3" w14:paraId="20367011" w14:textId="77777777">
      <w:pPr>
        <w:tabs>
          <w:tab w:val="center" w:pos="4680"/>
        </w:tabs>
        <w:rPr>
          <w:rFonts w:ascii="Times New Roman" w:hAnsi="Times New Roman"/>
          <w:szCs w:val="24"/>
        </w:rPr>
      </w:pPr>
      <w:r>
        <w:rPr>
          <w:rFonts w:ascii="Times New Roman" w:hAnsi="Times New Roman"/>
          <w:szCs w:val="24"/>
        </w:rPr>
        <w:t>Appendix B: Claims against households screenshot</w:t>
      </w:r>
    </w:p>
    <w:p w:rsidR="00947CE3" w:rsidP="009F7E1A" w:rsidRDefault="00947CE3" w14:paraId="6375F771" w14:textId="08423CD9">
      <w:pPr>
        <w:tabs>
          <w:tab w:val="center" w:pos="4680"/>
        </w:tabs>
        <w:rPr>
          <w:rFonts w:ascii="Times New Roman" w:hAnsi="Times New Roman"/>
          <w:szCs w:val="24"/>
        </w:rPr>
      </w:pPr>
      <w:r>
        <w:rPr>
          <w:rFonts w:ascii="Times New Roman" w:hAnsi="Times New Roman"/>
          <w:szCs w:val="24"/>
        </w:rPr>
        <w:t>Appendix C: Burden Table</w:t>
      </w:r>
    </w:p>
    <w:p w:rsidR="00E931E0" w:rsidP="009F7E1A" w:rsidRDefault="00E931E0" w14:paraId="7024FB64" w14:textId="2915E4F2">
      <w:pPr>
        <w:tabs>
          <w:tab w:val="center" w:pos="4680"/>
        </w:tabs>
        <w:rPr>
          <w:rFonts w:ascii="Times New Roman" w:hAnsi="Times New Roman"/>
          <w:szCs w:val="24"/>
        </w:rPr>
      </w:pPr>
      <w:r>
        <w:rPr>
          <w:rFonts w:ascii="Times New Roman" w:hAnsi="Times New Roman"/>
          <w:szCs w:val="24"/>
        </w:rPr>
        <w:t>Appendix D.1: Public Comment – Anonymous</w:t>
      </w:r>
    </w:p>
    <w:p w:rsidR="00E931E0" w:rsidP="009F7E1A" w:rsidRDefault="00E931E0" w14:paraId="47FCD608" w14:textId="506890A8">
      <w:pPr>
        <w:tabs>
          <w:tab w:val="center" w:pos="4680"/>
        </w:tabs>
        <w:rPr>
          <w:rFonts w:ascii="Times New Roman" w:hAnsi="Times New Roman"/>
          <w:szCs w:val="24"/>
        </w:rPr>
      </w:pPr>
      <w:r>
        <w:rPr>
          <w:rFonts w:ascii="Times New Roman" w:hAnsi="Times New Roman"/>
          <w:szCs w:val="24"/>
        </w:rPr>
        <w:t xml:space="preserve">Appendix D.2: Public Comment – </w:t>
      </w:r>
      <w:r w:rsidR="0061694F">
        <w:rPr>
          <w:rFonts w:ascii="Times New Roman" w:hAnsi="Times New Roman"/>
          <w:szCs w:val="24"/>
        </w:rPr>
        <w:t>Charlotte McGill</w:t>
      </w:r>
    </w:p>
    <w:p w:rsidR="004D6B7E" w:rsidP="009F7E1A" w:rsidRDefault="004D6B7E" w14:paraId="56825ED0" w14:textId="36342DD4">
      <w:pPr>
        <w:tabs>
          <w:tab w:val="center" w:pos="4680"/>
        </w:tabs>
        <w:rPr>
          <w:rFonts w:ascii="Times New Roman" w:hAnsi="Times New Roman"/>
          <w:szCs w:val="24"/>
        </w:rPr>
      </w:pPr>
      <w:r>
        <w:rPr>
          <w:rFonts w:ascii="Times New Roman" w:hAnsi="Times New Roman"/>
          <w:szCs w:val="24"/>
        </w:rPr>
        <w:t xml:space="preserve">Appendix E:  </w:t>
      </w:r>
      <w:r w:rsidR="008E3D7E">
        <w:rPr>
          <w:rFonts w:ascii="Times New Roman" w:hAnsi="Times New Roman"/>
          <w:szCs w:val="24"/>
        </w:rPr>
        <w:t>FPRS Homepage Screenshot for FNS 209</w:t>
      </w:r>
    </w:p>
    <w:p w:rsidR="00DB3F8F" w:rsidP="009F7E1A" w:rsidRDefault="00DB3F8F" w14:paraId="0ACEF59C" w14:textId="614A3096">
      <w:pPr>
        <w:tabs>
          <w:tab w:val="center" w:pos="4680"/>
        </w:tabs>
        <w:rPr>
          <w:rFonts w:ascii="Times New Roman" w:hAnsi="Times New Roman"/>
          <w:szCs w:val="24"/>
        </w:rPr>
      </w:pPr>
      <w:r>
        <w:rPr>
          <w:rFonts w:ascii="Times New Roman" w:hAnsi="Times New Roman"/>
          <w:szCs w:val="24"/>
        </w:rPr>
        <w:t>Appendix F: SORN Claims Against Food Stamp Recipients USDA FNS 3</w:t>
      </w:r>
    </w:p>
    <w:p w:rsidR="00DB3F8F" w:rsidP="009F7E1A" w:rsidRDefault="00DB3F8F" w14:paraId="7636C501" w14:textId="72D1D821">
      <w:pPr>
        <w:tabs>
          <w:tab w:val="center" w:pos="4680"/>
        </w:tabs>
        <w:rPr>
          <w:rFonts w:ascii="Times New Roman" w:hAnsi="Times New Roman"/>
          <w:szCs w:val="24"/>
        </w:rPr>
      </w:pPr>
      <w:r>
        <w:rPr>
          <w:rFonts w:ascii="Times New Roman" w:hAnsi="Times New Roman"/>
          <w:szCs w:val="24"/>
        </w:rPr>
        <w:t>Appendix G: Certification Memo to States</w:t>
      </w:r>
    </w:p>
    <w:p w:rsidR="00DB3F8F" w:rsidP="009F7E1A" w:rsidRDefault="00DB3F8F" w14:paraId="775D708E" w14:textId="249F8E7C">
      <w:pPr>
        <w:tabs>
          <w:tab w:val="center" w:pos="4680"/>
        </w:tabs>
        <w:rPr>
          <w:rFonts w:ascii="Times New Roman" w:hAnsi="Times New Roman"/>
          <w:szCs w:val="24"/>
        </w:rPr>
      </w:pPr>
      <w:r>
        <w:rPr>
          <w:rFonts w:ascii="Times New Roman" w:hAnsi="Times New Roman"/>
          <w:szCs w:val="24"/>
        </w:rPr>
        <w:t>Appendix H: TOP Handbook</w:t>
      </w:r>
    </w:p>
    <w:p w:rsidRPr="002568E6" w:rsidR="00E931E0" w:rsidP="009F7E1A" w:rsidRDefault="00E931E0" w14:paraId="7475762B" w14:textId="7AD9A993">
      <w:pPr>
        <w:tabs>
          <w:tab w:val="center" w:pos="4680"/>
        </w:tabs>
        <w:rPr>
          <w:rFonts w:ascii="Times New Roman" w:hAnsi="Times New Roman"/>
          <w:szCs w:val="24"/>
        </w:rPr>
      </w:pPr>
    </w:p>
    <w:p w:rsidR="002568E6" w:rsidRDefault="002568E6" w14:paraId="3FA29DE4"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9F7E1A" w:rsidRDefault="009F7E1A" w14:paraId="5C90069F" w14:textId="77777777">
      <w:pPr>
        <w:tabs>
          <w:tab w:val="left" w:pos="-720"/>
        </w:tabs>
        <w:suppressAutoHyphens/>
        <w:rPr>
          <w:rFonts w:ascii="Times New Roman" w:hAnsi="Times New Roman"/>
          <w:b/>
          <w:szCs w:val="24"/>
        </w:rPr>
      </w:pPr>
    </w:p>
    <w:p w:rsidRPr="002568E6" w:rsidR="004F2F54" w:rsidRDefault="004F2F54" w14:paraId="1C5AF6F4" w14:textId="77777777">
      <w:pPr>
        <w:tabs>
          <w:tab w:val="left" w:pos="-720"/>
        </w:tabs>
        <w:suppressAutoHyphens/>
        <w:rPr>
          <w:rFonts w:ascii="Times New Roman" w:hAnsi="Times New Roman"/>
          <w:szCs w:val="24"/>
        </w:rPr>
      </w:pPr>
    </w:p>
    <w:p w:rsidRPr="002568E6" w:rsidR="005A3F80" w:rsidP="0062567E" w:rsidRDefault="005A3F80" w14:paraId="68C0A569" w14:textId="77777777">
      <w:pPr>
        <w:pStyle w:val="Heading1"/>
        <w:rPr>
          <w:szCs w:val="24"/>
        </w:rPr>
      </w:pPr>
      <w:bookmarkStart w:name="_Toc401831357" w:id="0"/>
      <w:bookmarkStart w:name="_Toc401832401" w:id="1"/>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4196A4E1" w14:textId="77777777">
      <w:pPr>
        <w:tabs>
          <w:tab w:val="left" w:pos="-720"/>
        </w:tabs>
        <w:suppressAutoHyphens/>
        <w:rPr>
          <w:rFonts w:ascii="Times New Roman" w:hAnsi="Times New Roman"/>
          <w:b/>
          <w:szCs w:val="24"/>
        </w:rPr>
      </w:pPr>
    </w:p>
    <w:p w:rsidRPr="002568E6" w:rsidR="003333DF" w:rsidP="003333DF" w:rsidRDefault="003333DF" w14:paraId="4B402F9E"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786F9F1B" w14:textId="77777777">
      <w:pPr>
        <w:tabs>
          <w:tab w:val="left" w:pos="-720"/>
        </w:tabs>
        <w:suppressAutoHyphens/>
        <w:rPr>
          <w:rFonts w:ascii="Times New Roman" w:hAnsi="Times New Roman"/>
          <w:szCs w:val="24"/>
        </w:rPr>
      </w:pPr>
    </w:p>
    <w:p w:rsidRPr="00BC5F7E" w:rsidR="00BC5F7E" w:rsidP="00BC5F7E" w:rsidRDefault="00BC5F7E" w14:paraId="6D37BF6C" w14:textId="3C479E84">
      <w:pPr>
        <w:widowControl/>
        <w:spacing w:line="480" w:lineRule="auto"/>
        <w:rPr>
          <w:rFonts w:ascii="Times New Roman" w:hAnsi="Times New Roman"/>
          <w:szCs w:val="24"/>
        </w:rPr>
      </w:pPr>
      <w:r w:rsidRPr="00BC5F7E">
        <w:rPr>
          <w:rFonts w:ascii="Times New Roman" w:hAnsi="Times New Roman"/>
          <w:szCs w:val="24"/>
        </w:rPr>
        <w:t xml:space="preserve">This statement supports the request for a revision of a currently approved information collection related to collection methods for Supplemental Nutrition Assistance Program (SNAP) delinquent recipient claims. Section 13(b) of the Food and Nutrition Act of 2008 (The Act) and Supplemental Nutrition Assistance Program (SNAP) regulations at 7 CFR 273.18 require State agencies to refer delinquent debtors for SNAP benefit over-issuance to another Federal government entity as </w:t>
      </w:r>
      <w:r w:rsidRPr="00BC5F7E" w:rsidR="00E931E0">
        <w:rPr>
          <w:rFonts w:ascii="Times New Roman" w:hAnsi="Times New Roman"/>
          <w:szCs w:val="24"/>
        </w:rPr>
        <w:t>third-party</w:t>
      </w:r>
      <w:r w:rsidRPr="00BC5F7E">
        <w:rPr>
          <w:rFonts w:ascii="Times New Roman" w:hAnsi="Times New Roman"/>
          <w:szCs w:val="24"/>
        </w:rPr>
        <w:t xml:space="preserve"> disclosure reporting to U.S. Department of the Treasury for collection. The Debt Collection Improvement Act of 1996, 31 U.S.C. 3711 requires these debts to be referred to Treasury for collection when they are 180 days or more delinquent. Through the Treasury Offset Program (TOP), 31 CFR Part </w:t>
      </w:r>
      <w:r w:rsidRPr="00BC5F7E" w:rsidR="00E931E0">
        <w:rPr>
          <w:rFonts w:ascii="Times New Roman" w:hAnsi="Times New Roman"/>
          <w:szCs w:val="24"/>
        </w:rPr>
        <w:t>285, payments</w:t>
      </w:r>
      <w:r w:rsidRPr="00BC5F7E">
        <w:rPr>
          <w:rFonts w:ascii="Times New Roman" w:hAnsi="Times New Roman"/>
          <w:szCs w:val="24"/>
        </w:rPr>
        <w:t xml:space="preserve"> such as Federal income tax refunds, Federal salaries and other Federal payments payable to these delinquent debtors will be offset and the amount applied to the delinquent debt. TOP places a reporting burden on State agencies report and disclose information on Individuals/Households and Individuals/Households (former SNAP recipients) who owe delinquent debts must be notified of the debt payment.</w:t>
      </w:r>
    </w:p>
    <w:p w:rsidRPr="002568E6" w:rsidR="009F7E1A" w:rsidP="009F7E1A" w:rsidRDefault="009F7E1A" w14:paraId="0EB792BD" w14:textId="77777777">
      <w:pPr>
        <w:tabs>
          <w:tab w:val="left" w:pos="-720"/>
        </w:tabs>
        <w:suppressAutoHyphens/>
        <w:spacing w:line="480" w:lineRule="auto"/>
        <w:rPr>
          <w:rFonts w:ascii="Times New Roman" w:hAnsi="Times New Roman"/>
          <w:b/>
          <w:szCs w:val="24"/>
        </w:rPr>
      </w:pPr>
    </w:p>
    <w:p w:rsidRPr="002568E6" w:rsidR="00A308DB" w:rsidP="0062567E" w:rsidRDefault="005A3F80" w14:paraId="338523EB" w14:textId="77777777">
      <w:pPr>
        <w:pStyle w:val="Heading1"/>
        <w:rPr>
          <w:szCs w:val="24"/>
        </w:rPr>
      </w:pPr>
      <w:bookmarkStart w:name="_Toc401831358" w:id="2"/>
      <w:bookmarkStart w:name="_Toc401832402" w:id="3"/>
      <w:r w:rsidRPr="002568E6">
        <w:rPr>
          <w:szCs w:val="24"/>
        </w:rPr>
        <w:t xml:space="preserve">A2. </w:t>
      </w:r>
      <w:r w:rsidRPr="002568E6" w:rsidR="00447C1E">
        <w:rPr>
          <w:szCs w:val="24"/>
        </w:rPr>
        <w:t>Purpose and Use of the Information.</w:t>
      </w:r>
      <w:bookmarkEnd w:id="2"/>
      <w:bookmarkEnd w:id="3"/>
    </w:p>
    <w:p w:rsidRPr="002568E6" w:rsidR="0062567E" w:rsidRDefault="0062567E" w14:paraId="15BFBE3F" w14:textId="77777777">
      <w:pPr>
        <w:tabs>
          <w:tab w:val="left" w:pos="-720"/>
        </w:tabs>
        <w:suppressAutoHyphens/>
        <w:rPr>
          <w:rFonts w:ascii="Times New Roman" w:hAnsi="Times New Roman"/>
          <w:b/>
          <w:szCs w:val="24"/>
        </w:rPr>
      </w:pPr>
    </w:p>
    <w:p w:rsidRPr="002568E6" w:rsidR="003333DF" w:rsidRDefault="003333DF" w14:paraId="77F2427C"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23ED99D1" w14:textId="77777777">
      <w:pPr>
        <w:tabs>
          <w:tab w:val="left" w:pos="-720"/>
        </w:tabs>
        <w:suppressAutoHyphens/>
        <w:rPr>
          <w:rFonts w:ascii="Times New Roman" w:hAnsi="Times New Roman"/>
          <w:szCs w:val="24"/>
        </w:rPr>
      </w:pPr>
    </w:p>
    <w:p w:rsidRPr="00BC5F7E" w:rsidR="00BC5F7E" w:rsidP="00BC5F7E" w:rsidRDefault="00BC5F7E" w14:paraId="6D32A9AF" w14:textId="77777777">
      <w:pPr>
        <w:widowControl/>
        <w:overflowPunct/>
        <w:spacing w:line="480" w:lineRule="auto"/>
        <w:textAlignment w:val="auto"/>
        <w:rPr>
          <w:rFonts w:ascii="Times New Roman" w:hAnsi="Times New Roman"/>
          <w:b/>
          <w:bCs/>
          <w:szCs w:val="24"/>
        </w:rPr>
      </w:pPr>
      <w:r w:rsidRPr="00BC5F7E">
        <w:rPr>
          <w:rFonts w:ascii="Times New Roman" w:hAnsi="Times New Roman"/>
          <w:szCs w:val="24"/>
        </w:rPr>
        <w:t>This information will be used by:</w:t>
      </w:r>
    </w:p>
    <w:p w:rsidRPr="00BC5F7E" w:rsidR="00BC5F7E" w:rsidP="00BC5F7E" w:rsidRDefault="00BC5F7E" w14:paraId="4BA498B5" w14:textId="77777777">
      <w:pPr>
        <w:widowControl/>
        <w:numPr>
          <w:ilvl w:val="0"/>
          <w:numId w:val="20"/>
        </w:numPr>
        <w:spacing w:line="480" w:lineRule="auto"/>
        <w:rPr>
          <w:rFonts w:ascii="Times New Roman" w:hAnsi="Times New Roman"/>
          <w:szCs w:val="24"/>
        </w:rPr>
      </w:pPr>
      <w:r w:rsidRPr="00BC5F7E">
        <w:rPr>
          <w:rFonts w:ascii="Times New Roman" w:hAnsi="Times New Roman"/>
          <w:szCs w:val="24"/>
        </w:rPr>
        <w:lastRenderedPageBreak/>
        <w:t>Individuals or households to obtain due process before debts are referred to TOP for offset. These individuals/household SNAP recipients will receive and read the demand letters sent to their addresses by State SNAP agencies.</w:t>
      </w:r>
    </w:p>
    <w:p w:rsidRPr="00BC5F7E" w:rsidR="00BC5F7E" w:rsidP="00BC5F7E" w:rsidRDefault="00BC5F7E" w14:paraId="04833498" w14:textId="77777777">
      <w:pPr>
        <w:widowControl/>
        <w:numPr>
          <w:ilvl w:val="0"/>
          <w:numId w:val="20"/>
        </w:numPr>
        <w:spacing w:line="480" w:lineRule="auto"/>
        <w:rPr>
          <w:rFonts w:ascii="Times New Roman" w:hAnsi="Times New Roman"/>
          <w:szCs w:val="24"/>
        </w:rPr>
      </w:pPr>
      <w:r w:rsidRPr="00BC5F7E">
        <w:rPr>
          <w:rFonts w:ascii="Times New Roman" w:hAnsi="Times New Roman"/>
          <w:szCs w:val="24"/>
        </w:rPr>
        <w:t>State agencies to provide due process to individuals/households; to report and maintain debts in TOP systems; to request addresses; and, to certify to Treasury the accuracy and legality of debts that are submitted to TOP.</w:t>
      </w:r>
    </w:p>
    <w:p w:rsidRPr="00BC5F7E" w:rsidR="00BC5F7E" w:rsidP="00BC5F7E" w:rsidRDefault="00BC5F7E" w14:paraId="388560B8" w14:textId="77777777">
      <w:pPr>
        <w:widowControl/>
        <w:numPr>
          <w:ilvl w:val="0"/>
          <w:numId w:val="20"/>
        </w:numPr>
        <w:spacing w:line="480" w:lineRule="auto"/>
        <w:rPr>
          <w:rFonts w:ascii="Times New Roman" w:hAnsi="Times New Roman"/>
          <w:szCs w:val="24"/>
        </w:rPr>
      </w:pPr>
      <w:r w:rsidRPr="00BC5F7E">
        <w:rPr>
          <w:rFonts w:ascii="Times New Roman" w:hAnsi="Times New Roman"/>
          <w:szCs w:val="24"/>
        </w:rPr>
        <w:t>FNS will forward the State agency files to Treasury for action and to provide Federal-level due process, as appropriate.</w:t>
      </w:r>
    </w:p>
    <w:p w:rsidRPr="00BC5F7E" w:rsidR="00BC5F7E" w:rsidP="00BC5F7E" w:rsidRDefault="00BC5F7E" w14:paraId="6FDC40D7" w14:textId="77777777">
      <w:pPr>
        <w:widowControl/>
        <w:spacing w:line="480" w:lineRule="auto"/>
        <w:rPr>
          <w:rFonts w:ascii="Times New Roman" w:hAnsi="Times New Roman"/>
          <w:szCs w:val="24"/>
        </w:rPr>
      </w:pPr>
      <w:r w:rsidRPr="00BC5F7E">
        <w:rPr>
          <w:rFonts w:ascii="Times New Roman" w:hAnsi="Times New Roman"/>
          <w:szCs w:val="24"/>
        </w:rPr>
        <w:t>SNAP regulations at 7 CFR 273.18 require that State agencies establish, collect and efficiently manage SNAP recipient claims. Paragraph 7 CFR 273.18(n)(1) requires State agencies to submit debts for TOP when they are 180 days delinquent. The State agencies submit files containing these delinquent debts to FNS each week. FNS then combines the State files into one file that is sent to Treasury each week.</w:t>
      </w:r>
    </w:p>
    <w:p w:rsidRPr="00BC5F7E" w:rsidR="00BC5F7E" w:rsidP="00BC5F7E" w:rsidRDefault="00BC5F7E" w14:paraId="6FB07BAD" w14:textId="77777777">
      <w:pPr>
        <w:widowControl/>
        <w:spacing w:line="480" w:lineRule="auto"/>
        <w:rPr>
          <w:rFonts w:ascii="Times New Roman" w:hAnsi="Times New Roman"/>
          <w:szCs w:val="24"/>
        </w:rPr>
      </w:pPr>
    </w:p>
    <w:p w:rsidR="00341DEE" w:rsidP="00BC5F7E" w:rsidRDefault="00BC5F7E" w14:paraId="60859A8D" w14:textId="7C064A86">
      <w:pPr>
        <w:pStyle w:val="Heading2"/>
        <w:spacing w:line="480" w:lineRule="auto"/>
        <w:jc w:val="left"/>
        <w:rPr>
          <w:b w:val="0"/>
          <w:szCs w:val="24"/>
        </w:rPr>
      </w:pPr>
      <w:r w:rsidRPr="00BC5F7E">
        <w:rPr>
          <w:b w:val="0"/>
          <w:szCs w:val="24"/>
        </w:rPr>
        <w:t>The burdens associated with establishing claims (demand letters</w:t>
      </w:r>
      <w:r w:rsidR="00BB6678">
        <w:rPr>
          <w:b w:val="0"/>
          <w:szCs w:val="24"/>
        </w:rPr>
        <w:t xml:space="preserve"> which are sent to Individuals/Households </w:t>
      </w:r>
      <w:r w:rsidR="005A6977">
        <w:rPr>
          <w:b w:val="0"/>
          <w:szCs w:val="24"/>
        </w:rPr>
        <w:t>(</w:t>
      </w:r>
      <w:r w:rsidR="00BB6678">
        <w:rPr>
          <w:b w:val="0"/>
          <w:szCs w:val="24"/>
        </w:rPr>
        <w:t>home addresses</w:t>
      </w:r>
      <w:r w:rsidRPr="00BC5F7E">
        <w:rPr>
          <w:b w:val="0"/>
          <w:szCs w:val="24"/>
        </w:rPr>
        <w:t xml:space="preserve">) and for reporting activity with the FNS-209 are already approved under OMB burden numbers 0584-0492, expiration date </w:t>
      </w:r>
      <w:r>
        <w:rPr>
          <w:b w:val="0"/>
          <w:szCs w:val="24"/>
        </w:rPr>
        <w:t>07/31/2024</w:t>
      </w:r>
      <w:r w:rsidRPr="00BC5F7E">
        <w:rPr>
          <w:b w:val="0"/>
          <w:szCs w:val="24"/>
        </w:rPr>
        <w:t xml:space="preserve"> and 0584-0594</w:t>
      </w:r>
      <w:r w:rsidR="008E3D7E">
        <w:rPr>
          <w:b w:val="0"/>
          <w:szCs w:val="24"/>
        </w:rPr>
        <w:t xml:space="preserve"> (Appendix E)</w:t>
      </w:r>
      <w:r w:rsidRPr="00BC5F7E">
        <w:rPr>
          <w:b w:val="0"/>
          <w:szCs w:val="24"/>
        </w:rPr>
        <w:t xml:space="preserve">, expiration date </w:t>
      </w:r>
      <w:r>
        <w:rPr>
          <w:b w:val="0"/>
          <w:szCs w:val="24"/>
        </w:rPr>
        <w:t>07/31/2023</w:t>
      </w:r>
      <w:r w:rsidRPr="00BC5F7E">
        <w:rPr>
          <w:b w:val="0"/>
          <w:szCs w:val="24"/>
        </w:rPr>
        <w:t>, respectively; and therefore, not duplicated in this request.</w:t>
      </w:r>
    </w:p>
    <w:p w:rsidRPr="00BC5F7E" w:rsidR="00BC5F7E" w:rsidP="00BC5F7E" w:rsidRDefault="00BC5F7E" w14:paraId="0086F30F" w14:textId="77777777"/>
    <w:p w:rsidRPr="002568E6" w:rsidR="00A308DB" w:rsidP="0062567E" w:rsidRDefault="005A3F80" w14:paraId="54274623" w14:textId="77777777">
      <w:pPr>
        <w:pStyle w:val="Heading1"/>
        <w:rPr>
          <w:szCs w:val="24"/>
        </w:rPr>
      </w:pPr>
      <w:bookmarkStart w:name="_Toc401831359" w:id="4"/>
      <w:bookmarkStart w:name="_Toc401832403" w:id="5"/>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Pr="002568E6" w:rsidR="003333DF" w:rsidRDefault="003333DF" w14:paraId="01BA95B2" w14:textId="77777777">
      <w:pPr>
        <w:tabs>
          <w:tab w:val="left" w:pos="0"/>
        </w:tabs>
        <w:suppressAutoHyphens/>
        <w:rPr>
          <w:rFonts w:ascii="Times New Roman" w:hAnsi="Times New Roman"/>
          <w:szCs w:val="24"/>
        </w:rPr>
      </w:pPr>
    </w:p>
    <w:p w:rsidRPr="002568E6" w:rsidR="003333DF" w:rsidP="0062567E" w:rsidRDefault="003333DF" w14:paraId="6E0D7898"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15D86280" w14:textId="77777777">
      <w:pPr>
        <w:tabs>
          <w:tab w:val="left" w:pos="0"/>
        </w:tabs>
        <w:suppressAutoHyphens/>
        <w:rPr>
          <w:rFonts w:ascii="Times New Roman" w:hAnsi="Times New Roman"/>
          <w:szCs w:val="24"/>
        </w:rPr>
      </w:pPr>
    </w:p>
    <w:p w:rsidRPr="00BC5F7E" w:rsidR="00BC5F7E" w:rsidP="00BC5F7E" w:rsidRDefault="00BC5F7E" w14:paraId="294775AF" w14:textId="77777777">
      <w:pPr>
        <w:widowControl/>
        <w:spacing w:line="480" w:lineRule="auto"/>
        <w:rPr>
          <w:rFonts w:ascii="Times New Roman" w:hAnsi="Times New Roman"/>
          <w:b/>
          <w:szCs w:val="24"/>
        </w:rPr>
      </w:pPr>
      <w:r w:rsidRPr="00BC5F7E">
        <w:rPr>
          <w:rFonts w:ascii="Times New Roman" w:hAnsi="Times New Roman"/>
          <w:szCs w:val="24"/>
        </w:rPr>
        <w:t>FNS is required to comply wi</w:t>
      </w:r>
      <w:r>
        <w:rPr>
          <w:rFonts w:ascii="Times New Roman" w:hAnsi="Times New Roman"/>
          <w:szCs w:val="24"/>
        </w:rPr>
        <w:t xml:space="preserve">th the E-Government Act of 2002. </w:t>
      </w:r>
      <w:r w:rsidRPr="00BC5F7E">
        <w:rPr>
          <w:rFonts w:ascii="Times New Roman" w:hAnsi="Times New Roman"/>
          <w:szCs w:val="24"/>
        </w:rPr>
        <w:t>State agencies have the authority to use information technology that best suits the needs of their individual and possibly unique systems of operations to comply with this information collection. Virtually every State agency employs an automated system to maintain recipient claims activity and the referral and maintenance of debts subject to TOP.</w:t>
      </w:r>
    </w:p>
    <w:p w:rsidRPr="00BC5F7E" w:rsidR="00BC5F7E" w:rsidP="00BC5F7E" w:rsidRDefault="00BC5F7E" w14:paraId="357A825B" w14:textId="77777777">
      <w:pPr>
        <w:widowControl/>
        <w:spacing w:line="480" w:lineRule="auto"/>
        <w:rPr>
          <w:rFonts w:ascii="Times New Roman" w:hAnsi="Times New Roman"/>
          <w:szCs w:val="24"/>
        </w:rPr>
      </w:pPr>
    </w:p>
    <w:p w:rsidRPr="00BC5F7E" w:rsidR="00B934A6" w:rsidP="00BC5F7E" w:rsidRDefault="00BC5F7E" w14:paraId="0E875852" w14:textId="0AA29E75">
      <w:pPr>
        <w:widowControl/>
        <w:spacing w:line="480" w:lineRule="auto"/>
        <w:rPr>
          <w:rFonts w:ascii="Times New Roman" w:hAnsi="Times New Roman"/>
          <w:szCs w:val="24"/>
        </w:rPr>
      </w:pPr>
      <w:r w:rsidRPr="00BC5F7E">
        <w:rPr>
          <w:rFonts w:ascii="Times New Roman" w:hAnsi="Times New Roman"/>
          <w:szCs w:val="24"/>
        </w:rPr>
        <w:t>Automated data processing is used extensively for the collection methods. Electronic data transmission via desktop</w:t>
      </w:r>
      <w:r w:rsidR="001514C7">
        <w:rPr>
          <w:rFonts w:ascii="Times New Roman" w:hAnsi="Times New Roman"/>
          <w:szCs w:val="24"/>
        </w:rPr>
        <w:t xml:space="preserve"> between State agency systems and Federal Treasury system</w:t>
      </w:r>
      <w:r w:rsidRPr="00BC5F7E">
        <w:rPr>
          <w:rFonts w:ascii="Times New Roman" w:hAnsi="Times New Roman"/>
          <w:szCs w:val="24"/>
        </w:rPr>
        <w:t xml:space="preserve"> and from mainframe is used to minimize State agency and Federal resources needed for TOP collection methods. However, currently, there is no FNS electronic system, website or database used to collect or report this information; therefore, none of these responses are reported electronically to FNS.</w:t>
      </w:r>
      <w:r w:rsidR="005D1756">
        <w:rPr>
          <w:rFonts w:ascii="Times New Roman" w:hAnsi="Times New Roman"/>
          <w:szCs w:val="24"/>
        </w:rPr>
        <w:t xml:space="preserve"> States report aggregate referral data to TOP via the FNS 209, however that reporting is covered under the FPRS information collection (OMB Control Number 0584-0594; expiration date 7/31/2023).</w:t>
      </w:r>
      <w:r w:rsidR="009B2AAB">
        <w:rPr>
          <w:rFonts w:ascii="Times New Roman" w:hAnsi="Times New Roman"/>
          <w:szCs w:val="24"/>
        </w:rPr>
        <w:t xml:space="preserve">  </w:t>
      </w:r>
      <w:r w:rsidR="00B934A6">
        <w:rPr>
          <w:rFonts w:ascii="Times New Roman" w:hAnsi="Times New Roman"/>
          <w:szCs w:val="24"/>
        </w:rPr>
        <w:t>Additionally, States sent 60-day notices to Individuals/Households home addresses.</w:t>
      </w:r>
    </w:p>
    <w:p w:rsidRPr="002568E6" w:rsidR="005A3F80" w:rsidRDefault="005A3F80" w14:paraId="4F71A673" w14:textId="77777777">
      <w:pPr>
        <w:tabs>
          <w:tab w:val="left" w:pos="0"/>
        </w:tabs>
        <w:suppressAutoHyphens/>
        <w:rPr>
          <w:rFonts w:ascii="Times New Roman" w:hAnsi="Times New Roman"/>
          <w:szCs w:val="24"/>
        </w:rPr>
      </w:pPr>
    </w:p>
    <w:p w:rsidRPr="002568E6" w:rsidR="00A308DB" w:rsidP="0062567E" w:rsidRDefault="005A3F80" w14:paraId="560B70CD" w14:textId="77777777">
      <w:pPr>
        <w:pStyle w:val="Heading1"/>
        <w:rPr>
          <w:szCs w:val="24"/>
        </w:rPr>
      </w:pPr>
      <w:bookmarkStart w:name="_Toc401831360" w:id="6"/>
      <w:bookmarkStart w:name="_Toc401832404" w:id="7"/>
      <w:r w:rsidRPr="002568E6">
        <w:rPr>
          <w:szCs w:val="24"/>
        </w:rPr>
        <w:t xml:space="preserve">A4.  </w:t>
      </w:r>
      <w:r w:rsidR="002568E6">
        <w:rPr>
          <w:szCs w:val="24"/>
        </w:rPr>
        <w:t>E</w:t>
      </w:r>
      <w:r w:rsidRPr="002568E6">
        <w:rPr>
          <w:szCs w:val="24"/>
        </w:rPr>
        <w:t>fforts to identify duplication.</w:t>
      </w:r>
      <w:bookmarkEnd w:id="6"/>
      <w:bookmarkEnd w:id="7"/>
      <w:r w:rsidRPr="002568E6">
        <w:rPr>
          <w:szCs w:val="24"/>
        </w:rPr>
        <w:t xml:space="preserve"> </w:t>
      </w:r>
    </w:p>
    <w:p w:rsidRPr="002568E6" w:rsidR="003333DF" w:rsidRDefault="003333DF" w14:paraId="0FF35F50" w14:textId="77777777">
      <w:pPr>
        <w:tabs>
          <w:tab w:val="left" w:pos="0"/>
        </w:tabs>
        <w:suppressAutoHyphens/>
        <w:rPr>
          <w:rFonts w:ascii="Times New Roman" w:hAnsi="Times New Roman"/>
          <w:szCs w:val="24"/>
        </w:rPr>
      </w:pPr>
    </w:p>
    <w:p w:rsidRPr="002568E6" w:rsidR="003333DF" w:rsidRDefault="003333DF" w14:paraId="069C36B0"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31EAC160" w14:textId="77777777">
      <w:pPr>
        <w:tabs>
          <w:tab w:val="left" w:pos="-720"/>
        </w:tabs>
        <w:suppressAutoHyphens/>
        <w:rPr>
          <w:rFonts w:ascii="Times New Roman" w:hAnsi="Times New Roman"/>
          <w:szCs w:val="24"/>
        </w:rPr>
      </w:pPr>
    </w:p>
    <w:p w:rsidRPr="00BC5F7E" w:rsidR="00BC5F7E" w:rsidP="00BC5F7E" w:rsidRDefault="00BC5F7E" w14:paraId="160945A3" w14:textId="62FF4F0F">
      <w:pPr>
        <w:widowControl/>
        <w:overflowPunct/>
        <w:spacing w:line="480" w:lineRule="auto"/>
        <w:textAlignment w:val="auto"/>
        <w:rPr>
          <w:rFonts w:ascii="Times New Roman" w:hAnsi="Times New Roman"/>
          <w:b/>
          <w:bCs/>
          <w:szCs w:val="24"/>
        </w:rPr>
      </w:pPr>
      <w:r w:rsidRPr="00BC5F7E">
        <w:rPr>
          <w:rFonts w:ascii="Times New Roman" w:hAnsi="Times New Roman"/>
          <w:szCs w:val="24"/>
        </w:rPr>
        <w:t>There are no similar data collection efforts available.</w:t>
      </w:r>
      <w:r>
        <w:rPr>
          <w:rFonts w:ascii="Times New Roman" w:hAnsi="Times New Roman"/>
          <w:szCs w:val="24"/>
        </w:rPr>
        <w:t xml:space="preserve"> </w:t>
      </w:r>
      <w:r w:rsidRPr="00BC5F7E">
        <w:rPr>
          <w:rFonts w:ascii="Times New Roman" w:hAnsi="Times New Roman"/>
          <w:szCs w:val="24"/>
        </w:rPr>
        <w:t>FNS solely monitors Federal Collection Methods for Supplemental Nutrition Assistance Program Recipient Claims for SNAP benefits to ensure and protect program</w:t>
      </w:r>
      <w:r>
        <w:rPr>
          <w:rFonts w:ascii="Times New Roman" w:hAnsi="Times New Roman"/>
          <w:szCs w:val="24"/>
        </w:rPr>
        <w:t xml:space="preserve"> integrity.</w:t>
      </w:r>
      <w:r w:rsidRPr="00BC5F7E">
        <w:rPr>
          <w:rFonts w:ascii="Times New Roman" w:hAnsi="Times New Roman"/>
          <w:szCs w:val="24"/>
        </w:rPr>
        <w:t xml:space="preserve"> The information required for 7 CFR 273.18, 7 CFR 273.18(n) and FNS-209 is not currently reported to any other entity outside of FNS. Every effort </w:t>
      </w:r>
      <w:r w:rsidRPr="00BC5F7E">
        <w:rPr>
          <w:rFonts w:ascii="Times New Roman" w:hAnsi="Times New Roman"/>
          <w:szCs w:val="24"/>
        </w:rPr>
        <w:lastRenderedPageBreak/>
        <w:t>has been made to avoid duplication. FNS has reviewed USDA reporting requirements, state administrative agency reporting requirements and special studies by other government and private agencies</w:t>
      </w:r>
      <w:r w:rsidR="005D1756">
        <w:rPr>
          <w:rFonts w:ascii="Times New Roman" w:hAnsi="Times New Roman"/>
          <w:szCs w:val="24"/>
        </w:rPr>
        <w:t>. States report aggregate referral data to TOP via the FNS 209, however that reporting is covered under the FPRS information collection (OMB Control Number 0584-0594; expiration date 7/31/2023).</w:t>
      </w:r>
    </w:p>
    <w:p w:rsidRPr="002568E6" w:rsidR="00E11A38" w:rsidP="009F7E1A" w:rsidRDefault="00E11A38" w14:paraId="7CC135CF" w14:textId="77777777">
      <w:pPr>
        <w:tabs>
          <w:tab w:val="left" w:pos="-720"/>
        </w:tabs>
        <w:suppressAutoHyphens/>
        <w:spacing w:line="480" w:lineRule="auto"/>
        <w:rPr>
          <w:rFonts w:ascii="Times New Roman" w:hAnsi="Times New Roman"/>
          <w:szCs w:val="24"/>
        </w:rPr>
      </w:pPr>
    </w:p>
    <w:p w:rsidRPr="002568E6" w:rsidR="00A308DB" w:rsidP="0062567E" w:rsidRDefault="005A3F80" w14:paraId="1B3A3DDD" w14:textId="77777777">
      <w:pPr>
        <w:pStyle w:val="Heading1"/>
        <w:rPr>
          <w:szCs w:val="24"/>
        </w:rPr>
      </w:pPr>
      <w:bookmarkStart w:name="_Toc401831361" w:id="8"/>
      <w:bookmarkStart w:name="_Toc401832405" w:id="9"/>
      <w:r w:rsidRPr="002568E6">
        <w:rPr>
          <w:szCs w:val="24"/>
        </w:rPr>
        <w:t>A5.  Impacts on small businesses or other small entities.</w:t>
      </w:r>
      <w:bookmarkEnd w:id="8"/>
      <w:bookmarkEnd w:id="9"/>
      <w:r w:rsidRPr="002568E6">
        <w:rPr>
          <w:szCs w:val="24"/>
        </w:rPr>
        <w:t xml:space="preserve">  </w:t>
      </w:r>
    </w:p>
    <w:p w:rsidRPr="002568E6" w:rsidR="003333DF" w:rsidRDefault="003333DF" w14:paraId="2463FDE9" w14:textId="77777777">
      <w:pPr>
        <w:tabs>
          <w:tab w:val="left" w:pos="0"/>
        </w:tabs>
        <w:suppressAutoHyphens/>
        <w:rPr>
          <w:rFonts w:ascii="Times New Roman" w:hAnsi="Times New Roman"/>
          <w:szCs w:val="24"/>
        </w:rPr>
      </w:pPr>
    </w:p>
    <w:p w:rsidRPr="002568E6" w:rsidR="003333DF" w:rsidRDefault="003333DF" w14:paraId="2B109715"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3680C663" w14:textId="77777777">
      <w:pPr>
        <w:tabs>
          <w:tab w:val="left" w:pos="0"/>
        </w:tabs>
        <w:suppressAutoHyphens/>
        <w:rPr>
          <w:rFonts w:ascii="Times New Roman" w:hAnsi="Times New Roman"/>
          <w:szCs w:val="24"/>
        </w:rPr>
      </w:pPr>
    </w:p>
    <w:p w:rsidRPr="00BC5F7E" w:rsidR="00BC5F7E" w:rsidP="00BC5F7E" w:rsidRDefault="00BC5F7E" w14:paraId="0547A1EE" w14:textId="77777777">
      <w:pPr>
        <w:widowControl/>
        <w:overflowPunct/>
        <w:spacing w:line="480" w:lineRule="auto"/>
        <w:textAlignment w:val="auto"/>
        <w:rPr>
          <w:rFonts w:ascii="Times New Roman" w:hAnsi="Times New Roman"/>
          <w:szCs w:val="24"/>
        </w:rPr>
      </w:pPr>
      <w:r w:rsidRPr="00BC5F7E">
        <w:rPr>
          <w:rFonts w:ascii="Times New Roman" w:hAnsi="Times New Roman"/>
          <w:szCs w:val="24"/>
        </w:rPr>
        <w:t>The mandatory information collected is limited to data necessary to comply with statutory requirements and to protect Program int</w:t>
      </w:r>
      <w:r>
        <w:rPr>
          <w:rFonts w:ascii="Times New Roman" w:hAnsi="Times New Roman"/>
          <w:szCs w:val="24"/>
        </w:rPr>
        <w:t>egrity.</w:t>
      </w:r>
      <w:r w:rsidRPr="00BC5F7E">
        <w:rPr>
          <w:rFonts w:ascii="Times New Roman" w:hAnsi="Times New Roman"/>
          <w:szCs w:val="24"/>
        </w:rPr>
        <w:t xml:space="preserve"> This information collection does not affect small businesses or other small entities.</w:t>
      </w:r>
    </w:p>
    <w:p w:rsidRPr="002568E6" w:rsidR="00E11A38" w:rsidP="009F7E1A" w:rsidRDefault="00E11A38" w14:paraId="281BD266" w14:textId="77777777">
      <w:pPr>
        <w:tabs>
          <w:tab w:val="left" w:pos="-720"/>
        </w:tabs>
        <w:suppressAutoHyphens/>
        <w:spacing w:line="480" w:lineRule="auto"/>
        <w:rPr>
          <w:rFonts w:ascii="Times New Roman" w:hAnsi="Times New Roman"/>
          <w:spacing w:val="-3"/>
          <w:szCs w:val="24"/>
        </w:rPr>
      </w:pPr>
    </w:p>
    <w:p w:rsidRPr="002568E6" w:rsidR="00A308DB" w:rsidP="0062567E" w:rsidRDefault="005A3F80" w14:paraId="4E63499A" w14:textId="77777777">
      <w:pPr>
        <w:pStyle w:val="Heading1"/>
        <w:rPr>
          <w:szCs w:val="24"/>
        </w:rPr>
      </w:pPr>
      <w:bookmarkStart w:name="_Toc401831362" w:id="10"/>
      <w:bookmarkStart w:name="_Toc401832406" w:id="11"/>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0"/>
      <w:bookmarkEnd w:id="11"/>
      <w:r w:rsidRPr="002568E6">
        <w:rPr>
          <w:szCs w:val="24"/>
        </w:rPr>
        <w:t xml:space="preserve">  </w:t>
      </w:r>
    </w:p>
    <w:p w:rsidRPr="002568E6" w:rsidR="003333DF" w:rsidP="005C04BB" w:rsidRDefault="003333DF" w14:paraId="520B7BC6" w14:textId="77777777">
      <w:pPr>
        <w:tabs>
          <w:tab w:val="left" w:pos="0"/>
        </w:tabs>
        <w:suppressAutoHyphens/>
        <w:rPr>
          <w:rFonts w:ascii="Times New Roman" w:hAnsi="Times New Roman"/>
          <w:szCs w:val="24"/>
        </w:rPr>
      </w:pPr>
    </w:p>
    <w:p w:rsidRPr="002568E6" w:rsidR="003333DF" w:rsidP="0062567E" w:rsidRDefault="003333DF" w14:paraId="1D984B2D"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7688B491" w14:textId="77777777">
      <w:pPr>
        <w:tabs>
          <w:tab w:val="left" w:pos="-720"/>
        </w:tabs>
        <w:suppressAutoHyphens/>
        <w:rPr>
          <w:rFonts w:ascii="Times New Roman" w:hAnsi="Times New Roman"/>
          <w:szCs w:val="24"/>
        </w:rPr>
      </w:pPr>
    </w:p>
    <w:p w:rsidRPr="00BC5F7E" w:rsidR="00BC5F7E" w:rsidP="00BC5F7E" w:rsidRDefault="00BC5F7E" w14:paraId="758419DB" w14:textId="77777777">
      <w:pPr>
        <w:widowControl/>
        <w:overflowPunct/>
        <w:spacing w:line="480" w:lineRule="auto"/>
        <w:textAlignment w:val="auto"/>
        <w:rPr>
          <w:rFonts w:ascii="Times New Roman" w:hAnsi="Times New Roman"/>
          <w:b/>
          <w:bCs/>
          <w:szCs w:val="24"/>
        </w:rPr>
      </w:pPr>
      <w:r w:rsidRPr="00BC5F7E">
        <w:rPr>
          <w:rFonts w:ascii="Times New Roman" w:hAnsi="Times New Roman"/>
          <w:szCs w:val="24"/>
        </w:rPr>
        <w:t xml:space="preserve">This is mandatory and an </w:t>
      </w:r>
      <w:r>
        <w:rPr>
          <w:rFonts w:ascii="Times New Roman" w:hAnsi="Times New Roman"/>
          <w:szCs w:val="24"/>
        </w:rPr>
        <w:t>ongoing information collection.</w:t>
      </w:r>
      <w:r w:rsidRPr="00BC5F7E">
        <w:rPr>
          <w:rFonts w:ascii="Times New Roman" w:hAnsi="Times New Roman"/>
          <w:szCs w:val="24"/>
        </w:rPr>
        <w:t xml:space="preserve"> Information for TOP associated with due process is collected once per delinquent debt when it is determined that the </w:t>
      </w:r>
      <w:r>
        <w:rPr>
          <w:rFonts w:ascii="Times New Roman" w:hAnsi="Times New Roman"/>
          <w:szCs w:val="24"/>
        </w:rPr>
        <w:t xml:space="preserve">debt is to be referred to TOP. </w:t>
      </w:r>
      <w:r w:rsidRPr="00BC5F7E">
        <w:rPr>
          <w:rFonts w:ascii="Times New Roman" w:hAnsi="Times New Roman"/>
          <w:szCs w:val="24"/>
        </w:rPr>
        <w:t>If information were collected less frequently, compliance with the DCIA would not be possible and FNS could not ensure program integrity and Individuals/Households would not have due process or be notified of delinquent debt and the Departmental participation in TOP would be jeopardized.</w:t>
      </w:r>
    </w:p>
    <w:p w:rsidRPr="00BC5F7E" w:rsidR="00BC5F7E" w:rsidP="00BC5F7E" w:rsidRDefault="00BC5F7E" w14:paraId="67E0D813" w14:textId="77777777">
      <w:pPr>
        <w:widowControl/>
        <w:spacing w:line="480" w:lineRule="auto"/>
        <w:rPr>
          <w:rFonts w:ascii="Times New Roman" w:hAnsi="Times New Roman"/>
          <w:szCs w:val="24"/>
        </w:rPr>
      </w:pPr>
    </w:p>
    <w:p w:rsidRPr="00BC5F7E" w:rsidR="00BC5F7E" w:rsidP="00BC5F7E" w:rsidRDefault="00BC5F7E" w14:paraId="37CE31EF" w14:textId="77777777">
      <w:pPr>
        <w:widowControl/>
        <w:spacing w:line="480" w:lineRule="auto"/>
        <w:rPr>
          <w:rFonts w:ascii="Times New Roman" w:hAnsi="Times New Roman"/>
          <w:szCs w:val="24"/>
        </w:rPr>
      </w:pPr>
      <w:r w:rsidRPr="00BC5F7E">
        <w:rPr>
          <w:rFonts w:ascii="Times New Roman" w:hAnsi="Times New Roman"/>
          <w:szCs w:val="24"/>
        </w:rPr>
        <w:lastRenderedPageBreak/>
        <w:t>Additionally, Treasury requires that debts be maintained while in TOP. If debts are not maintained, the Federal could lose out on offsets or debtors could be over collected.</w:t>
      </w:r>
    </w:p>
    <w:p w:rsidRPr="002568E6" w:rsidR="00E11A38" w:rsidP="00E11A38" w:rsidRDefault="00E11A38" w14:paraId="7C5E8047" w14:textId="77777777">
      <w:pPr>
        <w:tabs>
          <w:tab w:val="left" w:pos="-720"/>
        </w:tabs>
        <w:suppressAutoHyphens/>
        <w:spacing w:line="480" w:lineRule="auto"/>
        <w:rPr>
          <w:rFonts w:ascii="Times New Roman" w:hAnsi="Times New Roman"/>
          <w:szCs w:val="24"/>
        </w:rPr>
      </w:pPr>
    </w:p>
    <w:p w:rsidRPr="002568E6" w:rsidR="00A308DB" w:rsidP="0062567E" w:rsidRDefault="00213436" w14:paraId="506C178E" w14:textId="77777777">
      <w:pPr>
        <w:pStyle w:val="Heading1"/>
        <w:rPr>
          <w:szCs w:val="24"/>
        </w:rPr>
      </w:pPr>
      <w:bookmarkStart w:name="_Toc401831363" w:id="12"/>
      <w:bookmarkStart w:name="_Toc401832407" w:id="13"/>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Pr="002568E6" w:rsidR="00A308DB" w:rsidP="00213436" w:rsidRDefault="00A308DB" w14:paraId="5DD094DA" w14:textId="77777777">
      <w:pPr>
        <w:tabs>
          <w:tab w:val="left" w:pos="0"/>
        </w:tabs>
        <w:suppressAutoHyphens/>
        <w:rPr>
          <w:rFonts w:ascii="Times New Roman" w:hAnsi="Times New Roman"/>
          <w:szCs w:val="24"/>
        </w:rPr>
      </w:pPr>
    </w:p>
    <w:p w:rsidRPr="002568E6" w:rsidR="003333DF" w:rsidP="0062567E" w:rsidRDefault="003333DF" w14:paraId="25EB491C"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003333DF" w:rsidP="0062567E" w:rsidRDefault="003333DF" w14:paraId="4E608FD0" w14:textId="6BA11ED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005A6977" w:rsidRDefault="005A6977" w14:paraId="1D12F006" w14:textId="77777777">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p>
    <w:p w:rsidRPr="002568E6" w:rsidR="00DE5FCB" w:rsidP="005A6977" w:rsidRDefault="00DE5FCB" w14:paraId="1F2A2C5A" w14:textId="51895872">
      <w:pPr>
        <w:widowControl/>
        <w:tabs>
          <w:tab w:val="left" w:pos="-720"/>
        </w:tabs>
        <w:suppressAutoHyphens/>
        <w:overflowPunct/>
        <w:autoSpaceDE/>
        <w:autoSpaceDN/>
        <w:adjustRightInd/>
        <w:spacing w:line="480" w:lineRule="auto"/>
        <w:ind w:left="360"/>
        <w:textAlignment w:val="auto"/>
        <w:rPr>
          <w:rFonts w:ascii="Times New Roman" w:hAnsi="Times New Roman"/>
          <w:b/>
          <w:szCs w:val="24"/>
        </w:rPr>
      </w:pPr>
      <w:r w:rsidRPr="00BC5F7E">
        <w:rPr>
          <w:rFonts w:ascii="Times New Roman" w:hAnsi="Times New Roman"/>
          <w:szCs w:val="24"/>
        </w:rPr>
        <w:t>There are weekly reporting requirements State Agencies are required to adhere to by Treasury for debts in TOP.</w:t>
      </w:r>
    </w:p>
    <w:p w:rsidRPr="002568E6" w:rsidR="003333DF" w:rsidP="0062567E" w:rsidRDefault="003333DF" w14:paraId="6979F3D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068C00F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440E656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7755713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23E63A4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52569F37"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6026F09F"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50E9F654" w14:textId="77777777">
      <w:pPr>
        <w:tabs>
          <w:tab w:val="left" w:pos="0"/>
        </w:tabs>
        <w:suppressAutoHyphens/>
        <w:rPr>
          <w:rFonts w:ascii="Times New Roman" w:hAnsi="Times New Roman"/>
          <w:szCs w:val="24"/>
        </w:rPr>
      </w:pPr>
    </w:p>
    <w:p w:rsidRPr="00BC5F7E" w:rsidR="00BC5F7E" w:rsidP="00BC5F7E" w:rsidRDefault="00BC5F7E" w14:paraId="3A9BC3F1" w14:textId="46811ACB">
      <w:pPr>
        <w:spacing w:line="480" w:lineRule="auto"/>
        <w:rPr>
          <w:rFonts w:ascii="Times New Roman" w:hAnsi="Times New Roman"/>
          <w:szCs w:val="24"/>
        </w:rPr>
      </w:pPr>
      <w:r w:rsidRPr="00BC5F7E">
        <w:rPr>
          <w:rFonts w:ascii="Times New Roman" w:hAnsi="Times New Roman"/>
          <w:szCs w:val="24"/>
        </w:rPr>
        <w:t>There are no other special circumstances that require information collection inconsistent with 5 CFR 1320.5.</w:t>
      </w:r>
    </w:p>
    <w:p w:rsidRPr="002568E6" w:rsidR="00BE0B08" w:rsidP="00BE0B08" w:rsidRDefault="00BE0B08" w14:paraId="04B8BCB6" w14:textId="77777777">
      <w:pPr>
        <w:tabs>
          <w:tab w:val="left" w:pos="0"/>
        </w:tabs>
        <w:suppressAutoHyphens/>
        <w:rPr>
          <w:rFonts w:ascii="Times New Roman" w:hAnsi="Times New Roman"/>
          <w:szCs w:val="24"/>
        </w:rPr>
      </w:pPr>
    </w:p>
    <w:p w:rsidRPr="002568E6" w:rsidR="00BE0B08" w:rsidP="0062567E" w:rsidRDefault="00BE0B08" w14:paraId="3E2C4285" w14:textId="77777777">
      <w:pPr>
        <w:pStyle w:val="Heading1"/>
        <w:rPr>
          <w:szCs w:val="24"/>
        </w:rPr>
      </w:pPr>
      <w:bookmarkStart w:name="_Toc401831364" w:id="14"/>
      <w:bookmarkStart w:name="_Toc401832408" w:id="15"/>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Pr="002568E6" w:rsidR="003333DF" w:rsidP="005917B8" w:rsidRDefault="003333DF" w14:paraId="4300CF31" w14:textId="77777777">
      <w:pPr>
        <w:tabs>
          <w:tab w:val="left" w:pos="450"/>
        </w:tabs>
        <w:suppressAutoHyphens/>
        <w:ind w:left="450" w:hanging="450"/>
        <w:rPr>
          <w:rFonts w:ascii="Times New Roman" w:hAnsi="Times New Roman"/>
          <w:szCs w:val="24"/>
        </w:rPr>
      </w:pPr>
    </w:p>
    <w:p w:rsidRPr="002568E6" w:rsidR="003333DF" w:rsidP="0062567E" w:rsidRDefault="003333DF" w14:paraId="111973B4" w14:textId="77777777">
      <w:pPr>
        <w:rPr>
          <w:rFonts w:ascii="Times New Roman" w:hAnsi="Times New Roman"/>
          <w:b/>
          <w:szCs w:val="24"/>
        </w:rPr>
      </w:pPr>
      <w:r w:rsidRPr="002568E6">
        <w:rPr>
          <w:rFonts w:ascii="Times New Roman" w:hAnsi="Times New Roman"/>
          <w:b/>
          <w:szCs w:val="24"/>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w:t>
      </w:r>
      <w:r w:rsidRPr="002568E6">
        <w:rPr>
          <w:rFonts w:ascii="Times New Roman" w:hAnsi="Times New Roman"/>
          <w:b/>
          <w:szCs w:val="24"/>
        </w:rPr>
        <w:lastRenderedPageBreak/>
        <w:t>these comments. Specifically address comments received on cost and hour burden.</w:t>
      </w:r>
      <w:r w:rsidRPr="002568E6">
        <w:rPr>
          <w:rFonts w:ascii="Times New Roman" w:hAnsi="Times New Roman"/>
          <w:b/>
          <w:szCs w:val="24"/>
        </w:rPr>
        <w:tab/>
      </w:r>
    </w:p>
    <w:p w:rsidRPr="002568E6" w:rsidR="003333DF" w:rsidP="0062567E" w:rsidRDefault="003333DF" w14:paraId="18787F42" w14:textId="77777777">
      <w:pPr>
        <w:rPr>
          <w:rFonts w:ascii="Times New Roman" w:hAnsi="Times New Roman"/>
          <w:b/>
          <w:szCs w:val="24"/>
        </w:rPr>
      </w:pPr>
    </w:p>
    <w:p w:rsidRPr="002568E6" w:rsidR="003333DF" w:rsidP="0062567E" w:rsidRDefault="003333DF" w14:paraId="61B6C9A9"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3C634B8F" w14:textId="77777777">
      <w:pPr>
        <w:rPr>
          <w:rFonts w:ascii="Times New Roman" w:hAnsi="Times New Roman"/>
          <w:b/>
          <w:szCs w:val="24"/>
        </w:rPr>
      </w:pPr>
    </w:p>
    <w:p w:rsidRPr="002568E6" w:rsidR="003333DF" w:rsidP="0062567E" w:rsidRDefault="003333DF" w14:paraId="48568DC2"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3B891907" w14:textId="77777777">
      <w:pPr>
        <w:tabs>
          <w:tab w:val="left" w:pos="-720"/>
        </w:tabs>
        <w:suppressAutoHyphens/>
        <w:rPr>
          <w:rFonts w:ascii="Times New Roman" w:hAnsi="Times New Roman"/>
          <w:szCs w:val="24"/>
        </w:rPr>
      </w:pPr>
      <w:bookmarkStart w:name="OLE_LINK1" w:id="16"/>
      <w:bookmarkStart w:name="OLE_LINK2" w:id="17"/>
    </w:p>
    <w:p w:rsidR="00ED28F2" w:rsidP="00ED28F2" w:rsidRDefault="00BA3EC8" w14:paraId="1591FB4F" w14:textId="341D9626">
      <w:pPr>
        <w:tabs>
          <w:tab w:val="left" w:pos="-720"/>
        </w:tabs>
        <w:suppressAutoHyphens/>
        <w:spacing w:line="480" w:lineRule="auto"/>
        <w:rPr>
          <w:rFonts w:ascii="Times New Roman" w:hAnsi="Times New Roman"/>
          <w:szCs w:val="24"/>
        </w:rPr>
      </w:pPr>
      <w:r w:rsidRPr="00BA3EC8">
        <w:rPr>
          <w:rFonts w:ascii="Times New Roman" w:hAnsi="Times New Roman"/>
          <w:szCs w:val="24"/>
        </w:rPr>
        <w:t xml:space="preserve">The 60-day Federal Register Notice was published on </w:t>
      </w:r>
      <w:r>
        <w:rPr>
          <w:rFonts w:ascii="Times New Roman" w:hAnsi="Times New Roman"/>
          <w:szCs w:val="24"/>
        </w:rPr>
        <w:t>November 26, 2021</w:t>
      </w:r>
      <w:r w:rsidRPr="00BA3EC8">
        <w:rPr>
          <w:rFonts w:ascii="Times New Roman" w:hAnsi="Times New Roman"/>
          <w:szCs w:val="24"/>
        </w:rPr>
        <w:t xml:space="preserve"> (86 FR 67430).</w:t>
      </w:r>
      <w:r>
        <w:rPr>
          <w:rFonts w:ascii="Times New Roman" w:hAnsi="Times New Roman"/>
          <w:szCs w:val="24"/>
        </w:rPr>
        <w:t xml:space="preserve"> </w:t>
      </w:r>
      <w:r w:rsidRPr="00643C78" w:rsidR="0061694F">
        <w:rPr>
          <w:rFonts w:ascii="Times New Roman" w:hAnsi="Times New Roman"/>
          <w:szCs w:val="24"/>
        </w:rPr>
        <w:t xml:space="preserve">Comments were solicited on this information collection as part of the comment period of the notice. </w:t>
      </w:r>
      <w:r w:rsidR="0061694F">
        <w:rPr>
          <w:rFonts w:ascii="Times New Roman" w:hAnsi="Times New Roman"/>
          <w:szCs w:val="24"/>
        </w:rPr>
        <w:t>Two comments (included with this request in Appendix D.1 and D.2) were received. However, the comments were not directly related to this proposed information collection request.</w:t>
      </w:r>
    </w:p>
    <w:p w:rsidR="00DE5FCB" w:rsidP="00ED28F2" w:rsidRDefault="00DE5FCB" w14:paraId="2F6514D2" w14:textId="77777777">
      <w:pPr>
        <w:tabs>
          <w:tab w:val="left" w:pos="-720"/>
        </w:tabs>
        <w:suppressAutoHyphens/>
        <w:spacing w:line="480" w:lineRule="auto"/>
        <w:rPr>
          <w:rFonts w:ascii="Times New Roman" w:hAnsi="Times New Roman"/>
          <w:szCs w:val="24"/>
        </w:rPr>
      </w:pPr>
    </w:p>
    <w:p w:rsidRPr="002568E6" w:rsidR="00BA3EC8" w:rsidP="00ED28F2" w:rsidRDefault="00BA3EC8" w14:paraId="1C62D068" w14:textId="5C687BE0">
      <w:pPr>
        <w:tabs>
          <w:tab w:val="left" w:pos="-720"/>
        </w:tabs>
        <w:suppressAutoHyphens/>
        <w:spacing w:line="480" w:lineRule="auto"/>
        <w:rPr>
          <w:rFonts w:ascii="Times New Roman" w:hAnsi="Times New Roman"/>
          <w:szCs w:val="24"/>
        </w:rPr>
      </w:pPr>
      <w:r w:rsidRPr="00BA3EC8">
        <w:rPr>
          <w:rFonts w:ascii="Times New Roman" w:hAnsi="Times New Roman"/>
          <w:szCs w:val="24"/>
        </w:rPr>
        <w:t xml:space="preserve">Consultation with State agencies regarding the Federal collection of SNAP claims is a continuous process. For this specific Information Collection Renewal, FNS contacted one State agency official that works closely with the TOP to collect delinquent SNAP claims in each of the following States: </w:t>
      </w:r>
      <w:r w:rsidR="00A614E2">
        <w:rPr>
          <w:rFonts w:ascii="Times New Roman" w:hAnsi="Times New Roman"/>
          <w:szCs w:val="24"/>
        </w:rPr>
        <w:t>Missouri Department of Social Services</w:t>
      </w:r>
      <w:r w:rsidRPr="00BA3EC8">
        <w:rPr>
          <w:rFonts w:ascii="Times New Roman" w:hAnsi="Times New Roman"/>
          <w:szCs w:val="24"/>
        </w:rPr>
        <w:t xml:space="preserve"> (</w:t>
      </w:r>
      <w:r w:rsidR="00A614E2">
        <w:rPr>
          <w:rFonts w:ascii="Times New Roman" w:hAnsi="Times New Roman"/>
          <w:szCs w:val="24"/>
        </w:rPr>
        <w:t xml:space="preserve">Dana Carrington, </w:t>
      </w:r>
      <w:r w:rsidRPr="00A614E2" w:rsidR="00A614E2">
        <w:rPr>
          <w:rFonts w:ascii="Times New Roman" w:hAnsi="Times New Roman"/>
          <w:szCs w:val="24"/>
        </w:rPr>
        <w:t>Dana.Carrington@dss.mo.gov</w:t>
      </w:r>
      <w:r w:rsidRPr="00BA3EC8">
        <w:rPr>
          <w:rFonts w:ascii="Times New Roman" w:hAnsi="Times New Roman"/>
          <w:szCs w:val="24"/>
        </w:rPr>
        <w:t>), Nebraska Department of Health and Human Services (</w:t>
      </w:r>
      <w:r w:rsidR="00A614E2">
        <w:rPr>
          <w:rFonts w:ascii="Times New Roman" w:hAnsi="Times New Roman"/>
          <w:szCs w:val="24"/>
        </w:rPr>
        <w:t xml:space="preserve">Cari Crosby, </w:t>
      </w:r>
      <w:r w:rsidRPr="00A614E2" w:rsidR="00A614E2">
        <w:rPr>
          <w:rFonts w:ascii="Times New Roman" w:hAnsi="Times New Roman"/>
          <w:szCs w:val="24"/>
        </w:rPr>
        <w:t>Cari.Crosby@nebraska.gov</w:t>
      </w:r>
      <w:r w:rsidR="00A614E2">
        <w:rPr>
          <w:rFonts w:ascii="Times New Roman" w:hAnsi="Times New Roman"/>
          <w:szCs w:val="24"/>
        </w:rPr>
        <w:t>)</w:t>
      </w:r>
      <w:r w:rsidRPr="00BA3EC8">
        <w:rPr>
          <w:rFonts w:ascii="Times New Roman" w:hAnsi="Times New Roman"/>
          <w:szCs w:val="24"/>
        </w:rPr>
        <w:t>, South Dakota Department of Social Services (Brandin Seibel, Program Administrator, Brandin.Seibel@state.sd.us</w:t>
      </w:r>
      <w:r w:rsidR="00A614E2">
        <w:rPr>
          <w:rFonts w:ascii="Times New Roman" w:hAnsi="Times New Roman"/>
          <w:szCs w:val="24"/>
        </w:rPr>
        <w:t>)</w:t>
      </w:r>
      <w:r w:rsidRPr="00BA3EC8">
        <w:rPr>
          <w:rFonts w:ascii="Times New Roman" w:hAnsi="Times New Roman"/>
          <w:szCs w:val="24"/>
        </w:rPr>
        <w:t>. These State agency contacts were sent the Federal Register Notice and asked to share any feedback on the information collected related to TOP to include their views on the frequency of collection, the clarity of instructions and recordkeeping, disclosure, and on the data elements to be recorded, disclosed, or reported.</w:t>
      </w:r>
      <w:r w:rsidR="00197F64">
        <w:rPr>
          <w:rFonts w:ascii="Times New Roman" w:hAnsi="Times New Roman"/>
          <w:szCs w:val="24"/>
        </w:rPr>
        <w:t xml:space="preserve"> </w:t>
      </w:r>
      <w:r w:rsidRPr="00BA3EC8">
        <w:rPr>
          <w:rFonts w:ascii="Times New Roman" w:hAnsi="Times New Roman"/>
          <w:szCs w:val="24"/>
        </w:rPr>
        <w:t xml:space="preserve">They have not submitted any feedback on the information collection as of </w:t>
      </w:r>
      <w:r w:rsidR="0061694F">
        <w:rPr>
          <w:rFonts w:ascii="Times New Roman" w:hAnsi="Times New Roman"/>
          <w:szCs w:val="24"/>
        </w:rPr>
        <w:t>February 10</w:t>
      </w:r>
      <w:r w:rsidRPr="00BA3EC8">
        <w:rPr>
          <w:rFonts w:ascii="Times New Roman" w:hAnsi="Times New Roman"/>
          <w:szCs w:val="24"/>
        </w:rPr>
        <w:t>, 20</w:t>
      </w:r>
      <w:r w:rsidR="00197F64">
        <w:rPr>
          <w:rFonts w:ascii="Times New Roman" w:hAnsi="Times New Roman"/>
          <w:szCs w:val="24"/>
        </w:rPr>
        <w:t>2</w:t>
      </w:r>
      <w:r w:rsidR="0061694F">
        <w:rPr>
          <w:rFonts w:ascii="Times New Roman" w:hAnsi="Times New Roman"/>
          <w:szCs w:val="24"/>
        </w:rPr>
        <w:t>2</w:t>
      </w:r>
      <w:r w:rsidRPr="00BA3EC8">
        <w:rPr>
          <w:rFonts w:ascii="Times New Roman" w:hAnsi="Times New Roman"/>
          <w:szCs w:val="24"/>
        </w:rPr>
        <w:t>.</w:t>
      </w:r>
    </w:p>
    <w:p w:rsidRPr="002568E6" w:rsidR="00BE0B08" w:rsidP="0062567E" w:rsidRDefault="00BE0B08" w14:paraId="15E1DCEE" w14:textId="77777777">
      <w:pPr>
        <w:pStyle w:val="Heading1"/>
        <w:rPr>
          <w:szCs w:val="24"/>
        </w:rPr>
      </w:pPr>
      <w:bookmarkStart w:name="_Toc401831365" w:id="18"/>
      <w:bookmarkStart w:name="_Toc401832409" w:id="19"/>
      <w:bookmarkEnd w:id="16"/>
      <w:bookmarkEnd w:id="17"/>
      <w:r w:rsidRPr="002568E6">
        <w:rPr>
          <w:szCs w:val="24"/>
        </w:rPr>
        <w:lastRenderedPageBreak/>
        <w:t>A9.  Explain any decisions to provide any payment or gift to respondents.</w:t>
      </w:r>
      <w:bookmarkEnd w:id="18"/>
      <w:bookmarkEnd w:id="19"/>
      <w:r w:rsidRPr="002568E6">
        <w:rPr>
          <w:szCs w:val="24"/>
        </w:rPr>
        <w:t xml:space="preserve">  </w:t>
      </w:r>
    </w:p>
    <w:p w:rsidRPr="002568E6" w:rsidR="003333DF" w:rsidP="00BE0B08" w:rsidRDefault="003333DF" w14:paraId="14E56450" w14:textId="77777777">
      <w:pPr>
        <w:tabs>
          <w:tab w:val="left" w:pos="0"/>
        </w:tabs>
        <w:suppressAutoHyphens/>
        <w:rPr>
          <w:rFonts w:ascii="Times New Roman" w:hAnsi="Times New Roman"/>
          <w:szCs w:val="24"/>
        </w:rPr>
      </w:pPr>
    </w:p>
    <w:p w:rsidRPr="002568E6" w:rsidR="003333DF" w:rsidP="00BE0B08" w:rsidRDefault="003333DF" w14:paraId="3F462056"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005363D4" w14:textId="77777777">
      <w:pPr>
        <w:tabs>
          <w:tab w:val="left" w:pos="-720"/>
        </w:tabs>
        <w:suppressAutoHyphens/>
        <w:rPr>
          <w:rFonts w:ascii="Times New Roman" w:hAnsi="Times New Roman"/>
          <w:szCs w:val="24"/>
        </w:rPr>
      </w:pPr>
    </w:p>
    <w:p w:rsidRPr="00A614E2" w:rsidR="00A614E2" w:rsidP="00A614E2" w:rsidRDefault="00A614E2" w14:paraId="6639C3F2" w14:textId="77777777">
      <w:pPr>
        <w:widowControl/>
        <w:spacing w:line="480" w:lineRule="auto"/>
        <w:rPr>
          <w:rFonts w:ascii="Times New Roman" w:hAnsi="Times New Roman"/>
          <w:szCs w:val="24"/>
        </w:rPr>
      </w:pPr>
      <w:r w:rsidRPr="00A614E2">
        <w:rPr>
          <w:rFonts w:ascii="Times New Roman" w:hAnsi="Times New Roman"/>
          <w:szCs w:val="24"/>
        </w:rPr>
        <w:t>No payments or gifts to respondents are provided under this information collection.</w:t>
      </w:r>
    </w:p>
    <w:p w:rsidRPr="002568E6" w:rsidR="00ED28F2" w:rsidP="00ED28F2" w:rsidRDefault="00ED28F2" w14:paraId="436D5D86" w14:textId="77777777">
      <w:pPr>
        <w:tabs>
          <w:tab w:val="left" w:pos="-720"/>
        </w:tabs>
        <w:suppressAutoHyphens/>
        <w:spacing w:line="480" w:lineRule="auto"/>
        <w:rPr>
          <w:rFonts w:ascii="Times New Roman" w:hAnsi="Times New Roman"/>
          <w:szCs w:val="24"/>
        </w:rPr>
      </w:pPr>
    </w:p>
    <w:p w:rsidRPr="002568E6" w:rsidR="00BE0B08" w:rsidP="0062567E" w:rsidRDefault="00BE0B08" w14:paraId="55A9B5A0" w14:textId="77777777">
      <w:pPr>
        <w:pStyle w:val="Heading1"/>
        <w:rPr>
          <w:szCs w:val="24"/>
        </w:rPr>
      </w:pPr>
      <w:bookmarkStart w:name="_Toc401831366" w:id="20"/>
      <w:bookmarkStart w:name="_Toc401832410" w:id="21"/>
      <w:r w:rsidRPr="002568E6">
        <w:rPr>
          <w:szCs w:val="24"/>
        </w:rPr>
        <w:t>A10.  Assurances of confidentiality provided to respondents.</w:t>
      </w:r>
      <w:bookmarkEnd w:id="20"/>
      <w:bookmarkEnd w:id="21"/>
      <w:r w:rsidRPr="002568E6">
        <w:rPr>
          <w:szCs w:val="24"/>
        </w:rPr>
        <w:t xml:space="preserve">  </w:t>
      </w:r>
    </w:p>
    <w:p w:rsidRPr="002568E6" w:rsidR="003333DF" w:rsidP="00BE0B08" w:rsidRDefault="003333DF" w14:paraId="6AA9A645" w14:textId="77777777">
      <w:pPr>
        <w:rPr>
          <w:rFonts w:ascii="Times New Roman" w:hAnsi="Times New Roman"/>
          <w:szCs w:val="24"/>
        </w:rPr>
      </w:pPr>
    </w:p>
    <w:p w:rsidRPr="002568E6" w:rsidR="003333DF" w:rsidP="0062567E" w:rsidRDefault="003333DF" w14:paraId="095C9B88"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40C76A8D" w14:textId="77777777">
      <w:pPr>
        <w:rPr>
          <w:rFonts w:ascii="Times New Roman" w:hAnsi="Times New Roman"/>
          <w:szCs w:val="24"/>
        </w:rPr>
      </w:pPr>
    </w:p>
    <w:p w:rsidRPr="00A614E2" w:rsidR="00A614E2" w:rsidP="00A614E2" w:rsidRDefault="00A614E2" w14:paraId="63C6A3B1" w14:textId="182D83E0">
      <w:pPr>
        <w:widowControl/>
        <w:overflowPunct/>
        <w:spacing w:line="480" w:lineRule="auto"/>
        <w:textAlignment w:val="auto"/>
        <w:rPr>
          <w:rFonts w:ascii="Times New Roman" w:hAnsi="Times New Roman"/>
          <w:szCs w:val="24"/>
        </w:rPr>
      </w:pPr>
      <w:r w:rsidRPr="00A614E2">
        <w:rPr>
          <w:rFonts w:ascii="Times New Roman" w:hAnsi="Times New Roman"/>
          <w:szCs w:val="24"/>
        </w:rPr>
        <w:t>Section 11 (e)(8) of the Act and implementing regulations at 7 CFR 272.1 limit the use or disclosure of information obtained from applicant households to persons directly connected with either the administration or safe</w:t>
      </w:r>
      <w:r>
        <w:rPr>
          <w:rFonts w:ascii="Times New Roman" w:hAnsi="Times New Roman"/>
          <w:szCs w:val="24"/>
        </w:rPr>
        <w:t>guarding the integrity of SNAP.</w:t>
      </w:r>
      <w:r w:rsidRPr="00A614E2">
        <w:rPr>
          <w:rFonts w:ascii="Times New Roman" w:hAnsi="Times New Roman"/>
          <w:szCs w:val="24"/>
        </w:rPr>
        <w:t xml:space="preserve"> Additionally, the safeguard provision in IRS Publication 1075 and the Privacy Act of 1974 apply to information used in the TOP process.  The information you provide will be kept private, and will not be disclosed to anyone but the program analyst conducting this investigation, except as otherwise required by law.</w:t>
      </w:r>
      <w:r w:rsidR="003447E4">
        <w:rPr>
          <w:rFonts w:ascii="Times New Roman" w:hAnsi="Times New Roman"/>
          <w:szCs w:val="24"/>
        </w:rPr>
        <w:t xml:space="preserve"> This information collection request was cleared by FNS Privacy Officer Michael Bjorkman on June 21, 2022.</w:t>
      </w:r>
    </w:p>
    <w:p w:rsidRPr="00A614E2" w:rsidR="00A614E2" w:rsidP="00A614E2" w:rsidRDefault="00A614E2" w14:paraId="5682AD3E" w14:textId="77777777">
      <w:pPr>
        <w:widowControl/>
        <w:overflowPunct/>
        <w:spacing w:line="480" w:lineRule="auto"/>
        <w:textAlignment w:val="auto"/>
        <w:rPr>
          <w:rFonts w:ascii="Times New Roman" w:hAnsi="Times New Roman"/>
          <w:szCs w:val="24"/>
        </w:rPr>
      </w:pPr>
    </w:p>
    <w:p w:rsidRPr="00A614E2" w:rsidR="00A614E2" w:rsidP="00A614E2" w:rsidRDefault="00A614E2" w14:paraId="6E3D0B99" w14:textId="771EC3D2">
      <w:pPr>
        <w:widowControl/>
        <w:spacing w:line="480" w:lineRule="auto"/>
        <w:rPr>
          <w:rFonts w:ascii="Times New Roman" w:hAnsi="Times New Roman"/>
          <w:szCs w:val="24"/>
        </w:rPr>
      </w:pPr>
      <w:r w:rsidRPr="00A614E2">
        <w:rPr>
          <w:rFonts w:ascii="Times New Roman" w:hAnsi="Times New Roman"/>
          <w:szCs w:val="24"/>
        </w:rPr>
        <w:t xml:space="preserve">The notice of delinquency contains personal </w:t>
      </w:r>
      <w:r w:rsidR="003447E4">
        <w:rPr>
          <w:rFonts w:ascii="Times New Roman" w:hAnsi="Times New Roman"/>
          <w:szCs w:val="24"/>
        </w:rPr>
        <w:t>identifiable</w:t>
      </w:r>
      <w:r w:rsidRPr="00A614E2" w:rsidR="003447E4">
        <w:rPr>
          <w:rFonts w:ascii="Times New Roman" w:hAnsi="Times New Roman"/>
          <w:szCs w:val="24"/>
        </w:rPr>
        <w:t xml:space="preserve"> </w:t>
      </w:r>
      <w:r w:rsidRPr="00A614E2">
        <w:rPr>
          <w:rFonts w:ascii="Times New Roman" w:hAnsi="Times New Roman"/>
          <w:szCs w:val="24"/>
        </w:rPr>
        <w:t>information</w:t>
      </w:r>
      <w:r w:rsidRPr="00A614E2">
        <w:rPr>
          <w:rFonts w:ascii="Times New Roman" w:hAnsi="Times New Roman"/>
          <w:szCs w:val="24"/>
          <w:vertAlign w:val="superscript"/>
        </w:rPr>
        <w:footnoteReference w:id="1"/>
      </w:r>
      <w:r w:rsidR="00A35478">
        <w:rPr>
          <w:rFonts w:ascii="Times New Roman" w:hAnsi="Times New Roman"/>
          <w:szCs w:val="24"/>
        </w:rPr>
        <w:t xml:space="preserve">. </w:t>
      </w:r>
      <w:r w:rsidRPr="00A614E2">
        <w:rPr>
          <w:rFonts w:ascii="Times New Roman" w:hAnsi="Times New Roman"/>
          <w:szCs w:val="24"/>
        </w:rPr>
        <w:t>Therefore, the Food and Nutrition Service published a Privacy Act system of records notice (SORN) entitled Claims Against Fo</w:t>
      </w:r>
      <w:r w:rsidR="00A35478">
        <w:rPr>
          <w:rFonts w:ascii="Times New Roman" w:hAnsi="Times New Roman"/>
          <w:szCs w:val="24"/>
        </w:rPr>
        <w:t>od Stamp Recipients—USDA/FNS-3.</w:t>
      </w:r>
      <w:r w:rsidRPr="00A614E2">
        <w:rPr>
          <w:rFonts w:ascii="Times New Roman" w:hAnsi="Times New Roman"/>
          <w:szCs w:val="24"/>
        </w:rPr>
        <w:t xml:space="preserve"> A revised SORN was published on March 30, 2004</w:t>
      </w:r>
      <w:r w:rsidR="003B16D2">
        <w:rPr>
          <w:rFonts w:ascii="Times New Roman" w:hAnsi="Times New Roman"/>
          <w:szCs w:val="24"/>
        </w:rPr>
        <w:t>,</w:t>
      </w:r>
      <w:r w:rsidRPr="00A614E2">
        <w:rPr>
          <w:rFonts w:ascii="Times New Roman" w:hAnsi="Times New Roman"/>
          <w:szCs w:val="24"/>
        </w:rPr>
        <w:t xml:space="preserve"> in the Federal Register Volume 69 page 16513 to specify the uses to be made of the information in this collection</w:t>
      </w:r>
      <w:r w:rsidR="0058503D">
        <w:rPr>
          <w:rFonts w:ascii="Times New Roman" w:hAnsi="Times New Roman"/>
          <w:szCs w:val="24"/>
        </w:rPr>
        <w:t xml:space="preserve"> (Appendix F)</w:t>
      </w:r>
      <w:r w:rsidRPr="00A614E2">
        <w:rPr>
          <w:rFonts w:ascii="Times New Roman" w:hAnsi="Times New Roman"/>
          <w:szCs w:val="24"/>
        </w:rPr>
        <w:t xml:space="preserve">. The Privacy Act Statement will be displayed on any FNS or State designed forms or templates for the respondents review. The personally </w:t>
      </w:r>
      <w:r w:rsidR="003447E4">
        <w:rPr>
          <w:rFonts w:ascii="Times New Roman" w:hAnsi="Times New Roman"/>
          <w:szCs w:val="24"/>
        </w:rPr>
        <w:t>identifiable</w:t>
      </w:r>
      <w:r w:rsidRPr="00A614E2" w:rsidR="003447E4">
        <w:rPr>
          <w:rFonts w:ascii="Times New Roman" w:hAnsi="Times New Roman"/>
          <w:szCs w:val="24"/>
        </w:rPr>
        <w:t xml:space="preserve"> </w:t>
      </w:r>
      <w:r w:rsidRPr="00A614E2">
        <w:rPr>
          <w:rFonts w:ascii="Times New Roman" w:hAnsi="Times New Roman"/>
          <w:szCs w:val="24"/>
        </w:rPr>
        <w:lastRenderedPageBreak/>
        <w:t>information that appears in the notice of delinquency is collected by State agency forms that include these requirements. These forms are included under OMB burden numb</w:t>
      </w:r>
      <w:r w:rsidR="00A35478">
        <w:rPr>
          <w:rFonts w:ascii="Times New Roman" w:hAnsi="Times New Roman"/>
          <w:szCs w:val="24"/>
        </w:rPr>
        <w:t>er 0584-0064, expiration date 02/29/2024</w:t>
      </w:r>
      <w:r w:rsidRPr="00A614E2">
        <w:rPr>
          <w:rFonts w:ascii="Times New Roman" w:hAnsi="Times New Roman"/>
          <w:szCs w:val="24"/>
        </w:rPr>
        <w:t>.</w:t>
      </w:r>
    </w:p>
    <w:p w:rsidRPr="002568E6" w:rsidR="00ED28F2" w:rsidP="00ED28F2" w:rsidRDefault="00ED28F2" w14:paraId="2D38A397" w14:textId="77777777">
      <w:pPr>
        <w:tabs>
          <w:tab w:val="left" w:pos="-720"/>
        </w:tabs>
        <w:suppressAutoHyphens/>
        <w:spacing w:line="480" w:lineRule="auto"/>
        <w:rPr>
          <w:rFonts w:ascii="Times New Roman" w:hAnsi="Times New Roman"/>
          <w:szCs w:val="24"/>
        </w:rPr>
      </w:pPr>
    </w:p>
    <w:p w:rsidRPr="002568E6" w:rsidR="00A308DB" w:rsidP="0062567E" w:rsidRDefault="00A35478" w14:paraId="70E8A10F" w14:textId="2EE24EFB">
      <w:pPr>
        <w:pStyle w:val="Heading1"/>
        <w:rPr>
          <w:szCs w:val="24"/>
        </w:rPr>
      </w:pPr>
      <w:bookmarkStart w:name="_Toc401831367" w:id="22"/>
      <w:bookmarkStart w:name="_Toc401832411" w:id="23"/>
      <w:r>
        <w:rPr>
          <w:szCs w:val="24"/>
        </w:rPr>
        <w:t xml:space="preserve">A11. </w:t>
      </w:r>
      <w:r w:rsidRPr="002568E6" w:rsidR="00BE0B08">
        <w:rPr>
          <w:szCs w:val="24"/>
        </w:rPr>
        <w:t>Justification for any questions of a sensitive nature.</w:t>
      </w:r>
      <w:bookmarkEnd w:id="22"/>
      <w:bookmarkEnd w:id="23"/>
      <w:r w:rsidRPr="002568E6" w:rsidR="00BE0B08">
        <w:rPr>
          <w:szCs w:val="24"/>
        </w:rPr>
        <w:t xml:space="preserve">  </w:t>
      </w:r>
      <w:r w:rsidRPr="002568E6" w:rsidR="005A3F80">
        <w:rPr>
          <w:szCs w:val="24"/>
        </w:rPr>
        <w:t xml:space="preserve">  </w:t>
      </w:r>
    </w:p>
    <w:p w:rsidRPr="002568E6" w:rsidR="003333DF" w:rsidP="00BE0B08" w:rsidRDefault="003333DF" w14:paraId="2777A80C" w14:textId="77777777">
      <w:pPr>
        <w:tabs>
          <w:tab w:val="left" w:pos="0"/>
        </w:tabs>
        <w:suppressAutoHyphens/>
        <w:rPr>
          <w:rFonts w:ascii="Times New Roman" w:hAnsi="Times New Roman"/>
          <w:szCs w:val="24"/>
        </w:rPr>
      </w:pPr>
    </w:p>
    <w:p w:rsidRPr="002568E6" w:rsidR="003333DF" w:rsidP="00BE0B08" w:rsidRDefault="003333DF" w14:paraId="3476A7E8" w14:textId="3E1F38AD">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w:t>
      </w:r>
      <w:r w:rsidR="00A35478">
        <w:rPr>
          <w:rFonts w:ascii="Times New Roman" w:hAnsi="Times New Roman"/>
          <w:b/>
          <w:szCs w:val="24"/>
        </w:rPr>
        <w:t>re commonly considered private.</w:t>
      </w:r>
      <w:r w:rsidRPr="002568E6">
        <w:rPr>
          <w:rFonts w:ascii="Times New Roman" w:hAnsi="Times New Roman"/>
          <w:b/>
          <w:szCs w:val="24"/>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47143710" w14:textId="77777777">
      <w:pPr>
        <w:tabs>
          <w:tab w:val="left" w:pos="-720"/>
        </w:tabs>
        <w:suppressAutoHyphens/>
        <w:rPr>
          <w:rFonts w:ascii="Times New Roman" w:hAnsi="Times New Roman"/>
          <w:szCs w:val="24"/>
        </w:rPr>
      </w:pPr>
    </w:p>
    <w:p w:rsidRPr="00A614E2" w:rsidR="00F9659F" w:rsidP="00F9659F" w:rsidRDefault="00A35478" w14:paraId="1976B32E" w14:textId="4940D0B0">
      <w:pPr>
        <w:widowControl/>
        <w:overflowPunct/>
        <w:spacing w:line="480" w:lineRule="auto"/>
        <w:textAlignment w:val="auto"/>
        <w:rPr>
          <w:rFonts w:ascii="Times New Roman" w:hAnsi="Times New Roman"/>
          <w:szCs w:val="24"/>
        </w:rPr>
      </w:pPr>
      <w:r w:rsidRPr="00A35478">
        <w:rPr>
          <w:rFonts w:ascii="Times New Roman" w:hAnsi="Times New Roman"/>
          <w:szCs w:val="24"/>
        </w:rPr>
        <w:t xml:space="preserve">This information collection does </w:t>
      </w:r>
      <w:r w:rsidR="00F9659F">
        <w:rPr>
          <w:rFonts w:ascii="Times New Roman" w:hAnsi="Times New Roman"/>
          <w:szCs w:val="24"/>
        </w:rPr>
        <w:t>disclose</w:t>
      </w:r>
      <w:r w:rsidRPr="00A35478">
        <w:rPr>
          <w:rFonts w:ascii="Times New Roman" w:hAnsi="Times New Roman"/>
          <w:szCs w:val="24"/>
        </w:rPr>
        <w:t xml:space="preserve"> sensitive nature</w:t>
      </w:r>
      <w:r w:rsidR="00F9659F">
        <w:rPr>
          <w:rFonts w:ascii="Times New Roman" w:hAnsi="Times New Roman"/>
          <w:szCs w:val="24"/>
        </w:rPr>
        <w:t xml:space="preserve"> to</w:t>
      </w:r>
      <w:r w:rsidR="00D71EDC">
        <w:rPr>
          <w:rFonts w:ascii="Times New Roman" w:hAnsi="Times New Roman"/>
          <w:szCs w:val="24"/>
        </w:rPr>
        <w:t xml:space="preserve"> a</w:t>
      </w:r>
      <w:r w:rsidR="00F9659F">
        <w:rPr>
          <w:rFonts w:ascii="Times New Roman" w:hAnsi="Times New Roman"/>
          <w:szCs w:val="24"/>
        </w:rPr>
        <w:t xml:space="preserve"> third party such as </w:t>
      </w:r>
      <w:r w:rsidRPr="00A614E2" w:rsidR="00F9659F">
        <w:rPr>
          <w:rFonts w:ascii="Times New Roman" w:hAnsi="Times New Roman"/>
          <w:szCs w:val="24"/>
        </w:rPr>
        <w:t>the program analyst conducting this investigation, except as otherwise required by law.</w:t>
      </w:r>
      <w:r w:rsidR="00D71EDC">
        <w:rPr>
          <w:rFonts w:ascii="Times New Roman" w:hAnsi="Times New Roman"/>
          <w:szCs w:val="24"/>
        </w:rPr>
        <w:t xml:space="preserve"> </w:t>
      </w:r>
      <w:r w:rsidRPr="00BC5F7E" w:rsidR="00D71EDC">
        <w:rPr>
          <w:rFonts w:ascii="Times New Roman" w:hAnsi="Times New Roman"/>
          <w:szCs w:val="24"/>
        </w:rPr>
        <w:t>State agencies refer delinquent debtors for SNAP benefit over-issuance to another Federal government entity as third-party disclosure reporting to U.S. Department of the Treasury for collection. The Debt Collection Improvement Act of 1996, 31 U.S.C. 3711 requires these debts to be referred to Treasury for collection when they are 180 days or more delinquent. Through the Treasury Offset Program (TOP), 31 CFR Part 285, payments such as Federal income tax refunds, Federal salaries and other Federal payments payable to these delinquent debtors will be offset and the amount applied to the delinquent debt.</w:t>
      </w:r>
    </w:p>
    <w:p w:rsidR="00F9659F" w:rsidP="00F9659F" w:rsidRDefault="00F9659F" w14:paraId="544A8F91" w14:textId="3B997751">
      <w:pPr>
        <w:widowControl/>
        <w:spacing w:line="480" w:lineRule="auto"/>
        <w:rPr>
          <w:rFonts w:ascii="Times New Roman" w:hAnsi="Times New Roman"/>
          <w:szCs w:val="24"/>
        </w:rPr>
      </w:pPr>
      <w:r w:rsidRPr="00A614E2">
        <w:rPr>
          <w:rFonts w:ascii="Times New Roman" w:hAnsi="Times New Roman"/>
          <w:szCs w:val="24"/>
        </w:rPr>
        <w:t>The personally identifying information that appears in the notice of delinquency is collected by State agency forms that include these requirements. These forms are included under OMB burden numb</w:t>
      </w:r>
      <w:r>
        <w:rPr>
          <w:rFonts w:ascii="Times New Roman" w:hAnsi="Times New Roman"/>
          <w:szCs w:val="24"/>
        </w:rPr>
        <w:t>er 0584-0064, expiration date 02/29/2024</w:t>
      </w:r>
      <w:r w:rsidRPr="00A614E2">
        <w:rPr>
          <w:rFonts w:ascii="Times New Roman" w:hAnsi="Times New Roman"/>
          <w:szCs w:val="24"/>
        </w:rPr>
        <w:t>.</w:t>
      </w:r>
    </w:p>
    <w:p w:rsidRPr="002568E6" w:rsidR="000438E8" w:rsidP="0062567E" w:rsidRDefault="000438E8" w14:paraId="30686057" w14:textId="77777777">
      <w:pPr>
        <w:pStyle w:val="Heading1"/>
        <w:rPr>
          <w:szCs w:val="24"/>
        </w:rPr>
      </w:pPr>
      <w:bookmarkStart w:name="_Toc401831368" w:id="24"/>
      <w:bookmarkStart w:name="_Toc401832412" w:id="25"/>
      <w:r w:rsidRPr="002568E6">
        <w:rPr>
          <w:szCs w:val="24"/>
        </w:rPr>
        <w:t>A12.  Estimates of the hour burden of the collection of information.</w:t>
      </w:r>
      <w:bookmarkEnd w:id="24"/>
      <w:bookmarkEnd w:id="25"/>
      <w:r w:rsidRPr="002568E6">
        <w:rPr>
          <w:szCs w:val="24"/>
        </w:rPr>
        <w:t xml:space="preserve">  </w:t>
      </w:r>
    </w:p>
    <w:p w:rsidRPr="002568E6" w:rsidR="003333DF" w:rsidP="000438E8" w:rsidRDefault="003333DF" w14:paraId="2F44BA28" w14:textId="77777777">
      <w:pPr>
        <w:tabs>
          <w:tab w:val="left" w:pos="0"/>
        </w:tabs>
        <w:suppressAutoHyphens/>
        <w:rPr>
          <w:rFonts w:ascii="Times New Roman" w:hAnsi="Times New Roman"/>
          <w:b/>
          <w:szCs w:val="24"/>
        </w:rPr>
      </w:pPr>
    </w:p>
    <w:p w:rsidRPr="002568E6" w:rsidR="003333DF" w:rsidP="000438E8" w:rsidRDefault="003333DF" w14:paraId="7AA64E1E"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0D6ECF" w:rsidP="005F4934" w:rsidRDefault="000D6ECF" w14:paraId="10FAF994" w14:textId="77777777">
      <w:pPr>
        <w:widowControl/>
        <w:overflowPunct/>
        <w:spacing w:line="480" w:lineRule="auto"/>
        <w:textAlignment w:val="auto"/>
        <w:rPr>
          <w:rFonts w:ascii="Times New Roman" w:hAnsi="Times New Roman"/>
          <w:szCs w:val="24"/>
        </w:rPr>
      </w:pPr>
    </w:p>
    <w:p w:rsidRPr="002568E6" w:rsidR="000D6ECF" w:rsidP="000D6ECF" w:rsidRDefault="000D6ECF" w14:paraId="33646F65"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w:t>
      </w:r>
      <w:r>
        <w:rPr>
          <w:rFonts w:ascii="Times New Roman" w:hAnsi="Times New Roman"/>
          <w:b/>
          <w:szCs w:val="24"/>
        </w:rPr>
        <w:t>f how the burden was estimated.</w:t>
      </w:r>
      <w:r w:rsidRPr="002568E6">
        <w:rPr>
          <w:rFonts w:ascii="Times New Roman" w:hAnsi="Times New Roman"/>
          <w:b/>
          <w:szCs w:val="24"/>
        </w:rPr>
        <w:t xml:space="preserve"> If this request for approval covers more than one form, provide separate hour burden estimates for each form and aggregate the hour burdens in Item 13 of OMB Form 83-I.</w:t>
      </w:r>
    </w:p>
    <w:p w:rsidR="000D6ECF" w:rsidP="005F4934" w:rsidRDefault="000D6ECF" w14:paraId="64A8F4D8" w14:textId="77777777">
      <w:pPr>
        <w:widowControl/>
        <w:overflowPunct/>
        <w:spacing w:line="480" w:lineRule="auto"/>
        <w:textAlignment w:val="auto"/>
        <w:rPr>
          <w:rFonts w:ascii="Times New Roman" w:hAnsi="Times New Roman"/>
          <w:szCs w:val="24"/>
        </w:rPr>
      </w:pPr>
    </w:p>
    <w:p w:rsidRPr="00D62A22" w:rsidR="000D6ECF" w:rsidP="000D6ECF" w:rsidRDefault="000D6ECF" w14:paraId="4B3A24A7" w14:textId="77777777">
      <w:pPr>
        <w:tabs>
          <w:tab w:val="left" w:pos="-720"/>
        </w:tabs>
        <w:suppressAutoHyphens/>
        <w:spacing w:line="480" w:lineRule="auto"/>
        <w:rPr>
          <w:rFonts w:ascii="Times New Roman" w:hAnsi="Times New Roman"/>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0D6ECF" w:rsidP="005F4934" w:rsidRDefault="000D6ECF" w14:paraId="6A9398FB" w14:textId="77777777">
      <w:pPr>
        <w:widowControl/>
        <w:overflowPunct/>
        <w:spacing w:line="480" w:lineRule="auto"/>
        <w:textAlignment w:val="auto"/>
        <w:rPr>
          <w:rFonts w:ascii="Times New Roman" w:hAnsi="Times New Roman"/>
          <w:szCs w:val="24"/>
        </w:rPr>
      </w:pPr>
    </w:p>
    <w:p w:rsidRPr="000D6ECF" w:rsidR="005F4934" w:rsidP="000D6ECF" w:rsidRDefault="005F4934" w14:paraId="7CA6B62B" w14:textId="6C5D44DA">
      <w:pPr>
        <w:widowControl/>
        <w:overflowPunct/>
        <w:spacing w:line="480" w:lineRule="auto"/>
        <w:textAlignment w:val="auto"/>
        <w:rPr>
          <w:rFonts w:ascii="Times New Roman" w:hAnsi="Times New Roman"/>
          <w:szCs w:val="24"/>
        </w:rPr>
      </w:pPr>
      <w:r w:rsidRPr="005F4934">
        <w:rPr>
          <w:rFonts w:ascii="Times New Roman" w:hAnsi="Times New Roman"/>
          <w:szCs w:val="24"/>
        </w:rPr>
        <w:t>We are basing our estimate on an average of the number of records for claims the States sent as third party disclosure</w:t>
      </w:r>
      <w:r>
        <w:rPr>
          <w:rFonts w:ascii="Times New Roman" w:hAnsi="Times New Roman"/>
          <w:szCs w:val="24"/>
        </w:rPr>
        <w:t xml:space="preserve"> to TOP for calendar years 2018, 2019, and 2020</w:t>
      </w:r>
      <w:r w:rsidRPr="005F4934">
        <w:rPr>
          <w:rFonts w:ascii="Times New Roman" w:hAnsi="Times New Roman"/>
          <w:szCs w:val="24"/>
        </w:rPr>
        <w:t xml:space="preserve">. The total burden for this collection is </w:t>
      </w:r>
      <w:r w:rsidR="00B420AA">
        <w:rPr>
          <w:rFonts w:ascii="Times New Roman" w:hAnsi="Times New Roman"/>
          <w:szCs w:val="24"/>
        </w:rPr>
        <w:t>48,788.64</w:t>
      </w:r>
      <w:r w:rsidRPr="005F4934">
        <w:rPr>
          <w:rFonts w:ascii="Times New Roman" w:hAnsi="Times New Roman"/>
          <w:szCs w:val="24"/>
        </w:rPr>
        <w:t xml:space="preserve"> (SA Reporting </w:t>
      </w:r>
      <w:r w:rsidR="009D7DF9">
        <w:rPr>
          <w:rFonts w:ascii="Times New Roman" w:hAnsi="Times New Roman"/>
          <w:szCs w:val="24"/>
        </w:rPr>
        <w:t>9,332.39</w:t>
      </w:r>
      <w:r w:rsidR="00A9392B">
        <w:rPr>
          <w:rFonts w:ascii="Times New Roman" w:hAnsi="Times New Roman"/>
          <w:szCs w:val="24"/>
        </w:rPr>
        <w:t xml:space="preserve"> </w:t>
      </w:r>
      <w:r w:rsidR="00B420AA">
        <w:rPr>
          <w:rFonts w:ascii="Times New Roman" w:hAnsi="Times New Roman"/>
          <w:szCs w:val="24"/>
        </w:rPr>
        <w:t>+</w:t>
      </w:r>
      <w:r w:rsidR="00A9392B">
        <w:rPr>
          <w:rFonts w:ascii="Times New Roman" w:hAnsi="Times New Roman"/>
          <w:szCs w:val="24"/>
        </w:rPr>
        <w:t xml:space="preserve"> </w:t>
      </w:r>
      <w:r w:rsidR="00B420AA">
        <w:rPr>
          <w:rFonts w:ascii="Times New Roman" w:hAnsi="Times New Roman"/>
          <w:szCs w:val="24"/>
        </w:rPr>
        <w:t>SA Recordkeeping 689</w:t>
      </w:r>
      <w:r w:rsidR="00A9392B">
        <w:rPr>
          <w:rFonts w:ascii="Times New Roman" w:hAnsi="Times New Roman"/>
          <w:szCs w:val="24"/>
        </w:rPr>
        <w:t xml:space="preserve"> </w:t>
      </w:r>
      <w:r w:rsidRPr="005F4934">
        <w:rPr>
          <w:rFonts w:ascii="Times New Roman" w:hAnsi="Times New Roman"/>
          <w:szCs w:val="24"/>
        </w:rPr>
        <w:t>+</w:t>
      </w:r>
      <w:r w:rsidR="00A9392B">
        <w:rPr>
          <w:rFonts w:ascii="Times New Roman" w:hAnsi="Times New Roman"/>
          <w:szCs w:val="24"/>
        </w:rPr>
        <w:t xml:space="preserve"> </w:t>
      </w:r>
      <w:r w:rsidRPr="005F4934">
        <w:rPr>
          <w:rFonts w:ascii="Times New Roman" w:hAnsi="Times New Roman"/>
          <w:szCs w:val="24"/>
        </w:rPr>
        <w:t xml:space="preserve">Individual/Households </w:t>
      </w:r>
      <w:r w:rsidR="00B420AA">
        <w:rPr>
          <w:rFonts w:ascii="Times New Roman" w:hAnsi="Times New Roman"/>
          <w:szCs w:val="24"/>
        </w:rPr>
        <w:t>26,392.43</w:t>
      </w:r>
      <w:r w:rsidR="00A9392B">
        <w:rPr>
          <w:rFonts w:ascii="Times New Roman" w:hAnsi="Times New Roman"/>
          <w:szCs w:val="24"/>
        </w:rPr>
        <w:t xml:space="preserve"> </w:t>
      </w:r>
      <w:r w:rsidR="009D7DF9">
        <w:rPr>
          <w:rFonts w:ascii="Times New Roman" w:hAnsi="Times New Roman"/>
          <w:szCs w:val="24"/>
        </w:rPr>
        <w:t>+</w:t>
      </w:r>
      <w:r w:rsidR="00A9392B">
        <w:rPr>
          <w:rFonts w:ascii="Times New Roman" w:hAnsi="Times New Roman"/>
          <w:szCs w:val="24"/>
        </w:rPr>
        <w:t xml:space="preserve"> </w:t>
      </w:r>
      <w:r w:rsidR="009D7DF9">
        <w:rPr>
          <w:rFonts w:ascii="Times New Roman" w:hAnsi="Times New Roman"/>
          <w:szCs w:val="24"/>
        </w:rPr>
        <w:t>third party reporting 12,374.82</w:t>
      </w:r>
      <w:r w:rsidR="00A9392B">
        <w:rPr>
          <w:rFonts w:ascii="Times New Roman" w:hAnsi="Times New Roman"/>
          <w:szCs w:val="24"/>
        </w:rPr>
        <w:t xml:space="preserve"> </w:t>
      </w:r>
      <w:r w:rsidR="00B420AA">
        <w:rPr>
          <w:rFonts w:ascii="Times New Roman" w:hAnsi="Times New Roman"/>
          <w:szCs w:val="24"/>
        </w:rPr>
        <w:t>=</w:t>
      </w:r>
      <w:r w:rsidR="00A9392B">
        <w:rPr>
          <w:rFonts w:ascii="Times New Roman" w:hAnsi="Times New Roman"/>
          <w:szCs w:val="24"/>
        </w:rPr>
        <w:t xml:space="preserve"> </w:t>
      </w:r>
      <w:r w:rsidR="00B420AA">
        <w:rPr>
          <w:rFonts w:ascii="Times New Roman" w:hAnsi="Times New Roman"/>
          <w:szCs w:val="24"/>
        </w:rPr>
        <w:t>48,788.64</w:t>
      </w:r>
      <w:r w:rsidRPr="005F4934">
        <w:rPr>
          <w:rFonts w:ascii="Times New Roman" w:hAnsi="Times New Roman"/>
          <w:szCs w:val="24"/>
        </w:rPr>
        <w:t xml:space="preserve">) (The total number of affected public is </w:t>
      </w:r>
      <w:r w:rsidR="00B420AA">
        <w:rPr>
          <w:rFonts w:ascii="Times New Roman" w:hAnsi="Times New Roman"/>
          <w:szCs w:val="24"/>
        </w:rPr>
        <w:t>272,214</w:t>
      </w:r>
      <w:r w:rsidRPr="005F4934">
        <w:rPr>
          <w:rFonts w:ascii="Times New Roman" w:hAnsi="Times New Roman"/>
          <w:szCs w:val="24"/>
        </w:rPr>
        <w:t xml:space="preserve"> (Individual/Households </w:t>
      </w:r>
      <w:r w:rsidR="00B420AA">
        <w:rPr>
          <w:rFonts w:ascii="Times New Roman" w:hAnsi="Times New Roman"/>
          <w:szCs w:val="24"/>
        </w:rPr>
        <w:t xml:space="preserve">272,161+ State Agency 53). </w:t>
      </w:r>
      <w:r w:rsidRPr="005F4934">
        <w:rPr>
          <w:rFonts w:ascii="Times New Roman" w:hAnsi="Times New Roman"/>
          <w:szCs w:val="24"/>
        </w:rPr>
        <w:t>In man</w:t>
      </w:r>
      <w:r w:rsidR="00B420AA">
        <w:rPr>
          <w:rFonts w:ascii="Times New Roman" w:hAnsi="Times New Roman"/>
          <w:szCs w:val="24"/>
        </w:rPr>
        <w:t>y instances, each of the 272,161</w:t>
      </w:r>
      <w:r w:rsidRPr="005F4934">
        <w:rPr>
          <w:rFonts w:ascii="Times New Roman" w:hAnsi="Times New Roman"/>
          <w:szCs w:val="24"/>
        </w:rPr>
        <w:t xml:space="preserve"> individuals/households may be contacted more than 1 time; however, these unique number of respondents are only counted once in th</w:t>
      </w:r>
      <w:r>
        <w:rPr>
          <w:rFonts w:ascii="Times New Roman" w:hAnsi="Times New Roman"/>
          <w:szCs w:val="24"/>
        </w:rPr>
        <w:t xml:space="preserve">e total number of respondents. </w:t>
      </w:r>
      <w:r w:rsidRPr="005F4934">
        <w:rPr>
          <w:rFonts w:ascii="Times New Roman" w:hAnsi="Times New Roman"/>
          <w:szCs w:val="24"/>
        </w:rPr>
        <w:t>The total burden for each group and their activities are broken down below.</w:t>
      </w:r>
    </w:p>
    <w:p w:rsidRPr="002568E6" w:rsidR="00ED28F2" w:rsidP="00ED28F2" w:rsidRDefault="00ED28F2" w14:paraId="03754AE3" w14:textId="77777777">
      <w:pPr>
        <w:tabs>
          <w:tab w:val="left" w:pos="-720"/>
        </w:tabs>
        <w:suppressAutoHyphens/>
        <w:rPr>
          <w:rFonts w:ascii="Times New Roman" w:hAnsi="Times New Roman"/>
          <w:szCs w:val="24"/>
        </w:rPr>
      </w:pPr>
    </w:p>
    <w:p w:rsidR="00D62A22" w:rsidP="00D62A22" w:rsidRDefault="00D62A22" w14:paraId="21825496" w14:textId="2300AAF6">
      <w:pPr>
        <w:tabs>
          <w:tab w:val="left" w:pos="-720"/>
        </w:tabs>
        <w:suppressAutoHyphens/>
        <w:spacing w:line="480" w:lineRule="auto"/>
        <w:rPr>
          <w:rFonts w:ascii="Times New Roman" w:hAnsi="Times New Roman"/>
          <w:szCs w:val="24"/>
        </w:rPr>
      </w:pPr>
      <w:r w:rsidRPr="00D62A22">
        <w:rPr>
          <w:rFonts w:ascii="Times New Roman" w:hAnsi="Times New Roman"/>
          <w:szCs w:val="24"/>
        </w:rPr>
        <w:t>Based on an average</w:t>
      </w:r>
      <w:r>
        <w:rPr>
          <w:rFonts w:ascii="Times New Roman" w:hAnsi="Times New Roman"/>
          <w:szCs w:val="24"/>
        </w:rPr>
        <w:t xml:space="preserve"> </w:t>
      </w:r>
      <w:r w:rsidRPr="00D62A22">
        <w:rPr>
          <w:rFonts w:ascii="Times New Roman" w:hAnsi="Times New Roman"/>
          <w:szCs w:val="24"/>
        </w:rPr>
        <w:t>of the number of records for claims the</w:t>
      </w:r>
      <w:r>
        <w:rPr>
          <w:rFonts w:ascii="Times New Roman" w:hAnsi="Times New Roman"/>
          <w:szCs w:val="24"/>
        </w:rPr>
        <w:t xml:space="preserve"> </w:t>
      </w:r>
      <w:r w:rsidRPr="00D62A22">
        <w:rPr>
          <w:rFonts w:ascii="Times New Roman" w:hAnsi="Times New Roman"/>
          <w:szCs w:val="24"/>
        </w:rPr>
        <w:t>States sent to TOP for calendar years</w:t>
      </w:r>
      <w:r>
        <w:rPr>
          <w:rFonts w:ascii="Times New Roman" w:hAnsi="Times New Roman"/>
          <w:szCs w:val="24"/>
        </w:rPr>
        <w:t xml:space="preserve"> </w:t>
      </w:r>
      <w:r w:rsidRPr="00D62A22">
        <w:rPr>
          <w:rFonts w:ascii="Times New Roman" w:hAnsi="Times New Roman"/>
          <w:szCs w:val="24"/>
        </w:rPr>
        <w:t>2018, 2019, and 2020, we estimate that</w:t>
      </w:r>
      <w:r>
        <w:rPr>
          <w:rFonts w:ascii="Times New Roman" w:hAnsi="Times New Roman"/>
          <w:szCs w:val="24"/>
        </w:rPr>
        <w:t xml:space="preserve"> </w:t>
      </w:r>
      <w:r w:rsidRPr="00D62A22">
        <w:rPr>
          <w:rFonts w:ascii="Times New Roman" w:hAnsi="Times New Roman"/>
          <w:szCs w:val="24"/>
        </w:rPr>
        <w:t>State agencies will produce and send,</w:t>
      </w:r>
      <w:r>
        <w:rPr>
          <w:rFonts w:ascii="Times New Roman" w:hAnsi="Times New Roman"/>
          <w:szCs w:val="24"/>
        </w:rPr>
        <w:t xml:space="preserve"> </w:t>
      </w:r>
      <w:r w:rsidRPr="00D62A22">
        <w:rPr>
          <w:rFonts w:ascii="Times New Roman" w:hAnsi="Times New Roman"/>
          <w:szCs w:val="24"/>
        </w:rPr>
        <w:t>and that households will read, 249,953</w:t>
      </w:r>
      <w:r>
        <w:rPr>
          <w:rFonts w:ascii="Times New Roman" w:hAnsi="Times New Roman"/>
          <w:szCs w:val="24"/>
        </w:rPr>
        <w:t xml:space="preserve"> </w:t>
      </w:r>
      <w:r w:rsidRPr="00D62A22">
        <w:rPr>
          <w:rFonts w:ascii="Times New Roman" w:hAnsi="Times New Roman"/>
          <w:szCs w:val="24"/>
        </w:rPr>
        <w:t>TOP 60-day notices. We estimate that</w:t>
      </w:r>
      <w:r>
        <w:rPr>
          <w:rFonts w:ascii="Times New Roman" w:hAnsi="Times New Roman"/>
          <w:szCs w:val="24"/>
        </w:rPr>
        <w:t xml:space="preserve"> </w:t>
      </w:r>
      <w:r w:rsidRPr="00D62A22">
        <w:rPr>
          <w:rFonts w:ascii="Times New Roman" w:hAnsi="Times New Roman"/>
          <w:szCs w:val="24"/>
        </w:rPr>
        <w:t>the households will submit and State</w:t>
      </w:r>
      <w:r>
        <w:rPr>
          <w:rFonts w:ascii="Times New Roman" w:hAnsi="Times New Roman"/>
          <w:szCs w:val="24"/>
        </w:rPr>
        <w:t xml:space="preserve"> </w:t>
      </w:r>
      <w:r w:rsidRPr="00D62A22">
        <w:rPr>
          <w:rFonts w:ascii="Times New Roman" w:hAnsi="Times New Roman"/>
          <w:szCs w:val="24"/>
        </w:rPr>
        <w:t>agencies will respond to about 17,497</w:t>
      </w:r>
      <w:r>
        <w:rPr>
          <w:rFonts w:ascii="Times New Roman" w:hAnsi="Times New Roman"/>
          <w:szCs w:val="24"/>
        </w:rPr>
        <w:t xml:space="preserve"> </w:t>
      </w:r>
      <w:r w:rsidRPr="00D62A22">
        <w:rPr>
          <w:rFonts w:ascii="Times New Roman" w:hAnsi="Times New Roman"/>
          <w:szCs w:val="24"/>
        </w:rPr>
        <w:t>phone and informal inquiries.</w:t>
      </w:r>
      <w:r>
        <w:rPr>
          <w:rFonts w:ascii="Times New Roman" w:hAnsi="Times New Roman"/>
          <w:szCs w:val="24"/>
        </w:rPr>
        <w:t xml:space="preserve"> </w:t>
      </w:r>
      <w:r w:rsidRPr="00D62A22">
        <w:rPr>
          <w:rFonts w:ascii="Times New Roman" w:hAnsi="Times New Roman"/>
          <w:szCs w:val="24"/>
        </w:rPr>
        <w:t>Households will file and the States will</w:t>
      </w:r>
      <w:r>
        <w:rPr>
          <w:rFonts w:ascii="Times New Roman" w:hAnsi="Times New Roman"/>
          <w:szCs w:val="24"/>
        </w:rPr>
        <w:t xml:space="preserve"> </w:t>
      </w:r>
      <w:r w:rsidRPr="00D62A22">
        <w:rPr>
          <w:rFonts w:ascii="Times New Roman" w:hAnsi="Times New Roman"/>
          <w:szCs w:val="24"/>
        </w:rPr>
        <w:t>respond to an estimated 1,499 appeals.</w:t>
      </w:r>
      <w:r>
        <w:rPr>
          <w:rFonts w:ascii="Times New Roman" w:hAnsi="Times New Roman"/>
          <w:szCs w:val="24"/>
        </w:rPr>
        <w:t xml:space="preserve"> </w:t>
      </w:r>
      <w:r w:rsidRPr="00D62A22">
        <w:rPr>
          <w:rFonts w:ascii="Times New Roman" w:hAnsi="Times New Roman"/>
          <w:szCs w:val="24"/>
        </w:rPr>
        <w:t>An additional 2,458 notices will be sent</w:t>
      </w:r>
      <w:r>
        <w:rPr>
          <w:rFonts w:ascii="Times New Roman" w:hAnsi="Times New Roman"/>
          <w:szCs w:val="24"/>
        </w:rPr>
        <w:t xml:space="preserve"> </w:t>
      </w:r>
      <w:r w:rsidRPr="00D62A22">
        <w:rPr>
          <w:rFonts w:ascii="Times New Roman" w:hAnsi="Times New Roman"/>
          <w:szCs w:val="24"/>
        </w:rPr>
        <w:t>directly from FNS to Federal employees</w:t>
      </w:r>
      <w:r>
        <w:rPr>
          <w:rFonts w:ascii="Times New Roman" w:hAnsi="Times New Roman"/>
          <w:szCs w:val="24"/>
        </w:rPr>
        <w:t xml:space="preserve"> </w:t>
      </w:r>
      <w:r w:rsidRPr="00D62A22">
        <w:rPr>
          <w:rFonts w:ascii="Times New Roman" w:hAnsi="Times New Roman"/>
          <w:szCs w:val="24"/>
        </w:rPr>
        <w:t>concerning the potential offset of their</w:t>
      </w:r>
      <w:r>
        <w:rPr>
          <w:rFonts w:ascii="Times New Roman" w:hAnsi="Times New Roman"/>
          <w:szCs w:val="24"/>
        </w:rPr>
        <w:t xml:space="preserve"> Federal </w:t>
      </w:r>
      <w:r w:rsidRPr="00D62A22">
        <w:rPr>
          <w:rFonts w:ascii="Times New Roman" w:hAnsi="Times New Roman"/>
          <w:szCs w:val="24"/>
        </w:rPr>
        <w:t>salary. Historically, 30 percent</w:t>
      </w:r>
      <w:r>
        <w:rPr>
          <w:rFonts w:ascii="Times New Roman" w:hAnsi="Times New Roman"/>
          <w:szCs w:val="24"/>
        </w:rPr>
        <w:t xml:space="preserve"> </w:t>
      </w:r>
      <w:r w:rsidRPr="00D62A22">
        <w:rPr>
          <w:rFonts w:ascii="Times New Roman" w:hAnsi="Times New Roman"/>
          <w:szCs w:val="24"/>
        </w:rPr>
        <w:t>of these notices</w:t>
      </w:r>
      <w:r>
        <w:rPr>
          <w:rFonts w:ascii="Times New Roman" w:hAnsi="Times New Roman"/>
          <w:szCs w:val="24"/>
        </w:rPr>
        <w:t>, 738,</w:t>
      </w:r>
      <w:r w:rsidRPr="00D62A22">
        <w:rPr>
          <w:rFonts w:ascii="Times New Roman" w:hAnsi="Times New Roman"/>
          <w:szCs w:val="24"/>
        </w:rPr>
        <w:t xml:space="preserve"> will result in a phone</w:t>
      </w:r>
      <w:r>
        <w:rPr>
          <w:rFonts w:ascii="Times New Roman" w:hAnsi="Times New Roman"/>
          <w:szCs w:val="24"/>
        </w:rPr>
        <w:t xml:space="preserve"> </w:t>
      </w:r>
      <w:r w:rsidRPr="00D62A22">
        <w:rPr>
          <w:rFonts w:ascii="Times New Roman" w:hAnsi="Times New Roman"/>
          <w:szCs w:val="24"/>
        </w:rPr>
        <w:t>inquiry from a household, and</w:t>
      </w:r>
      <w:r>
        <w:rPr>
          <w:rFonts w:ascii="Times New Roman" w:hAnsi="Times New Roman"/>
          <w:szCs w:val="24"/>
        </w:rPr>
        <w:t xml:space="preserve"> </w:t>
      </w:r>
      <w:r w:rsidRPr="00D62A22">
        <w:rPr>
          <w:rFonts w:ascii="Times New Roman" w:hAnsi="Times New Roman"/>
          <w:szCs w:val="24"/>
        </w:rPr>
        <w:t>approximately 16 notices will result in</w:t>
      </w:r>
      <w:r>
        <w:rPr>
          <w:rFonts w:ascii="Times New Roman" w:hAnsi="Times New Roman"/>
          <w:szCs w:val="24"/>
        </w:rPr>
        <w:t xml:space="preserve"> </w:t>
      </w:r>
      <w:r w:rsidRPr="00D62A22">
        <w:rPr>
          <w:rFonts w:ascii="Times New Roman" w:hAnsi="Times New Roman"/>
          <w:szCs w:val="24"/>
        </w:rPr>
        <w:t>a formal appeal to FNS requiring</w:t>
      </w:r>
      <w:r>
        <w:rPr>
          <w:rFonts w:ascii="Times New Roman" w:hAnsi="Times New Roman"/>
          <w:szCs w:val="24"/>
        </w:rPr>
        <w:t xml:space="preserve"> </w:t>
      </w:r>
      <w:r w:rsidRPr="00D62A22">
        <w:rPr>
          <w:rFonts w:ascii="Times New Roman" w:hAnsi="Times New Roman"/>
          <w:szCs w:val="24"/>
        </w:rPr>
        <w:lastRenderedPageBreak/>
        <w:t>documentation from the State. Thus, the</w:t>
      </w:r>
      <w:r>
        <w:rPr>
          <w:rFonts w:ascii="Times New Roman" w:hAnsi="Times New Roman"/>
          <w:szCs w:val="24"/>
        </w:rPr>
        <w:t xml:space="preserve"> </w:t>
      </w:r>
      <w:r w:rsidRPr="00D62A22">
        <w:rPr>
          <w:rFonts w:ascii="Times New Roman" w:hAnsi="Times New Roman"/>
          <w:szCs w:val="24"/>
        </w:rPr>
        <w:t>total number of responses for the 60-day</w:t>
      </w:r>
      <w:r>
        <w:rPr>
          <w:rFonts w:ascii="Times New Roman" w:hAnsi="Times New Roman"/>
          <w:szCs w:val="24"/>
        </w:rPr>
        <w:t xml:space="preserve"> </w:t>
      </w:r>
      <w:r w:rsidRPr="00D62A22">
        <w:rPr>
          <w:rFonts w:ascii="Times New Roman" w:hAnsi="Times New Roman"/>
          <w:szCs w:val="24"/>
        </w:rPr>
        <w:t>notice and household inquiry is 547,650</w:t>
      </w:r>
      <w:r>
        <w:rPr>
          <w:rFonts w:ascii="Times New Roman" w:hAnsi="Times New Roman"/>
          <w:szCs w:val="24"/>
        </w:rPr>
        <w:t xml:space="preserve"> </w:t>
      </w:r>
      <w:r w:rsidRPr="00D62A22">
        <w:rPr>
          <w:rFonts w:ascii="Times New Roman" w:hAnsi="Times New Roman"/>
          <w:szCs w:val="24"/>
        </w:rPr>
        <w:t>responses (272,161 household responses</w:t>
      </w:r>
      <w:r>
        <w:rPr>
          <w:rFonts w:ascii="Times New Roman" w:hAnsi="Times New Roman"/>
          <w:szCs w:val="24"/>
        </w:rPr>
        <w:t xml:space="preserve"> </w:t>
      </w:r>
      <w:r w:rsidRPr="00D62A22">
        <w:rPr>
          <w:rFonts w:ascii="Times New Roman" w:hAnsi="Times New Roman"/>
          <w:szCs w:val="24"/>
        </w:rPr>
        <w:t>+ 275,489 State Agency responses) per</w:t>
      </w:r>
      <w:r>
        <w:rPr>
          <w:rFonts w:ascii="Times New Roman" w:hAnsi="Times New Roman"/>
          <w:szCs w:val="24"/>
        </w:rPr>
        <w:t xml:space="preserve"> </w:t>
      </w:r>
      <w:r w:rsidRPr="00D62A22">
        <w:rPr>
          <w:rFonts w:ascii="Times New Roman" w:hAnsi="Times New Roman"/>
          <w:szCs w:val="24"/>
        </w:rPr>
        <w:t>year resulting in an annual reporting</w:t>
      </w:r>
      <w:r>
        <w:rPr>
          <w:rFonts w:ascii="Times New Roman" w:hAnsi="Times New Roman"/>
          <w:szCs w:val="24"/>
        </w:rPr>
        <w:t xml:space="preserve"> </w:t>
      </w:r>
      <w:r w:rsidRPr="00D62A22">
        <w:rPr>
          <w:rFonts w:ascii="Times New Roman" w:hAnsi="Times New Roman"/>
          <w:szCs w:val="24"/>
        </w:rPr>
        <w:t>burden of 48,099.64 hours. The existing</w:t>
      </w:r>
      <w:r>
        <w:rPr>
          <w:rFonts w:ascii="Times New Roman" w:hAnsi="Times New Roman"/>
          <w:szCs w:val="24"/>
        </w:rPr>
        <w:t xml:space="preserve"> </w:t>
      </w:r>
      <w:r w:rsidRPr="00D62A22">
        <w:rPr>
          <w:rFonts w:ascii="Times New Roman" w:hAnsi="Times New Roman"/>
          <w:szCs w:val="24"/>
        </w:rPr>
        <w:t>burden for activity relating to the 60-day</w:t>
      </w:r>
      <w:r>
        <w:rPr>
          <w:rFonts w:ascii="Times New Roman" w:hAnsi="Times New Roman"/>
          <w:szCs w:val="24"/>
        </w:rPr>
        <w:t xml:space="preserve"> </w:t>
      </w:r>
      <w:r w:rsidRPr="00D62A22">
        <w:rPr>
          <w:rFonts w:ascii="Times New Roman" w:hAnsi="Times New Roman"/>
          <w:szCs w:val="24"/>
        </w:rPr>
        <w:t>notice is 56,653 hours. The net decrease</w:t>
      </w:r>
      <w:r>
        <w:rPr>
          <w:rFonts w:ascii="Times New Roman" w:hAnsi="Times New Roman"/>
          <w:szCs w:val="24"/>
        </w:rPr>
        <w:t xml:space="preserve"> </w:t>
      </w:r>
      <w:r w:rsidRPr="00D62A22">
        <w:rPr>
          <w:rFonts w:ascii="Times New Roman" w:hAnsi="Times New Roman"/>
          <w:szCs w:val="24"/>
        </w:rPr>
        <w:t xml:space="preserve">of </w:t>
      </w:r>
      <w:r w:rsidR="00A9392B">
        <w:rPr>
          <w:rFonts w:ascii="Times New Roman" w:hAnsi="Times New Roman"/>
          <w:szCs w:val="24"/>
        </w:rPr>
        <w:t>-</w:t>
      </w:r>
      <w:r w:rsidRPr="00D62A22">
        <w:rPr>
          <w:rFonts w:ascii="Times New Roman" w:hAnsi="Times New Roman"/>
          <w:szCs w:val="24"/>
        </w:rPr>
        <w:t>8,553.36 hours is due to a decrease</w:t>
      </w:r>
      <w:r>
        <w:rPr>
          <w:rFonts w:ascii="Times New Roman" w:hAnsi="Times New Roman"/>
          <w:szCs w:val="24"/>
        </w:rPr>
        <w:t xml:space="preserve"> </w:t>
      </w:r>
      <w:r w:rsidRPr="00D62A22">
        <w:rPr>
          <w:rFonts w:ascii="Times New Roman" w:hAnsi="Times New Roman"/>
          <w:szCs w:val="24"/>
        </w:rPr>
        <w:t>in the average number of 60-day notices</w:t>
      </w:r>
      <w:r>
        <w:rPr>
          <w:rFonts w:ascii="Times New Roman" w:hAnsi="Times New Roman"/>
          <w:szCs w:val="24"/>
        </w:rPr>
        <w:t xml:space="preserve"> </w:t>
      </w:r>
      <w:r w:rsidRPr="00D62A22">
        <w:rPr>
          <w:rFonts w:ascii="Times New Roman" w:hAnsi="Times New Roman"/>
          <w:szCs w:val="24"/>
        </w:rPr>
        <w:t>sent to debtors by State agencies</w:t>
      </w:r>
      <w:r>
        <w:rPr>
          <w:rFonts w:ascii="Times New Roman" w:hAnsi="Times New Roman"/>
          <w:szCs w:val="24"/>
        </w:rPr>
        <w:t xml:space="preserve"> </w:t>
      </w:r>
      <w:r w:rsidRPr="00D62A22">
        <w:rPr>
          <w:rFonts w:ascii="Times New Roman" w:hAnsi="Times New Roman"/>
          <w:szCs w:val="24"/>
        </w:rPr>
        <w:t>between 2018 and 2020.</w:t>
      </w:r>
    </w:p>
    <w:p w:rsidR="00812103" w:rsidP="00D62A22" w:rsidRDefault="00812103" w14:paraId="37003E11" w14:textId="77777777">
      <w:pPr>
        <w:tabs>
          <w:tab w:val="left" w:pos="-720"/>
        </w:tabs>
        <w:suppressAutoHyphens/>
        <w:spacing w:line="480" w:lineRule="auto"/>
        <w:rPr>
          <w:rFonts w:ascii="Times New Roman" w:hAnsi="Times New Roman"/>
          <w:szCs w:val="24"/>
        </w:rPr>
      </w:pPr>
    </w:p>
    <w:p w:rsidR="00D62A22" w:rsidP="00D62A22" w:rsidRDefault="00D62A22" w14:paraId="1266A699" w14:textId="72CEA6A6">
      <w:pPr>
        <w:tabs>
          <w:tab w:val="left" w:pos="-720"/>
        </w:tabs>
        <w:suppressAutoHyphens/>
        <w:spacing w:line="480" w:lineRule="auto"/>
        <w:rPr>
          <w:rFonts w:ascii="Times New Roman" w:hAnsi="Times New Roman"/>
          <w:szCs w:val="24"/>
        </w:rPr>
      </w:pPr>
      <w:r w:rsidRPr="00D62A22">
        <w:rPr>
          <w:rFonts w:ascii="Times New Roman" w:hAnsi="Times New Roman"/>
          <w:szCs w:val="24"/>
        </w:rPr>
        <w:t>Treasury prescribes specific processes</w:t>
      </w:r>
      <w:r>
        <w:rPr>
          <w:rFonts w:ascii="Times New Roman" w:hAnsi="Times New Roman"/>
          <w:szCs w:val="24"/>
        </w:rPr>
        <w:t xml:space="preserve"> </w:t>
      </w:r>
      <w:r w:rsidRPr="00D62A22">
        <w:rPr>
          <w:rFonts w:ascii="Times New Roman" w:hAnsi="Times New Roman"/>
          <w:szCs w:val="24"/>
        </w:rPr>
        <w:t>and file formats for FNS to use to send</w:t>
      </w:r>
      <w:r>
        <w:rPr>
          <w:rFonts w:ascii="Times New Roman" w:hAnsi="Times New Roman"/>
          <w:szCs w:val="24"/>
        </w:rPr>
        <w:t xml:space="preserve"> </w:t>
      </w:r>
      <w:r w:rsidRPr="00D62A22">
        <w:rPr>
          <w:rFonts w:ascii="Times New Roman" w:hAnsi="Times New Roman"/>
          <w:szCs w:val="24"/>
        </w:rPr>
        <w:t>debts to TOP. FNS provides guidance</w:t>
      </w:r>
      <w:r>
        <w:rPr>
          <w:rFonts w:ascii="Times New Roman" w:hAnsi="Times New Roman"/>
          <w:szCs w:val="24"/>
        </w:rPr>
        <w:t xml:space="preserve"> </w:t>
      </w:r>
      <w:r w:rsidRPr="00D62A22">
        <w:rPr>
          <w:rFonts w:ascii="Times New Roman" w:hAnsi="Times New Roman"/>
          <w:szCs w:val="24"/>
        </w:rPr>
        <w:t>and file formats</w:t>
      </w:r>
      <w:r w:rsidR="00E53529">
        <w:rPr>
          <w:rFonts w:ascii="Times New Roman" w:hAnsi="Times New Roman"/>
          <w:szCs w:val="24"/>
        </w:rPr>
        <w:t xml:space="preserve"> (Appendix H)</w:t>
      </w:r>
      <w:r w:rsidRPr="00D62A22">
        <w:rPr>
          <w:rFonts w:ascii="Times New Roman" w:hAnsi="Times New Roman"/>
          <w:szCs w:val="24"/>
        </w:rPr>
        <w:t xml:space="preserve"> to State agencies and</w:t>
      </w:r>
      <w:r>
        <w:rPr>
          <w:rFonts w:ascii="Times New Roman" w:hAnsi="Times New Roman"/>
          <w:szCs w:val="24"/>
        </w:rPr>
        <w:t xml:space="preserve"> </w:t>
      </w:r>
      <w:r w:rsidRPr="00D62A22">
        <w:rPr>
          <w:rFonts w:ascii="Times New Roman" w:hAnsi="Times New Roman"/>
          <w:szCs w:val="24"/>
        </w:rPr>
        <w:t>monitors their compliance with such.</w:t>
      </w:r>
      <w:r>
        <w:rPr>
          <w:rFonts w:ascii="Times New Roman" w:hAnsi="Times New Roman"/>
          <w:szCs w:val="24"/>
        </w:rPr>
        <w:t xml:space="preserve"> </w:t>
      </w:r>
      <w:r w:rsidRPr="00D62A22">
        <w:rPr>
          <w:rFonts w:ascii="Times New Roman" w:hAnsi="Times New Roman"/>
          <w:szCs w:val="24"/>
        </w:rPr>
        <w:t>State agencies must submit an annual</w:t>
      </w:r>
      <w:r>
        <w:rPr>
          <w:rFonts w:ascii="Times New Roman" w:hAnsi="Times New Roman"/>
          <w:szCs w:val="24"/>
        </w:rPr>
        <w:t xml:space="preserve"> </w:t>
      </w:r>
      <w:r w:rsidRPr="00D62A22">
        <w:rPr>
          <w:rFonts w:ascii="Times New Roman" w:hAnsi="Times New Roman"/>
          <w:szCs w:val="24"/>
        </w:rPr>
        <w:t>letter to FNS</w:t>
      </w:r>
      <w:r w:rsidR="00933BEC">
        <w:rPr>
          <w:rFonts w:ascii="Times New Roman" w:hAnsi="Times New Roman"/>
          <w:szCs w:val="24"/>
        </w:rPr>
        <w:t xml:space="preserve"> (Appendix G)</w:t>
      </w:r>
      <w:r w:rsidRPr="00D62A22">
        <w:rPr>
          <w:rFonts w:ascii="Times New Roman" w:hAnsi="Times New Roman"/>
          <w:szCs w:val="24"/>
        </w:rPr>
        <w:t xml:space="preserve"> certifying that all of the</w:t>
      </w:r>
      <w:r>
        <w:rPr>
          <w:rFonts w:ascii="Times New Roman" w:hAnsi="Times New Roman"/>
          <w:szCs w:val="24"/>
        </w:rPr>
        <w:t xml:space="preserve"> </w:t>
      </w:r>
      <w:r w:rsidRPr="00D62A22">
        <w:rPr>
          <w:rFonts w:ascii="Times New Roman" w:hAnsi="Times New Roman"/>
          <w:szCs w:val="24"/>
        </w:rPr>
        <w:t>debts submitted in the past and all debts</w:t>
      </w:r>
      <w:r>
        <w:rPr>
          <w:rFonts w:ascii="Times New Roman" w:hAnsi="Times New Roman"/>
          <w:szCs w:val="24"/>
        </w:rPr>
        <w:t xml:space="preserve"> </w:t>
      </w:r>
      <w:r w:rsidRPr="00D62A22">
        <w:rPr>
          <w:rFonts w:ascii="Times New Roman" w:hAnsi="Times New Roman"/>
          <w:szCs w:val="24"/>
        </w:rPr>
        <w:t>to be submitted in the upcoming</w:t>
      </w:r>
      <w:r>
        <w:rPr>
          <w:rFonts w:ascii="Times New Roman" w:hAnsi="Times New Roman"/>
          <w:szCs w:val="24"/>
        </w:rPr>
        <w:t xml:space="preserve"> </w:t>
      </w:r>
      <w:r w:rsidRPr="00D62A22">
        <w:rPr>
          <w:rFonts w:ascii="Times New Roman" w:hAnsi="Times New Roman"/>
          <w:szCs w:val="24"/>
        </w:rPr>
        <w:t>calendar year by the State agency to</w:t>
      </w:r>
      <w:r>
        <w:rPr>
          <w:rFonts w:ascii="Times New Roman" w:hAnsi="Times New Roman"/>
          <w:szCs w:val="24"/>
        </w:rPr>
        <w:t xml:space="preserve"> TOP </w:t>
      </w:r>
      <w:r w:rsidRPr="00D62A22">
        <w:rPr>
          <w:rFonts w:ascii="Times New Roman" w:hAnsi="Times New Roman"/>
          <w:szCs w:val="24"/>
        </w:rPr>
        <w:t>are valid and legally enforceable in</w:t>
      </w:r>
      <w:r>
        <w:rPr>
          <w:rFonts w:ascii="Times New Roman" w:hAnsi="Times New Roman"/>
          <w:szCs w:val="24"/>
        </w:rPr>
        <w:t xml:space="preserve"> </w:t>
      </w:r>
      <w:r w:rsidRPr="00D62A22">
        <w:rPr>
          <w:rFonts w:ascii="Times New Roman" w:hAnsi="Times New Roman"/>
          <w:szCs w:val="24"/>
        </w:rPr>
        <w:t>the amount stated. FNS estimates that it</w:t>
      </w:r>
      <w:r>
        <w:rPr>
          <w:rFonts w:ascii="Times New Roman" w:hAnsi="Times New Roman"/>
          <w:szCs w:val="24"/>
        </w:rPr>
        <w:t xml:space="preserve"> </w:t>
      </w:r>
      <w:r w:rsidRPr="00D62A22">
        <w:rPr>
          <w:rFonts w:ascii="Times New Roman" w:hAnsi="Times New Roman"/>
          <w:szCs w:val="24"/>
        </w:rPr>
        <w:t>will take State agencies a total of 26.5</w:t>
      </w:r>
      <w:r>
        <w:rPr>
          <w:rFonts w:ascii="Times New Roman" w:hAnsi="Times New Roman"/>
          <w:szCs w:val="24"/>
        </w:rPr>
        <w:t xml:space="preserve"> </w:t>
      </w:r>
      <w:r w:rsidRPr="00D62A22">
        <w:rPr>
          <w:rFonts w:ascii="Times New Roman" w:hAnsi="Times New Roman"/>
          <w:szCs w:val="24"/>
        </w:rPr>
        <w:t>hours per year for these State</w:t>
      </w:r>
      <w:r>
        <w:rPr>
          <w:rFonts w:ascii="Times New Roman" w:hAnsi="Times New Roman"/>
          <w:szCs w:val="24"/>
        </w:rPr>
        <w:t xml:space="preserve"> </w:t>
      </w:r>
      <w:r w:rsidRPr="00D62A22">
        <w:rPr>
          <w:rFonts w:ascii="Times New Roman" w:hAnsi="Times New Roman"/>
          <w:szCs w:val="24"/>
        </w:rPr>
        <w:t>submissions. This burden has not</w:t>
      </w:r>
      <w:r>
        <w:rPr>
          <w:rFonts w:ascii="Times New Roman" w:hAnsi="Times New Roman"/>
          <w:szCs w:val="24"/>
        </w:rPr>
        <w:t xml:space="preserve"> </w:t>
      </w:r>
      <w:r w:rsidRPr="00D62A22">
        <w:rPr>
          <w:rFonts w:ascii="Times New Roman" w:hAnsi="Times New Roman"/>
          <w:szCs w:val="24"/>
        </w:rPr>
        <w:t>changed with this revision. The burden</w:t>
      </w:r>
      <w:r>
        <w:rPr>
          <w:rFonts w:ascii="Times New Roman" w:hAnsi="Times New Roman"/>
          <w:szCs w:val="24"/>
        </w:rPr>
        <w:t xml:space="preserve"> </w:t>
      </w:r>
      <w:r w:rsidRPr="00D62A22">
        <w:rPr>
          <w:rFonts w:ascii="Times New Roman" w:hAnsi="Times New Roman"/>
          <w:szCs w:val="24"/>
        </w:rPr>
        <w:t>requirements associated with</w:t>
      </w:r>
      <w:r>
        <w:rPr>
          <w:rFonts w:ascii="Times New Roman" w:hAnsi="Times New Roman"/>
          <w:szCs w:val="24"/>
        </w:rPr>
        <w:t xml:space="preserve"> </w:t>
      </w:r>
      <w:r w:rsidRPr="00D62A22">
        <w:rPr>
          <w:rFonts w:ascii="Times New Roman" w:hAnsi="Times New Roman"/>
          <w:szCs w:val="24"/>
        </w:rPr>
        <w:t>establishing claims (demand letters) and</w:t>
      </w:r>
      <w:r>
        <w:rPr>
          <w:rFonts w:ascii="Times New Roman" w:hAnsi="Times New Roman"/>
          <w:szCs w:val="24"/>
        </w:rPr>
        <w:t xml:space="preserve"> </w:t>
      </w:r>
      <w:r w:rsidRPr="00D62A22">
        <w:rPr>
          <w:rFonts w:ascii="Times New Roman" w:hAnsi="Times New Roman"/>
          <w:szCs w:val="24"/>
        </w:rPr>
        <w:t>for reporting activity with the FNS–209</w:t>
      </w:r>
      <w:r>
        <w:rPr>
          <w:rFonts w:ascii="Times New Roman" w:hAnsi="Times New Roman"/>
          <w:szCs w:val="24"/>
        </w:rPr>
        <w:t xml:space="preserve"> </w:t>
      </w:r>
      <w:r w:rsidRPr="00D62A22">
        <w:rPr>
          <w:rFonts w:ascii="Times New Roman" w:hAnsi="Times New Roman"/>
          <w:szCs w:val="24"/>
        </w:rPr>
        <w:t>(648 burden hours and 212 total annual</w:t>
      </w:r>
      <w:r>
        <w:rPr>
          <w:rFonts w:ascii="Times New Roman" w:hAnsi="Times New Roman"/>
          <w:szCs w:val="24"/>
        </w:rPr>
        <w:t xml:space="preserve"> </w:t>
      </w:r>
      <w:r w:rsidRPr="00D62A22">
        <w:rPr>
          <w:rFonts w:ascii="Times New Roman" w:hAnsi="Times New Roman"/>
          <w:szCs w:val="24"/>
        </w:rPr>
        <w:t>responses) are already approved under</w:t>
      </w:r>
      <w:r>
        <w:rPr>
          <w:rFonts w:ascii="Times New Roman" w:hAnsi="Times New Roman"/>
          <w:szCs w:val="24"/>
        </w:rPr>
        <w:t xml:space="preserve"> </w:t>
      </w:r>
      <w:r w:rsidRPr="00D62A22">
        <w:rPr>
          <w:rFonts w:ascii="Times New Roman" w:hAnsi="Times New Roman"/>
          <w:szCs w:val="24"/>
        </w:rPr>
        <w:t>the information collections for SNAP</w:t>
      </w:r>
      <w:r>
        <w:rPr>
          <w:rFonts w:ascii="Times New Roman" w:hAnsi="Times New Roman"/>
          <w:szCs w:val="24"/>
        </w:rPr>
        <w:t xml:space="preserve"> </w:t>
      </w:r>
      <w:r w:rsidRPr="00D62A22">
        <w:rPr>
          <w:rFonts w:ascii="Times New Roman" w:hAnsi="Times New Roman"/>
          <w:szCs w:val="24"/>
        </w:rPr>
        <w:t>Repayment Demand and Program</w:t>
      </w:r>
      <w:r>
        <w:rPr>
          <w:rFonts w:ascii="Times New Roman" w:hAnsi="Times New Roman"/>
          <w:szCs w:val="24"/>
        </w:rPr>
        <w:t xml:space="preserve"> </w:t>
      </w:r>
      <w:r w:rsidRPr="00D62A22">
        <w:rPr>
          <w:rFonts w:ascii="Times New Roman" w:hAnsi="Times New Roman"/>
          <w:szCs w:val="24"/>
        </w:rPr>
        <w:t>Disqualification (OMB burden numbers</w:t>
      </w:r>
      <w:r>
        <w:rPr>
          <w:rFonts w:ascii="Times New Roman" w:hAnsi="Times New Roman"/>
          <w:szCs w:val="24"/>
        </w:rPr>
        <w:t xml:space="preserve"> </w:t>
      </w:r>
      <w:r w:rsidRPr="00D62A22">
        <w:rPr>
          <w:rFonts w:ascii="Times New Roman" w:hAnsi="Times New Roman"/>
          <w:szCs w:val="24"/>
        </w:rPr>
        <w:t>0584–0492, expiration date 07/31/2024;</w:t>
      </w:r>
      <w:r>
        <w:rPr>
          <w:rFonts w:ascii="Times New Roman" w:hAnsi="Times New Roman"/>
          <w:szCs w:val="24"/>
        </w:rPr>
        <w:t xml:space="preserve"> </w:t>
      </w:r>
      <w:r w:rsidRPr="00D62A22">
        <w:rPr>
          <w:rFonts w:ascii="Times New Roman" w:hAnsi="Times New Roman"/>
          <w:szCs w:val="24"/>
        </w:rPr>
        <w:t>and 05</w:t>
      </w:r>
      <w:r>
        <w:rPr>
          <w:rFonts w:ascii="Times New Roman" w:hAnsi="Times New Roman"/>
          <w:szCs w:val="24"/>
        </w:rPr>
        <w:t xml:space="preserve">84–0594, expiration date 07/31/ </w:t>
      </w:r>
      <w:r w:rsidRPr="00D62A22">
        <w:rPr>
          <w:rFonts w:ascii="Times New Roman" w:hAnsi="Times New Roman"/>
          <w:szCs w:val="24"/>
        </w:rPr>
        <w:t>2023, respectively) and therefore, not</w:t>
      </w:r>
      <w:r>
        <w:rPr>
          <w:rFonts w:ascii="Times New Roman" w:hAnsi="Times New Roman"/>
          <w:szCs w:val="24"/>
        </w:rPr>
        <w:t xml:space="preserve"> duplicated.</w:t>
      </w:r>
    </w:p>
    <w:p w:rsidR="00D62A22" w:rsidP="00D62A22" w:rsidRDefault="00D62A22" w14:paraId="5C19000D" w14:textId="77777777">
      <w:pPr>
        <w:tabs>
          <w:tab w:val="left" w:pos="-720"/>
        </w:tabs>
        <w:suppressAutoHyphens/>
        <w:spacing w:line="480" w:lineRule="auto"/>
        <w:rPr>
          <w:rFonts w:ascii="Times New Roman" w:hAnsi="Times New Roman"/>
          <w:szCs w:val="24"/>
        </w:rPr>
      </w:pPr>
    </w:p>
    <w:p w:rsidR="00D62A22" w:rsidP="00D62A22" w:rsidRDefault="00D62A22" w14:paraId="6C847EAF" w14:textId="7EA5DFA3">
      <w:pPr>
        <w:tabs>
          <w:tab w:val="left" w:pos="-720"/>
        </w:tabs>
        <w:suppressAutoHyphens/>
        <w:spacing w:line="480" w:lineRule="auto"/>
        <w:rPr>
          <w:rFonts w:ascii="Times New Roman" w:hAnsi="Times New Roman"/>
          <w:szCs w:val="24"/>
        </w:rPr>
      </w:pPr>
      <w:r w:rsidRPr="00D62A22">
        <w:rPr>
          <w:rFonts w:ascii="Times New Roman" w:hAnsi="Times New Roman"/>
          <w:szCs w:val="24"/>
        </w:rPr>
        <w:t>The burden for ADP includes weekly</w:t>
      </w:r>
      <w:r>
        <w:rPr>
          <w:rFonts w:ascii="Times New Roman" w:hAnsi="Times New Roman"/>
          <w:szCs w:val="24"/>
        </w:rPr>
        <w:t xml:space="preserve"> </w:t>
      </w:r>
      <w:r w:rsidRPr="00D62A22">
        <w:rPr>
          <w:rFonts w:ascii="Times New Roman" w:hAnsi="Times New Roman"/>
          <w:szCs w:val="24"/>
        </w:rPr>
        <w:t>file processing, monthly address</w:t>
      </w:r>
      <w:r>
        <w:rPr>
          <w:rFonts w:ascii="Times New Roman" w:hAnsi="Times New Roman"/>
          <w:szCs w:val="24"/>
        </w:rPr>
        <w:t xml:space="preserve"> </w:t>
      </w:r>
      <w:r w:rsidRPr="00D62A22">
        <w:rPr>
          <w:rFonts w:ascii="Times New Roman" w:hAnsi="Times New Roman"/>
          <w:szCs w:val="24"/>
        </w:rPr>
        <w:t>requests and system maintenance.</w:t>
      </w:r>
      <w:r>
        <w:rPr>
          <w:rFonts w:ascii="Times New Roman" w:hAnsi="Times New Roman"/>
          <w:szCs w:val="24"/>
        </w:rPr>
        <w:t xml:space="preserve"> </w:t>
      </w:r>
      <w:r w:rsidRPr="00D62A22">
        <w:rPr>
          <w:rFonts w:ascii="Times New Roman" w:hAnsi="Times New Roman"/>
          <w:szCs w:val="24"/>
        </w:rPr>
        <w:t>Weekly and monthly file processing</w:t>
      </w:r>
      <w:r>
        <w:rPr>
          <w:rFonts w:ascii="Times New Roman" w:hAnsi="Times New Roman"/>
          <w:szCs w:val="24"/>
        </w:rPr>
        <w:t xml:space="preserve"> </w:t>
      </w:r>
      <w:r w:rsidRPr="00D62A22">
        <w:rPr>
          <w:rFonts w:ascii="Times New Roman" w:hAnsi="Times New Roman"/>
          <w:szCs w:val="24"/>
        </w:rPr>
        <w:t>includes requesting addresses to use to</w:t>
      </w:r>
      <w:r>
        <w:rPr>
          <w:rFonts w:ascii="Times New Roman" w:hAnsi="Times New Roman"/>
          <w:szCs w:val="24"/>
        </w:rPr>
        <w:t xml:space="preserve"> </w:t>
      </w:r>
      <w:r w:rsidRPr="00D62A22">
        <w:rPr>
          <w:rFonts w:ascii="Times New Roman" w:hAnsi="Times New Roman"/>
          <w:szCs w:val="24"/>
        </w:rPr>
        <w:t>send out 60-day notices, adding and</w:t>
      </w:r>
      <w:r>
        <w:rPr>
          <w:rFonts w:ascii="Times New Roman" w:hAnsi="Times New Roman"/>
          <w:szCs w:val="24"/>
        </w:rPr>
        <w:t xml:space="preserve"> </w:t>
      </w:r>
      <w:r w:rsidRPr="00D62A22">
        <w:rPr>
          <w:rFonts w:ascii="Times New Roman" w:hAnsi="Times New Roman"/>
          <w:szCs w:val="24"/>
        </w:rPr>
        <w:t>maintaining debts in TOP, correcting</w:t>
      </w:r>
      <w:r>
        <w:rPr>
          <w:rFonts w:ascii="Times New Roman" w:hAnsi="Times New Roman"/>
          <w:szCs w:val="24"/>
        </w:rPr>
        <w:t xml:space="preserve"> </w:t>
      </w:r>
      <w:r w:rsidRPr="00D62A22">
        <w:rPr>
          <w:rFonts w:ascii="Times New Roman" w:hAnsi="Times New Roman"/>
          <w:szCs w:val="24"/>
        </w:rPr>
        <w:t>errors on</w:t>
      </w:r>
      <w:r>
        <w:rPr>
          <w:rFonts w:ascii="Times New Roman" w:hAnsi="Times New Roman"/>
          <w:szCs w:val="24"/>
        </w:rPr>
        <w:t xml:space="preserve"> records that were </w:t>
      </w:r>
      <w:r>
        <w:rPr>
          <w:rFonts w:ascii="Times New Roman" w:hAnsi="Times New Roman"/>
          <w:szCs w:val="24"/>
        </w:rPr>
        <w:lastRenderedPageBreak/>
        <w:t>unable to be processed</w:t>
      </w:r>
      <w:r w:rsidRPr="00D62A22">
        <w:rPr>
          <w:rFonts w:ascii="Times New Roman" w:hAnsi="Times New Roman"/>
          <w:szCs w:val="24"/>
        </w:rPr>
        <w:t>, and</w:t>
      </w:r>
      <w:r>
        <w:rPr>
          <w:rFonts w:ascii="Times New Roman" w:hAnsi="Times New Roman"/>
          <w:szCs w:val="24"/>
        </w:rPr>
        <w:t xml:space="preserve"> </w:t>
      </w:r>
      <w:r w:rsidRPr="00D62A22">
        <w:rPr>
          <w:rFonts w:ascii="Times New Roman" w:hAnsi="Times New Roman"/>
          <w:szCs w:val="24"/>
        </w:rPr>
        <w:t>posting weekly collection files. Much of</w:t>
      </w:r>
      <w:r>
        <w:rPr>
          <w:rFonts w:ascii="Times New Roman" w:hAnsi="Times New Roman"/>
          <w:szCs w:val="24"/>
        </w:rPr>
        <w:t xml:space="preserve"> </w:t>
      </w:r>
      <w:r w:rsidRPr="00D62A22">
        <w:rPr>
          <w:rFonts w:ascii="Times New Roman" w:hAnsi="Times New Roman"/>
          <w:szCs w:val="24"/>
        </w:rPr>
        <w:t>this activity is completed using</w:t>
      </w:r>
      <w:r>
        <w:rPr>
          <w:rFonts w:ascii="Times New Roman" w:hAnsi="Times New Roman"/>
          <w:szCs w:val="24"/>
        </w:rPr>
        <w:t xml:space="preserve"> </w:t>
      </w:r>
      <w:r w:rsidRPr="00D62A22">
        <w:rPr>
          <w:rFonts w:ascii="Times New Roman" w:hAnsi="Times New Roman"/>
          <w:szCs w:val="24"/>
        </w:rPr>
        <w:t>automation and involves an estimated</w:t>
      </w:r>
      <w:r>
        <w:rPr>
          <w:rFonts w:ascii="Times New Roman" w:hAnsi="Times New Roman"/>
          <w:szCs w:val="24"/>
        </w:rPr>
        <w:t xml:space="preserve"> </w:t>
      </w:r>
      <w:r w:rsidRPr="00D62A22">
        <w:rPr>
          <w:rFonts w:ascii="Times New Roman" w:hAnsi="Times New Roman"/>
          <w:szCs w:val="24"/>
        </w:rPr>
        <w:t>1.4 million records annually. FNS</w:t>
      </w:r>
      <w:r>
        <w:rPr>
          <w:rFonts w:ascii="Times New Roman" w:hAnsi="Times New Roman"/>
          <w:szCs w:val="24"/>
        </w:rPr>
        <w:t xml:space="preserve"> </w:t>
      </w:r>
      <w:r w:rsidRPr="00D62A22">
        <w:rPr>
          <w:rFonts w:ascii="Times New Roman" w:hAnsi="Times New Roman"/>
          <w:szCs w:val="24"/>
        </w:rPr>
        <w:t>estimates that this activity takes</w:t>
      </w:r>
      <w:r>
        <w:rPr>
          <w:rFonts w:ascii="Times New Roman" w:hAnsi="Times New Roman"/>
          <w:szCs w:val="24"/>
        </w:rPr>
        <w:t xml:space="preserve"> </w:t>
      </w:r>
      <w:r w:rsidRPr="00D62A22">
        <w:rPr>
          <w:rFonts w:ascii="Times New Roman" w:hAnsi="Times New Roman"/>
          <w:szCs w:val="24"/>
        </w:rPr>
        <w:t>12,374.82 annual reporting hours. Per 7</w:t>
      </w:r>
      <w:r>
        <w:rPr>
          <w:rFonts w:ascii="Times New Roman" w:hAnsi="Times New Roman"/>
          <w:szCs w:val="24"/>
        </w:rPr>
        <w:t xml:space="preserve"> </w:t>
      </w:r>
      <w:r w:rsidRPr="00D62A22">
        <w:rPr>
          <w:rFonts w:ascii="Times New Roman" w:hAnsi="Times New Roman"/>
          <w:szCs w:val="24"/>
        </w:rPr>
        <w:t>CFR 272.1(f), State agencies are required</w:t>
      </w:r>
      <w:r>
        <w:rPr>
          <w:rFonts w:ascii="Times New Roman" w:hAnsi="Times New Roman"/>
          <w:szCs w:val="24"/>
        </w:rPr>
        <w:t xml:space="preserve"> </w:t>
      </w:r>
      <w:r w:rsidRPr="00D62A22">
        <w:rPr>
          <w:rFonts w:ascii="Times New Roman" w:hAnsi="Times New Roman"/>
          <w:szCs w:val="24"/>
        </w:rPr>
        <w:t>to retain all records associated with the</w:t>
      </w:r>
      <w:r>
        <w:rPr>
          <w:rFonts w:ascii="Times New Roman" w:hAnsi="Times New Roman"/>
          <w:szCs w:val="24"/>
        </w:rPr>
        <w:t xml:space="preserve"> </w:t>
      </w:r>
      <w:r w:rsidRPr="00D62A22">
        <w:rPr>
          <w:rFonts w:ascii="Times New Roman" w:hAnsi="Times New Roman"/>
          <w:szCs w:val="24"/>
        </w:rPr>
        <w:t>administration of SNAP for no less than</w:t>
      </w:r>
      <w:r>
        <w:rPr>
          <w:rFonts w:ascii="Times New Roman" w:hAnsi="Times New Roman"/>
          <w:szCs w:val="24"/>
        </w:rPr>
        <w:t xml:space="preserve"> </w:t>
      </w:r>
      <w:r w:rsidRPr="00D62A22">
        <w:rPr>
          <w:rFonts w:ascii="Times New Roman" w:hAnsi="Times New Roman"/>
          <w:szCs w:val="24"/>
        </w:rPr>
        <w:t>3 years. The burden for the retention of</w:t>
      </w:r>
      <w:r>
        <w:rPr>
          <w:rFonts w:ascii="Times New Roman" w:hAnsi="Times New Roman"/>
          <w:szCs w:val="24"/>
        </w:rPr>
        <w:t xml:space="preserve"> </w:t>
      </w:r>
      <w:r w:rsidRPr="00D62A22">
        <w:rPr>
          <w:rFonts w:ascii="Times New Roman" w:hAnsi="Times New Roman"/>
          <w:szCs w:val="24"/>
        </w:rPr>
        <w:t>weekly TOP files is estimated to take</w:t>
      </w:r>
      <w:r>
        <w:rPr>
          <w:rFonts w:ascii="Times New Roman" w:hAnsi="Times New Roman"/>
          <w:szCs w:val="24"/>
        </w:rPr>
        <w:t xml:space="preserve"> </w:t>
      </w:r>
      <w:r w:rsidRPr="00D62A22">
        <w:rPr>
          <w:rFonts w:ascii="Times New Roman" w:hAnsi="Times New Roman"/>
          <w:szCs w:val="24"/>
        </w:rPr>
        <w:t>each of the 53 State agencies</w:t>
      </w:r>
      <w:r>
        <w:rPr>
          <w:rFonts w:ascii="Times New Roman" w:hAnsi="Times New Roman"/>
          <w:szCs w:val="24"/>
        </w:rPr>
        <w:t xml:space="preserve"> </w:t>
      </w:r>
      <w:r w:rsidRPr="00D62A22">
        <w:rPr>
          <w:rFonts w:ascii="Times New Roman" w:hAnsi="Times New Roman"/>
          <w:szCs w:val="24"/>
        </w:rPr>
        <w:t>approximately 15 minutes per week, or</w:t>
      </w:r>
      <w:r>
        <w:rPr>
          <w:rFonts w:ascii="Times New Roman" w:hAnsi="Times New Roman"/>
          <w:szCs w:val="24"/>
        </w:rPr>
        <w:t xml:space="preserve"> </w:t>
      </w:r>
      <w:r w:rsidRPr="00D62A22">
        <w:rPr>
          <w:rFonts w:ascii="Times New Roman" w:hAnsi="Times New Roman"/>
          <w:szCs w:val="24"/>
        </w:rPr>
        <w:t>689 recordkeeping burden hours. These</w:t>
      </w:r>
      <w:r>
        <w:rPr>
          <w:rFonts w:ascii="Times New Roman" w:hAnsi="Times New Roman"/>
          <w:szCs w:val="24"/>
        </w:rPr>
        <w:t xml:space="preserve"> </w:t>
      </w:r>
      <w:r w:rsidRPr="00D62A22">
        <w:rPr>
          <w:rFonts w:ascii="Times New Roman" w:hAnsi="Times New Roman"/>
          <w:szCs w:val="24"/>
        </w:rPr>
        <w:t>burden estimates have not changed with</w:t>
      </w:r>
      <w:r>
        <w:rPr>
          <w:rFonts w:ascii="Times New Roman" w:hAnsi="Times New Roman"/>
          <w:szCs w:val="24"/>
        </w:rPr>
        <w:t xml:space="preserve"> </w:t>
      </w:r>
      <w:r w:rsidRPr="00D62A22">
        <w:rPr>
          <w:rFonts w:ascii="Times New Roman" w:hAnsi="Times New Roman"/>
          <w:szCs w:val="24"/>
        </w:rPr>
        <w:t>this revision.</w:t>
      </w:r>
    </w:p>
    <w:p w:rsidR="00725A72" w:rsidP="00D62A22" w:rsidRDefault="00725A72" w14:paraId="52541A27" w14:textId="77777777">
      <w:pPr>
        <w:tabs>
          <w:tab w:val="left" w:pos="-720"/>
        </w:tabs>
        <w:suppressAutoHyphens/>
        <w:spacing w:line="480" w:lineRule="auto"/>
        <w:rPr>
          <w:rFonts w:ascii="Times New Roman" w:hAnsi="Times New Roman"/>
          <w:szCs w:val="24"/>
        </w:rPr>
      </w:pPr>
    </w:p>
    <w:p w:rsidR="00CB0E1A" w:rsidP="00D62A22" w:rsidRDefault="00CB0E1A" w14:paraId="03EDFF6D" w14:textId="77777777">
      <w:pPr>
        <w:tabs>
          <w:tab w:val="left" w:pos="-720"/>
        </w:tabs>
        <w:suppressAutoHyphens/>
        <w:spacing w:line="480" w:lineRule="auto"/>
        <w:rPr>
          <w:rFonts w:ascii="Times New Roman" w:hAnsi="Times New Roman"/>
          <w:szCs w:val="24"/>
        </w:rPr>
        <w:sectPr w:rsidR="00CB0E1A"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pPr>
    </w:p>
    <w:p w:rsidR="00725A72" w:rsidP="00D62A22" w:rsidRDefault="00725A72" w14:paraId="3C817F67" w14:textId="71F94C38">
      <w:pPr>
        <w:tabs>
          <w:tab w:val="left" w:pos="-720"/>
        </w:tabs>
        <w:suppressAutoHyphens/>
        <w:spacing w:line="480" w:lineRule="auto"/>
        <w:rPr>
          <w:rFonts w:ascii="Times New Roman" w:hAnsi="Times New Roman"/>
          <w:szCs w:val="24"/>
        </w:rPr>
      </w:pPr>
      <w:r>
        <w:rPr>
          <w:rFonts w:ascii="Times New Roman" w:hAnsi="Times New Roman"/>
          <w:szCs w:val="24"/>
        </w:rPr>
        <w:lastRenderedPageBreak/>
        <w:t>The burden breakdown can be found in the table below:</w:t>
      </w:r>
    </w:p>
    <w:tbl>
      <w:tblPr>
        <w:tblW w:w="13465" w:type="dxa"/>
        <w:tblLook w:val="04A0" w:firstRow="1" w:lastRow="0" w:firstColumn="1" w:lastColumn="0" w:noHBand="0" w:noVBand="1"/>
      </w:tblPr>
      <w:tblGrid>
        <w:gridCol w:w="1255"/>
        <w:gridCol w:w="2600"/>
        <w:gridCol w:w="1419"/>
        <w:gridCol w:w="1327"/>
        <w:gridCol w:w="1181"/>
        <w:gridCol w:w="1069"/>
        <w:gridCol w:w="1031"/>
        <w:gridCol w:w="1269"/>
        <w:gridCol w:w="1176"/>
        <w:gridCol w:w="1138"/>
      </w:tblGrid>
      <w:tr w:rsidRPr="006A5F8A" w:rsidR="00B91F4B" w:rsidTr="006E7909" w14:paraId="7408307D" w14:textId="77777777">
        <w:trPr>
          <w:trHeight w:val="1275"/>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A5F8A" w:rsidR="00B91F4B" w:rsidP="00B91F4B" w:rsidRDefault="00B91F4B" w14:paraId="0405A48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SECTION OF REG</w:t>
            </w:r>
          </w:p>
        </w:tc>
        <w:tc>
          <w:tcPr>
            <w:tcW w:w="2600" w:type="dxa"/>
            <w:tcBorders>
              <w:top w:val="single" w:color="auto" w:sz="4" w:space="0"/>
              <w:left w:val="nil"/>
              <w:bottom w:val="single" w:color="auto" w:sz="4" w:space="0"/>
              <w:right w:val="single" w:color="auto" w:sz="4" w:space="0"/>
            </w:tcBorders>
            <w:shd w:val="clear" w:color="auto" w:fill="auto"/>
            <w:noWrap/>
            <w:vAlign w:val="bottom"/>
            <w:hideMark/>
          </w:tcPr>
          <w:p w:rsidRPr="006A5F8A" w:rsidR="00B91F4B" w:rsidP="00B91F4B" w:rsidRDefault="00B91F4B" w14:paraId="6784F42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DESCRIPTION</w:t>
            </w:r>
          </w:p>
        </w:tc>
        <w:tc>
          <w:tcPr>
            <w:tcW w:w="1419"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72976FB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NO.  OF RESPONDENTS</w:t>
            </w:r>
          </w:p>
        </w:tc>
        <w:tc>
          <w:tcPr>
            <w:tcW w:w="1327"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36A5500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NO.  OF RESPONSES PER RESPONDENT</w:t>
            </w:r>
          </w:p>
        </w:tc>
        <w:tc>
          <w:tcPr>
            <w:tcW w:w="1181"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7EFC6F03"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TOTAL ANNUAL RESPONSES</w:t>
            </w:r>
          </w:p>
        </w:tc>
        <w:tc>
          <w:tcPr>
            <w:tcW w:w="1069"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353BCF0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HOURS PER RESPONSE</w:t>
            </w:r>
          </w:p>
        </w:tc>
        <w:tc>
          <w:tcPr>
            <w:tcW w:w="1031"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52834DC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TOTAL ANNUAL BURDEN HOURS</w:t>
            </w:r>
          </w:p>
        </w:tc>
        <w:tc>
          <w:tcPr>
            <w:tcW w:w="1269"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124C01F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hourly cost to respondent</w:t>
            </w:r>
          </w:p>
        </w:tc>
        <w:tc>
          <w:tcPr>
            <w:tcW w:w="1176"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08F45AC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estimated cost to respondent</w:t>
            </w:r>
          </w:p>
        </w:tc>
        <w:tc>
          <w:tcPr>
            <w:tcW w:w="1138" w:type="dxa"/>
            <w:tcBorders>
              <w:top w:val="single" w:color="auto" w:sz="4" w:space="0"/>
              <w:left w:val="nil"/>
              <w:bottom w:val="single" w:color="auto" w:sz="4" w:space="0"/>
              <w:right w:val="single" w:color="auto" w:sz="4" w:space="0"/>
            </w:tcBorders>
            <w:shd w:val="clear" w:color="auto" w:fill="auto"/>
            <w:vAlign w:val="bottom"/>
            <w:hideMark/>
          </w:tcPr>
          <w:p w:rsidRPr="006A5F8A" w:rsidR="00B91F4B" w:rsidP="00B91F4B" w:rsidRDefault="00B91F4B" w14:paraId="214BCD1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with fully loaded wage</w:t>
            </w:r>
          </w:p>
        </w:tc>
      </w:tr>
      <w:tr w:rsidRPr="006A5F8A" w:rsidR="00B91F4B" w:rsidTr="006E7909" w14:paraId="3250C6F7" w14:textId="77777777">
        <w:trPr>
          <w:trHeight w:val="259"/>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793927A3"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Households (Debtors)</w:t>
            </w:r>
          </w:p>
        </w:tc>
        <w:tc>
          <w:tcPr>
            <w:tcW w:w="2600" w:type="dxa"/>
            <w:tcBorders>
              <w:top w:val="nil"/>
              <w:left w:val="nil"/>
              <w:bottom w:val="nil"/>
              <w:right w:val="nil"/>
            </w:tcBorders>
            <w:shd w:val="clear" w:color="auto" w:fill="auto"/>
            <w:noWrap/>
            <w:vAlign w:val="bottom"/>
            <w:hideMark/>
          </w:tcPr>
          <w:p w:rsidRPr="006A5F8A" w:rsidR="00B91F4B" w:rsidP="00B91F4B" w:rsidRDefault="00B91F4B" w14:paraId="20B29EB7"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nil"/>
              <w:right w:val="nil"/>
            </w:tcBorders>
            <w:shd w:val="clear" w:color="auto" w:fill="auto"/>
            <w:noWrap/>
            <w:vAlign w:val="bottom"/>
            <w:hideMark/>
          </w:tcPr>
          <w:p w:rsidRPr="006A5F8A" w:rsidR="00B91F4B" w:rsidP="00B91F4B" w:rsidRDefault="00B91F4B" w14:paraId="7F7F87C0"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327" w:type="dxa"/>
            <w:tcBorders>
              <w:top w:val="nil"/>
              <w:left w:val="nil"/>
              <w:bottom w:val="nil"/>
              <w:right w:val="nil"/>
            </w:tcBorders>
            <w:shd w:val="clear" w:color="auto" w:fill="auto"/>
            <w:noWrap/>
            <w:vAlign w:val="bottom"/>
            <w:hideMark/>
          </w:tcPr>
          <w:p w:rsidRPr="006A5F8A" w:rsidR="00B91F4B" w:rsidP="00B91F4B" w:rsidRDefault="00B91F4B" w14:paraId="5A87D692"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181" w:type="dxa"/>
            <w:tcBorders>
              <w:top w:val="nil"/>
              <w:left w:val="nil"/>
              <w:bottom w:val="nil"/>
              <w:right w:val="nil"/>
            </w:tcBorders>
            <w:shd w:val="clear" w:color="auto" w:fill="auto"/>
            <w:noWrap/>
            <w:vAlign w:val="bottom"/>
            <w:hideMark/>
          </w:tcPr>
          <w:p w:rsidRPr="006A5F8A" w:rsidR="00B91F4B" w:rsidP="00B91F4B" w:rsidRDefault="00B91F4B" w14:paraId="283F88C4"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069" w:type="dxa"/>
            <w:tcBorders>
              <w:top w:val="nil"/>
              <w:left w:val="nil"/>
              <w:bottom w:val="nil"/>
              <w:right w:val="nil"/>
            </w:tcBorders>
            <w:shd w:val="clear" w:color="auto" w:fill="auto"/>
            <w:noWrap/>
            <w:vAlign w:val="bottom"/>
            <w:hideMark/>
          </w:tcPr>
          <w:p w:rsidRPr="006A5F8A" w:rsidR="00B91F4B" w:rsidP="00B91F4B" w:rsidRDefault="00B91F4B" w14:paraId="286E85FF"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031" w:type="dxa"/>
            <w:tcBorders>
              <w:top w:val="nil"/>
              <w:left w:val="nil"/>
              <w:bottom w:val="nil"/>
              <w:right w:val="single" w:color="auto" w:sz="4" w:space="0"/>
            </w:tcBorders>
            <w:shd w:val="clear" w:color="auto" w:fill="auto"/>
            <w:noWrap/>
            <w:vAlign w:val="bottom"/>
            <w:hideMark/>
          </w:tcPr>
          <w:p w:rsidRPr="006A5F8A" w:rsidR="00B91F4B" w:rsidP="00B91F4B" w:rsidRDefault="00B91F4B" w14:paraId="3317435B"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269" w:type="dxa"/>
            <w:tcBorders>
              <w:top w:val="single" w:color="auto" w:sz="4" w:space="0"/>
              <w:left w:val="nil"/>
              <w:bottom w:val="nil"/>
              <w:right w:val="nil"/>
            </w:tcBorders>
            <w:shd w:val="clear" w:color="auto" w:fill="auto"/>
            <w:noWrap/>
            <w:vAlign w:val="bottom"/>
            <w:hideMark/>
          </w:tcPr>
          <w:p w:rsidRPr="006A5F8A" w:rsidR="00B91F4B" w:rsidP="00B91F4B" w:rsidRDefault="00B91F4B" w14:paraId="1E7FCAFC" w14:textId="77777777">
            <w:pPr>
              <w:widowControl/>
              <w:overflowPunct/>
              <w:autoSpaceDE/>
              <w:autoSpaceDN/>
              <w:adjustRightInd/>
              <w:textAlignment w:val="auto"/>
              <w:rPr>
                <w:rFonts w:ascii="Calibri" w:hAnsi="Calibri" w:cs="Calibri"/>
                <w:b/>
                <w:bCs/>
                <w:sz w:val="16"/>
                <w:szCs w:val="16"/>
              </w:rPr>
            </w:pPr>
          </w:p>
        </w:tc>
        <w:tc>
          <w:tcPr>
            <w:tcW w:w="1176" w:type="dxa"/>
            <w:tcBorders>
              <w:top w:val="single" w:color="auto" w:sz="4" w:space="0"/>
              <w:left w:val="nil"/>
              <w:bottom w:val="nil"/>
              <w:right w:val="nil"/>
            </w:tcBorders>
            <w:shd w:val="clear" w:color="auto" w:fill="auto"/>
            <w:noWrap/>
            <w:vAlign w:val="bottom"/>
            <w:hideMark/>
          </w:tcPr>
          <w:p w:rsidRPr="006A5F8A" w:rsidR="00B91F4B" w:rsidP="00B91F4B" w:rsidRDefault="00B91F4B" w14:paraId="279ADF9E" w14:textId="77777777">
            <w:pPr>
              <w:widowControl/>
              <w:overflowPunct/>
              <w:autoSpaceDE/>
              <w:autoSpaceDN/>
              <w:adjustRightInd/>
              <w:textAlignment w:val="auto"/>
              <w:rPr>
                <w:rFonts w:ascii="Times New Roman" w:hAnsi="Times New Roman"/>
                <w:sz w:val="16"/>
                <w:szCs w:val="16"/>
              </w:rPr>
            </w:pPr>
          </w:p>
        </w:tc>
        <w:tc>
          <w:tcPr>
            <w:tcW w:w="1138" w:type="dxa"/>
            <w:tcBorders>
              <w:top w:val="single" w:color="auto" w:sz="4" w:space="0"/>
              <w:left w:val="nil"/>
              <w:right w:val="single" w:color="auto" w:sz="4" w:space="0"/>
            </w:tcBorders>
            <w:shd w:val="clear" w:color="auto" w:fill="auto"/>
            <w:noWrap/>
            <w:vAlign w:val="bottom"/>
            <w:hideMark/>
          </w:tcPr>
          <w:p w:rsidRPr="006A5F8A" w:rsidR="00B91F4B" w:rsidP="00B91F4B" w:rsidRDefault="00B91F4B" w14:paraId="7B818178" w14:textId="77777777">
            <w:pPr>
              <w:widowControl/>
              <w:overflowPunct/>
              <w:autoSpaceDE/>
              <w:autoSpaceDN/>
              <w:adjustRightInd/>
              <w:textAlignment w:val="auto"/>
              <w:rPr>
                <w:rFonts w:ascii="Times New Roman" w:hAnsi="Times New Roman"/>
                <w:sz w:val="16"/>
                <w:szCs w:val="16"/>
              </w:rPr>
            </w:pPr>
          </w:p>
        </w:tc>
      </w:tr>
      <w:tr w:rsidRPr="006A5F8A" w:rsidR="00B91F4B" w:rsidTr="006E7909" w14:paraId="0EC2D7CC" w14:textId="77777777">
        <w:trPr>
          <w:trHeight w:val="259"/>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5FEDBAA2"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A. Due-Process Notice Requirements</w:t>
            </w:r>
          </w:p>
        </w:tc>
        <w:tc>
          <w:tcPr>
            <w:tcW w:w="2600" w:type="dxa"/>
            <w:tcBorders>
              <w:top w:val="nil"/>
              <w:left w:val="nil"/>
              <w:bottom w:val="single" w:color="auto" w:sz="4" w:space="0"/>
              <w:right w:val="nil"/>
            </w:tcBorders>
            <w:shd w:val="clear" w:color="auto" w:fill="auto"/>
            <w:noWrap/>
            <w:vAlign w:val="bottom"/>
            <w:hideMark/>
          </w:tcPr>
          <w:p w:rsidRPr="006A5F8A" w:rsidR="00B91F4B" w:rsidP="00B91F4B" w:rsidRDefault="00B91F4B" w14:paraId="3E1DCEF0"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single" w:color="auto" w:sz="4" w:space="0"/>
              <w:right w:val="nil"/>
            </w:tcBorders>
            <w:shd w:val="clear" w:color="auto" w:fill="auto"/>
            <w:noWrap/>
            <w:vAlign w:val="bottom"/>
            <w:hideMark/>
          </w:tcPr>
          <w:p w:rsidRPr="006A5F8A" w:rsidR="00B91F4B" w:rsidP="00B91F4B" w:rsidRDefault="00B91F4B" w14:paraId="1898B138"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327" w:type="dxa"/>
            <w:tcBorders>
              <w:top w:val="nil"/>
              <w:left w:val="nil"/>
              <w:bottom w:val="single" w:color="auto" w:sz="4" w:space="0"/>
              <w:right w:val="nil"/>
            </w:tcBorders>
            <w:shd w:val="clear" w:color="auto" w:fill="auto"/>
            <w:noWrap/>
            <w:vAlign w:val="bottom"/>
            <w:hideMark/>
          </w:tcPr>
          <w:p w:rsidRPr="006A5F8A" w:rsidR="00B91F4B" w:rsidP="00B91F4B" w:rsidRDefault="00B91F4B" w14:paraId="34D377A1"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181" w:type="dxa"/>
            <w:tcBorders>
              <w:top w:val="nil"/>
              <w:left w:val="nil"/>
              <w:bottom w:val="single" w:color="auto" w:sz="4" w:space="0"/>
              <w:right w:val="nil"/>
            </w:tcBorders>
            <w:shd w:val="clear" w:color="auto" w:fill="auto"/>
            <w:noWrap/>
            <w:vAlign w:val="bottom"/>
            <w:hideMark/>
          </w:tcPr>
          <w:p w:rsidRPr="006A5F8A" w:rsidR="00B91F4B" w:rsidP="00B91F4B" w:rsidRDefault="00B91F4B" w14:paraId="2FA11D80"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069" w:type="dxa"/>
            <w:tcBorders>
              <w:top w:val="nil"/>
              <w:left w:val="nil"/>
              <w:bottom w:val="single" w:color="auto" w:sz="4" w:space="0"/>
              <w:right w:val="nil"/>
            </w:tcBorders>
            <w:shd w:val="clear" w:color="auto" w:fill="auto"/>
            <w:noWrap/>
            <w:vAlign w:val="bottom"/>
            <w:hideMark/>
          </w:tcPr>
          <w:p w:rsidRPr="006A5F8A" w:rsidR="00B91F4B" w:rsidP="00B91F4B" w:rsidRDefault="00B91F4B" w14:paraId="52F59250"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03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1FAE699"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269" w:type="dxa"/>
            <w:tcBorders>
              <w:top w:val="nil"/>
              <w:left w:val="nil"/>
              <w:bottom w:val="nil"/>
              <w:right w:val="nil"/>
            </w:tcBorders>
            <w:shd w:val="clear" w:color="auto" w:fill="auto"/>
            <w:noWrap/>
            <w:vAlign w:val="bottom"/>
            <w:hideMark/>
          </w:tcPr>
          <w:p w:rsidRPr="006A5F8A" w:rsidR="00B91F4B" w:rsidP="00B91F4B" w:rsidRDefault="00B91F4B" w14:paraId="016D45C4" w14:textId="77777777">
            <w:pPr>
              <w:widowControl/>
              <w:overflowPunct/>
              <w:autoSpaceDE/>
              <w:autoSpaceDN/>
              <w:adjustRightInd/>
              <w:textAlignment w:val="auto"/>
              <w:rPr>
                <w:rFonts w:ascii="Calibri" w:hAnsi="Calibri" w:cs="Calibri"/>
                <w:b/>
                <w:bCs/>
                <w:sz w:val="16"/>
                <w:szCs w:val="16"/>
              </w:rPr>
            </w:pPr>
          </w:p>
        </w:tc>
        <w:tc>
          <w:tcPr>
            <w:tcW w:w="1176" w:type="dxa"/>
            <w:tcBorders>
              <w:top w:val="nil"/>
              <w:left w:val="nil"/>
              <w:bottom w:val="nil"/>
              <w:right w:val="nil"/>
            </w:tcBorders>
            <w:shd w:val="clear" w:color="auto" w:fill="auto"/>
            <w:noWrap/>
            <w:vAlign w:val="bottom"/>
            <w:hideMark/>
          </w:tcPr>
          <w:p w:rsidRPr="006A5F8A" w:rsidR="00B91F4B" w:rsidP="00B91F4B" w:rsidRDefault="00B91F4B" w14:paraId="581A1CEF" w14:textId="77777777">
            <w:pPr>
              <w:widowControl/>
              <w:overflowPunct/>
              <w:autoSpaceDE/>
              <w:autoSpaceDN/>
              <w:adjustRightInd/>
              <w:textAlignment w:val="auto"/>
              <w:rPr>
                <w:rFonts w:ascii="Times New Roman" w:hAnsi="Times New Roman"/>
                <w:sz w:val="16"/>
                <w:szCs w:val="16"/>
              </w:rPr>
            </w:pP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CD4E785" w14:textId="77777777">
            <w:pPr>
              <w:widowControl/>
              <w:overflowPunct/>
              <w:autoSpaceDE/>
              <w:autoSpaceDN/>
              <w:adjustRightInd/>
              <w:textAlignment w:val="auto"/>
              <w:rPr>
                <w:rFonts w:ascii="Times New Roman" w:hAnsi="Times New Roman"/>
                <w:sz w:val="16"/>
                <w:szCs w:val="16"/>
              </w:rPr>
            </w:pPr>
          </w:p>
        </w:tc>
      </w:tr>
      <w:tr w:rsidRPr="006A5F8A" w:rsidR="00B91F4B" w:rsidTr="006E7909" w14:paraId="52353CA6"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63DD77F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425003D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Reading State Issued Notice</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2AF2E8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249,953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5990DC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BB2FE49"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249,953</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CD212AE"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0.0835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0223871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20,871.10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280223B8"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7.25 </w:t>
            </w:r>
          </w:p>
        </w:tc>
        <w:tc>
          <w:tcPr>
            <w:tcW w:w="1176" w:type="dxa"/>
            <w:tcBorders>
              <w:top w:val="single" w:color="auto" w:sz="4" w:space="0"/>
              <w:left w:val="nil"/>
              <w:bottom w:val="single" w:color="auto" w:sz="4" w:space="0"/>
              <w:right w:val="single" w:color="auto" w:sz="4" w:space="0"/>
            </w:tcBorders>
            <w:shd w:val="clear" w:color="auto" w:fill="auto"/>
            <w:noWrap/>
            <w:vAlign w:val="bottom"/>
            <w:hideMark/>
          </w:tcPr>
          <w:p w:rsidRPr="006A5F8A" w:rsidR="00B91F4B" w:rsidP="00B91F4B" w:rsidRDefault="00B91F4B" w14:paraId="752123A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$ 151,315.50 </w:t>
            </w:r>
          </w:p>
        </w:tc>
        <w:tc>
          <w:tcPr>
            <w:tcW w:w="1138" w:type="dxa"/>
            <w:tcBorders>
              <w:top w:val="single" w:color="auto" w:sz="4" w:space="0"/>
              <w:left w:val="nil"/>
              <w:bottom w:val="single" w:color="auto" w:sz="4" w:space="0"/>
              <w:right w:val="single" w:color="auto" w:sz="4" w:space="0"/>
            </w:tcBorders>
            <w:shd w:val="clear" w:color="auto" w:fill="auto"/>
            <w:noWrap/>
            <w:vAlign w:val="bottom"/>
            <w:hideMark/>
          </w:tcPr>
          <w:p w:rsidRPr="006A5F8A" w:rsidR="00B91F4B" w:rsidP="00B91F4B" w:rsidRDefault="00B91F4B" w14:paraId="1362D94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38918B12"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5F648252"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2DE871B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Informal Inquiries to State</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95F188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17,497</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03BC7F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073CE15"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17,497</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5B5FD0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0.25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51B8EA0E"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4,374.19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3DF8063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7.25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F13FBE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31,712.87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CB360B2"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47363191"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4290F58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4E26FFA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Formal Appeals to State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92B50F6"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1,499</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DCDC14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97CF82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1,499</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A48692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56F5C7C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749.29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2DFD8D8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7.25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32C7B3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5,432.34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C80E0A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5CF810E5" w14:textId="77777777">
        <w:trPr>
          <w:trHeight w:val="510"/>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0518608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273.18(n)(2)</w:t>
            </w:r>
          </w:p>
        </w:tc>
        <w:tc>
          <w:tcPr>
            <w:tcW w:w="2600"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133C784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Reading FNS issued letter to Federal employees</w:t>
            </w:r>
          </w:p>
        </w:tc>
        <w:tc>
          <w:tcPr>
            <w:tcW w:w="141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11E030F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2,458</w:t>
            </w:r>
          </w:p>
        </w:tc>
        <w:tc>
          <w:tcPr>
            <w:tcW w:w="1327"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60C2308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4CD17A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2,458</w:t>
            </w:r>
          </w:p>
        </w:tc>
        <w:tc>
          <w:tcPr>
            <w:tcW w:w="106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1B11C66D"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0.0835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13F60C22"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205.28</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613C213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7.25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AD3CD1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1,488.25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A6EEFF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1AB6181" w14:textId="77777777">
        <w:trPr>
          <w:trHeight w:val="510"/>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33AD164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123D8482" w14:textId="6686C315">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Phone </w:t>
            </w:r>
            <w:r w:rsidRPr="006A5F8A" w:rsidR="00514175">
              <w:rPr>
                <w:rFonts w:ascii="Calibri" w:hAnsi="Calibri" w:cs="Calibri"/>
                <w:sz w:val="16"/>
                <w:szCs w:val="16"/>
              </w:rPr>
              <w:t>Inquiries</w:t>
            </w:r>
            <w:r w:rsidRPr="006A5F8A">
              <w:rPr>
                <w:rFonts w:ascii="Calibri" w:hAnsi="Calibri" w:cs="Calibri"/>
                <w:sz w:val="16"/>
                <w:szCs w:val="16"/>
              </w:rPr>
              <w:t xml:space="preserve"> and informal appeals for FNS letter</w:t>
            </w:r>
          </w:p>
        </w:tc>
        <w:tc>
          <w:tcPr>
            <w:tcW w:w="141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5D111E5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738</w:t>
            </w:r>
          </w:p>
        </w:tc>
        <w:tc>
          <w:tcPr>
            <w:tcW w:w="1327"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74C66C8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B3FB28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738</w:t>
            </w:r>
          </w:p>
        </w:tc>
        <w:tc>
          <w:tcPr>
            <w:tcW w:w="106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55B15D6E"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0.25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105A2433"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184.38</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6D2B66D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7.25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514DCF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1,336.75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C6D8C4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166466A"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76C83FF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7B49F59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Formal appeals to FNS</w:t>
            </w:r>
          </w:p>
        </w:tc>
        <w:tc>
          <w:tcPr>
            <w:tcW w:w="141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5F5F713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16</w:t>
            </w:r>
          </w:p>
        </w:tc>
        <w:tc>
          <w:tcPr>
            <w:tcW w:w="1327"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6B86BF8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B6E0CD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16</w:t>
            </w:r>
          </w:p>
        </w:tc>
        <w:tc>
          <w:tcPr>
            <w:tcW w:w="106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37EE43B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4AA9314D"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8.19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57D5450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7.25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BC68A5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59.41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AB51EA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514175" w:rsidTr="006B3367" w14:paraId="1BF86378" w14:textId="77777777">
        <w:trPr>
          <w:trHeight w:val="255"/>
        </w:trPr>
        <w:tc>
          <w:tcPr>
            <w:tcW w:w="3855" w:type="dxa"/>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6A5F8A" w:rsidR="00514175" w:rsidP="00B91F4B" w:rsidRDefault="00514175" w14:paraId="6779C914"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Totals</w:t>
            </w:r>
          </w:p>
          <w:p w:rsidRPr="006A5F8A" w:rsidR="00514175" w:rsidP="00B91F4B" w:rsidRDefault="00514175" w14:paraId="16D3360D" w14:textId="5D32231C">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single" w:color="auto" w:sz="4" w:space="0"/>
              <w:right w:val="single" w:color="auto" w:sz="4" w:space="0"/>
            </w:tcBorders>
            <w:shd w:val="clear" w:color="000000" w:fill="FFFFFF"/>
            <w:noWrap/>
            <w:vAlign w:val="bottom"/>
            <w:hideMark/>
          </w:tcPr>
          <w:p w:rsidRPr="006A5F8A" w:rsidR="00514175" w:rsidP="00B91F4B" w:rsidRDefault="00514175" w14:paraId="3FCD4A0B"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272,161</w:t>
            </w:r>
          </w:p>
        </w:tc>
        <w:tc>
          <w:tcPr>
            <w:tcW w:w="1327" w:type="dxa"/>
            <w:tcBorders>
              <w:top w:val="nil"/>
              <w:left w:val="nil"/>
              <w:bottom w:val="single" w:color="auto" w:sz="4" w:space="0"/>
              <w:right w:val="single" w:color="auto" w:sz="4" w:space="0"/>
            </w:tcBorders>
            <w:shd w:val="clear" w:color="000000" w:fill="FFFFFF"/>
            <w:noWrap/>
            <w:vAlign w:val="bottom"/>
            <w:hideMark/>
          </w:tcPr>
          <w:p w:rsidRPr="006A5F8A" w:rsidR="00514175" w:rsidP="00B91F4B" w:rsidRDefault="00514175" w14:paraId="419E601D"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1.00</w:t>
            </w:r>
          </w:p>
        </w:tc>
        <w:tc>
          <w:tcPr>
            <w:tcW w:w="1181" w:type="dxa"/>
            <w:tcBorders>
              <w:top w:val="nil"/>
              <w:left w:val="nil"/>
              <w:bottom w:val="single" w:color="auto" w:sz="4" w:space="0"/>
              <w:right w:val="single" w:color="auto" w:sz="4" w:space="0"/>
            </w:tcBorders>
            <w:shd w:val="clear" w:color="000000" w:fill="FFFFFF"/>
            <w:noWrap/>
            <w:vAlign w:val="bottom"/>
            <w:hideMark/>
          </w:tcPr>
          <w:p w:rsidRPr="006A5F8A" w:rsidR="00514175" w:rsidP="00B91F4B" w:rsidRDefault="00514175" w14:paraId="73DA0363"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272,161</w:t>
            </w:r>
          </w:p>
        </w:tc>
        <w:tc>
          <w:tcPr>
            <w:tcW w:w="1069" w:type="dxa"/>
            <w:tcBorders>
              <w:top w:val="nil"/>
              <w:left w:val="nil"/>
              <w:bottom w:val="single" w:color="auto" w:sz="4" w:space="0"/>
              <w:right w:val="single" w:color="auto" w:sz="4" w:space="0"/>
            </w:tcBorders>
            <w:shd w:val="clear" w:color="000000" w:fill="FFFFFF"/>
            <w:noWrap/>
            <w:vAlign w:val="bottom"/>
            <w:hideMark/>
          </w:tcPr>
          <w:p w:rsidRPr="006A5F8A" w:rsidR="00514175" w:rsidP="00B91F4B" w:rsidRDefault="00514175" w14:paraId="0DC0D86A"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0.096974</w:t>
            </w:r>
          </w:p>
        </w:tc>
        <w:tc>
          <w:tcPr>
            <w:tcW w:w="1031" w:type="dxa"/>
            <w:tcBorders>
              <w:top w:val="nil"/>
              <w:left w:val="nil"/>
              <w:bottom w:val="single" w:color="auto" w:sz="4" w:space="0"/>
              <w:right w:val="nil"/>
            </w:tcBorders>
            <w:shd w:val="clear" w:color="000000" w:fill="FFFFFF"/>
            <w:noWrap/>
            <w:vAlign w:val="bottom"/>
            <w:hideMark/>
          </w:tcPr>
          <w:p w:rsidRPr="006A5F8A" w:rsidR="00514175" w:rsidP="00B91F4B" w:rsidRDefault="00514175" w14:paraId="3A3B2044"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26,392.43</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514175" w:rsidP="00B91F4B" w:rsidRDefault="00514175" w14:paraId="0951AEAB"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7.25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514175" w:rsidP="00B91F4B" w:rsidRDefault="00514175" w14:paraId="1DA6810F"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$ 191,345.12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514175" w:rsidP="00B91F4B" w:rsidRDefault="00514175" w14:paraId="17B1D300"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$ 254,489.01 </w:t>
            </w:r>
          </w:p>
        </w:tc>
      </w:tr>
      <w:tr w:rsidRPr="006A5F8A" w:rsidR="00B91F4B" w:rsidTr="006A5F8A" w14:paraId="10EBF8DF" w14:textId="77777777">
        <w:trPr>
          <w:trHeight w:val="255"/>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230CBC7A"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AA74B8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F09E85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A22369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D94ACB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BB310D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3F9A0DE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141526AD"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A796BB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F259C5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0B246FC1" w14:textId="77777777">
        <w:trPr>
          <w:trHeight w:val="255"/>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47B74446"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State Agencies</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CC31349"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2C7B9E7"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333995B"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D8EE1A4"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D734984"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6AD81DF3"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001DAA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22F122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2D89DA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1C4C03A" w14:textId="77777777">
        <w:trPr>
          <w:trHeight w:val="255"/>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FDFE40E"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A. Due-Process Notice Requirements</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B3CB59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31041A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1B3293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140E76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1F9D1F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47F8436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1A3E7E0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A7530C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CDC12A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2ED9926E"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440F3AF3"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175559D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State Notice Production</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065481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88BFEF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4,716.10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DC10452"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249,953</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0CFBFA3"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0.0167</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6CF7C82C"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4,174.22</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78C738D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DDC8FDD"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47,586.12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187B938"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793870B" w14:textId="77777777">
        <w:trPr>
          <w:trHeight w:val="510"/>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6BD34DD1"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245D2C2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Responding to State Phone/informal Inquires</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574D839"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E97D1A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330.13</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153EB4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17,497</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B7618A6"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0.25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3C9C7CE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4,374.19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5A71B47D"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7260D2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49,865.75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9D47B8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592B4B5F" w14:textId="77777777">
        <w:trPr>
          <w:trHeight w:val="510"/>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11B06FCA"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273.18(n)(2)</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38BD541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Responding to State Formal Appeals</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2503A5E"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ADC089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28.28</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6420D3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1,499</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F014C0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6FCF3F2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749.29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7CB595A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D3AF83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8,541.89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A513A0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029CAE41" w14:textId="77777777">
        <w:trPr>
          <w:trHeight w:val="510"/>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6CF763E2"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69BFD64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Providing documents for formal appeals to FNS</w:t>
            </w:r>
          </w:p>
        </w:tc>
        <w:tc>
          <w:tcPr>
            <w:tcW w:w="141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7F8C4153"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2B2FDB2"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0.31</w:t>
            </w:r>
          </w:p>
        </w:tc>
        <w:tc>
          <w:tcPr>
            <w:tcW w:w="1181"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67BB68E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16</w:t>
            </w:r>
          </w:p>
        </w:tc>
        <w:tc>
          <w:tcPr>
            <w:tcW w:w="1069" w:type="dxa"/>
            <w:tcBorders>
              <w:top w:val="nil"/>
              <w:left w:val="nil"/>
              <w:bottom w:val="single" w:color="auto" w:sz="4" w:space="0"/>
              <w:right w:val="single" w:color="auto" w:sz="4" w:space="0"/>
            </w:tcBorders>
            <w:shd w:val="clear" w:color="auto" w:fill="auto"/>
            <w:vAlign w:val="center"/>
            <w:hideMark/>
          </w:tcPr>
          <w:p w:rsidRPr="006A5F8A" w:rsidR="00B91F4B" w:rsidP="00B91F4B" w:rsidRDefault="00B91F4B" w14:paraId="1BB484E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775BEFC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8.19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1D0A9F4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B8D358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93.42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34BEBA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510C4BD" w14:textId="77777777">
        <w:trPr>
          <w:trHeight w:val="255"/>
        </w:trPr>
        <w:tc>
          <w:tcPr>
            <w:tcW w:w="12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4FD5B0C1"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B. State Agency Reporting</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3EABE5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F952BD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8BF598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FD97C82"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58A6E7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2ABD23DA"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35151A6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5A2510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F0A9C08"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6045BE4A" w14:textId="77777777">
        <w:trPr>
          <w:trHeight w:val="255"/>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3F58345E"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273.18(n)(1)(ii)</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5DDCC5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Certification Letter</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8F52FC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13696AD"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63F12DB"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CC35B9C"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1D9E59D9"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26.50</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5EE99C2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31807C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302.10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BEEB942"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0C0A8A29" w14:textId="77777777">
        <w:trPr>
          <w:trHeight w:val="255"/>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6EA20841" w14:textId="77777777">
            <w:pPr>
              <w:widowControl/>
              <w:overflowPunct/>
              <w:autoSpaceDE/>
              <w:autoSpaceDN/>
              <w:adjustRightInd/>
              <w:jc w:val="center"/>
              <w:textAlignment w:val="auto"/>
              <w:rPr>
                <w:rFonts w:ascii="Calibri" w:hAnsi="Calibri" w:cs="Calibri"/>
                <w:b/>
                <w:bCs/>
                <w:sz w:val="16"/>
                <w:szCs w:val="16"/>
              </w:rPr>
            </w:pPr>
            <w:r w:rsidRPr="006A5F8A">
              <w:rPr>
                <w:rFonts w:ascii="Calibri" w:hAnsi="Calibri" w:cs="Calibri"/>
                <w:b/>
                <w:bCs/>
                <w:sz w:val="16"/>
                <w:szCs w:val="16"/>
              </w:rPr>
              <w:lastRenderedPageBreak/>
              <w:t>State Agency Total</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9238A9E"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389A38B"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253E4AA"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5,075.81</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7780714"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269,018</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2B46262"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0.03</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2D2F1475"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9,332.39</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2309198"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C4E1377"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$ 106,389.27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A4D8C41"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$ 141,497.73 </w:t>
            </w:r>
          </w:p>
        </w:tc>
      </w:tr>
      <w:tr w:rsidRPr="006A5F8A" w:rsidR="00B91F4B" w:rsidTr="006A5F8A" w14:paraId="65539D54" w14:textId="77777777">
        <w:trPr>
          <w:trHeight w:val="255"/>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B62F3C8"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C. TOP Automated Data Processing/3rd Party Reporting</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E2EEB9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90FDE1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0C7C5B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AF7C6A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E8CED1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2F6FEE23"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740F6E7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F0E669D"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683475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B494E63"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53C7947A"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2A97FAE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System Compatibility File</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381C0B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3CC1BC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8528A92"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19ABE61"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11.50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08868A0D"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609.50</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2C6ABD0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5E2D17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6,948.30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98AC23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27859838"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6650EB5A"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961CF2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Address File</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8552E36"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6DAB10D"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8.00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EC6F4A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424</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1A35AB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1.6346</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72DD02D6"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693.07</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23C2C774"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26A67F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7,901.00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723126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0A85938C"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4B2D598F"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273.18(n)(1)</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5D1AC2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Collections File</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7C6088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3429511"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8.00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C5D5544"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424</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39CCC01"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6.50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014AF29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2,756.00</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334A705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9C4846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31,418.40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3179396"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5867A2B"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417A2239"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273.18(n)(4)</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57FBFAD"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State Agency Profile</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0E8F09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362B92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D660761"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E35D18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0.25</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11B4183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13.25</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4511A63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12324B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151.05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C45317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17630503"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63098D59"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080855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Testing New System</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D885E07"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38C234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233812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CEEFE93"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7.00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07A930D6"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35.00</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0C336A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C14148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399.00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96589C5"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5929252F"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4CC411A4"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8E59A58"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Weekly Files</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3B5EECAC"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3AA5FF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52.00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A31877C"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2,756</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92795AF"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5EA63B4E"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4,134.00</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2A3E0C4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96A040B"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47,127.60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329E45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7A8FECC2"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B91F4B" w14:paraId="1A845E88" w14:textId="77777777">
            <w:pPr>
              <w:widowControl/>
              <w:overflowPunct/>
              <w:autoSpaceDE/>
              <w:autoSpaceDN/>
              <w:adjustRightInd/>
              <w:jc w:val="center"/>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632B54C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Weekly Files - Post TOP Data</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0615508"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53</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107C07E"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52.00</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170582C"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2,756</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DF364E0"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1.50</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2D71E95D"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4,134.00</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61259F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911657F"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47,127.60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B6F5EA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r>
      <w:tr w:rsidRPr="006A5F8A" w:rsidR="00B91F4B" w:rsidTr="006A5F8A" w14:paraId="6831092C" w14:textId="77777777">
        <w:trPr>
          <w:trHeight w:val="255"/>
        </w:trPr>
        <w:tc>
          <w:tcPr>
            <w:tcW w:w="1255" w:type="dxa"/>
            <w:tcBorders>
              <w:top w:val="nil"/>
              <w:left w:val="single" w:color="auto" w:sz="4" w:space="0"/>
              <w:bottom w:val="nil"/>
              <w:right w:val="single" w:color="auto" w:sz="4" w:space="0"/>
            </w:tcBorders>
            <w:shd w:val="clear" w:color="auto" w:fill="auto"/>
            <w:noWrap/>
            <w:vAlign w:val="bottom"/>
            <w:hideMark/>
          </w:tcPr>
          <w:p w:rsidRPr="006A5F8A" w:rsidR="00B91F4B" w:rsidP="00B91F4B" w:rsidRDefault="00D71EDC" w14:paraId="7E7ACD7A" w14:textId="06F6D09C">
            <w:pPr>
              <w:widowControl/>
              <w:overflowPunct/>
              <w:autoSpaceDE/>
              <w:autoSpaceDN/>
              <w:adjustRightInd/>
              <w:jc w:val="center"/>
              <w:textAlignment w:val="auto"/>
              <w:rPr>
                <w:rFonts w:ascii="Calibri" w:hAnsi="Calibri" w:cs="Calibri"/>
                <w:b/>
                <w:bCs/>
                <w:sz w:val="16"/>
                <w:szCs w:val="16"/>
              </w:rPr>
            </w:pPr>
            <w:r w:rsidRPr="006A5F8A">
              <w:rPr>
                <w:rFonts w:ascii="Calibri" w:hAnsi="Calibri" w:cs="Calibri"/>
                <w:b/>
                <w:bCs/>
                <w:sz w:val="16"/>
                <w:szCs w:val="16"/>
              </w:rPr>
              <w:t>272.1(c)</w:t>
            </w:r>
          </w:p>
        </w:tc>
        <w:tc>
          <w:tcPr>
            <w:tcW w:w="2600" w:type="dxa"/>
            <w:tcBorders>
              <w:top w:val="nil"/>
              <w:left w:val="nil"/>
              <w:bottom w:val="single" w:color="auto" w:sz="4" w:space="0"/>
              <w:right w:val="single" w:color="auto" w:sz="4" w:space="0"/>
            </w:tcBorders>
            <w:shd w:val="clear" w:color="auto" w:fill="auto"/>
            <w:vAlign w:val="bottom"/>
            <w:hideMark/>
          </w:tcPr>
          <w:p w:rsidRPr="006A5F8A" w:rsidR="00B91F4B" w:rsidP="00B91F4B" w:rsidRDefault="00B91F4B" w14:paraId="4829BD07" w14:textId="7C3F0A1E">
            <w:pPr>
              <w:widowControl/>
              <w:overflowPunct/>
              <w:autoSpaceDE/>
              <w:autoSpaceDN/>
              <w:adjustRightInd/>
              <w:textAlignment w:val="auto"/>
              <w:rPr>
                <w:rFonts w:ascii="Calibri" w:hAnsi="Calibri" w:cs="Calibri"/>
                <w:b/>
                <w:bCs/>
                <w:sz w:val="16"/>
                <w:szCs w:val="16"/>
              </w:rPr>
            </w:pPr>
            <w:r w:rsidRPr="006A5F8A">
              <w:rPr>
                <w:rFonts w:ascii="Calibri" w:hAnsi="Calibri" w:cs="Calibri"/>
                <w:sz w:val="16"/>
                <w:szCs w:val="16"/>
              </w:rPr>
              <w:t> </w:t>
            </w:r>
            <w:r w:rsidRPr="006A5F8A">
              <w:rPr>
                <w:rFonts w:ascii="Calibri" w:hAnsi="Calibri" w:cs="Calibri"/>
                <w:b/>
                <w:bCs/>
                <w:sz w:val="16"/>
                <w:szCs w:val="16"/>
              </w:rPr>
              <w:t>Total 3</w:t>
            </w:r>
            <w:r w:rsidRPr="006A5F8A">
              <w:rPr>
                <w:rFonts w:ascii="Calibri" w:hAnsi="Calibri" w:cs="Calibri"/>
                <w:b/>
                <w:bCs/>
                <w:sz w:val="16"/>
                <w:szCs w:val="16"/>
                <w:vertAlign w:val="superscript"/>
              </w:rPr>
              <w:t>rd</w:t>
            </w:r>
            <w:r w:rsidRPr="006A5F8A">
              <w:rPr>
                <w:rFonts w:ascii="Calibri" w:hAnsi="Calibri" w:cs="Calibri"/>
                <w:b/>
                <w:bCs/>
                <w:sz w:val="16"/>
                <w:szCs w:val="16"/>
              </w:rPr>
              <w:t xml:space="preserve"> Party reporting</w:t>
            </w:r>
          </w:p>
        </w:tc>
        <w:tc>
          <w:tcPr>
            <w:tcW w:w="141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4458B3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327"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AF97B83"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81"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00450F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69"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0A20D3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31" w:type="dxa"/>
            <w:tcBorders>
              <w:top w:val="nil"/>
              <w:left w:val="nil"/>
              <w:bottom w:val="single" w:color="auto" w:sz="4" w:space="0"/>
              <w:right w:val="nil"/>
            </w:tcBorders>
            <w:shd w:val="clear" w:color="auto" w:fill="auto"/>
            <w:noWrap/>
            <w:vAlign w:val="bottom"/>
            <w:hideMark/>
          </w:tcPr>
          <w:p w:rsidRPr="006A5F8A" w:rsidR="00B91F4B" w:rsidP="00B91F4B" w:rsidRDefault="00B91F4B" w14:paraId="73E28EE9"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12,374.82</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559171DC"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47C9F072"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$ 141,072.95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291A11FE"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xml:space="preserve"> $ 187,627.03 </w:t>
            </w:r>
          </w:p>
        </w:tc>
      </w:tr>
      <w:tr w:rsidRPr="006A5F8A" w:rsidR="00B91F4B" w:rsidTr="006A5F8A" w14:paraId="4F9F8D03" w14:textId="77777777">
        <w:trPr>
          <w:trHeight w:val="255"/>
        </w:trPr>
        <w:tc>
          <w:tcPr>
            <w:tcW w:w="1255"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6A5F8A" w:rsidR="00B91F4B" w:rsidP="00B91F4B" w:rsidRDefault="00B91F4B" w14:paraId="3C39DD43"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Totals</w:t>
            </w:r>
          </w:p>
        </w:tc>
        <w:tc>
          <w:tcPr>
            <w:tcW w:w="2600"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12EA2BFC"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3CA61174"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53</w:t>
            </w:r>
          </w:p>
        </w:tc>
        <w:tc>
          <w:tcPr>
            <w:tcW w:w="1327"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49F85DBD"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5,197.91</w:t>
            </w:r>
          </w:p>
        </w:tc>
        <w:tc>
          <w:tcPr>
            <w:tcW w:w="1181"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58310A41"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275,489</w:t>
            </w:r>
          </w:p>
        </w:tc>
        <w:tc>
          <w:tcPr>
            <w:tcW w:w="1069"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6C633D59"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0.08</w:t>
            </w:r>
          </w:p>
        </w:tc>
        <w:tc>
          <w:tcPr>
            <w:tcW w:w="1031" w:type="dxa"/>
            <w:tcBorders>
              <w:top w:val="nil"/>
              <w:left w:val="nil"/>
              <w:bottom w:val="single" w:color="auto" w:sz="4" w:space="0"/>
              <w:right w:val="nil"/>
            </w:tcBorders>
            <w:shd w:val="clear" w:color="000000" w:fill="FFFFFF"/>
            <w:noWrap/>
            <w:vAlign w:val="bottom"/>
            <w:hideMark/>
          </w:tcPr>
          <w:p w:rsidRPr="006A5F8A" w:rsidR="00B91F4B" w:rsidP="00B91F4B" w:rsidRDefault="00B91F4B" w14:paraId="36356217"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21,707.21</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3900CF6B"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11.40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F220526"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$ 247,462.23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072C7560"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$ 329,124.76 </w:t>
            </w:r>
          </w:p>
        </w:tc>
      </w:tr>
      <w:tr w:rsidRPr="006A5F8A" w:rsidR="00B91F4B" w:rsidTr="006A5F8A" w14:paraId="701642F1" w14:textId="77777777">
        <w:trPr>
          <w:trHeight w:val="255"/>
        </w:trPr>
        <w:tc>
          <w:tcPr>
            <w:tcW w:w="1255" w:type="dxa"/>
            <w:tcBorders>
              <w:top w:val="nil"/>
              <w:left w:val="single" w:color="auto" w:sz="4" w:space="0"/>
              <w:bottom w:val="single" w:color="auto" w:sz="4" w:space="0"/>
              <w:right w:val="single" w:color="auto" w:sz="4" w:space="0"/>
            </w:tcBorders>
            <w:shd w:val="clear" w:color="000000" w:fill="FFFFFF"/>
            <w:noWrap/>
            <w:vAlign w:val="bottom"/>
            <w:hideMark/>
          </w:tcPr>
          <w:p w:rsidRPr="006A5F8A" w:rsidR="00B91F4B" w:rsidP="00B91F4B" w:rsidRDefault="00B91F4B" w14:paraId="36F17B37"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2600"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6910BFA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419"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42944460"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327"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4D0FFC4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81"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794D1A3C"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69"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1DF45AB9"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031" w:type="dxa"/>
            <w:tcBorders>
              <w:top w:val="nil"/>
              <w:left w:val="nil"/>
              <w:bottom w:val="single" w:color="auto" w:sz="4" w:space="0"/>
              <w:right w:val="nil"/>
            </w:tcBorders>
            <w:shd w:val="clear" w:color="000000" w:fill="FFFFFF"/>
            <w:noWrap/>
            <w:vAlign w:val="bottom"/>
            <w:hideMark/>
          </w:tcPr>
          <w:p w:rsidRPr="006A5F8A" w:rsidR="00B91F4B" w:rsidP="00B91F4B" w:rsidRDefault="00B91F4B" w14:paraId="4249267A" w14:textId="77777777">
            <w:pPr>
              <w:widowControl/>
              <w:overflowPunct/>
              <w:autoSpaceDE/>
              <w:autoSpaceDN/>
              <w:adjustRightInd/>
              <w:jc w:val="right"/>
              <w:textAlignment w:val="auto"/>
              <w:rPr>
                <w:rFonts w:ascii="Calibri" w:hAnsi="Calibri" w:cs="Calibri"/>
                <w:sz w:val="16"/>
                <w:szCs w:val="16"/>
              </w:rPr>
            </w:pPr>
            <w:r w:rsidRPr="006A5F8A">
              <w:rPr>
                <w:rFonts w:ascii="Calibri" w:hAnsi="Calibri" w:cs="Calibri"/>
                <w:sz w:val="16"/>
                <w:szCs w:val="16"/>
              </w:rPr>
              <w:t>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0B55E3CD"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7910DBE7"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16D1221C"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w:t>
            </w:r>
          </w:p>
        </w:tc>
      </w:tr>
      <w:tr w:rsidRPr="006A5F8A" w:rsidR="00B91F4B" w:rsidTr="006A5F8A" w14:paraId="3F956AEA" w14:textId="77777777">
        <w:trPr>
          <w:trHeight w:val="255"/>
        </w:trPr>
        <w:tc>
          <w:tcPr>
            <w:tcW w:w="1255" w:type="dxa"/>
            <w:tcBorders>
              <w:top w:val="nil"/>
              <w:left w:val="single" w:color="auto" w:sz="4" w:space="0"/>
              <w:bottom w:val="single" w:color="auto" w:sz="4" w:space="0"/>
              <w:right w:val="single" w:color="auto" w:sz="4" w:space="0"/>
            </w:tcBorders>
            <w:shd w:val="clear" w:color="000000" w:fill="FFFFFF"/>
            <w:noWrap/>
            <w:vAlign w:val="bottom"/>
            <w:hideMark/>
          </w:tcPr>
          <w:p w:rsidRPr="006A5F8A" w:rsidR="00B91F4B" w:rsidP="00B91F4B" w:rsidRDefault="00B91F4B" w14:paraId="21130F4A"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Overall Totals</w:t>
            </w:r>
          </w:p>
        </w:tc>
        <w:tc>
          <w:tcPr>
            <w:tcW w:w="2600"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733E478C" w14:textId="77777777">
            <w:pPr>
              <w:widowControl/>
              <w:overflowPunct/>
              <w:autoSpaceDE/>
              <w:autoSpaceDN/>
              <w:adjustRightInd/>
              <w:jc w:val="center"/>
              <w:textAlignment w:val="auto"/>
              <w:rPr>
                <w:rFonts w:ascii="Calibri" w:hAnsi="Calibri" w:cs="Calibri"/>
                <w:b/>
                <w:bCs/>
                <w:sz w:val="16"/>
                <w:szCs w:val="16"/>
              </w:rPr>
            </w:pPr>
            <w:r w:rsidRPr="006A5F8A">
              <w:rPr>
                <w:rFonts w:ascii="Calibri" w:hAnsi="Calibri" w:cs="Calibri"/>
                <w:b/>
                <w:bCs/>
                <w:sz w:val="16"/>
                <w:szCs w:val="16"/>
              </w:rPr>
              <w:t> </w:t>
            </w:r>
          </w:p>
        </w:tc>
        <w:tc>
          <w:tcPr>
            <w:tcW w:w="1419"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374BB282"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 xml:space="preserve">272,214 </w:t>
            </w:r>
          </w:p>
        </w:tc>
        <w:tc>
          <w:tcPr>
            <w:tcW w:w="1327"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6E0BE763"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 xml:space="preserve">2.01 </w:t>
            </w:r>
          </w:p>
        </w:tc>
        <w:tc>
          <w:tcPr>
            <w:tcW w:w="1181"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59B8A9B7"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 xml:space="preserve">547,650 </w:t>
            </w:r>
          </w:p>
        </w:tc>
        <w:tc>
          <w:tcPr>
            <w:tcW w:w="1069" w:type="dxa"/>
            <w:tcBorders>
              <w:top w:val="nil"/>
              <w:left w:val="nil"/>
              <w:bottom w:val="single" w:color="auto" w:sz="4" w:space="0"/>
              <w:right w:val="single" w:color="auto" w:sz="4" w:space="0"/>
            </w:tcBorders>
            <w:shd w:val="clear" w:color="000000" w:fill="FFFFFF"/>
            <w:noWrap/>
            <w:vAlign w:val="bottom"/>
            <w:hideMark/>
          </w:tcPr>
          <w:p w:rsidRPr="006A5F8A" w:rsidR="00B91F4B" w:rsidP="00B91F4B" w:rsidRDefault="00B91F4B" w14:paraId="1C53A8ED"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 xml:space="preserve">0.09 </w:t>
            </w:r>
          </w:p>
        </w:tc>
        <w:tc>
          <w:tcPr>
            <w:tcW w:w="1031" w:type="dxa"/>
            <w:tcBorders>
              <w:top w:val="nil"/>
              <w:left w:val="nil"/>
              <w:bottom w:val="single" w:color="auto" w:sz="4" w:space="0"/>
              <w:right w:val="nil"/>
            </w:tcBorders>
            <w:shd w:val="clear" w:color="000000" w:fill="FFFFFF"/>
            <w:noWrap/>
            <w:vAlign w:val="bottom"/>
            <w:hideMark/>
          </w:tcPr>
          <w:p w:rsidRPr="006A5F8A" w:rsidR="00B91F4B" w:rsidP="00B91F4B" w:rsidRDefault="00B91F4B" w14:paraId="50843E99" w14:textId="77777777">
            <w:pPr>
              <w:widowControl/>
              <w:overflowPunct/>
              <w:autoSpaceDE/>
              <w:autoSpaceDN/>
              <w:adjustRightInd/>
              <w:jc w:val="right"/>
              <w:textAlignment w:val="auto"/>
              <w:rPr>
                <w:rFonts w:ascii="Calibri" w:hAnsi="Calibri" w:cs="Calibri"/>
                <w:b/>
                <w:bCs/>
                <w:sz w:val="16"/>
                <w:szCs w:val="16"/>
              </w:rPr>
            </w:pPr>
            <w:r w:rsidRPr="006A5F8A">
              <w:rPr>
                <w:rFonts w:ascii="Calibri" w:hAnsi="Calibri" w:cs="Calibri"/>
                <w:b/>
                <w:bCs/>
                <w:sz w:val="16"/>
                <w:szCs w:val="16"/>
              </w:rPr>
              <w:t xml:space="preserve">48,099.64 </w:t>
            </w:r>
          </w:p>
        </w:tc>
        <w:tc>
          <w:tcPr>
            <w:tcW w:w="1269" w:type="dxa"/>
            <w:tcBorders>
              <w:top w:val="nil"/>
              <w:left w:val="single" w:color="auto" w:sz="4" w:space="0"/>
              <w:bottom w:val="single" w:color="auto" w:sz="4" w:space="0"/>
              <w:right w:val="single" w:color="auto" w:sz="4" w:space="0"/>
            </w:tcBorders>
            <w:shd w:val="clear" w:color="auto" w:fill="auto"/>
            <w:noWrap/>
            <w:vAlign w:val="bottom"/>
            <w:hideMark/>
          </w:tcPr>
          <w:p w:rsidRPr="006A5F8A" w:rsidR="00B91F4B" w:rsidP="00B91F4B" w:rsidRDefault="00B91F4B" w14:paraId="7C625DC1" w14:textId="77777777">
            <w:pPr>
              <w:widowControl/>
              <w:overflowPunct/>
              <w:autoSpaceDE/>
              <w:autoSpaceDN/>
              <w:adjustRightInd/>
              <w:textAlignment w:val="auto"/>
              <w:rPr>
                <w:rFonts w:ascii="Calibri" w:hAnsi="Calibri" w:cs="Calibri"/>
                <w:sz w:val="16"/>
                <w:szCs w:val="16"/>
              </w:rPr>
            </w:pPr>
            <w:r w:rsidRPr="006A5F8A">
              <w:rPr>
                <w:rFonts w:ascii="Calibri" w:hAnsi="Calibri" w:cs="Calibri"/>
                <w:sz w:val="16"/>
                <w:szCs w:val="16"/>
              </w:rPr>
              <w:t> </w:t>
            </w:r>
          </w:p>
        </w:tc>
        <w:tc>
          <w:tcPr>
            <w:tcW w:w="1176"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64B39DB6"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$ 438,807.35 </w:t>
            </w:r>
          </w:p>
        </w:tc>
        <w:tc>
          <w:tcPr>
            <w:tcW w:w="1138" w:type="dxa"/>
            <w:tcBorders>
              <w:top w:val="nil"/>
              <w:left w:val="nil"/>
              <w:bottom w:val="single" w:color="auto" w:sz="4" w:space="0"/>
              <w:right w:val="single" w:color="auto" w:sz="4" w:space="0"/>
            </w:tcBorders>
            <w:shd w:val="clear" w:color="auto" w:fill="auto"/>
            <w:noWrap/>
            <w:vAlign w:val="bottom"/>
            <w:hideMark/>
          </w:tcPr>
          <w:p w:rsidRPr="006A5F8A" w:rsidR="00B91F4B" w:rsidP="00B91F4B" w:rsidRDefault="00B91F4B" w14:paraId="59B63ED6" w14:textId="77777777">
            <w:pPr>
              <w:widowControl/>
              <w:overflowPunct/>
              <w:autoSpaceDE/>
              <w:autoSpaceDN/>
              <w:adjustRightInd/>
              <w:textAlignment w:val="auto"/>
              <w:rPr>
                <w:rFonts w:ascii="Calibri" w:hAnsi="Calibri" w:cs="Calibri"/>
                <w:b/>
                <w:bCs/>
                <w:sz w:val="16"/>
                <w:szCs w:val="16"/>
              </w:rPr>
            </w:pPr>
            <w:r w:rsidRPr="006A5F8A">
              <w:rPr>
                <w:rFonts w:ascii="Calibri" w:hAnsi="Calibri" w:cs="Calibri"/>
                <w:b/>
                <w:bCs/>
                <w:sz w:val="16"/>
                <w:szCs w:val="16"/>
              </w:rPr>
              <w:t xml:space="preserve"> $ 583,613.77 </w:t>
            </w:r>
          </w:p>
        </w:tc>
      </w:tr>
    </w:tbl>
    <w:p w:rsidR="000D6ECF" w:rsidP="00D62A22" w:rsidRDefault="000D6ECF" w14:paraId="58FFA3E5" w14:textId="780A9645">
      <w:pPr>
        <w:tabs>
          <w:tab w:val="left" w:pos="-720"/>
        </w:tabs>
        <w:suppressAutoHyphens/>
        <w:spacing w:line="480" w:lineRule="auto"/>
        <w:rPr>
          <w:rFonts w:ascii="Times New Roman" w:hAnsi="Times New Roman"/>
          <w:szCs w:val="24"/>
        </w:rPr>
      </w:pPr>
    </w:p>
    <w:p w:rsidR="00CB0E1A" w:rsidP="00725A72" w:rsidRDefault="00CB0E1A" w14:paraId="506E226F" w14:textId="77777777">
      <w:pPr>
        <w:widowControl/>
        <w:overflowPunct/>
        <w:autoSpaceDE/>
        <w:autoSpaceDN/>
        <w:adjustRightInd/>
        <w:textAlignment w:val="auto"/>
        <w:rPr>
          <w:rFonts w:ascii="Calibri" w:hAnsi="Calibri" w:cs="Calibri"/>
          <w:color w:val="000000"/>
          <w:sz w:val="20"/>
        </w:rPr>
        <w:sectPr w:rsidR="00CB0E1A" w:rsidSect="0001592D">
          <w:endnotePr>
            <w:numFmt w:val="decimal"/>
          </w:endnotePr>
          <w:pgSz w:w="15840" w:h="12240" w:orient="landscape"/>
          <w:pgMar w:top="1440" w:right="1440" w:bottom="1440" w:left="1440" w:header="1440" w:footer="720" w:gutter="0"/>
          <w:pgNumType w:start="1"/>
          <w:cols w:space="720"/>
          <w:noEndnote/>
          <w:titlePg/>
          <w:docGrid w:linePitch="326"/>
        </w:sectPr>
      </w:pPr>
    </w:p>
    <w:tbl>
      <w:tblPr>
        <w:tblW w:w="10268" w:type="dxa"/>
        <w:tblInd w:w="-470" w:type="dxa"/>
        <w:tblLook w:val="04A0" w:firstRow="1" w:lastRow="0" w:firstColumn="1" w:lastColumn="0" w:noHBand="0" w:noVBand="1"/>
      </w:tblPr>
      <w:tblGrid>
        <w:gridCol w:w="1106"/>
        <w:gridCol w:w="1350"/>
        <w:gridCol w:w="1217"/>
        <w:gridCol w:w="1630"/>
        <w:gridCol w:w="943"/>
        <w:gridCol w:w="955"/>
        <w:gridCol w:w="785"/>
        <w:gridCol w:w="1026"/>
        <w:gridCol w:w="1256"/>
      </w:tblGrid>
      <w:tr w:rsidRPr="00725A72" w:rsidR="00B91F4B" w:rsidTr="008F29DC" w14:paraId="5A433AD2" w14:textId="66E9A656">
        <w:trPr>
          <w:trHeight w:val="270"/>
        </w:trPr>
        <w:tc>
          <w:tcPr>
            <w:tcW w:w="1106" w:type="dxa"/>
            <w:tcBorders>
              <w:top w:val="single" w:color="auto" w:sz="8" w:space="0"/>
              <w:left w:val="single" w:color="auto" w:sz="8" w:space="0"/>
              <w:bottom w:val="nil"/>
              <w:right w:val="nil"/>
            </w:tcBorders>
          </w:tcPr>
          <w:p w:rsidRPr="00725A72" w:rsidR="00B91F4B" w:rsidP="00725A72" w:rsidRDefault="00B91F4B" w14:paraId="1D2796C3" w14:textId="49C050BF">
            <w:pPr>
              <w:widowControl/>
              <w:overflowPunct/>
              <w:autoSpaceDE/>
              <w:autoSpaceDN/>
              <w:adjustRightInd/>
              <w:textAlignment w:val="auto"/>
              <w:rPr>
                <w:rFonts w:ascii="Calibri" w:hAnsi="Calibri" w:cs="Calibri"/>
                <w:color w:val="000000"/>
                <w:sz w:val="20"/>
              </w:rPr>
            </w:pPr>
          </w:p>
        </w:tc>
        <w:tc>
          <w:tcPr>
            <w:tcW w:w="1350" w:type="dxa"/>
            <w:tcBorders>
              <w:top w:val="single" w:color="auto" w:sz="8" w:space="0"/>
              <w:left w:val="single" w:color="auto" w:sz="8" w:space="0"/>
              <w:bottom w:val="nil"/>
              <w:right w:val="nil"/>
            </w:tcBorders>
            <w:shd w:val="clear" w:color="auto" w:fill="auto"/>
            <w:noWrap/>
            <w:vAlign w:val="bottom"/>
            <w:hideMark/>
          </w:tcPr>
          <w:p w:rsidRPr="00725A72" w:rsidR="00B91F4B" w:rsidP="00725A72" w:rsidRDefault="00B91F4B" w14:paraId="4FE99198" w14:textId="664C6E12">
            <w:pPr>
              <w:widowControl/>
              <w:overflowPunct/>
              <w:autoSpaceDE/>
              <w:autoSpaceDN/>
              <w:adjustRightInd/>
              <w:textAlignment w:val="auto"/>
              <w:rPr>
                <w:rFonts w:ascii="Calibri" w:hAnsi="Calibri" w:cs="Calibri"/>
                <w:color w:val="000000"/>
                <w:sz w:val="20"/>
              </w:rPr>
            </w:pPr>
            <w:r w:rsidRPr="00725A72">
              <w:rPr>
                <w:rFonts w:ascii="Calibri" w:hAnsi="Calibri" w:cs="Calibri"/>
                <w:color w:val="000000"/>
                <w:sz w:val="20"/>
              </w:rPr>
              <w:t> </w:t>
            </w:r>
          </w:p>
        </w:tc>
        <w:tc>
          <w:tcPr>
            <w:tcW w:w="1217" w:type="dxa"/>
            <w:tcBorders>
              <w:top w:val="single" w:color="auto" w:sz="8" w:space="0"/>
              <w:left w:val="nil"/>
              <w:bottom w:val="nil"/>
              <w:right w:val="nil"/>
            </w:tcBorders>
            <w:shd w:val="clear" w:color="auto" w:fill="auto"/>
            <w:noWrap/>
            <w:vAlign w:val="bottom"/>
            <w:hideMark/>
          </w:tcPr>
          <w:p w:rsidRPr="00725A72" w:rsidR="00B91F4B" w:rsidP="00725A72" w:rsidRDefault="00B91F4B" w14:paraId="4E8352B4" w14:textId="77777777">
            <w:pPr>
              <w:widowControl/>
              <w:overflowPunct/>
              <w:autoSpaceDE/>
              <w:autoSpaceDN/>
              <w:adjustRightInd/>
              <w:textAlignment w:val="auto"/>
              <w:rPr>
                <w:rFonts w:ascii="Calibri" w:hAnsi="Calibri" w:cs="Calibri"/>
                <w:color w:val="000000"/>
                <w:sz w:val="20"/>
              </w:rPr>
            </w:pPr>
            <w:r w:rsidRPr="00725A72">
              <w:rPr>
                <w:rFonts w:ascii="Calibri" w:hAnsi="Calibri" w:cs="Calibri"/>
                <w:color w:val="000000"/>
                <w:sz w:val="20"/>
              </w:rPr>
              <w:t> </w:t>
            </w:r>
          </w:p>
        </w:tc>
        <w:tc>
          <w:tcPr>
            <w:tcW w:w="1630" w:type="dxa"/>
            <w:tcBorders>
              <w:top w:val="single" w:color="auto" w:sz="8" w:space="0"/>
              <w:left w:val="nil"/>
              <w:bottom w:val="nil"/>
              <w:right w:val="nil"/>
            </w:tcBorders>
            <w:shd w:val="clear" w:color="auto" w:fill="auto"/>
            <w:noWrap/>
            <w:vAlign w:val="bottom"/>
            <w:hideMark/>
          </w:tcPr>
          <w:p w:rsidRPr="00725A72" w:rsidR="00B91F4B" w:rsidP="00725A72" w:rsidRDefault="00B91F4B" w14:paraId="1F089F1B" w14:textId="77777777">
            <w:pPr>
              <w:widowControl/>
              <w:overflowPunct/>
              <w:autoSpaceDE/>
              <w:autoSpaceDN/>
              <w:adjustRightInd/>
              <w:jc w:val="center"/>
              <w:textAlignment w:val="auto"/>
              <w:rPr>
                <w:rFonts w:ascii="Calibri" w:hAnsi="Calibri" w:cs="Calibri"/>
                <w:b/>
                <w:bCs/>
                <w:color w:val="000000"/>
                <w:sz w:val="20"/>
              </w:rPr>
            </w:pPr>
            <w:r w:rsidRPr="00725A72">
              <w:rPr>
                <w:rFonts w:ascii="Calibri" w:hAnsi="Calibri" w:cs="Calibri"/>
                <w:b/>
                <w:bCs/>
                <w:color w:val="000000"/>
                <w:sz w:val="20"/>
              </w:rPr>
              <w:t>RECORDKEEPING</w:t>
            </w:r>
          </w:p>
        </w:tc>
        <w:tc>
          <w:tcPr>
            <w:tcW w:w="943" w:type="dxa"/>
            <w:tcBorders>
              <w:top w:val="single" w:color="auto" w:sz="8" w:space="0"/>
              <w:left w:val="nil"/>
              <w:bottom w:val="nil"/>
              <w:right w:val="nil"/>
            </w:tcBorders>
            <w:shd w:val="clear" w:color="auto" w:fill="auto"/>
            <w:noWrap/>
            <w:vAlign w:val="bottom"/>
            <w:hideMark/>
          </w:tcPr>
          <w:p w:rsidRPr="00725A72" w:rsidR="00B91F4B" w:rsidP="00725A72" w:rsidRDefault="00B91F4B" w14:paraId="28CC8EE0"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 </w:t>
            </w:r>
          </w:p>
        </w:tc>
        <w:tc>
          <w:tcPr>
            <w:tcW w:w="955" w:type="dxa"/>
            <w:tcBorders>
              <w:top w:val="single" w:color="auto" w:sz="8" w:space="0"/>
              <w:left w:val="nil"/>
              <w:bottom w:val="nil"/>
              <w:right w:val="single" w:color="auto" w:sz="8" w:space="0"/>
            </w:tcBorders>
            <w:shd w:val="clear" w:color="auto" w:fill="auto"/>
            <w:noWrap/>
            <w:vAlign w:val="bottom"/>
            <w:hideMark/>
          </w:tcPr>
          <w:p w:rsidRPr="00725A72" w:rsidR="00B91F4B" w:rsidP="00725A72" w:rsidRDefault="00B91F4B" w14:paraId="4A91E677" w14:textId="77777777">
            <w:pPr>
              <w:widowControl/>
              <w:overflowPunct/>
              <w:autoSpaceDE/>
              <w:autoSpaceDN/>
              <w:adjustRightInd/>
              <w:textAlignment w:val="auto"/>
              <w:rPr>
                <w:rFonts w:ascii="Calibri" w:hAnsi="Calibri" w:cs="Calibri"/>
                <w:color w:val="000000"/>
                <w:sz w:val="20"/>
              </w:rPr>
            </w:pPr>
            <w:r w:rsidRPr="00725A72">
              <w:rPr>
                <w:rFonts w:ascii="Calibri" w:hAnsi="Calibri" w:cs="Calibri"/>
                <w:color w:val="000000"/>
                <w:sz w:val="20"/>
              </w:rPr>
              <w:t> </w:t>
            </w:r>
          </w:p>
        </w:tc>
        <w:tc>
          <w:tcPr>
            <w:tcW w:w="785" w:type="dxa"/>
            <w:tcBorders>
              <w:top w:val="single" w:color="auto" w:sz="8" w:space="0"/>
              <w:left w:val="nil"/>
              <w:bottom w:val="nil"/>
              <w:right w:val="single" w:color="auto" w:sz="8" w:space="0"/>
            </w:tcBorders>
          </w:tcPr>
          <w:p w:rsidRPr="00725A72" w:rsidR="00B91F4B" w:rsidP="00725A72" w:rsidRDefault="00B91F4B" w14:paraId="1E35DB7D" w14:textId="77777777">
            <w:pPr>
              <w:widowControl/>
              <w:overflowPunct/>
              <w:autoSpaceDE/>
              <w:autoSpaceDN/>
              <w:adjustRightInd/>
              <w:textAlignment w:val="auto"/>
              <w:rPr>
                <w:rFonts w:ascii="Calibri" w:hAnsi="Calibri" w:cs="Calibri"/>
                <w:color w:val="000000"/>
                <w:sz w:val="20"/>
              </w:rPr>
            </w:pPr>
          </w:p>
        </w:tc>
        <w:tc>
          <w:tcPr>
            <w:tcW w:w="1026" w:type="dxa"/>
            <w:tcBorders>
              <w:top w:val="single" w:color="auto" w:sz="8" w:space="0"/>
              <w:left w:val="nil"/>
              <w:bottom w:val="nil"/>
              <w:right w:val="single" w:color="auto" w:sz="8" w:space="0"/>
            </w:tcBorders>
          </w:tcPr>
          <w:p w:rsidRPr="00725A72" w:rsidR="00B91F4B" w:rsidP="00725A72" w:rsidRDefault="00B91F4B" w14:paraId="223EFE52" w14:textId="77777777">
            <w:pPr>
              <w:widowControl/>
              <w:overflowPunct/>
              <w:autoSpaceDE/>
              <w:autoSpaceDN/>
              <w:adjustRightInd/>
              <w:textAlignment w:val="auto"/>
              <w:rPr>
                <w:rFonts w:ascii="Calibri" w:hAnsi="Calibri" w:cs="Calibri"/>
                <w:color w:val="000000"/>
                <w:sz w:val="20"/>
              </w:rPr>
            </w:pPr>
          </w:p>
        </w:tc>
        <w:tc>
          <w:tcPr>
            <w:tcW w:w="1256" w:type="dxa"/>
            <w:tcBorders>
              <w:top w:val="single" w:color="auto" w:sz="8" w:space="0"/>
              <w:left w:val="nil"/>
              <w:bottom w:val="nil"/>
              <w:right w:val="single" w:color="auto" w:sz="8" w:space="0"/>
            </w:tcBorders>
          </w:tcPr>
          <w:p w:rsidRPr="00725A72" w:rsidR="00B91F4B" w:rsidP="00725A72" w:rsidRDefault="00B91F4B" w14:paraId="2C9F1187" w14:textId="77777777">
            <w:pPr>
              <w:widowControl/>
              <w:overflowPunct/>
              <w:autoSpaceDE/>
              <w:autoSpaceDN/>
              <w:adjustRightInd/>
              <w:textAlignment w:val="auto"/>
              <w:rPr>
                <w:rFonts w:ascii="Calibri" w:hAnsi="Calibri" w:cs="Calibri"/>
                <w:color w:val="000000"/>
                <w:sz w:val="20"/>
              </w:rPr>
            </w:pPr>
          </w:p>
        </w:tc>
      </w:tr>
      <w:tr w:rsidRPr="00725A72" w:rsidR="00B91F4B" w:rsidTr="008F29DC" w14:paraId="43F0FA51" w14:textId="6D702B2D">
        <w:trPr>
          <w:trHeight w:val="260"/>
        </w:trPr>
        <w:tc>
          <w:tcPr>
            <w:tcW w:w="1106" w:type="dxa"/>
            <w:tcBorders>
              <w:top w:val="single" w:color="auto" w:sz="8" w:space="0"/>
              <w:left w:val="single" w:color="auto" w:sz="8" w:space="0"/>
              <w:bottom w:val="nil"/>
              <w:right w:val="single" w:color="000000" w:sz="4" w:space="0"/>
            </w:tcBorders>
          </w:tcPr>
          <w:p w:rsidRPr="00725A72" w:rsidR="00B91F4B" w:rsidP="00725A72" w:rsidRDefault="00B91F4B" w14:paraId="3B4B0A4C" w14:textId="77777777">
            <w:pPr>
              <w:widowControl/>
              <w:overflowPunct/>
              <w:autoSpaceDE/>
              <w:autoSpaceDN/>
              <w:adjustRightInd/>
              <w:jc w:val="center"/>
              <w:textAlignment w:val="auto"/>
              <w:rPr>
                <w:rFonts w:ascii="Calibri" w:hAnsi="Calibri" w:cs="Calibri"/>
                <w:color w:val="000000"/>
                <w:sz w:val="20"/>
              </w:rPr>
            </w:pPr>
          </w:p>
        </w:tc>
        <w:tc>
          <w:tcPr>
            <w:tcW w:w="1350" w:type="dxa"/>
            <w:tcBorders>
              <w:top w:val="single" w:color="auto" w:sz="8" w:space="0"/>
              <w:left w:val="single" w:color="auto" w:sz="8" w:space="0"/>
              <w:bottom w:val="nil"/>
              <w:right w:val="single" w:color="000000" w:sz="4" w:space="0"/>
            </w:tcBorders>
            <w:shd w:val="clear" w:color="auto" w:fill="auto"/>
            <w:noWrap/>
            <w:vAlign w:val="bottom"/>
            <w:hideMark/>
          </w:tcPr>
          <w:p w:rsidRPr="00725A72" w:rsidR="00B91F4B" w:rsidP="008F29DC" w:rsidRDefault="00B91F4B" w14:paraId="60347117" w14:textId="12CF71BD">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NO.  OF</w:t>
            </w:r>
          </w:p>
        </w:tc>
        <w:tc>
          <w:tcPr>
            <w:tcW w:w="1217" w:type="dxa"/>
            <w:tcBorders>
              <w:top w:val="single" w:color="auto" w:sz="8" w:space="0"/>
              <w:left w:val="nil"/>
              <w:bottom w:val="nil"/>
              <w:right w:val="single" w:color="000000" w:sz="4" w:space="0"/>
            </w:tcBorders>
            <w:shd w:val="clear" w:color="auto" w:fill="auto"/>
            <w:noWrap/>
            <w:vAlign w:val="bottom"/>
            <w:hideMark/>
          </w:tcPr>
          <w:p w:rsidRPr="00725A72" w:rsidR="00B91F4B" w:rsidP="008F29DC" w:rsidRDefault="00B91F4B" w14:paraId="56E36149"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ANNUAL</w:t>
            </w:r>
          </w:p>
        </w:tc>
        <w:tc>
          <w:tcPr>
            <w:tcW w:w="1630" w:type="dxa"/>
            <w:tcBorders>
              <w:top w:val="single" w:color="auto" w:sz="8" w:space="0"/>
              <w:left w:val="nil"/>
              <w:bottom w:val="nil"/>
              <w:right w:val="single" w:color="000000" w:sz="4" w:space="0"/>
            </w:tcBorders>
            <w:shd w:val="clear" w:color="auto" w:fill="auto"/>
            <w:noWrap/>
            <w:vAlign w:val="bottom"/>
            <w:hideMark/>
          </w:tcPr>
          <w:p w:rsidRPr="00725A72" w:rsidR="00B91F4B" w:rsidP="008F29DC" w:rsidRDefault="00B91F4B" w14:paraId="6C1816DE"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TOTAL</w:t>
            </w:r>
          </w:p>
        </w:tc>
        <w:tc>
          <w:tcPr>
            <w:tcW w:w="943" w:type="dxa"/>
            <w:tcBorders>
              <w:top w:val="single" w:color="auto" w:sz="8" w:space="0"/>
              <w:left w:val="nil"/>
              <w:bottom w:val="nil"/>
              <w:right w:val="nil"/>
            </w:tcBorders>
            <w:shd w:val="clear" w:color="auto" w:fill="auto"/>
            <w:noWrap/>
            <w:vAlign w:val="bottom"/>
            <w:hideMark/>
          </w:tcPr>
          <w:p w:rsidRPr="00725A72" w:rsidR="00B91F4B" w:rsidP="008F29DC" w:rsidRDefault="00B91F4B" w14:paraId="73322B52"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HOURS</w:t>
            </w:r>
          </w:p>
        </w:tc>
        <w:tc>
          <w:tcPr>
            <w:tcW w:w="955" w:type="dxa"/>
            <w:tcBorders>
              <w:top w:val="single" w:color="auto" w:sz="8" w:space="0"/>
              <w:left w:val="single" w:color="000000" w:sz="4" w:space="0"/>
              <w:bottom w:val="nil"/>
              <w:right w:val="single" w:color="auto" w:sz="8" w:space="0"/>
            </w:tcBorders>
            <w:shd w:val="clear" w:color="auto" w:fill="auto"/>
            <w:noWrap/>
            <w:vAlign w:val="bottom"/>
            <w:hideMark/>
          </w:tcPr>
          <w:p w:rsidRPr="00725A72" w:rsidR="00B91F4B" w:rsidP="008F29DC" w:rsidRDefault="00B91F4B" w14:paraId="66B4DF8C"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TOTAL</w:t>
            </w:r>
          </w:p>
        </w:tc>
        <w:tc>
          <w:tcPr>
            <w:tcW w:w="785" w:type="dxa"/>
            <w:tcBorders>
              <w:top w:val="single" w:color="auto" w:sz="8" w:space="0"/>
              <w:left w:val="single" w:color="000000" w:sz="4" w:space="0"/>
              <w:bottom w:val="nil"/>
              <w:right w:val="single" w:color="auto" w:sz="8" w:space="0"/>
            </w:tcBorders>
          </w:tcPr>
          <w:p w:rsidRPr="00725A72" w:rsidR="00B91F4B" w:rsidP="008F29DC" w:rsidRDefault="00B91F4B" w14:paraId="022A6504" w14:textId="77777777">
            <w:pPr>
              <w:widowControl/>
              <w:overflowPunct/>
              <w:autoSpaceDE/>
              <w:autoSpaceDN/>
              <w:adjustRightInd/>
              <w:jc w:val="center"/>
              <w:textAlignment w:val="auto"/>
              <w:rPr>
                <w:rFonts w:ascii="Calibri" w:hAnsi="Calibri" w:cs="Calibri"/>
                <w:color w:val="000000"/>
                <w:sz w:val="20"/>
              </w:rPr>
            </w:pPr>
          </w:p>
        </w:tc>
        <w:tc>
          <w:tcPr>
            <w:tcW w:w="1026" w:type="dxa"/>
            <w:tcBorders>
              <w:top w:val="single" w:color="auto" w:sz="8" w:space="0"/>
              <w:left w:val="single" w:color="000000" w:sz="4" w:space="0"/>
              <w:bottom w:val="nil"/>
              <w:right w:val="single" w:color="auto" w:sz="8" w:space="0"/>
            </w:tcBorders>
          </w:tcPr>
          <w:p w:rsidRPr="00725A72" w:rsidR="00B91F4B" w:rsidP="008F29DC" w:rsidRDefault="00B91F4B" w14:paraId="1282F90C" w14:textId="77777777">
            <w:pPr>
              <w:widowControl/>
              <w:overflowPunct/>
              <w:autoSpaceDE/>
              <w:autoSpaceDN/>
              <w:adjustRightInd/>
              <w:jc w:val="center"/>
              <w:textAlignment w:val="auto"/>
              <w:rPr>
                <w:rFonts w:ascii="Calibri" w:hAnsi="Calibri" w:cs="Calibri"/>
                <w:color w:val="000000"/>
                <w:sz w:val="20"/>
              </w:rPr>
            </w:pPr>
          </w:p>
        </w:tc>
        <w:tc>
          <w:tcPr>
            <w:tcW w:w="1256" w:type="dxa"/>
            <w:tcBorders>
              <w:top w:val="single" w:color="auto" w:sz="8" w:space="0"/>
              <w:left w:val="single" w:color="000000" w:sz="4" w:space="0"/>
              <w:bottom w:val="nil"/>
              <w:right w:val="single" w:color="auto" w:sz="8" w:space="0"/>
            </w:tcBorders>
          </w:tcPr>
          <w:p w:rsidRPr="00725A72" w:rsidR="00B91F4B" w:rsidP="00725A72" w:rsidRDefault="00B91F4B" w14:paraId="033553F7" w14:textId="77777777">
            <w:pPr>
              <w:widowControl/>
              <w:overflowPunct/>
              <w:autoSpaceDE/>
              <w:autoSpaceDN/>
              <w:adjustRightInd/>
              <w:jc w:val="center"/>
              <w:textAlignment w:val="auto"/>
              <w:rPr>
                <w:rFonts w:ascii="Calibri" w:hAnsi="Calibri" w:cs="Calibri"/>
                <w:color w:val="000000"/>
                <w:sz w:val="20"/>
              </w:rPr>
            </w:pPr>
          </w:p>
        </w:tc>
      </w:tr>
      <w:tr w:rsidRPr="00725A72" w:rsidR="00B91F4B" w:rsidTr="008F29DC" w14:paraId="2D9B03BD" w14:textId="2FE2CC86">
        <w:trPr>
          <w:trHeight w:val="260"/>
        </w:trPr>
        <w:tc>
          <w:tcPr>
            <w:tcW w:w="1106" w:type="dxa"/>
            <w:tcBorders>
              <w:top w:val="nil"/>
              <w:left w:val="single" w:color="auto" w:sz="8" w:space="0"/>
              <w:bottom w:val="nil"/>
              <w:right w:val="single" w:color="000000" w:sz="4" w:space="0"/>
            </w:tcBorders>
          </w:tcPr>
          <w:p w:rsidRPr="00725A72" w:rsidR="00B91F4B" w:rsidP="008F29DC" w:rsidRDefault="00B91F4B" w14:paraId="728F9B41" w14:textId="3BD1EC29">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Regulatory Citation</w:t>
            </w:r>
          </w:p>
        </w:tc>
        <w:tc>
          <w:tcPr>
            <w:tcW w:w="1350" w:type="dxa"/>
            <w:tcBorders>
              <w:top w:val="nil"/>
              <w:left w:val="single" w:color="auto" w:sz="8" w:space="0"/>
              <w:bottom w:val="nil"/>
              <w:right w:val="single" w:color="000000" w:sz="4" w:space="0"/>
            </w:tcBorders>
            <w:shd w:val="clear" w:color="auto" w:fill="auto"/>
            <w:noWrap/>
            <w:vAlign w:val="bottom"/>
            <w:hideMark/>
          </w:tcPr>
          <w:p w:rsidRPr="00725A72" w:rsidR="00B91F4B" w:rsidP="008F29DC" w:rsidRDefault="00B91F4B" w14:paraId="0EBFC3F4" w14:textId="48D6C6A6">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RECORD-</w:t>
            </w:r>
          </w:p>
        </w:tc>
        <w:tc>
          <w:tcPr>
            <w:tcW w:w="1217" w:type="dxa"/>
            <w:tcBorders>
              <w:top w:val="nil"/>
              <w:left w:val="nil"/>
              <w:bottom w:val="nil"/>
              <w:right w:val="single" w:color="000000" w:sz="4" w:space="0"/>
            </w:tcBorders>
            <w:shd w:val="clear" w:color="auto" w:fill="auto"/>
            <w:noWrap/>
            <w:vAlign w:val="bottom"/>
            <w:hideMark/>
          </w:tcPr>
          <w:p w:rsidRPr="00725A72" w:rsidR="00B91F4B" w:rsidP="008F29DC" w:rsidRDefault="00B91F4B" w14:paraId="6DCD28E7"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RECORDS</w:t>
            </w:r>
          </w:p>
        </w:tc>
        <w:tc>
          <w:tcPr>
            <w:tcW w:w="1630" w:type="dxa"/>
            <w:tcBorders>
              <w:top w:val="nil"/>
              <w:left w:val="nil"/>
              <w:bottom w:val="nil"/>
              <w:right w:val="single" w:color="000000" w:sz="4" w:space="0"/>
            </w:tcBorders>
            <w:shd w:val="clear" w:color="auto" w:fill="auto"/>
            <w:noWrap/>
            <w:vAlign w:val="bottom"/>
            <w:hideMark/>
          </w:tcPr>
          <w:p w:rsidRPr="00725A72" w:rsidR="00B91F4B" w:rsidP="008F29DC" w:rsidRDefault="00B91F4B" w14:paraId="72A707C6"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RECORDS</w:t>
            </w:r>
          </w:p>
        </w:tc>
        <w:tc>
          <w:tcPr>
            <w:tcW w:w="943" w:type="dxa"/>
            <w:tcBorders>
              <w:top w:val="nil"/>
              <w:left w:val="nil"/>
              <w:bottom w:val="nil"/>
              <w:right w:val="nil"/>
            </w:tcBorders>
            <w:shd w:val="clear" w:color="auto" w:fill="auto"/>
            <w:noWrap/>
            <w:vAlign w:val="bottom"/>
            <w:hideMark/>
          </w:tcPr>
          <w:p w:rsidRPr="00725A72" w:rsidR="00B91F4B" w:rsidP="008F29DC" w:rsidRDefault="00B91F4B" w14:paraId="0CE21977"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 xml:space="preserve">PER </w:t>
            </w:r>
          </w:p>
        </w:tc>
        <w:tc>
          <w:tcPr>
            <w:tcW w:w="955" w:type="dxa"/>
            <w:tcBorders>
              <w:top w:val="nil"/>
              <w:left w:val="single" w:color="000000" w:sz="4" w:space="0"/>
              <w:bottom w:val="nil"/>
              <w:right w:val="single" w:color="auto" w:sz="8" w:space="0"/>
            </w:tcBorders>
            <w:shd w:val="clear" w:color="auto" w:fill="auto"/>
            <w:noWrap/>
            <w:vAlign w:val="bottom"/>
            <w:hideMark/>
          </w:tcPr>
          <w:p w:rsidRPr="00725A72" w:rsidR="00B91F4B" w:rsidP="008F29DC" w:rsidRDefault="00B91F4B" w14:paraId="58F7984F"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RECORD-</w:t>
            </w:r>
          </w:p>
        </w:tc>
        <w:tc>
          <w:tcPr>
            <w:tcW w:w="785" w:type="dxa"/>
            <w:tcBorders>
              <w:top w:val="nil"/>
              <w:left w:val="single" w:color="000000" w:sz="4" w:space="0"/>
              <w:bottom w:val="nil"/>
              <w:right w:val="single" w:color="auto" w:sz="8" w:space="0"/>
            </w:tcBorders>
          </w:tcPr>
          <w:p w:rsidRPr="00725A72" w:rsidR="00B91F4B" w:rsidP="008F29DC" w:rsidRDefault="00B91F4B" w14:paraId="44D0D1FF" w14:textId="53929E7F">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Hourly cost</w:t>
            </w:r>
          </w:p>
        </w:tc>
        <w:tc>
          <w:tcPr>
            <w:tcW w:w="1026" w:type="dxa"/>
            <w:tcBorders>
              <w:top w:val="nil"/>
              <w:left w:val="single" w:color="000000" w:sz="4" w:space="0"/>
              <w:bottom w:val="nil"/>
              <w:right w:val="single" w:color="auto" w:sz="8" w:space="0"/>
            </w:tcBorders>
          </w:tcPr>
          <w:p w:rsidRPr="00725A72" w:rsidR="00B91F4B" w:rsidP="008F29DC" w:rsidRDefault="00B91F4B" w14:paraId="18B8FE9F" w14:textId="2D76618F">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total</w:t>
            </w:r>
          </w:p>
        </w:tc>
        <w:tc>
          <w:tcPr>
            <w:tcW w:w="1256" w:type="dxa"/>
            <w:tcBorders>
              <w:top w:val="nil"/>
              <w:left w:val="single" w:color="000000" w:sz="4" w:space="0"/>
              <w:bottom w:val="nil"/>
              <w:right w:val="single" w:color="auto" w:sz="8" w:space="0"/>
            </w:tcBorders>
          </w:tcPr>
          <w:p w:rsidR="00B91F4B" w:rsidP="008F29DC" w:rsidRDefault="00B91F4B" w14:paraId="2ACD0773" w14:textId="52B0522A">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Total with fully loaded wages</w:t>
            </w:r>
          </w:p>
        </w:tc>
      </w:tr>
      <w:tr w:rsidRPr="00725A72" w:rsidR="00B91F4B" w:rsidTr="008F29DC" w14:paraId="4B0255CA" w14:textId="16A39E4C">
        <w:trPr>
          <w:trHeight w:val="260"/>
        </w:trPr>
        <w:tc>
          <w:tcPr>
            <w:tcW w:w="1106" w:type="dxa"/>
            <w:tcBorders>
              <w:top w:val="nil"/>
              <w:left w:val="single" w:color="auto" w:sz="8" w:space="0"/>
              <w:bottom w:val="nil"/>
              <w:right w:val="single" w:color="000000" w:sz="4" w:space="0"/>
            </w:tcBorders>
          </w:tcPr>
          <w:p w:rsidRPr="00725A72" w:rsidR="00B91F4B" w:rsidP="00725A72" w:rsidRDefault="00B91F4B" w14:paraId="6D0EBDE1" w14:textId="77777777">
            <w:pPr>
              <w:widowControl/>
              <w:overflowPunct/>
              <w:autoSpaceDE/>
              <w:autoSpaceDN/>
              <w:adjustRightInd/>
              <w:jc w:val="center"/>
              <w:textAlignment w:val="auto"/>
              <w:rPr>
                <w:rFonts w:ascii="Calibri" w:hAnsi="Calibri" w:cs="Calibri"/>
                <w:color w:val="000000"/>
                <w:sz w:val="20"/>
              </w:rPr>
            </w:pPr>
          </w:p>
        </w:tc>
        <w:tc>
          <w:tcPr>
            <w:tcW w:w="1350" w:type="dxa"/>
            <w:tcBorders>
              <w:top w:val="nil"/>
              <w:left w:val="single" w:color="auto" w:sz="8" w:space="0"/>
              <w:bottom w:val="nil"/>
              <w:right w:val="single" w:color="000000" w:sz="4" w:space="0"/>
            </w:tcBorders>
            <w:shd w:val="clear" w:color="auto" w:fill="auto"/>
            <w:noWrap/>
            <w:vAlign w:val="bottom"/>
            <w:hideMark/>
          </w:tcPr>
          <w:p w:rsidRPr="00725A72" w:rsidR="00B91F4B" w:rsidP="00725A72" w:rsidRDefault="00B91F4B" w14:paraId="2EEB38DC" w14:textId="0A43FB5C">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KEEPERS</w:t>
            </w:r>
          </w:p>
        </w:tc>
        <w:tc>
          <w:tcPr>
            <w:tcW w:w="1217" w:type="dxa"/>
            <w:tcBorders>
              <w:top w:val="nil"/>
              <w:left w:val="nil"/>
              <w:bottom w:val="nil"/>
              <w:right w:val="single" w:color="000000" w:sz="4" w:space="0"/>
            </w:tcBorders>
            <w:shd w:val="clear" w:color="auto" w:fill="auto"/>
            <w:noWrap/>
            <w:vAlign w:val="bottom"/>
            <w:hideMark/>
          </w:tcPr>
          <w:p w:rsidRPr="00725A72" w:rsidR="00B91F4B" w:rsidP="00725A72" w:rsidRDefault="00B91F4B" w14:paraId="10F1298A"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 xml:space="preserve">PER </w:t>
            </w:r>
          </w:p>
        </w:tc>
        <w:tc>
          <w:tcPr>
            <w:tcW w:w="1630" w:type="dxa"/>
            <w:tcBorders>
              <w:top w:val="nil"/>
              <w:left w:val="nil"/>
              <w:bottom w:val="nil"/>
              <w:right w:val="single" w:color="000000" w:sz="4" w:space="0"/>
            </w:tcBorders>
            <w:shd w:val="clear" w:color="auto" w:fill="auto"/>
            <w:noWrap/>
            <w:vAlign w:val="bottom"/>
            <w:hideMark/>
          </w:tcPr>
          <w:p w:rsidRPr="00725A72" w:rsidR="00B91F4B" w:rsidP="00725A72" w:rsidRDefault="00B91F4B" w14:paraId="0ED34FE7"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PER</w:t>
            </w:r>
          </w:p>
        </w:tc>
        <w:tc>
          <w:tcPr>
            <w:tcW w:w="943" w:type="dxa"/>
            <w:tcBorders>
              <w:top w:val="nil"/>
              <w:left w:val="nil"/>
              <w:bottom w:val="nil"/>
              <w:right w:val="nil"/>
            </w:tcBorders>
            <w:shd w:val="clear" w:color="auto" w:fill="auto"/>
            <w:noWrap/>
            <w:vAlign w:val="bottom"/>
            <w:hideMark/>
          </w:tcPr>
          <w:p w:rsidRPr="00725A72" w:rsidR="00B91F4B" w:rsidP="00725A72" w:rsidRDefault="00B91F4B" w14:paraId="5BAD104E"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RECORD</w:t>
            </w:r>
          </w:p>
        </w:tc>
        <w:tc>
          <w:tcPr>
            <w:tcW w:w="955" w:type="dxa"/>
            <w:tcBorders>
              <w:top w:val="nil"/>
              <w:left w:val="single" w:color="000000" w:sz="4" w:space="0"/>
              <w:bottom w:val="nil"/>
              <w:right w:val="single" w:color="auto" w:sz="8" w:space="0"/>
            </w:tcBorders>
            <w:shd w:val="clear" w:color="auto" w:fill="auto"/>
            <w:noWrap/>
            <w:vAlign w:val="bottom"/>
            <w:hideMark/>
          </w:tcPr>
          <w:p w:rsidRPr="00725A72" w:rsidR="00B91F4B" w:rsidP="00725A72" w:rsidRDefault="00B91F4B" w14:paraId="195773CE" w14:textId="77777777">
            <w:pPr>
              <w:widowControl/>
              <w:overflowPunct/>
              <w:autoSpaceDE/>
              <w:autoSpaceDN/>
              <w:adjustRightInd/>
              <w:jc w:val="center"/>
              <w:textAlignment w:val="auto"/>
              <w:rPr>
                <w:rFonts w:ascii="Calibri" w:hAnsi="Calibri" w:cs="Calibri"/>
                <w:color w:val="000000"/>
                <w:sz w:val="20"/>
              </w:rPr>
            </w:pPr>
            <w:r w:rsidRPr="00725A72">
              <w:rPr>
                <w:rFonts w:ascii="Calibri" w:hAnsi="Calibri" w:cs="Calibri"/>
                <w:color w:val="000000"/>
                <w:sz w:val="20"/>
              </w:rPr>
              <w:t>KEEPING</w:t>
            </w:r>
          </w:p>
        </w:tc>
        <w:tc>
          <w:tcPr>
            <w:tcW w:w="785" w:type="dxa"/>
            <w:tcBorders>
              <w:top w:val="nil"/>
              <w:left w:val="single" w:color="000000" w:sz="4" w:space="0"/>
              <w:bottom w:val="nil"/>
              <w:right w:val="single" w:color="auto" w:sz="8" w:space="0"/>
            </w:tcBorders>
          </w:tcPr>
          <w:p w:rsidRPr="00725A72" w:rsidR="00B91F4B" w:rsidP="00725A72" w:rsidRDefault="00B91F4B" w14:paraId="3083F78E" w14:textId="77777777">
            <w:pPr>
              <w:widowControl/>
              <w:overflowPunct/>
              <w:autoSpaceDE/>
              <w:autoSpaceDN/>
              <w:adjustRightInd/>
              <w:jc w:val="center"/>
              <w:textAlignment w:val="auto"/>
              <w:rPr>
                <w:rFonts w:ascii="Calibri" w:hAnsi="Calibri" w:cs="Calibri"/>
                <w:color w:val="000000"/>
                <w:sz w:val="20"/>
              </w:rPr>
            </w:pPr>
          </w:p>
        </w:tc>
        <w:tc>
          <w:tcPr>
            <w:tcW w:w="1026" w:type="dxa"/>
            <w:tcBorders>
              <w:top w:val="nil"/>
              <w:left w:val="single" w:color="000000" w:sz="4" w:space="0"/>
              <w:bottom w:val="nil"/>
              <w:right w:val="single" w:color="auto" w:sz="8" w:space="0"/>
            </w:tcBorders>
          </w:tcPr>
          <w:p w:rsidRPr="00725A72" w:rsidR="00B91F4B" w:rsidP="00725A72" w:rsidRDefault="00B91F4B" w14:paraId="66188191" w14:textId="77777777">
            <w:pPr>
              <w:widowControl/>
              <w:overflowPunct/>
              <w:autoSpaceDE/>
              <w:autoSpaceDN/>
              <w:adjustRightInd/>
              <w:jc w:val="center"/>
              <w:textAlignment w:val="auto"/>
              <w:rPr>
                <w:rFonts w:ascii="Calibri" w:hAnsi="Calibri" w:cs="Calibri"/>
                <w:color w:val="000000"/>
                <w:sz w:val="20"/>
              </w:rPr>
            </w:pPr>
          </w:p>
        </w:tc>
        <w:tc>
          <w:tcPr>
            <w:tcW w:w="1256" w:type="dxa"/>
            <w:tcBorders>
              <w:top w:val="nil"/>
              <w:left w:val="single" w:color="000000" w:sz="4" w:space="0"/>
              <w:bottom w:val="nil"/>
              <w:right w:val="single" w:color="auto" w:sz="8" w:space="0"/>
            </w:tcBorders>
          </w:tcPr>
          <w:p w:rsidRPr="00725A72" w:rsidR="00B91F4B" w:rsidP="00725A72" w:rsidRDefault="00B91F4B" w14:paraId="1DFC8315" w14:textId="77777777">
            <w:pPr>
              <w:widowControl/>
              <w:overflowPunct/>
              <w:autoSpaceDE/>
              <w:autoSpaceDN/>
              <w:adjustRightInd/>
              <w:jc w:val="center"/>
              <w:textAlignment w:val="auto"/>
              <w:rPr>
                <w:rFonts w:ascii="Calibri" w:hAnsi="Calibri" w:cs="Calibri"/>
                <w:color w:val="000000"/>
                <w:sz w:val="20"/>
              </w:rPr>
            </w:pPr>
          </w:p>
        </w:tc>
      </w:tr>
      <w:tr w:rsidRPr="00725A72" w:rsidR="00B91F4B" w:rsidTr="008F29DC" w14:paraId="755F79CC" w14:textId="7B3D7C51">
        <w:trPr>
          <w:trHeight w:val="270"/>
        </w:trPr>
        <w:tc>
          <w:tcPr>
            <w:tcW w:w="1106" w:type="dxa"/>
            <w:tcBorders>
              <w:top w:val="single" w:color="auto" w:sz="4" w:space="0"/>
              <w:left w:val="single" w:color="auto" w:sz="8" w:space="0"/>
              <w:bottom w:val="single" w:color="auto" w:sz="8" w:space="0"/>
              <w:right w:val="single" w:color="auto" w:sz="4" w:space="0"/>
            </w:tcBorders>
          </w:tcPr>
          <w:p w:rsidRPr="00725A72" w:rsidR="00B91F4B" w:rsidP="00725A72" w:rsidRDefault="00B91F4B" w14:paraId="6BDF985E" w14:textId="27EFE62C">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272.1(f)</w:t>
            </w:r>
          </w:p>
        </w:tc>
        <w:tc>
          <w:tcPr>
            <w:tcW w:w="1350" w:type="dxa"/>
            <w:tcBorders>
              <w:top w:val="single" w:color="auto" w:sz="4" w:space="0"/>
              <w:left w:val="single" w:color="auto" w:sz="8" w:space="0"/>
              <w:bottom w:val="single" w:color="auto" w:sz="8" w:space="0"/>
              <w:right w:val="single" w:color="auto" w:sz="4" w:space="0"/>
            </w:tcBorders>
            <w:shd w:val="clear" w:color="auto" w:fill="auto"/>
            <w:noWrap/>
            <w:vAlign w:val="bottom"/>
            <w:hideMark/>
          </w:tcPr>
          <w:p w:rsidRPr="00725A72" w:rsidR="00B91F4B" w:rsidP="00725A72" w:rsidRDefault="00B91F4B" w14:paraId="33A209D0" w14:textId="69974930">
            <w:pPr>
              <w:widowControl/>
              <w:overflowPunct/>
              <w:autoSpaceDE/>
              <w:autoSpaceDN/>
              <w:adjustRightInd/>
              <w:jc w:val="right"/>
              <w:textAlignment w:val="auto"/>
              <w:rPr>
                <w:rFonts w:ascii="Calibri" w:hAnsi="Calibri" w:cs="Calibri"/>
                <w:color w:val="000000"/>
                <w:sz w:val="20"/>
              </w:rPr>
            </w:pPr>
            <w:r w:rsidRPr="00725A72">
              <w:rPr>
                <w:rFonts w:ascii="Calibri" w:hAnsi="Calibri" w:cs="Calibri"/>
                <w:color w:val="000000"/>
                <w:sz w:val="20"/>
              </w:rPr>
              <w:t xml:space="preserve">53 </w:t>
            </w:r>
          </w:p>
        </w:tc>
        <w:tc>
          <w:tcPr>
            <w:tcW w:w="1217" w:type="dxa"/>
            <w:tcBorders>
              <w:top w:val="single" w:color="auto" w:sz="4" w:space="0"/>
              <w:left w:val="nil"/>
              <w:bottom w:val="single" w:color="auto" w:sz="8" w:space="0"/>
              <w:right w:val="nil"/>
            </w:tcBorders>
            <w:shd w:val="clear" w:color="auto" w:fill="auto"/>
            <w:noWrap/>
            <w:vAlign w:val="bottom"/>
            <w:hideMark/>
          </w:tcPr>
          <w:p w:rsidRPr="00725A72" w:rsidR="00B91F4B" w:rsidP="00725A72" w:rsidRDefault="00B91F4B" w14:paraId="6A5F4BD3" w14:textId="77777777">
            <w:pPr>
              <w:widowControl/>
              <w:overflowPunct/>
              <w:autoSpaceDE/>
              <w:autoSpaceDN/>
              <w:adjustRightInd/>
              <w:jc w:val="right"/>
              <w:textAlignment w:val="auto"/>
              <w:rPr>
                <w:rFonts w:ascii="Calibri" w:hAnsi="Calibri" w:cs="Calibri"/>
                <w:color w:val="000000"/>
                <w:sz w:val="20"/>
              </w:rPr>
            </w:pPr>
            <w:r w:rsidRPr="00725A72">
              <w:rPr>
                <w:rFonts w:ascii="Calibri" w:hAnsi="Calibri" w:cs="Calibri"/>
                <w:color w:val="000000"/>
                <w:sz w:val="20"/>
              </w:rPr>
              <w:t xml:space="preserve">52 </w:t>
            </w:r>
          </w:p>
        </w:tc>
        <w:tc>
          <w:tcPr>
            <w:tcW w:w="1630" w:type="dxa"/>
            <w:tcBorders>
              <w:top w:val="single" w:color="auto" w:sz="4" w:space="0"/>
              <w:left w:val="single" w:color="auto" w:sz="4" w:space="0"/>
              <w:bottom w:val="single" w:color="auto" w:sz="8" w:space="0"/>
              <w:right w:val="single" w:color="auto" w:sz="4" w:space="0"/>
            </w:tcBorders>
            <w:shd w:val="clear" w:color="auto" w:fill="auto"/>
            <w:noWrap/>
            <w:vAlign w:val="bottom"/>
            <w:hideMark/>
          </w:tcPr>
          <w:p w:rsidRPr="00725A72" w:rsidR="00B91F4B" w:rsidP="00725A72" w:rsidRDefault="00B91F4B" w14:paraId="64ECC0A1" w14:textId="77777777">
            <w:pPr>
              <w:widowControl/>
              <w:overflowPunct/>
              <w:autoSpaceDE/>
              <w:autoSpaceDN/>
              <w:adjustRightInd/>
              <w:jc w:val="right"/>
              <w:textAlignment w:val="auto"/>
              <w:rPr>
                <w:rFonts w:ascii="Calibri" w:hAnsi="Calibri" w:cs="Calibri"/>
                <w:sz w:val="20"/>
              </w:rPr>
            </w:pPr>
            <w:r w:rsidRPr="00725A72">
              <w:rPr>
                <w:rFonts w:ascii="Calibri" w:hAnsi="Calibri" w:cs="Calibri"/>
                <w:sz w:val="20"/>
              </w:rPr>
              <w:t>2,756</w:t>
            </w:r>
          </w:p>
        </w:tc>
        <w:tc>
          <w:tcPr>
            <w:tcW w:w="943" w:type="dxa"/>
            <w:tcBorders>
              <w:top w:val="single" w:color="auto" w:sz="4" w:space="0"/>
              <w:left w:val="nil"/>
              <w:bottom w:val="single" w:color="auto" w:sz="8" w:space="0"/>
              <w:right w:val="nil"/>
            </w:tcBorders>
            <w:shd w:val="clear" w:color="auto" w:fill="auto"/>
            <w:noWrap/>
            <w:vAlign w:val="bottom"/>
            <w:hideMark/>
          </w:tcPr>
          <w:p w:rsidRPr="00725A72" w:rsidR="00B91F4B" w:rsidP="00725A72" w:rsidRDefault="00B91F4B" w14:paraId="69A6DEAA" w14:textId="77777777">
            <w:pPr>
              <w:widowControl/>
              <w:overflowPunct/>
              <w:autoSpaceDE/>
              <w:autoSpaceDN/>
              <w:adjustRightInd/>
              <w:jc w:val="right"/>
              <w:textAlignment w:val="auto"/>
              <w:rPr>
                <w:rFonts w:ascii="Calibri" w:hAnsi="Calibri" w:cs="Calibri"/>
                <w:color w:val="000000"/>
                <w:sz w:val="20"/>
              </w:rPr>
            </w:pPr>
            <w:r w:rsidRPr="00725A72">
              <w:rPr>
                <w:rFonts w:ascii="Calibri" w:hAnsi="Calibri" w:cs="Calibri"/>
                <w:color w:val="000000"/>
                <w:sz w:val="20"/>
              </w:rPr>
              <w:t xml:space="preserve">0.25 </w:t>
            </w:r>
          </w:p>
        </w:tc>
        <w:tc>
          <w:tcPr>
            <w:tcW w:w="955" w:type="dxa"/>
            <w:tcBorders>
              <w:top w:val="single" w:color="auto" w:sz="4" w:space="0"/>
              <w:left w:val="single" w:color="auto" w:sz="4" w:space="0"/>
              <w:bottom w:val="single" w:color="auto" w:sz="8" w:space="0"/>
              <w:right w:val="single" w:color="auto" w:sz="8" w:space="0"/>
            </w:tcBorders>
            <w:shd w:val="clear" w:color="auto" w:fill="auto"/>
            <w:noWrap/>
            <w:vAlign w:val="bottom"/>
            <w:hideMark/>
          </w:tcPr>
          <w:p w:rsidRPr="00725A72" w:rsidR="00B91F4B" w:rsidP="00725A72" w:rsidRDefault="00B91F4B" w14:paraId="41B91B77" w14:textId="77777777">
            <w:pPr>
              <w:widowControl/>
              <w:overflowPunct/>
              <w:autoSpaceDE/>
              <w:autoSpaceDN/>
              <w:adjustRightInd/>
              <w:jc w:val="right"/>
              <w:textAlignment w:val="auto"/>
              <w:rPr>
                <w:rFonts w:ascii="Calibri" w:hAnsi="Calibri" w:cs="Calibri"/>
                <w:sz w:val="20"/>
              </w:rPr>
            </w:pPr>
            <w:r w:rsidRPr="00725A72">
              <w:rPr>
                <w:rFonts w:ascii="Calibri" w:hAnsi="Calibri" w:cs="Calibri"/>
                <w:sz w:val="20"/>
              </w:rPr>
              <w:t>689.00</w:t>
            </w:r>
          </w:p>
        </w:tc>
        <w:tc>
          <w:tcPr>
            <w:tcW w:w="785" w:type="dxa"/>
            <w:tcBorders>
              <w:top w:val="single" w:color="auto" w:sz="4" w:space="0"/>
              <w:left w:val="single" w:color="auto" w:sz="4" w:space="0"/>
              <w:bottom w:val="single" w:color="auto" w:sz="8" w:space="0"/>
              <w:right w:val="single" w:color="auto" w:sz="8" w:space="0"/>
            </w:tcBorders>
          </w:tcPr>
          <w:p w:rsidRPr="00725A72" w:rsidR="00B91F4B" w:rsidP="00725A72" w:rsidRDefault="00B91F4B" w14:paraId="55C5AEBE" w14:textId="2EF3A7BE">
            <w:pPr>
              <w:widowControl/>
              <w:overflowPunct/>
              <w:autoSpaceDE/>
              <w:autoSpaceDN/>
              <w:adjustRightInd/>
              <w:jc w:val="right"/>
              <w:textAlignment w:val="auto"/>
              <w:rPr>
                <w:rFonts w:ascii="Calibri" w:hAnsi="Calibri" w:cs="Calibri"/>
                <w:sz w:val="20"/>
              </w:rPr>
            </w:pPr>
            <w:r>
              <w:rPr>
                <w:rFonts w:ascii="Calibri" w:hAnsi="Calibri" w:cs="Calibri"/>
                <w:sz w:val="20"/>
              </w:rPr>
              <w:t>11.40</w:t>
            </w:r>
          </w:p>
        </w:tc>
        <w:tc>
          <w:tcPr>
            <w:tcW w:w="1026" w:type="dxa"/>
            <w:tcBorders>
              <w:top w:val="single" w:color="auto" w:sz="4" w:space="0"/>
              <w:left w:val="single" w:color="auto" w:sz="4" w:space="0"/>
              <w:bottom w:val="single" w:color="auto" w:sz="8" w:space="0"/>
              <w:right w:val="single" w:color="auto" w:sz="8" w:space="0"/>
            </w:tcBorders>
          </w:tcPr>
          <w:p w:rsidRPr="00725A72" w:rsidR="00B91F4B" w:rsidP="00725A72" w:rsidRDefault="00B91F4B" w14:paraId="1A618CC3" w14:textId="547702CF">
            <w:pPr>
              <w:widowControl/>
              <w:overflowPunct/>
              <w:autoSpaceDE/>
              <w:autoSpaceDN/>
              <w:adjustRightInd/>
              <w:jc w:val="right"/>
              <w:textAlignment w:val="auto"/>
              <w:rPr>
                <w:rFonts w:ascii="Calibri" w:hAnsi="Calibri" w:cs="Calibri"/>
                <w:sz w:val="20"/>
              </w:rPr>
            </w:pPr>
            <w:r>
              <w:rPr>
                <w:rFonts w:ascii="Calibri" w:hAnsi="Calibri" w:cs="Calibri"/>
                <w:sz w:val="20"/>
              </w:rPr>
              <w:t>$7,584.60</w:t>
            </w:r>
          </w:p>
        </w:tc>
        <w:tc>
          <w:tcPr>
            <w:tcW w:w="1256" w:type="dxa"/>
            <w:tcBorders>
              <w:top w:val="single" w:color="auto" w:sz="4" w:space="0"/>
              <w:left w:val="single" w:color="auto" w:sz="4" w:space="0"/>
              <w:bottom w:val="single" w:color="auto" w:sz="8" w:space="0"/>
              <w:right w:val="single" w:color="auto" w:sz="8" w:space="0"/>
            </w:tcBorders>
          </w:tcPr>
          <w:p w:rsidRPr="00725A72" w:rsidR="00B91F4B" w:rsidP="00725A72" w:rsidRDefault="00B91F4B" w14:paraId="00D71868" w14:textId="74B3906B">
            <w:pPr>
              <w:widowControl/>
              <w:overflowPunct/>
              <w:autoSpaceDE/>
              <w:autoSpaceDN/>
              <w:adjustRightInd/>
              <w:jc w:val="right"/>
              <w:textAlignment w:val="auto"/>
              <w:rPr>
                <w:rFonts w:ascii="Calibri" w:hAnsi="Calibri" w:cs="Calibri"/>
                <w:sz w:val="20"/>
              </w:rPr>
            </w:pPr>
            <w:r>
              <w:rPr>
                <w:rFonts w:ascii="Calibri" w:hAnsi="Calibri" w:cs="Calibri"/>
                <w:sz w:val="20"/>
              </w:rPr>
              <w:t>$10,446.62</w:t>
            </w:r>
          </w:p>
        </w:tc>
      </w:tr>
    </w:tbl>
    <w:p w:rsidR="00725A72" w:rsidP="00D62A22" w:rsidRDefault="00725A72" w14:paraId="61F1506D" w14:textId="77777777">
      <w:pPr>
        <w:tabs>
          <w:tab w:val="left" w:pos="-720"/>
        </w:tabs>
        <w:suppressAutoHyphens/>
        <w:spacing w:line="480" w:lineRule="auto"/>
        <w:rPr>
          <w:rFonts w:ascii="Times New Roman" w:hAnsi="Times New Roman"/>
          <w:szCs w:val="24"/>
        </w:rPr>
      </w:pPr>
    </w:p>
    <w:p w:rsidRPr="002568E6" w:rsidR="00A308DB" w:rsidP="000438E8" w:rsidRDefault="00A308DB" w14:paraId="693AD32B" w14:textId="77777777">
      <w:pPr>
        <w:tabs>
          <w:tab w:val="left" w:pos="0"/>
        </w:tabs>
        <w:suppressAutoHyphens/>
        <w:rPr>
          <w:rFonts w:ascii="Times New Roman" w:hAnsi="Times New Roman"/>
          <w:b/>
          <w:szCs w:val="24"/>
        </w:rPr>
      </w:pPr>
    </w:p>
    <w:p w:rsidR="00ED28F2" w:rsidP="00ED28F2" w:rsidRDefault="000D6ECF" w14:paraId="10C4086B" w14:textId="33CCF052">
      <w:pPr>
        <w:tabs>
          <w:tab w:val="left" w:pos="-720"/>
        </w:tabs>
        <w:suppressAutoHyphens/>
        <w:spacing w:line="480" w:lineRule="auto"/>
        <w:rPr>
          <w:rFonts w:ascii="Times New Roman" w:hAnsi="Times New Roman"/>
          <w:szCs w:val="24"/>
        </w:rPr>
      </w:pPr>
      <w:r>
        <w:rPr>
          <w:rFonts w:ascii="Times New Roman" w:hAnsi="Times New Roman"/>
          <w:szCs w:val="24"/>
        </w:rPr>
        <w:t xml:space="preserve">The annual cost burden to both affected publics is </w:t>
      </w:r>
      <w:r w:rsidR="00C14FFE">
        <w:rPr>
          <w:rFonts w:ascii="Times New Roman" w:hAnsi="Times New Roman"/>
          <w:szCs w:val="24"/>
        </w:rPr>
        <w:t>$</w:t>
      </w:r>
      <w:r w:rsidR="006644E6">
        <w:rPr>
          <w:rFonts w:ascii="Times New Roman" w:hAnsi="Times New Roman"/>
          <w:szCs w:val="24"/>
        </w:rPr>
        <w:t>59</w:t>
      </w:r>
      <w:r w:rsidR="000C4FEB">
        <w:rPr>
          <w:rFonts w:ascii="Times New Roman" w:hAnsi="Times New Roman"/>
          <w:szCs w:val="24"/>
        </w:rPr>
        <w:t>4.060.39</w:t>
      </w:r>
      <w:r w:rsidR="00C14FFE">
        <w:rPr>
          <w:rFonts w:ascii="Times New Roman" w:hAnsi="Times New Roman"/>
          <w:szCs w:val="24"/>
        </w:rPr>
        <w:t xml:space="preserve"> ($</w:t>
      </w:r>
      <w:r w:rsidR="000C4FEB">
        <w:rPr>
          <w:rFonts w:ascii="Times New Roman" w:hAnsi="Times New Roman"/>
          <w:szCs w:val="24"/>
        </w:rPr>
        <w:t xml:space="preserve">141,497.73 </w:t>
      </w:r>
      <w:r w:rsidR="00C14FFE">
        <w:rPr>
          <w:rFonts w:ascii="Times New Roman" w:hAnsi="Times New Roman"/>
          <w:szCs w:val="24"/>
        </w:rPr>
        <w:t>State agencies includes fringe benefits, repo</w:t>
      </w:r>
      <w:r w:rsidR="006644E6">
        <w:rPr>
          <w:rFonts w:ascii="Times New Roman" w:hAnsi="Times New Roman"/>
          <w:szCs w:val="24"/>
        </w:rPr>
        <w:t>rting + $10,</w:t>
      </w:r>
      <w:r w:rsidR="000C4FEB">
        <w:rPr>
          <w:rFonts w:ascii="Times New Roman" w:hAnsi="Times New Roman"/>
          <w:szCs w:val="24"/>
        </w:rPr>
        <w:t>446.62</w:t>
      </w:r>
      <w:r w:rsidR="00C14FFE">
        <w:rPr>
          <w:rFonts w:ascii="Times New Roman" w:hAnsi="Times New Roman"/>
          <w:szCs w:val="24"/>
        </w:rPr>
        <w:t xml:space="preserve"> recordkeeping cost + $254,489.01 individuals/households annual base cost includes fringe benefits</w:t>
      </w:r>
      <w:r w:rsidR="000C4FEB">
        <w:rPr>
          <w:rFonts w:ascii="Times New Roman" w:hAnsi="Times New Roman"/>
          <w:szCs w:val="24"/>
        </w:rPr>
        <w:t xml:space="preserve"> + $187,627.03 third party reporting</w:t>
      </w:r>
      <w:r w:rsidR="00C14FFE">
        <w:rPr>
          <w:rFonts w:ascii="Times New Roman" w:hAnsi="Times New Roman"/>
          <w:szCs w:val="24"/>
        </w:rPr>
        <w:t>).</w:t>
      </w:r>
    </w:p>
    <w:p w:rsidR="000D6ECF" w:rsidP="000D6ECF" w:rsidRDefault="000D6ECF" w14:paraId="0CD0DE4B" w14:textId="4FF1F91E">
      <w:pPr>
        <w:tabs>
          <w:tab w:val="left" w:pos="0"/>
        </w:tabs>
        <w:suppressAutoHyphens/>
        <w:spacing w:line="480" w:lineRule="auto"/>
        <w:rPr>
          <w:rFonts w:ascii="Times New Roman" w:hAnsi="Times New Roman"/>
          <w:szCs w:val="24"/>
        </w:rPr>
      </w:pPr>
      <w:r>
        <w:rPr>
          <w:rFonts w:ascii="Times New Roman" w:hAnsi="Times New Roman"/>
          <w:szCs w:val="24"/>
        </w:rPr>
        <w:t xml:space="preserve">SNAP information collection requirements described herein are imposed primarily on State agency eligibility workers. Standard wage rate categories used in determining annualized burden costs are based on the </w:t>
      </w:r>
      <w:r w:rsidRPr="00EE54D6">
        <w:rPr>
          <w:rFonts w:ascii="Times New Roman" w:hAnsi="Times New Roman"/>
          <w:szCs w:val="24"/>
        </w:rPr>
        <w:t>Bureau of Labor and Statistics (BLS) May 20</w:t>
      </w:r>
      <w:r w:rsidR="0061694F">
        <w:rPr>
          <w:rFonts w:ascii="Times New Roman" w:hAnsi="Times New Roman"/>
          <w:szCs w:val="24"/>
        </w:rPr>
        <w:t>2</w:t>
      </w:r>
      <w:r w:rsidR="000A17F8">
        <w:rPr>
          <w:rFonts w:ascii="Times New Roman" w:hAnsi="Times New Roman"/>
          <w:szCs w:val="24"/>
        </w:rPr>
        <w:t>1</w:t>
      </w:r>
      <w:r>
        <w:rPr>
          <w:rFonts w:ascii="Times New Roman" w:hAnsi="Times New Roman"/>
          <w:szCs w:val="24"/>
        </w:rPr>
        <w:t xml:space="preserve"> Occupational Employment and Wages Statistics report which indicated a media</w:t>
      </w:r>
      <w:r w:rsidR="000A17F8">
        <w:rPr>
          <w:rFonts w:ascii="Times New Roman" w:hAnsi="Times New Roman"/>
          <w:szCs w:val="24"/>
        </w:rPr>
        <w:t>n</w:t>
      </w:r>
      <w:r>
        <w:rPr>
          <w:rFonts w:ascii="Times New Roman" w:hAnsi="Times New Roman"/>
          <w:szCs w:val="24"/>
        </w:rPr>
        <w:t xml:space="preserve"> wage rate of $22.</w:t>
      </w:r>
      <w:r w:rsidR="000A17F8">
        <w:rPr>
          <w:rFonts w:ascii="Times New Roman" w:hAnsi="Times New Roman"/>
          <w:szCs w:val="24"/>
        </w:rPr>
        <w:t>80</w:t>
      </w:r>
      <w:r>
        <w:rPr>
          <w:rFonts w:ascii="Times New Roman" w:hAnsi="Times New Roman"/>
          <w:szCs w:val="24"/>
        </w:rPr>
        <w:t xml:space="preserve"> per hour for eligibility interviewers in government programs. States would incur an annualized administrative cost of $22.</w:t>
      </w:r>
      <w:r w:rsidR="000C4FEB">
        <w:rPr>
          <w:rFonts w:ascii="Times New Roman" w:hAnsi="Times New Roman"/>
          <w:szCs w:val="24"/>
        </w:rPr>
        <w:t>80</w:t>
      </w:r>
      <w:r>
        <w:rPr>
          <w:rFonts w:ascii="Times New Roman" w:hAnsi="Times New Roman"/>
          <w:szCs w:val="24"/>
        </w:rPr>
        <w:t xml:space="preserve"> per hour burden in the information collection. FNS reimbursed 50 percent of the administrative costs to the State agencies. This results in a reimbursement value of $11.</w:t>
      </w:r>
      <w:r w:rsidR="000A17F8">
        <w:rPr>
          <w:rFonts w:ascii="Times New Roman" w:hAnsi="Times New Roman"/>
          <w:szCs w:val="24"/>
        </w:rPr>
        <w:t>40</w:t>
      </w:r>
      <w:r>
        <w:rPr>
          <w:rFonts w:ascii="Times New Roman" w:hAnsi="Times New Roman"/>
          <w:szCs w:val="24"/>
        </w:rPr>
        <w:t xml:space="preserve"> per burden hours which we use to assess the total cost to respondents. These costs include fully loaded wages which are 33% of total costs to include fringe benefits. </w:t>
      </w:r>
    </w:p>
    <w:p w:rsidRPr="002568E6" w:rsidR="000D6ECF" w:rsidP="000D6ECF" w:rsidRDefault="000D6ECF" w14:paraId="6654B451" w14:textId="43EC996B">
      <w:pPr>
        <w:tabs>
          <w:tab w:val="left" w:pos="-720"/>
        </w:tabs>
        <w:suppressAutoHyphens/>
        <w:spacing w:line="480" w:lineRule="auto"/>
        <w:rPr>
          <w:rFonts w:ascii="Times New Roman" w:hAnsi="Times New Roman"/>
          <w:szCs w:val="24"/>
        </w:rPr>
      </w:pPr>
      <w:r>
        <w:rPr>
          <w:rFonts w:ascii="Times New Roman" w:hAnsi="Times New Roman"/>
          <w:szCs w:val="24"/>
        </w:rPr>
        <w:tab/>
        <w:t>The Federal minimum wage rate of $7.25 per hour is used to calculate annualized costs for Individuals/households applying for SNAP benefits. There are no reimbursable costs to SNAP participants.</w:t>
      </w:r>
    </w:p>
    <w:p w:rsidRPr="002568E6" w:rsidR="00ED28F2" w:rsidP="00ED28F2" w:rsidRDefault="00ED28F2" w14:paraId="4B83A4A5" w14:textId="77777777">
      <w:pPr>
        <w:tabs>
          <w:tab w:val="left" w:pos="-720"/>
        </w:tabs>
        <w:suppressAutoHyphens/>
        <w:spacing w:line="480" w:lineRule="auto"/>
        <w:rPr>
          <w:rFonts w:ascii="Times New Roman" w:hAnsi="Times New Roman"/>
          <w:szCs w:val="24"/>
        </w:rPr>
      </w:pPr>
    </w:p>
    <w:p w:rsidRPr="002568E6" w:rsidR="000438E8" w:rsidP="0062567E" w:rsidRDefault="00FD71D3" w14:paraId="14503B7D" w14:textId="77777777">
      <w:pPr>
        <w:pStyle w:val="Heading1"/>
        <w:rPr>
          <w:szCs w:val="24"/>
        </w:rPr>
      </w:pPr>
      <w:bookmarkStart w:name="_Toc401831369" w:id="26"/>
      <w:bookmarkStart w:name="_Toc401832413" w:id="27"/>
      <w:r w:rsidRPr="002568E6">
        <w:rPr>
          <w:szCs w:val="24"/>
        </w:rPr>
        <w:t xml:space="preserve">A13.  Estimates of other total annual cost </w:t>
      </w:r>
      <w:r w:rsidRPr="002568E6" w:rsidR="00ED28F2">
        <w:rPr>
          <w:szCs w:val="24"/>
        </w:rPr>
        <w:t>burden</w:t>
      </w:r>
      <w:r w:rsidRPr="002568E6">
        <w:rPr>
          <w:szCs w:val="24"/>
        </w:rPr>
        <w:t>.</w:t>
      </w:r>
      <w:bookmarkEnd w:id="26"/>
      <w:bookmarkEnd w:id="27"/>
    </w:p>
    <w:p w:rsidRPr="002568E6" w:rsidR="0062567E" w:rsidP="000438E8" w:rsidRDefault="0062567E" w14:paraId="6506F350" w14:textId="77777777">
      <w:pPr>
        <w:tabs>
          <w:tab w:val="left" w:pos="0"/>
        </w:tabs>
        <w:suppressAutoHyphens/>
        <w:rPr>
          <w:rFonts w:ascii="Times New Roman" w:hAnsi="Times New Roman"/>
          <w:b/>
          <w:szCs w:val="24"/>
        </w:rPr>
      </w:pPr>
    </w:p>
    <w:p w:rsidRPr="002568E6" w:rsidR="0062567E" w:rsidP="000438E8" w:rsidRDefault="0062567E" w14:paraId="56B13A26"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recordkeepers resulting </w:t>
      </w:r>
      <w:r w:rsidRPr="002568E6">
        <w:rPr>
          <w:rFonts w:ascii="Times New Roman" w:hAnsi="Times New Roman"/>
          <w:b/>
          <w:szCs w:val="24"/>
        </w:rPr>
        <w:lastRenderedPageBreak/>
        <w:t>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6810A7D5" w14:textId="77777777">
      <w:pPr>
        <w:tabs>
          <w:tab w:val="left" w:pos="-720"/>
        </w:tabs>
        <w:suppressAutoHyphens/>
        <w:rPr>
          <w:rFonts w:ascii="Times New Roman" w:hAnsi="Times New Roman"/>
          <w:szCs w:val="24"/>
        </w:rPr>
      </w:pPr>
    </w:p>
    <w:p w:rsidRPr="002568E6" w:rsidR="00ED28F2" w:rsidP="00ED28F2" w:rsidRDefault="006644E6" w14:paraId="62038306" w14:textId="79523272">
      <w:pPr>
        <w:tabs>
          <w:tab w:val="left" w:pos="-720"/>
        </w:tabs>
        <w:suppressAutoHyphens/>
        <w:spacing w:line="480" w:lineRule="auto"/>
        <w:rPr>
          <w:rFonts w:ascii="Times New Roman" w:hAnsi="Times New Roman"/>
          <w:szCs w:val="24"/>
        </w:rPr>
      </w:pPr>
      <w:r>
        <w:rPr>
          <w:rFonts w:ascii="Times New Roman" w:hAnsi="Times New Roman"/>
          <w:szCs w:val="24"/>
        </w:rPr>
        <w:t>There are no capital, start-up and/or annualized maintenance costs associated with this burden</w:t>
      </w:r>
      <w:r w:rsidR="0061694F">
        <w:rPr>
          <w:rFonts w:ascii="Times New Roman" w:hAnsi="Times New Roman"/>
          <w:szCs w:val="24"/>
        </w:rPr>
        <w:t>.</w:t>
      </w:r>
    </w:p>
    <w:p w:rsidRPr="002568E6" w:rsidR="00ED28F2" w:rsidP="00ED28F2" w:rsidRDefault="00ED28F2" w14:paraId="3BC6658E" w14:textId="77777777">
      <w:pPr>
        <w:tabs>
          <w:tab w:val="left" w:pos="-720"/>
        </w:tabs>
        <w:suppressAutoHyphens/>
        <w:spacing w:line="480" w:lineRule="auto"/>
        <w:rPr>
          <w:rFonts w:ascii="Times New Roman" w:hAnsi="Times New Roman"/>
          <w:szCs w:val="24"/>
        </w:rPr>
      </w:pPr>
    </w:p>
    <w:p w:rsidRPr="002568E6" w:rsidR="00A308DB" w:rsidP="0062567E" w:rsidRDefault="000438E8" w14:paraId="4532D366" w14:textId="77777777">
      <w:pPr>
        <w:pStyle w:val="Heading1"/>
        <w:rPr>
          <w:szCs w:val="24"/>
        </w:rPr>
      </w:pPr>
      <w:bookmarkStart w:name="_Toc401831370" w:id="28"/>
      <w:bookmarkStart w:name="_Toc401832414" w:id="29"/>
      <w:r w:rsidRPr="002568E6">
        <w:rPr>
          <w:szCs w:val="24"/>
        </w:rPr>
        <w:t>A14.  Provide estimates of annualized cost to the Federal government.</w:t>
      </w:r>
      <w:bookmarkEnd w:id="28"/>
      <w:bookmarkEnd w:id="29"/>
      <w:r w:rsidRPr="002568E6" w:rsidR="0088245A">
        <w:rPr>
          <w:szCs w:val="24"/>
        </w:rPr>
        <w:t xml:space="preserve">  </w:t>
      </w:r>
    </w:p>
    <w:p w:rsidRPr="002568E6" w:rsidR="0062567E" w:rsidP="000438E8" w:rsidRDefault="0062567E" w14:paraId="49E4CF97" w14:textId="77777777">
      <w:pPr>
        <w:tabs>
          <w:tab w:val="left" w:pos="0"/>
        </w:tabs>
        <w:suppressAutoHyphens/>
        <w:rPr>
          <w:rFonts w:ascii="Times New Roman" w:hAnsi="Times New Roman"/>
          <w:szCs w:val="24"/>
        </w:rPr>
      </w:pPr>
    </w:p>
    <w:p w:rsidRPr="002568E6" w:rsidR="0062567E" w:rsidP="0062567E" w:rsidRDefault="0062567E" w14:paraId="69FC9E08"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1B47925E" w14:textId="77777777">
      <w:pPr>
        <w:tabs>
          <w:tab w:val="left" w:pos="0"/>
        </w:tabs>
        <w:suppressAutoHyphens/>
        <w:rPr>
          <w:rFonts w:ascii="Times New Roman" w:hAnsi="Times New Roman"/>
          <w:szCs w:val="24"/>
        </w:rPr>
      </w:pPr>
    </w:p>
    <w:p w:rsidRPr="004326D8" w:rsidR="004326D8" w:rsidP="004326D8" w:rsidRDefault="006E71DC" w14:paraId="3639F37B" w14:textId="34CD7808">
      <w:pPr>
        <w:widowControl/>
        <w:overflowPunct/>
        <w:spacing w:line="480" w:lineRule="auto"/>
        <w:textAlignment w:val="auto"/>
        <w:rPr>
          <w:rFonts w:ascii="Times New Roman" w:hAnsi="Times New Roman"/>
          <w:bCs/>
          <w:color w:val="000000"/>
          <w:szCs w:val="24"/>
        </w:rPr>
      </w:pPr>
      <w:r>
        <w:rPr>
          <w:rFonts w:ascii="Times New Roman" w:hAnsi="Times New Roman"/>
          <w:szCs w:val="24"/>
        </w:rPr>
        <w:t xml:space="preserve">FNS reimbursed 50 percent of the administrative costs to the State agencies, this cost is include in the cost to the Federal government. </w:t>
      </w:r>
      <w:r w:rsidRPr="004326D8" w:rsidR="004326D8">
        <w:rPr>
          <w:rFonts w:ascii="Times New Roman" w:hAnsi="Times New Roman"/>
          <w:szCs w:val="24"/>
        </w:rPr>
        <w:t xml:space="preserve">The annual cost to the Federal Government to collect and use the data for TOP is </w:t>
      </w:r>
      <w:r w:rsidRPr="004326D8" w:rsidR="004326D8">
        <w:rPr>
          <w:rFonts w:ascii="Times New Roman" w:hAnsi="Times New Roman"/>
          <w:color w:val="000000"/>
          <w:szCs w:val="24"/>
        </w:rPr>
        <w:t xml:space="preserve">estimated at a total annual cost to the Federal Government with fully-loaded wages is </w:t>
      </w:r>
      <w:r w:rsidRPr="004326D8" w:rsidR="004326D8">
        <w:rPr>
          <w:rFonts w:ascii="Times New Roman" w:hAnsi="Times New Roman"/>
          <w:b/>
          <w:color w:val="000000"/>
          <w:szCs w:val="24"/>
        </w:rPr>
        <w:t>$</w:t>
      </w:r>
      <w:r w:rsidR="004326D8">
        <w:rPr>
          <w:rFonts w:ascii="Times New Roman" w:hAnsi="Times New Roman"/>
          <w:b/>
          <w:color w:val="000000"/>
          <w:szCs w:val="24"/>
        </w:rPr>
        <w:t>83</w:t>
      </w:r>
      <w:r w:rsidR="00FB680D">
        <w:rPr>
          <w:rFonts w:ascii="Times New Roman" w:hAnsi="Times New Roman"/>
          <w:b/>
          <w:color w:val="000000"/>
          <w:szCs w:val="24"/>
        </w:rPr>
        <w:t>9,571.38</w:t>
      </w:r>
      <w:r w:rsidRPr="004326D8" w:rsidR="004326D8">
        <w:rPr>
          <w:rFonts w:ascii="Times New Roman" w:hAnsi="Times New Roman"/>
          <w:color w:val="000000"/>
          <w:szCs w:val="24"/>
        </w:rPr>
        <w:t xml:space="preserve"> is (</w:t>
      </w:r>
      <w:r w:rsidRPr="004326D8" w:rsidR="004326D8">
        <w:rPr>
          <w:rFonts w:ascii="Times New Roman" w:hAnsi="Times New Roman"/>
          <w:bCs/>
          <w:color w:val="000000"/>
          <w:szCs w:val="24"/>
        </w:rPr>
        <w:t>$50</w:t>
      </w:r>
      <w:r w:rsidR="004326D8">
        <w:rPr>
          <w:rFonts w:ascii="Times New Roman" w:hAnsi="Times New Roman"/>
          <w:bCs/>
          <w:color w:val="000000"/>
          <w:szCs w:val="24"/>
        </w:rPr>
        <w:t>0,000 contract cost +$33</w:t>
      </w:r>
      <w:r w:rsidR="00FB680D">
        <w:rPr>
          <w:rFonts w:ascii="Times New Roman" w:hAnsi="Times New Roman"/>
          <w:bCs/>
          <w:color w:val="000000"/>
          <w:szCs w:val="24"/>
        </w:rPr>
        <w:t>9,571.38</w:t>
      </w:r>
      <w:r w:rsidRPr="004326D8" w:rsidR="004326D8">
        <w:rPr>
          <w:rFonts w:ascii="Times New Roman" w:hAnsi="Times New Roman"/>
          <w:bCs/>
          <w:color w:val="000000"/>
          <w:szCs w:val="24"/>
        </w:rPr>
        <w:t xml:space="preserve"> annual base Federal cost including fringe benefits).</w:t>
      </w:r>
    </w:p>
    <w:p w:rsidR="004326D8" w:rsidP="004326D8" w:rsidRDefault="004326D8" w14:paraId="691BAB69" w14:textId="3192C09B">
      <w:pPr>
        <w:tabs>
          <w:tab w:val="left" w:pos="0"/>
        </w:tabs>
        <w:suppressAutoHyphens/>
        <w:spacing w:line="480" w:lineRule="auto"/>
        <w:rPr>
          <w:rFonts w:ascii="Times New Roman" w:hAnsi="Times New Roman"/>
          <w:b/>
          <w:szCs w:val="24"/>
        </w:rPr>
      </w:pPr>
      <w:r w:rsidRPr="004326D8">
        <w:rPr>
          <w:rFonts w:ascii="Times New Roman" w:hAnsi="Times New Roman"/>
          <w:szCs w:val="24"/>
        </w:rPr>
        <w:t xml:space="preserve">This total includes an estimated </w:t>
      </w:r>
      <w:r w:rsidRPr="004326D8">
        <w:rPr>
          <w:rFonts w:ascii="Times New Roman" w:hAnsi="Times New Roman"/>
          <w:b/>
          <w:szCs w:val="24"/>
        </w:rPr>
        <w:t>$500,000</w:t>
      </w:r>
      <w:r w:rsidRPr="004326D8">
        <w:rPr>
          <w:rFonts w:ascii="Times New Roman" w:hAnsi="Times New Roman"/>
          <w:szCs w:val="24"/>
        </w:rPr>
        <w:t xml:space="preserve"> (already includes fringe benefits) for contracted computer services, which would not have been incurred without this collection, and an additional $</w:t>
      </w:r>
      <w:r w:rsidR="00FB680D">
        <w:rPr>
          <w:rFonts w:ascii="Times New Roman" w:hAnsi="Times New Roman"/>
          <w:szCs w:val="24"/>
        </w:rPr>
        <w:t>141,497.73</w:t>
      </w:r>
      <w:r w:rsidRPr="004326D8">
        <w:rPr>
          <w:rFonts w:ascii="Times New Roman" w:hAnsi="Times New Roman"/>
          <w:szCs w:val="24"/>
        </w:rPr>
        <w:t xml:space="preserve"> for the Federal share reimbursed to State agencies’ (SAs) burden for reporting</w:t>
      </w:r>
      <w:r w:rsidR="00FB680D">
        <w:rPr>
          <w:rFonts w:ascii="Times New Roman" w:hAnsi="Times New Roman"/>
          <w:szCs w:val="24"/>
        </w:rPr>
        <w:t>, $187,627.03 for third party reporting</w:t>
      </w:r>
      <w:r w:rsidRPr="004326D8">
        <w:rPr>
          <w:rFonts w:ascii="Times New Roman" w:hAnsi="Times New Roman"/>
          <w:szCs w:val="24"/>
        </w:rPr>
        <w:t xml:space="preserve"> and</w:t>
      </w:r>
      <w:r w:rsidR="00FB680D">
        <w:rPr>
          <w:rFonts w:ascii="Times New Roman" w:hAnsi="Times New Roman"/>
          <w:szCs w:val="24"/>
        </w:rPr>
        <w:t xml:space="preserve"> $10,446.62 for</w:t>
      </w:r>
      <w:r w:rsidRPr="004326D8">
        <w:rPr>
          <w:rFonts w:ascii="Times New Roman" w:hAnsi="Times New Roman"/>
          <w:szCs w:val="24"/>
        </w:rPr>
        <w:t xml:space="preserve"> recordkeeping. The Federal share reimbursement to State agencies with fringe benefits is </w:t>
      </w:r>
      <w:r w:rsidR="007F714C">
        <w:rPr>
          <w:rFonts w:ascii="Times New Roman" w:hAnsi="Times New Roman"/>
          <w:szCs w:val="24"/>
        </w:rPr>
        <w:t>$33</w:t>
      </w:r>
      <w:r w:rsidR="00FB680D">
        <w:rPr>
          <w:rFonts w:ascii="Times New Roman" w:hAnsi="Times New Roman"/>
          <w:szCs w:val="24"/>
        </w:rPr>
        <w:t>9,571.38</w:t>
      </w:r>
      <w:r w:rsidR="007F714C">
        <w:rPr>
          <w:rFonts w:ascii="Times New Roman" w:hAnsi="Times New Roman"/>
          <w:szCs w:val="24"/>
        </w:rPr>
        <w:t>.</w:t>
      </w:r>
    </w:p>
    <w:p w:rsidR="004326D8" w:rsidP="004326D8" w:rsidRDefault="004326D8" w14:paraId="3D647C08" w14:textId="77777777">
      <w:pPr>
        <w:tabs>
          <w:tab w:val="left" w:pos="0"/>
        </w:tabs>
        <w:suppressAutoHyphens/>
        <w:spacing w:line="480" w:lineRule="auto"/>
        <w:rPr>
          <w:rFonts w:ascii="Times New Roman" w:hAnsi="Times New Roman"/>
          <w:szCs w:val="24"/>
        </w:rPr>
      </w:pPr>
    </w:p>
    <w:p w:rsidR="00C14FFE" w:rsidP="00C14FFE" w:rsidRDefault="00C14FFE" w14:paraId="3D319526" w14:textId="180712C2">
      <w:pPr>
        <w:tabs>
          <w:tab w:val="left" w:pos="0"/>
        </w:tabs>
        <w:suppressAutoHyphens/>
        <w:spacing w:line="480" w:lineRule="auto"/>
        <w:rPr>
          <w:rFonts w:ascii="Times New Roman" w:hAnsi="Times New Roman"/>
          <w:szCs w:val="24"/>
        </w:rPr>
      </w:pPr>
      <w:r>
        <w:rPr>
          <w:rFonts w:ascii="Times New Roman" w:hAnsi="Times New Roman"/>
          <w:szCs w:val="24"/>
        </w:rPr>
        <w:t xml:space="preserve">SNAP information collection requirements described herein are imposed primarily on State agency eligibility workers. Standard wage rate categories used in determining annualized burden costs are based on the </w:t>
      </w:r>
      <w:r w:rsidRPr="00EE54D6">
        <w:rPr>
          <w:rFonts w:ascii="Times New Roman" w:hAnsi="Times New Roman"/>
          <w:szCs w:val="24"/>
        </w:rPr>
        <w:t>Bureau of Labor and Statistics (BLS) May 20</w:t>
      </w:r>
      <w:r>
        <w:rPr>
          <w:rFonts w:ascii="Times New Roman" w:hAnsi="Times New Roman"/>
          <w:szCs w:val="24"/>
        </w:rPr>
        <w:t>2</w:t>
      </w:r>
      <w:r w:rsidR="000A17F8">
        <w:rPr>
          <w:rFonts w:ascii="Times New Roman" w:hAnsi="Times New Roman"/>
          <w:szCs w:val="24"/>
        </w:rPr>
        <w:t>1</w:t>
      </w:r>
      <w:r>
        <w:rPr>
          <w:rFonts w:ascii="Times New Roman" w:hAnsi="Times New Roman"/>
          <w:szCs w:val="24"/>
        </w:rPr>
        <w:t xml:space="preserve"> Occupational Employment and Wages Statistics report which indicated a media</w:t>
      </w:r>
      <w:r w:rsidR="00957E48">
        <w:rPr>
          <w:rFonts w:ascii="Times New Roman" w:hAnsi="Times New Roman"/>
          <w:szCs w:val="24"/>
        </w:rPr>
        <w:t>n</w:t>
      </w:r>
      <w:r>
        <w:rPr>
          <w:rFonts w:ascii="Times New Roman" w:hAnsi="Times New Roman"/>
          <w:szCs w:val="24"/>
        </w:rPr>
        <w:t xml:space="preserve"> wage rate of $22.</w:t>
      </w:r>
      <w:r w:rsidR="000A17F8">
        <w:rPr>
          <w:rFonts w:ascii="Times New Roman" w:hAnsi="Times New Roman"/>
          <w:szCs w:val="24"/>
        </w:rPr>
        <w:t>80</w:t>
      </w:r>
      <w:r>
        <w:rPr>
          <w:rFonts w:ascii="Times New Roman" w:hAnsi="Times New Roman"/>
          <w:szCs w:val="24"/>
        </w:rPr>
        <w:t xml:space="preserve"> per hour for eligibility interviewers in government programs. States would incur an annualized </w:t>
      </w:r>
      <w:r>
        <w:rPr>
          <w:rFonts w:ascii="Times New Roman" w:hAnsi="Times New Roman"/>
          <w:szCs w:val="24"/>
        </w:rPr>
        <w:lastRenderedPageBreak/>
        <w:t>administrative cost of $22.</w:t>
      </w:r>
      <w:r w:rsidR="000A17F8">
        <w:rPr>
          <w:rFonts w:ascii="Times New Roman" w:hAnsi="Times New Roman"/>
          <w:szCs w:val="24"/>
        </w:rPr>
        <w:t>80</w:t>
      </w:r>
      <w:r>
        <w:rPr>
          <w:rFonts w:ascii="Times New Roman" w:hAnsi="Times New Roman"/>
          <w:szCs w:val="24"/>
        </w:rPr>
        <w:t xml:space="preserve"> per hour burden in the information collection. FNS reimbursed 50 percent of the administrative costs to the State agencies. This results in a reimbursement value of $11.</w:t>
      </w:r>
      <w:r w:rsidR="000A17F8">
        <w:rPr>
          <w:rFonts w:ascii="Times New Roman" w:hAnsi="Times New Roman"/>
          <w:szCs w:val="24"/>
        </w:rPr>
        <w:t>40</w:t>
      </w:r>
      <w:r>
        <w:rPr>
          <w:rFonts w:ascii="Times New Roman" w:hAnsi="Times New Roman"/>
          <w:szCs w:val="24"/>
        </w:rPr>
        <w:t xml:space="preserve"> per burden hours which we use to assess the total cost to respondents</w:t>
      </w:r>
      <w:r w:rsidR="006644E6">
        <w:rPr>
          <w:rFonts w:ascii="Times New Roman" w:hAnsi="Times New Roman"/>
          <w:szCs w:val="24"/>
        </w:rPr>
        <w:t xml:space="preserve">. </w:t>
      </w:r>
    </w:p>
    <w:p w:rsidR="00C14FFE" w:rsidP="00C14FFE" w:rsidRDefault="00C14FFE" w14:paraId="0305CC88" w14:textId="62676DFF">
      <w:pPr>
        <w:tabs>
          <w:tab w:val="left" w:pos="-720"/>
        </w:tabs>
        <w:suppressAutoHyphens/>
        <w:spacing w:line="480" w:lineRule="auto"/>
        <w:rPr>
          <w:rFonts w:ascii="Times New Roman" w:hAnsi="Times New Roman"/>
          <w:szCs w:val="24"/>
        </w:rPr>
      </w:pPr>
      <w:r>
        <w:rPr>
          <w:rFonts w:ascii="Times New Roman" w:hAnsi="Times New Roman"/>
          <w:szCs w:val="24"/>
        </w:rPr>
        <w:t>In total, the combined estimated total annualized cost to the Federal Government is $</w:t>
      </w:r>
      <w:r w:rsidR="007F714C">
        <w:rPr>
          <w:rFonts w:ascii="Times New Roman" w:hAnsi="Times New Roman"/>
          <w:szCs w:val="24"/>
        </w:rPr>
        <w:t>3</w:t>
      </w:r>
      <w:r w:rsidR="00FB680D">
        <w:rPr>
          <w:rFonts w:ascii="Times New Roman" w:hAnsi="Times New Roman"/>
          <w:szCs w:val="24"/>
        </w:rPr>
        <w:t>44,150.84</w:t>
      </w:r>
      <w:r>
        <w:rPr>
          <w:rFonts w:ascii="Times New Roman" w:hAnsi="Times New Roman"/>
          <w:szCs w:val="24"/>
        </w:rPr>
        <w:t xml:space="preserve"> with fully loaded wages included. This cost includes: </w:t>
      </w:r>
    </w:p>
    <w:p w:rsidR="00C14FFE" w:rsidP="00C14FFE" w:rsidRDefault="00C14FFE" w14:paraId="10843395" w14:textId="77777777">
      <w:pPr>
        <w:tabs>
          <w:tab w:val="left" w:pos="-720"/>
        </w:tabs>
        <w:suppressAutoHyphens/>
        <w:spacing w:line="480" w:lineRule="auto"/>
        <w:rPr>
          <w:rFonts w:ascii="Times New Roman" w:hAnsi="Times New Roman"/>
          <w:szCs w:val="24"/>
        </w:rPr>
      </w:pPr>
    </w:p>
    <w:p w:rsidRPr="005950C7" w:rsidR="00C14FFE" w:rsidP="00C14FFE" w:rsidRDefault="00C14FFE" w14:paraId="3ABB9B1F" w14:textId="77777777">
      <w:pPr>
        <w:spacing w:line="480" w:lineRule="auto"/>
        <w:ind w:left="3600" w:firstLine="720"/>
        <w:rPr>
          <w:rFonts w:ascii="Times New Roman" w:hAnsi="Times New Roman"/>
        </w:rPr>
      </w:pPr>
      <w:r w:rsidRPr="005950C7">
        <w:rPr>
          <w:rFonts w:ascii="Times New Roman" w:hAnsi="Times New Roman"/>
        </w:rPr>
        <w:t>Hours</w:t>
      </w:r>
      <w:r w:rsidRPr="005950C7">
        <w:rPr>
          <w:rFonts w:ascii="Times New Roman" w:hAnsi="Times New Roman"/>
        </w:rPr>
        <w:tab/>
      </w:r>
      <w:r w:rsidRPr="005950C7">
        <w:rPr>
          <w:rFonts w:ascii="Times New Roman" w:hAnsi="Times New Roman"/>
        </w:rPr>
        <w:tab/>
        <w:t>Hourly Wage*</w:t>
      </w:r>
      <w:r w:rsidRPr="005950C7">
        <w:rPr>
          <w:rFonts w:ascii="Times New Roman" w:hAnsi="Times New Roman"/>
        </w:rPr>
        <w:tab/>
      </w:r>
      <w:r w:rsidRPr="005950C7">
        <w:rPr>
          <w:rFonts w:ascii="Times New Roman" w:hAnsi="Times New Roman"/>
        </w:rPr>
        <w:tab/>
        <w:t>Total</w:t>
      </w:r>
    </w:p>
    <w:p w:rsidRPr="005950C7" w:rsidR="00C14FFE" w:rsidP="00C14FFE" w:rsidRDefault="00C14FFE" w14:paraId="4A3AC363" w14:textId="4FD33E95">
      <w:pPr>
        <w:spacing w:line="480" w:lineRule="auto"/>
        <w:rPr>
          <w:rFonts w:ascii="Times New Roman" w:hAnsi="Times New Roman"/>
        </w:rPr>
      </w:pPr>
      <w:r w:rsidRPr="005950C7">
        <w:rPr>
          <w:rFonts w:ascii="Times New Roman" w:hAnsi="Times New Roman"/>
        </w:rPr>
        <w:tab/>
        <w:t>GS-13 Program Analyst</w:t>
      </w:r>
      <w:r w:rsidR="0061694F">
        <w:rPr>
          <w:rFonts w:ascii="Times New Roman" w:hAnsi="Times New Roman"/>
        </w:rPr>
        <w:t xml:space="preserve"> Step 1</w:t>
      </w:r>
      <w:r w:rsidRPr="005950C7">
        <w:rPr>
          <w:rFonts w:ascii="Times New Roman" w:hAnsi="Times New Roman"/>
        </w:rPr>
        <w:tab/>
        <w:t>20</w:t>
      </w:r>
      <w:r w:rsidRPr="005950C7">
        <w:rPr>
          <w:rFonts w:ascii="Times New Roman" w:hAnsi="Times New Roman"/>
        </w:rPr>
        <w:tab/>
      </w:r>
      <w:r w:rsidRPr="005950C7">
        <w:rPr>
          <w:rFonts w:ascii="Times New Roman" w:hAnsi="Times New Roman"/>
        </w:rPr>
        <w:tab/>
        <w:t>$</w:t>
      </w:r>
      <w:r w:rsidR="00725FDA">
        <w:rPr>
          <w:rFonts w:ascii="Times New Roman" w:hAnsi="Times New Roman"/>
        </w:rPr>
        <w:t>51.18</w:t>
      </w:r>
      <w:r w:rsidR="00725FDA">
        <w:rPr>
          <w:rFonts w:ascii="Times New Roman" w:hAnsi="Times New Roman"/>
        </w:rPr>
        <w:tab/>
      </w:r>
      <w:r w:rsidR="00725FDA">
        <w:rPr>
          <w:rFonts w:ascii="Times New Roman" w:hAnsi="Times New Roman"/>
        </w:rPr>
        <w:tab/>
      </w:r>
      <w:r w:rsidR="00725FDA">
        <w:rPr>
          <w:rFonts w:ascii="Times New Roman" w:hAnsi="Times New Roman"/>
        </w:rPr>
        <w:tab/>
        <w:t>$1,023.60</w:t>
      </w:r>
    </w:p>
    <w:p w:rsidRPr="005950C7" w:rsidR="00C14FFE" w:rsidP="00C14FFE" w:rsidRDefault="00C14FFE" w14:paraId="4B667F9C" w14:textId="159FE701">
      <w:pPr>
        <w:spacing w:line="480" w:lineRule="auto"/>
        <w:rPr>
          <w:rFonts w:ascii="Times New Roman" w:hAnsi="Times New Roman"/>
        </w:rPr>
      </w:pPr>
      <w:r w:rsidRPr="005950C7">
        <w:rPr>
          <w:rFonts w:ascii="Times New Roman" w:hAnsi="Times New Roman"/>
        </w:rPr>
        <w:tab/>
        <w:t>GS-14 Branch Chief</w:t>
      </w:r>
      <w:r w:rsidRPr="005950C7">
        <w:rPr>
          <w:rFonts w:ascii="Times New Roman" w:hAnsi="Times New Roman"/>
        </w:rPr>
        <w:tab/>
      </w:r>
      <w:r w:rsidR="0061694F">
        <w:rPr>
          <w:rFonts w:ascii="Times New Roman" w:hAnsi="Times New Roman"/>
        </w:rPr>
        <w:t>Step 1</w:t>
      </w:r>
      <w:r w:rsidRPr="005950C7">
        <w:rPr>
          <w:rFonts w:ascii="Times New Roman" w:hAnsi="Times New Roman"/>
        </w:rPr>
        <w:tab/>
      </w:r>
      <w:r w:rsidRPr="005950C7">
        <w:rPr>
          <w:rFonts w:ascii="Times New Roman" w:hAnsi="Times New Roman"/>
        </w:rPr>
        <w:tab/>
        <w:t>40</w:t>
      </w:r>
      <w:r w:rsidRPr="005950C7">
        <w:rPr>
          <w:rFonts w:ascii="Times New Roman" w:hAnsi="Times New Roman"/>
        </w:rPr>
        <w:tab/>
      </w:r>
      <w:r w:rsidRPr="005950C7">
        <w:rPr>
          <w:rFonts w:ascii="Times New Roman" w:hAnsi="Times New Roman"/>
        </w:rPr>
        <w:tab/>
        <w:t>$</w:t>
      </w:r>
      <w:r w:rsidR="00725FDA">
        <w:rPr>
          <w:rFonts w:ascii="Times New Roman" w:hAnsi="Times New Roman"/>
        </w:rPr>
        <w:t>60.49</w:t>
      </w:r>
      <w:r w:rsidR="00725FDA">
        <w:rPr>
          <w:rFonts w:ascii="Times New Roman" w:hAnsi="Times New Roman"/>
        </w:rPr>
        <w:tab/>
      </w:r>
      <w:r w:rsidR="00725FDA">
        <w:rPr>
          <w:rFonts w:ascii="Times New Roman" w:hAnsi="Times New Roman"/>
        </w:rPr>
        <w:tab/>
      </w:r>
      <w:r w:rsidR="00725FDA">
        <w:rPr>
          <w:rFonts w:ascii="Times New Roman" w:hAnsi="Times New Roman"/>
        </w:rPr>
        <w:tab/>
        <w:t>$2,419.60</w:t>
      </w:r>
    </w:p>
    <w:p w:rsidR="00C14FFE" w:rsidP="00C14FFE" w:rsidRDefault="00C14FFE" w14:paraId="363A6AED" w14:textId="5C85543F">
      <w:pPr>
        <w:spacing w:line="480" w:lineRule="auto"/>
        <w:rPr>
          <w:rFonts w:ascii="Times New Roman" w:hAnsi="Times New Roman"/>
          <w:b/>
        </w:rPr>
      </w:pPr>
      <w:r w:rsidRPr="005950C7">
        <w:rPr>
          <w:rFonts w:ascii="Times New Roman" w:hAnsi="Times New Roman"/>
        </w:rPr>
        <w:tab/>
      </w:r>
      <w:r w:rsidRPr="005950C7">
        <w:rPr>
          <w:rFonts w:ascii="Times New Roman" w:hAnsi="Times New Roman"/>
          <w:b/>
        </w:rPr>
        <w:t>Cost of Fede</w:t>
      </w:r>
      <w:r w:rsidR="00725FDA">
        <w:rPr>
          <w:rFonts w:ascii="Times New Roman" w:hAnsi="Times New Roman"/>
          <w:b/>
        </w:rPr>
        <w:t>ral workers:</w:t>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r>
      <w:r w:rsidR="00725FDA">
        <w:rPr>
          <w:rFonts w:ascii="Times New Roman" w:hAnsi="Times New Roman"/>
          <w:b/>
        </w:rPr>
        <w:tab/>
        <w:t>$3,443.20</w:t>
      </w:r>
    </w:p>
    <w:p w:rsidR="00725FDA" w:rsidP="00C14FFE" w:rsidRDefault="00725FDA" w14:paraId="01FDCE21" w14:textId="10DEB8BA">
      <w:pPr>
        <w:spacing w:line="480" w:lineRule="auto"/>
        <w:rPr>
          <w:rFonts w:ascii="Times New Roman" w:hAnsi="Times New Roman"/>
          <w:b/>
        </w:rPr>
      </w:pPr>
      <w:r>
        <w:rPr>
          <w:rFonts w:ascii="Times New Roman" w:hAnsi="Times New Roman"/>
          <w:b/>
        </w:rPr>
        <w:tab/>
        <w:t>With Fringe Benefits:</w:t>
      </w:r>
    </w:p>
    <w:p w:rsidR="00725FDA" w:rsidP="00C14FFE" w:rsidRDefault="00725FDA" w14:paraId="4B6169EC" w14:textId="2CFC7660">
      <w:pPr>
        <w:spacing w:line="480" w:lineRule="auto"/>
        <w:rPr>
          <w:rFonts w:ascii="Times New Roman" w:hAnsi="Times New Roman"/>
          <w:b/>
        </w:rPr>
      </w:pPr>
      <w:r>
        <w:rPr>
          <w:rFonts w:ascii="Times New Roman" w:hAnsi="Times New Roman"/>
          <w:b/>
        </w:rPr>
        <w:tab/>
      </w:r>
      <w:r>
        <w:rPr>
          <w:rFonts w:ascii="Times New Roman" w:hAnsi="Times New Roman"/>
          <w:b/>
        </w:rPr>
        <w:tab/>
        <w:t>$4,579.46</w:t>
      </w:r>
    </w:p>
    <w:p w:rsidRPr="00A55C82" w:rsidR="00C14FFE" w:rsidP="00C14FFE" w:rsidRDefault="00C14FFE" w14:paraId="7A24C51C" w14:textId="6AB31E25">
      <w:pPr>
        <w:spacing w:line="480" w:lineRule="auto"/>
        <w:rPr>
          <w:rFonts w:ascii="Times New Roman" w:hAnsi="Times New Roman"/>
          <w:sz w:val="20"/>
        </w:rPr>
      </w:pPr>
      <w:r w:rsidRPr="00A55C82">
        <w:rPr>
          <w:rFonts w:ascii="Times New Roman" w:hAnsi="Times New Roman"/>
          <w:sz w:val="20"/>
        </w:rPr>
        <w:t>*Wage rages determined in accordance with the Office of Personnel M</w:t>
      </w:r>
      <w:r>
        <w:rPr>
          <w:rFonts w:ascii="Times New Roman" w:hAnsi="Times New Roman"/>
          <w:sz w:val="20"/>
        </w:rPr>
        <w:t>a</w:t>
      </w:r>
      <w:r w:rsidR="00725FDA">
        <w:rPr>
          <w:rFonts w:ascii="Times New Roman" w:hAnsi="Times New Roman"/>
          <w:sz w:val="20"/>
        </w:rPr>
        <w:t>nagement’s salary table for 2022</w:t>
      </w:r>
      <w:r w:rsidRPr="00A55C82">
        <w:rPr>
          <w:rFonts w:ascii="Times New Roman" w:hAnsi="Times New Roman"/>
          <w:sz w:val="20"/>
        </w:rPr>
        <w:t xml:space="preserve"> (</w:t>
      </w:r>
      <w:r w:rsidRPr="00A55C82">
        <w:rPr>
          <w:rFonts w:ascii="Times New Roman" w:hAnsi="Times New Roman"/>
        </w:rPr>
        <w:t>https://www.opm.gov/policy-data-oversight/pay-leave/salar</w:t>
      </w:r>
      <w:r w:rsidR="00725FDA">
        <w:rPr>
          <w:rFonts w:ascii="Times New Roman" w:hAnsi="Times New Roman"/>
        </w:rPr>
        <w:t>ies-wages/salary-tables/pdf/2022</w:t>
      </w:r>
      <w:r w:rsidRPr="00A55C82">
        <w:rPr>
          <w:rFonts w:ascii="Times New Roman" w:hAnsi="Times New Roman"/>
        </w:rPr>
        <w:t>/DCB_h.pdf</w:t>
      </w:r>
      <w:r w:rsidRPr="00A55C82">
        <w:rPr>
          <w:rFonts w:ascii="Times New Roman" w:hAnsi="Times New Roman"/>
          <w:sz w:val="20"/>
        </w:rPr>
        <w:t>)</w:t>
      </w:r>
    </w:p>
    <w:p w:rsidRPr="002568E6" w:rsidR="00ED28F2" w:rsidP="00ED28F2" w:rsidRDefault="00ED28F2" w14:paraId="203835B3" w14:textId="77777777">
      <w:pPr>
        <w:tabs>
          <w:tab w:val="left" w:pos="-720"/>
        </w:tabs>
        <w:suppressAutoHyphens/>
        <w:spacing w:line="480" w:lineRule="auto"/>
        <w:rPr>
          <w:rFonts w:ascii="Times New Roman" w:hAnsi="Times New Roman"/>
          <w:szCs w:val="24"/>
        </w:rPr>
      </w:pPr>
    </w:p>
    <w:p w:rsidRPr="002568E6" w:rsidR="000438E8" w:rsidP="0062567E" w:rsidRDefault="000438E8" w14:paraId="2770E6E6" w14:textId="77777777">
      <w:pPr>
        <w:pStyle w:val="Heading1"/>
        <w:rPr>
          <w:szCs w:val="24"/>
        </w:rPr>
      </w:pPr>
      <w:bookmarkStart w:name="_Toc401831371" w:id="30"/>
      <w:bookmarkStart w:name="_Toc401832415" w:id="31"/>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0"/>
      <w:bookmarkEnd w:id="31"/>
    </w:p>
    <w:p w:rsidRPr="002568E6" w:rsidR="0062567E" w:rsidP="0062567E" w:rsidRDefault="0062567E" w14:paraId="3156DB59" w14:textId="77777777">
      <w:pPr>
        <w:tabs>
          <w:tab w:val="left" w:pos="0"/>
        </w:tabs>
        <w:suppressAutoHyphens/>
        <w:jc w:val="center"/>
        <w:rPr>
          <w:rFonts w:ascii="Times New Roman" w:hAnsi="Times New Roman"/>
          <w:b/>
          <w:szCs w:val="24"/>
        </w:rPr>
      </w:pPr>
    </w:p>
    <w:p w:rsidRPr="002568E6" w:rsidR="0062567E" w:rsidP="0062567E" w:rsidRDefault="0062567E" w14:paraId="6C29BE58"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2568E6" w:rsidR="00ED28F2" w:rsidP="00ED28F2" w:rsidRDefault="00ED28F2" w14:paraId="18782E15" w14:textId="77777777">
      <w:pPr>
        <w:tabs>
          <w:tab w:val="left" w:pos="-720"/>
        </w:tabs>
        <w:suppressAutoHyphens/>
        <w:rPr>
          <w:rFonts w:ascii="Times New Roman" w:hAnsi="Times New Roman"/>
          <w:szCs w:val="24"/>
        </w:rPr>
      </w:pPr>
    </w:p>
    <w:p w:rsidR="007F714C" w:rsidP="007F714C" w:rsidRDefault="007F714C" w14:paraId="119E02FE" w14:textId="62ECF273">
      <w:pPr>
        <w:widowControl/>
        <w:spacing w:line="480" w:lineRule="auto"/>
        <w:rPr>
          <w:rFonts w:ascii="Times New Roman" w:hAnsi="Times New Roman"/>
          <w:szCs w:val="24"/>
        </w:rPr>
      </w:pPr>
      <w:r w:rsidRPr="007F714C">
        <w:rPr>
          <w:rFonts w:ascii="Times New Roman" w:hAnsi="Times New Roman"/>
          <w:szCs w:val="24"/>
        </w:rPr>
        <w:t xml:space="preserve">This is a revision of a currently approved information collection. The current reporting burden inventory for this data collection is </w:t>
      </w:r>
      <w:r w:rsidR="00410A10">
        <w:rPr>
          <w:rFonts w:ascii="Times New Roman" w:hAnsi="Times New Roman"/>
          <w:szCs w:val="24"/>
        </w:rPr>
        <w:t>a</w:t>
      </w:r>
      <w:r w:rsidR="001A1282">
        <w:rPr>
          <w:rFonts w:ascii="Times New Roman" w:hAnsi="Times New Roman"/>
          <w:szCs w:val="24"/>
        </w:rPr>
        <w:t>n</w:t>
      </w:r>
      <w:r w:rsidR="00410A10">
        <w:rPr>
          <w:rFonts w:ascii="Times New Roman" w:hAnsi="Times New Roman"/>
          <w:szCs w:val="24"/>
        </w:rPr>
        <w:t xml:space="preserve"> overall </w:t>
      </w:r>
      <w:r w:rsidRPr="00F1389E">
        <w:rPr>
          <w:rFonts w:ascii="Times New Roman" w:hAnsi="Times New Roman"/>
          <w:b/>
          <w:bCs/>
          <w:szCs w:val="24"/>
        </w:rPr>
        <w:t xml:space="preserve">56,653 </w:t>
      </w:r>
      <w:r w:rsidR="00410A10">
        <w:rPr>
          <w:rFonts w:ascii="Times New Roman" w:hAnsi="Times New Roman"/>
          <w:b/>
          <w:bCs/>
          <w:szCs w:val="24"/>
        </w:rPr>
        <w:t xml:space="preserve">reporting and recordkeeping </w:t>
      </w:r>
      <w:r w:rsidRPr="00F1389E">
        <w:rPr>
          <w:rFonts w:ascii="Times New Roman" w:hAnsi="Times New Roman"/>
          <w:b/>
          <w:bCs/>
          <w:szCs w:val="24"/>
        </w:rPr>
        <w:t xml:space="preserve">burden hours and </w:t>
      </w:r>
      <w:r w:rsidRPr="00F1389E" w:rsidR="00CD4DE2">
        <w:rPr>
          <w:rFonts w:ascii="Times New Roman" w:hAnsi="Times New Roman"/>
          <w:b/>
          <w:bCs/>
          <w:szCs w:val="24"/>
        </w:rPr>
        <w:t>666,864 total annual responses</w:t>
      </w:r>
      <w:r w:rsidR="00410A10">
        <w:rPr>
          <w:rFonts w:ascii="Times New Roman" w:hAnsi="Times New Roman"/>
          <w:b/>
          <w:bCs/>
          <w:szCs w:val="24"/>
        </w:rPr>
        <w:t xml:space="preserve"> for reporting and recordkeeping</w:t>
      </w:r>
      <w:r w:rsidRPr="00CD4DE2" w:rsidR="00CD4DE2">
        <w:rPr>
          <w:rFonts w:ascii="Times New Roman" w:hAnsi="Times New Roman"/>
          <w:szCs w:val="24"/>
        </w:rPr>
        <w:t>.  We</w:t>
      </w:r>
      <w:r w:rsidRPr="007F714C">
        <w:rPr>
          <w:rFonts w:ascii="Times New Roman" w:hAnsi="Times New Roman"/>
          <w:szCs w:val="24"/>
        </w:rPr>
        <w:t xml:space="preserve"> are requesting </w:t>
      </w:r>
      <w:r w:rsidRPr="00405F69">
        <w:rPr>
          <w:rFonts w:ascii="Times New Roman" w:hAnsi="Times New Roman"/>
          <w:b/>
          <w:bCs/>
          <w:szCs w:val="24"/>
        </w:rPr>
        <w:t>48,</w:t>
      </w:r>
      <w:r w:rsidRPr="00405F69" w:rsidR="00405F69">
        <w:rPr>
          <w:rFonts w:ascii="Times New Roman" w:hAnsi="Times New Roman"/>
          <w:b/>
          <w:bCs/>
          <w:szCs w:val="24"/>
        </w:rPr>
        <w:t>789</w:t>
      </w:r>
      <w:r w:rsidRPr="00405F69">
        <w:rPr>
          <w:rFonts w:ascii="Times New Roman" w:hAnsi="Times New Roman"/>
          <w:b/>
          <w:bCs/>
          <w:szCs w:val="24"/>
        </w:rPr>
        <w:t xml:space="preserve"> </w:t>
      </w:r>
      <w:r w:rsidR="00405F69">
        <w:rPr>
          <w:rFonts w:ascii="Times New Roman" w:hAnsi="Times New Roman"/>
          <w:b/>
          <w:bCs/>
          <w:szCs w:val="24"/>
        </w:rPr>
        <w:t xml:space="preserve">reporting and recordkeeping </w:t>
      </w:r>
      <w:r w:rsidRPr="00405F69">
        <w:rPr>
          <w:rFonts w:ascii="Times New Roman" w:hAnsi="Times New Roman"/>
          <w:b/>
          <w:bCs/>
          <w:szCs w:val="24"/>
        </w:rPr>
        <w:t>burden hours</w:t>
      </w:r>
      <w:r w:rsidR="00405F69">
        <w:rPr>
          <w:rFonts w:ascii="Times New Roman" w:hAnsi="Times New Roman"/>
          <w:b/>
          <w:bCs/>
          <w:szCs w:val="24"/>
        </w:rPr>
        <w:t xml:space="preserve"> (48,099.64 reporting + 689 </w:t>
      </w:r>
      <w:r w:rsidR="00405F69">
        <w:rPr>
          <w:rFonts w:ascii="Times New Roman" w:hAnsi="Times New Roman"/>
          <w:b/>
          <w:bCs/>
          <w:szCs w:val="24"/>
        </w:rPr>
        <w:lastRenderedPageBreak/>
        <w:t>recordkeeping hours)</w:t>
      </w:r>
      <w:r>
        <w:rPr>
          <w:rFonts w:ascii="Times New Roman" w:hAnsi="Times New Roman"/>
          <w:szCs w:val="24"/>
        </w:rPr>
        <w:t>, a</w:t>
      </w:r>
      <w:r w:rsidRPr="007F714C">
        <w:rPr>
          <w:rFonts w:ascii="Times New Roman" w:hAnsi="Times New Roman"/>
          <w:szCs w:val="24"/>
        </w:rPr>
        <w:t xml:space="preserve"> </w:t>
      </w:r>
      <w:r>
        <w:rPr>
          <w:rFonts w:ascii="Times New Roman" w:hAnsi="Times New Roman"/>
          <w:szCs w:val="24"/>
        </w:rPr>
        <w:t xml:space="preserve">decrease </w:t>
      </w:r>
      <w:r w:rsidRPr="00405F69">
        <w:rPr>
          <w:rFonts w:ascii="Times New Roman" w:hAnsi="Times New Roman"/>
          <w:b/>
          <w:bCs/>
          <w:szCs w:val="24"/>
        </w:rPr>
        <w:t xml:space="preserve">of </w:t>
      </w:r>
      <w:r w:rsidRPr="00405F69" w:rsidR="00405F69">
        <w:rPr>
          <w:rFonts w:ascii="Times New Roman" w:hAnsi="Times New Roman"/>
          <w:b/>
          <w:bCs/>
          <w:szCs w:val="24"/>
        </w:rPr>
        <w:t>-7,864</w:t>
      </w:r>
      <w:r w:rsidRPr="00405F69">
        <w:rPr>
          <w:rFonts w:ascii="Times New Roman" w:hAnsi="Times New Roman"/>
          <w:b/>
          <w:bCs/>
          <w:szCs w:val="24"/>
        </w:rPr>
        <w:t xml:space="preserve"> reporting hours</w:t>
      </w:r>
      <w:r w:rsidR="00410A10">
        <w:rPr>
          <w:rFonts w:ascii="Times New Roman" w:hAnsi="Times New Roman"/>
          <w:b/>
          <w:bCs/>
          <w:szCs w:val="24"/>
        </w:rPr>
        <w:t>, the recordkeeping hours remains unchanged from the currently approved request</w:t>
      </w:r>
      <w:r w:rsidRPr="007F714C">
        <w:rPr>
          <w:rFonts w:ascii="Times New Roman" w:hAnsi="Times New Roman"/>
          <w:szCs w:val="24"/>
        </w:rPr>
        <w:t>. The current</w:t>
      </w:r>
      <w:r w:rsidR="00937F48">
        <w:rPr>
          <w:rFonts w:ascii="Times New Roman" w:hAnsi="Times New Roman"/>
          <w:szCs w:val="24"/>
        </w:rPr>
        <w:t xml:space="preserve"> overall</w:t>
      </w:r>
      <w:r w:rsidRPr="007F714C">
        <w:rPr>
          <w:rFonts w:ascii="Times New Roman" w:hAnsi="Times New Roman"/>
          <w:szCs w:val="24"/>
        </w:rPr>
        <w:t xml:space="preserve"> total annual response is </w:t>
      </w:r>
      <w:r w:rsidRPr="00405F69">
        <w:rPr>
          <w:rFonts w:ascii="Times New Roman" w:hAnsi="Times New Roman"/>
          <w:b/>
          <w:bCs/>
          <w:szCs w:val="24"/>
        </w:rPr>
        <w:t>66</w:t>
      </w:r>
      <w:r w:rsidRPr="00405F69" w:rsidR="00405F69">
        <w:rPr>
          <w:rFonts w:ascii="Times New Roman" w:hAnsi="Times New Roman"/>
          <w:b/>
          <w:bCs/>
          <w:szCs w:val="24"/>
        </w:rPr>
        <w:t>6</w:t>
      </w:r>
      <w:r w:rsidRPr="00405F69">
        <w:rPr>
          <w:rFonts w:ascii="Times New Roman" w:hAnsi="Times New Roman"/>
          <w:b/>
          <w:bCs/>
          <w:szCs w:val="24"/>
        </w:rPr>
        <w:t>,</w:t>
      </w:r>
      <w:r w:rsidRPr="00405F69" w:rsidR="00405F69">
        <w:rPr>
          <w:rFonts w:ascii="Times New Roman" w:hAnsi="Times New Roman"/>
          <w:b/>
          <w:bCs/>
          <w:szCs w:val="24"/>
        </w:rPr>
        <w:t>864</w:t>
      </w:r>
      <w:r w:rsidRPr="00405F69">
        <w:rPr>
          <w:rFonts w:ascii="Times New Roman" w:hAnsi="Times New Roman"/>
          <w:b/>
          <w:bCs/>
          <w:szCs w:val="24"/>
        </w:rPr>
        <w:t xml:space="preserve">, we are requesting </w:t>
      </w:r>
      <w:r w:rsidRPr="00405F69" w:rsidR="00405F69">
        <w:rPr>
          <w:rFonts w:ascii="Times New Roman" w:hAnsi="Times New Roman"/>
          <w:b/>
          <w:bCs/>
          <w:szCs w:val="24"/>
        </w:rPr>
        <w:t>550</w:t>
      </w:r>
      <w:r w:rsidRPr="00405F69">
        <w:rPr>
          <w:rFonts w:ascii="Times New Roman" w:hAnsi="Times New Roman"/>
          <w:b/>
          <w:bCs/>
          <w:szCs w:val="24"/>
        </w:rPr>
        <w:t>,</w:t>
      </w:r>
      <w:r w:rsidRPr="00405F69" w:rsidR="00405F69">
        <w:rPr>
          <w:rFonts w:ascii="Times New Roman" w:hAnsi="Times New Roman"/>
          <w:b/>
          <w:bCs/>
          <w:szCs w:val="24"/>
        </w:rPr>
        <w:t>406</w:t>
      </w:r>
      <w:r w:rsidRPr="007F714C">
        <w:rPr>
          <w:rFonts w:ascii="Times New Roman" w:hAnsi="Times New Roman"/>
          <w:szCs w:val="24"/>
        </w:rPr>
        <w:t xml:space="preserve"> a </w:t>
      </w:r>
      <w:r>
        <w:rPr>
          <w:rFonts w:ascii="Times New Roman" w:hAnsi="Times New Roman"/>
          <w:szCs w:val="24"/>
        </w:rPr>
        <w:t>decrease</w:t>
      </w:r>
      <w:r w:rsidRPr="007F714C">
        <w:rPr>
          <w:rFonts w:ascii="Times New Roman" w:hAnsi="Times New Roman"/>
          <w:szCs w:val="24"/>
        </w:rPr>
        <w:t xml:space="preserve"> of </w:t>
      </w:r>
      <w:r w:rsidRPr="00405F69" w:rsidR="00405F69">
        <w:rPr>
          <w:rFonts w:ascii="Times New Roman" w:hAnsi="Times New Roman"/>
          <w:b/>
          <w:bCs/>
          <w:szCs w:val="24"/>
        </w:rPr>
        <w:t>-116,458</w:t>
      </w:r>
      <w:r w:rsidR="00937F48">
        <w:rPr>
          <w:rFonts w:ascii="Times New Roman" w:hAnsi="Times New Roman"/>
          <w:b/>
          <w:bCs/>
          <w:szCs w:val="24"/>
        </w:rPr>
        <w:t xml:space="preserve">, </w:t>
      </w:r>
      <w:r w:rsidRPr="00937F48" w:rsidR="00937F48">
        <w:rPr>
          <w:rFonts w:ascii="Times New Roman" w:hAnsi="Times New Roman"/>
          <w:szCs w:val="24"/>
        </w:rPr>
        <w:t>this too is reflect</w:t>
      </w:r>
      <w:r w:rsidR="00937F48">
        <w:rPr>
          <w:rFonts w:ascii="Times New Roman" w:hAnsi="Times New Roman"/>
          <w:szCs w:val="24"/>
        </w:rPr>
        <w:t xml:space="preserve">ive </w:t>
      </w:r>
      <w:r w:rsidRPr="00937F48" w:rsidR="00937F48">
        <w:rPr>
          <w:rFonts w:ascii="Times New Roman" w:hAnsi="Times New Roman"/>
          <w:szCs w:val="24"/>
        </w:rPr>
        <w:t>of solely the reporting burden estimates</w:t>
      </w:r>
      <w:r w:rsidRPr="007F714C">
        <w:rPr>
          <w:rFonts w:ascii="Times New Roman" w:hAnsi="Times New Roman"/>
          <w:szCs w:val="24"/>
        </w:rPr>
        <w:t xml:space="preserve">. </w:t>
      </w:r>
      <w:r w:rsidR="00FB680D">
        <w:rPr>
          <w:rFonts w:ascii="Times New Roman" w:hAnsi="Times New Roman"/>
          <w:szCs w:val="24"/>
        </w:rPr>
        <w:t xml:space="preserve">The currently approved respondents for individuals/households is </w:t>
      </w:r>
      <w:r w:rsidR="00B91F4B">
        <w:rPr>
          <w:rFonts w:ascii="Times New Roman" w:hAnsi="Times New Roman"/>
          <w:szCs w:val="24"/>
        </w:rPr>
        <w:t>305,020 which has been decreased to 272,161</w:t>
      </w:r>
      <w:r w:rsidR="001A1282">
        <w:rPr>
          <w:rFonts w:ascii="Times New Roman" w:hAnsi="Times New Roman"/>
          <w:szCs w:val="24"/>
        </w:rPr>
        <w:t>,</w:t>
      </w:r>
      <w:r w:rsidR="00B91F4B">
        <w:rPr>
          <w:rFonts w:ascii="Times New Roman" w:hAnsi="Times New Roman"/>
          <w:szCs w:val="24"/>
        </w:rPr>
        <w:t xml:space="preserve"> and 53 State agencies</w:t>
      </w:r>
      <w:r w:rsidR="001A1282">
        <w:rPr>
          <w:rFonts w:ascii="Times New Roman" w:hAnsi="Times New Roman"/>
          <w:szCs w:val="24"/>
        </w:rPr>
        <w:t>,</w:t>
      </w:r>
      <w:r w:rsidR="00B91F4B">
        <w:rPr>
          <w:rFonts w:ascii="Times New Roman" w:hAnsi="Times New Roman"/>
          <w:szCs w:val="24"/>
        </w:rPr>
        <w:t xml:space="preserve"> which remains the same. </w:t>
      </w:r>
      <w:r w:rsidRPr="007F714C">
        <w:rPr>
          <w:rFonts w:ascii="Times New Roman" w:hAnsi="Times New Roman"/>
          <w:szCs w:val="24"/>
        </w:rPr>
        <w:t xml:space="preserve">These adjustments are due to a </w:t>
      </w:r>
      <w:r w:rsidR="00B57081">
        <w:rPr>
          <w:rFonts w:ascii="Times New Roman" w:hAnsi="Times New Roman"/>
          <w:szCs w:val="24"/>
        </w:rPr>
        <w:t>decrease in</w:t>
      </w:r>
      <w:r w:rsidRPr="007F714C">
        <w:rPr>
          <w:rFonts w:ascii="Times New Roman" w:hAnsi="Times New Roman"/>
          <w:szCs w:val="24"/>
        </w:rPr>
        <w:t xml:space="preserve"> </w:t>
      </w:r>
      <w:r w:rsidR="00B57081">
        <w:rPr>
          <w:rFonts w:ascii="Times New Roman" w:hAnsi="Times New Roman"/>
          <w:szCs w:val="24"/>
        </w:rPr>
        <w:t>the average number of 60-day notices sent to debtors by State agencies between 2018 and 2020</w:t>
      </w:r>
      <w:r w:rsidRPr="007F714C">
        <w:rPr>
          <w:rFonts w:ascii="Times New Roman" w:hAnsi="Times New Roman"/>
          <w:szCs w:val="24"/>
        </w:rPr>
        <w:t>.</w:t>
      </w:r>
    </w:p>
    <w:p w:rsidR="00B91F4B" w:rsidP="007F714C" w:rsidRDefault="00B91F4B" w14:paraId="480636F9" w14:textId="210B3EFD">
      <w:pPr>
        <w:widowControl/>
        <w:spacing w:line="480" w:lineRule="auto"/>
        <w:rPr>
          <w:rFonts w:ascii="Times New Roman" w:hAnsi="Times New Roman"/>
          <w:szCs w:val="24"/>
        </w:rPr>
      </w:pPr>
    </w:p>
    <w:p w:rsidRPr="007F714C" w:rsidR="00B91F4B" w:rsidP="007F714C" w:rsidRDefault="00B91F4B" w14:paraId="477C21F6" w14:textId="2D482EAB">
      <w:pPr>
        <w:widowControl/>
        <w:spacing w:line="480" w:lineRule="auto"/>
        <w:rPr>
          <w:rFonts w:ascii="Times New Roman" w:hAnsi="Times New Roman"/>
          <w:szCs w:val="24"/>
        </w:rPr>
      </w:pPr>
      <w:r>
        <w:rPr>
          <w:rFonts w:ascii="Times New Roman" w:hAnsi="Times New Roman"/>
          <w:szCs w:val="24"/>
        </w:rPr>
        <w:t>FNS is also reporting 12,</w:t>
      </w:r>
      <w:r w:rsidR="001A1282">
        <w:rPr>
          <w:rFonts w:ascii="Times New Roman" w:hAnsi="Times New Roman"/>
          <w:szCs w:val="24"/>
        </w:rPr>
        <w:t>374.82</w:t>
      </w:r>
      <w:r>
        <w:rPr>
          <w:rFonts w:ascii="Times New Roman" w:hAnsi="Times New Roman"/>
          <w:szCs w:val="24"/>
        </w:rPr>
        <w:t xml:space="preserve"> burden hours for third party reporting associated with sending data to TOP </w:t>
      </w:r>
      <w:r w:rsidR="00F960D4">
        <w:rPr>
          <w:rFonts w:ascii="Times New Roman" w:hAnsi="Times New Roman"/>
          <w:szCs w:val="24"/>
        </w:rPr>
        <w:t xml:space="preserve">for only the State agencies </w:t>
      </w:r>
      <w:r>
        <w:rPr>
          <w:rFonts w:ascii="Times New Roman" w:hAnsi="Times New Roman"/>
          <w:szCs w:val="24"/>
        </w:rPr>
        <w:t>(</w:t>
      </w:r>
      <w:r w:rsidR="00F960D4">
        <w:rPr>
          <w:rFonts w:ascii="Times New Roman" w:hAnsi="Times New Roman"/>
          <w:szCs w:val="24"/>
        </w:rPr>
        <w:t xml:space="preserve">this burden is </w:t>
      </w:r>
      <w:r>
        <w:rPr>
          <w:rFonts w:ascii="Times New Roman" w:hAnsi="Times New Roman"/>
          <w:szCs w:val="24"/>
        </w:rPr>
        <w:t xml:space="preserve">included above in the </w:t>
      </w:r>
      <w:r w:rsidR="00F960D4">
        <w:rPr>
          <w:rFonts w:ascii="Times New Roman" w:hAnsi="Times New Roman"/>
          <w:szCs w:val="24"/>
        </w:rPr>
        <w:t xml:space="preserve">overall </w:t>
      </w:r>
      <w:r>
        <w:rPr>
          <w:rFonts w:ascii="Times New Roman" w:hAnsi="Times New Roman"/>
          <w:szCs w:val="24"/>
        </w:rPr>
        <w:t xml:space="preserve">48,099.64 </w:t>
      </w:r>
      <w:r w:rsidR="000D14FC">
        <w:rPr>
          <w:rFonts w:ascii="Times New Roman" w:hAnsi="Times New Roman"/>
          <w:szCs w:val="24"/>
        </w:rPr>
        <w:t xml:space="preserve">reporting </w:t>
      </w:r>
      <w:r>
        <w:rPr>
          <w:rFonts w:ascii="Times New Roman" w:hAnsi="Times New Roman"/>
          <w:szCs w:val="24"/>
        </w:rPr>
        <w:t>burden hours above</w:t>
      </w:r>
      <w:r w:rsidR="000D14FC">
        <w:rPr>
          <w:rFonts w:ascii="Times New Roman" w:hAnsi="Times New Roman"/>
          <w:szCs w:val="24"/>
        </w:rPr>
        <w:t xml:space="preserve"> for</w:t>
      </w:r>
      <w:r w:rsidR="00F960D4">
        <w:rPr>
          <w:rFonts w:ascii="Times New Roman" w:hAnsi="Times New Roman"/>
          <w:szCs w:val="24"/>
        </w:rPr>
        <w:t xml:space="preserve"> Individuals/Households and State agencies</w:t>
      </w:r>
      <w:r>
        <w:rPr>
          <w:rFonts w:ascii="Times New Roman" w:hAnsi="Times New Roman"/>
          <w:szCs w:val="24"/>
        </w:rPr>
        <w:t xml:space="preserve">). This was </w:t>
      </w:r>
      <w:r w:rsidR="00500FAD">
        <w:rPr>
          <w:rFonts w:ascii="Times New Roman" w:hAnsi="Times New Roman"/>
          <w:szCs w:val="24"/>
        </w:rPr>
        <w:t xml:space="preserve">not broken out in the last collection or the 60dayFRN, the </w:t>
      </w:r>
      <w:r w:rsidR="006D683E">
        <w:rPr>
          <w:rFonts w:ascii="Times New Roman" w:hAnsi="Times New Roman"/>
          <w:szCs w:val="24"/>
        </w:rPr>
        <w:t>third party reporting is now broken-</w:t>
      </w:r>
      <w:r w:rsidR="00500FAD">
        <w:rPr>
          <w:rFonts w:ascii="Times New Roman" w:hAnsi="Times New Roman"/>
          <w:szCs w:val="24"/>
        </w:rPr>
        <w:t>out is in supporting statement 12</w:t>
      </w:r>
      <w:r>
        <w:rPr>
          <w:rFonts w:ascii="Times New Roman" w:hAnsi="Times New Roman"/>
          <w:szCs w:val="24"/>
        </w:rPr>
        <w:t>.</w:t>
      </w:r>
    </w:p>
    <w:p w:rsidRPr="002568E6" w:rsidR="006B4BFE" w:rsidP="000438E8" w:rsidRDefault="006B4BFE" w14:paraId="0D57C51A" w14:textId="77777777">
      <w:pPr>
        <w:tabs>
          <w:tab w:val="left" w:pos="0"/>
        </w:tabs>
        <w:suppressAutoHyphens/>
        <w:rPr>
          <w:rFonts w:ascii="Times New Roman" w:hAnsi="Times New Roman"/>
          <w:szCs w:val="24"/>
        </w:rPr>
      </w:pPr>
    </w:p>
    <w:p w:rsidRPr="002568E6" w:rsidR="00A308DB" w:rsidP="0062567E" w:rsidRDefault="000438E8" w14:paraId="7B313E73" w14:textId="77777777">
      <w:pPr>
        <w:pStyle w:val="Heading1"/>
        <w:rPr>
          <w:szCs w:val="24"/>
        </w:rPr>
      </w:pPr>
      <w:bookmarkStart w:name="_Toc401831372" w:id="32"/>
      <w:bookmarkStart w:name="_Toc401832416" w:id="33"/>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2"/>
      <w:bookmarkEnd w:id="33"/>
      <w:r w:rsidRPr="002568E6">
        <w:rPr>
          <w:szCs w:val="24"/>
        </w:rPr>
        <w:t xml:space="preserve"> </w:t>
      </w:r>
    </w:p>
    <w:p w:rsidRPr="002568E6" w:rsidR="00A308DB" w:rsidP="000438E8" w:rsidRDefault="00A308DB" w14:paraId="2B35B0F9" w14:textId="77777777">
      <w:pPr>
        <w:tabs>
          <w:tab w:val="left" w:pos="0"/>
        </w:tabs>
        <w:suppressAutoHyphens/>
        <w:rPr>
          <w:rFonts w:ascii="Times New Roman" w:hAnsi="Times New Roman"/>
          <w:b/>
          <w:szCs w:val="24"/>
        </w:rPr>
      </w:pPr>
    </w:p>
    <w:p w:rsidRPr="002568E6" w:rsidR="0062567E" w:rsidP="0062567E" w:rsidRDefault="0062567E" w14:paraId="45D30936"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4C1544C4" w14:textId="77777777">
      <w:pPr>
        <w:tabs>
          <w:tab w:val="left" w:pos="-720"/>
        </w:tabs>
        <w:suppressAutoHyphens/>
        <w:rPr>
          <w:rFonts w:ascii="Times New Roman" w:hAnsi="Times New Roman"/>
          <w:szCs w:val="24"/>
        </w:rPr>
      </w:pPr>
    </w:p>
    <w:p w:rsidRPr="002568E6" w:rsidR="00ED28F2" w:rsidP="00ED28F2" w:rsidRDefault="00B57081" w14:paraId="66FBFF79" w14:textId="7635273C">
      <w:pPr>
        <w:tabs>
          <w:tab w:val="left" w:pos="-720"/>
        </w:tabs>
        <w:suppressAutoHyphens/>
        <w:spacing w:line="480" w:lineRule="auto"/>
        <w:rPr>
          <w:rFonts w:ascii="Times New Roman" w:hAnsi="Times New Roman"/>
          <w:szCs w:val="24"/>
        </w:rPr>
      </w:pPr>
      <w:r>
        <w:rPr>
          <w:rFonts w:ascii="Times New Roman" w:hAnsi="Times New Roman"/>
          <w:szCs w:val="24"/>
        </w:rPr>
        <w:t>There is no plan to publish data.</w:t>
      </w:r>
    </w:p>
    <w:p w:rsidRPr="002568E6" w:rsidR="000438E8" w:rsidP="000438E8" w:rsidRDefault="000438E8" w14:paraId="6C84B0DA" w14:textId="77777777">
      <w:pPr>
        <w:tabs>
          <w:tab w:val="left" w:pos="0"/>
        </w:tabs>
        <w:suppressAutoHyphens/>
        <w:rPr>
          <w:rFonts w:ascii="Times New Roman" w:hAnsi="Times New Roman"/>
          <w:szCs w:val="24"/>
        </w:rPr>
      </w:pPr>
    </w:p>
    <w:p w:rsidRPr="002568E6" w:rsidR="00A308DB" w:rsidP="0062567E" w:rsidRDefault="000438E8" w14:paraId="39818A9D" w14:textId="77777777">
      <w:pPr>
        <w:pStyle w:val="Heading1"/>
        <w:rPr>
          <w:szCs w:val="24"/>
        </w:rPr>
      </w:pPr>
      <w:bookmarkStart w:name="_Toc401831373" w:id="34"/>
      <w:bookmarkStart w:name="_Toc401832417" w:id="35"/>
      <w:r w:rsidRPr="002568E6">
        <w:rPr>
          <w:szCs w:val="24"/>
        </w:rPr>
        <w:t xml:space="preserve">A17.  </w:t>
      </w:r>
      <w:r w:rsidRPr="002568E6" w:rsidR="001C6CBE">
        <w:rPr>
          <w:szCs w:val="24"/>
        </w:rPr>
        <w:t>Displaying the OMB Approval Expiration Date.</w:t>
      </w:r>
      <w:bookmarkEnd w:id="34"/>
      <w:bookmarkEnd w:id="35"/>
    </w:p>
    <w:p w:rsidRPr="002568E6" w:rsidR="0062567E" w:rsidP="0062567E" w:rsidRDefault="0062567E" w14:paraId="39AF86C5" w14:textId="77777777">
      <w:pPr>
        <w:pStyle w:val="ListParagraph"/>
        <w:widowControl/>
        <w:spacing w:line="240" w:lineRule="auto"/>
        <w:ind w:left="0"/>
        <w:rPr>
          <w:b/>
          <w:szCs w:val="24"/>
        </w:rPr>
      </w:pPr>
    </w:p>
    <w:p w:rsidRPr="002568E6" w:rsidR="0062567E" w:rsidP="0062567E" w:rsidRDefault="0062567E" w14:paraId="1DD21653"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1FAF3111" w14:textId="77777777">
      <w:pPr>
        <w:tabs>
          <w:tab w:val="left" w:pos="-720"/>
        </w:tabs>
        <w:suppressAutoHyphens/>
        <w:rPr>
          <w:rFonts w:ascii="Times New Roman" w:hAnsi="Times New Roman"/>
          <w:szCs w:val="24"/>
        </w:rPr>
      </w:pPr>
    </w:p>
    <w:p w:rsidRPr="00B57081" w:rsidR="00B57081" w:rsidP="00B57081" w:rsidRDefault="00B57081" w14:paraId="225C41EB" w14:textId="0D97DEE0">
      <w:pPr>
        <w:widowControl/>
        <w:spacing w:line="480" w:lineRule="auto"/>
        <w:rPr>
          <w:rFonts w:ascii="Times New Roman" w:hAnsi="Times New Roman"/>
          <w:szCs w:val="24"/>
        </w:rPr>
      </w:pPr>
      <w:r w:rsidRPr="00B57081">
        <w:rPr>
          <w:rFonts w:ascii="Times New Roman" w:hAnsi="Times New Roman"/>
          <w:szCs w:val="24"/>
        </w:rPr>
        <w:t>There are no forms associated wit</w:t>
      </w:r>
      <w:r>
        <w:rPr>
          <w:rFonts w:ascii="Times New Roman" w:hAnsi="Times New Roman"/>
          <w:szCs w:val="24"/>
        </w:rPr>
        <w:t xml:space="preserve">h this information collection. </w:t>
      </w:r>
      <w:r w:rsidRPr="00B57081">
        <w:rPr>
          <w:rFonts w:ascii="Times New Roman" w:hAnsi="Times New Roman"/>
          <w:szCs w:val="24"/>
        </w:rPr>
        <w:t>While the content of the notice is mandated by Treasury, it does not mandate a specific</w:t>
      </w:r>
      <w:r>
        <w:rPr>
          <w:rFonts w:ascii="Times New Roman" w:hAnsi="Times New Roman"/>
          <w:szCs w:val="24"/>
        </w:rPr>
        <w:t xml:space="preserve"> format.</w:t>
      </w:r>
      <w:r w:rsidRPr="00B57081">
        <w:rPr>
          <w:rFonts w:ascii="Times New Roman" w:hAnsi="Times New Roman"/>
          <w:szCs w:val="24"/>
        </w:rPr>
        <w:t xml:space="preserve"> The address requests and weekly files are submitted via electronic data transmission </w:t>
      </w:r>
      <w:r>
        <w:rPr>
          <w:rFonts w:ascii="Times New Roman" w:hAnsi="Times New Roman"/>
          <w:szCs w:val="24"/>
        </w:rPr>
        <w:t xml:space="preserve">as required by Treasury. </w:t>
      </w:r>
      <w:r w:rsidRPr="00B57081">
        <w:rPr>
          <w:rFonts w:ascii="Times New Roman" w:hAnsi="Times New Roman"/>
          <w:szCs w:val="24"/>
        </w:rPr>
        <w:t xml:space="preserve">The Agency does </w:t>
      </w:r>
      <w:r w:rsidRPr="00B57081">
        <w:rPr>
          <w:rFonts w:ascii="Times New Roman" w:hAnsi="Times New Roman"/>
          <w:szCs w:val="24"/>
        </w:rPr>
        <w:lastRenderedPageBreak/>
        <w:t>display the expiration date for OMB approval of the information collection for all the instruments it does use.</w:t>
      </w:r>
    </w:p>
    <w:p w:rsidRPr="002568E6" w:rsidR="000438E8" w:rsidP="000438E8" w:rsidRDefault="000438E8" w14:paraId="7AF206C2" w14:textId="77777777">
      <w:pPr>
        <w:tabs>
          <w:tab w:val="left" w:pos="0"/>
        </w:tabs>
        <w:suppressAutoHyphens/>
        <w:rPr>
          <w:rFonts w:ascii="Times New Roman" w:hAnsi="Times New Roman"/>
          <w:szCs w:val="24"/>
        </w:rPr>
      </w:pPr>
    </w:p>
    <w:p w:rsidRPr="002568E6" w:rsidR="00A308DB" w:rsidP="0062567E" w:rsidRDefault="000438E8" w14:paraId="31FA3584" w14:textId="77777777">
      <w:pPr>
        <w:pStyle w:val="Heading1"/>
        <w:rPr>
          <w:szCs w:val="24"/>
        </w:rPr>
      </w:pPr>
      <w:bookmarkStart w:name="_Toc401831374" w:id="36"/>
      <w:bookmarkStart w:name="_Toc401832418" w:id="37"/>
      <w:r w:rsidRPr="002568E6">
        <w:rPr>
          <w:szCs w:val="24"/>
        </w:rPr>
        <w:t>A18.  Exception</w:t>
      </w:r>
      <w:r w:rsidR="002568E6">
        <w:rPr>
          <w:szCs w:val="24"/>
        </w:rPr>
        <w:t>s</w:t>
      </w:r>
      <w:r w:rsidRPr="002568E6">
        <w:rPr>
          <w:szCs w:val="24"/>
        </w:rPr>
        <w:t xml:space="preserve"> to the certification statement identified in Item 19.</w:t>
      </w:r>
      <w:bookmarkEnd w:id="36"/>
      <w:bookmarkEnd w:id="37"/>
      <w:r w:rsidRPr="002568E6" w:rsidR="006F346E">
        <w:rPr>
          <w:szCs w:val="24"/>
        </w:rPr>
        <w:t xml:space="preserve">  </w:t>
      </w:r>
    </w:p>
    <w:p w:rsidRPr="002568E6" w:rsidR="0062567E" w:rsidP="000438E8" w:rsidRDefault="0062567E" w14:paraId="66E3D84D" w14:textId="77777777">
      <w:pPr>
        <w:tabs>
          <w:tab w:val="left" w:pos="0"/>
        </w:tabs>
        <w:suppressAutoHyphens/>
        <w:rPr>
          <w:rFonts w:ascii="Times New Roman" w:hAnsi="Times New Roman"/>
          <w:b/>
          <w:szCs w:val="24"/>
        </w:rPr>
      </w:pPr>
    </w:p>
    <w:p w:rsidRPr="002568E6" w:rsidR="0062567E" w:rsidP="000438E8" w:rsidRDefault="0062567E" w14:paraId="4DEDE986"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3B249491" w14:textId="77777777">
      <w:pPr>
        <w:tabs>
          <w:tab w:val="left" w:pos="-720"/>
        </w:tabs>
        <w:suppressAutoHyphens/>
        <w:rPr>
          <w:rFonts w:ascii="Times New Roman" w:hAnsi="Times New Roman"/>
          <w:szCs w:val="24"/>
        </w:rPr>
      </w:pPr>
    </w:p>
    <w:p w:rsidRPr="00B57081" w:rsidR="00B57081" w:rsidP="00B57081" w:rsidRDefault="00B57081" w14:paraId="2514804F" w14:textId="2A5DFEA9">
      <w:pPr>
        <w:widowControl/>
        <w:spacing w:line="480" w:lineRule="auto"/>
        <w:rPr>
          <w:rFonts w:ascii="Times New Roman" w:hAnsi="Times New Roman"/>
          <w:szCs w:val="24"/>
        </w:rPr>
      </w:pPr>
      <w:r w:rsidRPr="00B57081">
        <w:rPr>
          <w:rFonts w:ascii="Times New Roman" w:hAnsi="Times New Roman"/>
          <w:szCs w:val="24"/>
        </w:rPr>
        <w:t xml:space="preserve">This information collection conforms to the requirements of 5 CFR </w:t>
      </w:r>
      <w:r>
        <w:rPr>
          <w:rFonts w:ascii="Times New Roman" w:hAnsi="Times New Roman"/>
          <w:szCs w:val="24"/>
        </w:rPr>
        <w:t>1320.9.</w:t>
      </w:r>
      <w:r w:rsidRPr="00B57081">
        <w:rPr>
          <w:rFonts w:ascii="Times New Roman" w:hAnsi="Times New Roman"/>
          <w:szCs w:val="24"/>
        </w:rPr>
        <w:t xml:space="preserve"> There are no exceptions to the certification statement.</w:t>
      </w:r>
    </w:p>
    <w:p w:rsidRPr="002568E6" w:rsidR="006F346E" w:rsidP="00ED28F2" w:rsidRDefault="006F346E" w14:paraId="778A5BC4" w14:textId="77777777">
      <w:pPr>
        <w:tabs>
          <w:tab w:val="left" w:pos="0"/>
        </w:tabs>
        <w:suppressAutoHyphens/>
        <w:rPr>
          <w:rFonts w:ascii="Times New Roman" w:hAnsi="Times New Roman"/>
          <w:szCs w:val="24"/>
        </w:rPr>
      </w:pPr>
    </w:p>
    <w:sectPr w:rsidRPr="002568E6" w:rsidR="006F346E" w:rsidSect="002568E6">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C02F" w14:textId="77777777" w:rsidR="00725A72" w:rsidRDefault="00725A72">
      <w:pPr>
        <w:spacing w:line="20" w:lineRule="exact"/>
      </w:pPr>
    </w:p>
  </w:endnote>
  <w:endnote w:type="continuationSeparator" w:id="0">
    <w:p w14:paraId="478C2A01" w14:textId="77777777" w:rsidR="00725A72" w:rsidRDefault="00725A72">
      <w:r>
        <w:t xml:space="preserve"> </w:t>
      </w:r>
    </w:p>
  </w:endnote>
  <w:endnote w:type="continuationNotice" w:id="1">
    <w:p w14:paraId="5D82F80A" w14:textId="77777777" w:rsidR="00725A72" w:rsidRDefault="00725A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678" w14:textId="32504652" w:rsidR="00725A72" w:rsidRPr="002568E6" w:rsidRDefault="00725A72">
    <w:pPr>
      <w:pStyle w:val="Footer"/>
      <w:jc w:val="center"/>
      <w:rPr>
        <w:rFonts w:ascii="Times New Roman" w:hAnsi="Times New Roman"/>
      </w:rPr>
    </w:pPr>
  </w:p>
  <w:p w14:paraId="4567D23C" w14:textId="77777777" w:rsidR="00725A72" w:rsidRDefault="00725A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C873" w14:textId="77777777" w:rsidR="00725A72" w:rsidRDefault="00725A72">
      <w:r>
        <w:separator/>
      </w:r>
    </w:p>
  </w:footnote>
  <w:footnote w:type="continuationSeparator" w:id="0">
    <w:p w14:paraId="64F054BA" w14:textId="77777777" w:rsidR="00725A72" w:rsidRDefault="00725A72">
      <w:r>
        <w:continuationSeparator/>
      </w:r>
    </w:p>
  </w:footnote>
  <w:footnote w:id="1">
    <w:p w14:paraId="36F2D1E3" w14:textId="77777777" w:rsidR="00725A72" w:rsidRPr="00A35478" w:rsidRDefault="00725A72" w:rsidP="00A614E2">
      <w:pPr>
        <w:pStyle w:val="FootnoteText"/>
        <w:rPr>
          <w:rFonts w:ascii="Times New Roman" w:hAnsi="Times New Roman"/>
        </w:rPr>
      </w:pPr>
      <w:r w:rsidRPr="00A35478">
        <w:rPr>
          <w:rStyle w:val="FootnoteReference"/>
          <w:rFonts w:ascii="Times New Roman" w:hAnsi="Times New Roman"/>
        </w:rPr>
        <w:footnoteRef/>
      </w:r>
      <w:r w:rsidRPr="00A35478">
        <w:rPr>
          <w:rFonts w:ascii="Times New Roman" w:hAnsi="Times New Roman"/>
        </w:rPr>
        <w:t xml:space="preserve"> </w:t>
      </w:r>
      <w:r w:rsidRPr="00A35478">
        <w:rPr>
          <w:rFonts w:ascii="Times New Roman" w:hAnsi="Times New Roman"/>
          <w:sz w:val="20"/>
        </w:rPr>
        <w:t>FNS’ template for State agencies to use for TOP notices includes the debtor’s name, address and SNAP case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6E6D2B"/>
    <w:multiLevelType w:val="hybridMultilevel"/>
    <w:tmpl w:val="AF1A2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8"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9"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7"/>
  </w:num>
  <w:num w:numId="4">
    <w:abstractNumId w:val="11"/>
  </w:num>
  <w:num w:numId="5">
    <w:abstractNumId w:val="19"/>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92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691"/>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17F8"/>
    <w:rsid w:val="000A28C4"/>
    <w:rsid w:val="000A34BE"/>
    <w:rsid w:val="000A3781"/>
    <w:rsid w:val="000A4F8D"/>
    <w:rsid w:val="000A7424"/>
    <w:rsid w:val="000B26F3"/>
    <w:rsid w:val="000B31BF"/>
    <w:rsid w:val="000B50C9"/>
    <w:rsid w:val="000B7836"/>
    <w:rsid w:val="000C089B"/>
    <w:rsid w:val="000C10F7"/>
    <w:rsid w:val="000C4FEB"/>
    <w:rsid w:val="000C55A2"/>
    <w:rsid w:val="000C5B0F"/>
    <w:rsid w:val="000D0C93"/>
    <w:rsid w:val="000D14FC"/>
    <w:rsid w:val="000D17F6"/>
    <w:rsid w:val="000D279A"/>
    <w:rsid w:val="000D5750"/>
    <w:rsid w:val="000D6419"/>
    <w:rsid w:val="000D6ECF"/>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0296"/>
    <w:rsid w:val="0015139F"/>
    <w:rsid w:val="001514C7"/>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97F64"/>
    <w:rsid w:val="001A01C9"/>
    <w:rsid w:val="001A1282"/>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47E4"/>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6D2"/>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4DF3"/>
    <w:rsid w:val="00405F69"/>
    <w:rsid w:val="004060BE"/>
    <w:rsid w:val="004061F0"/>
    <w:rsid w:val="00407AEA"/>
    <w:rsid w:val="00410A10"/>
    <w:rsid w:val="004113AB"/>
    <w:rsid w:val="004127EA"/>
    <w:rsid w:val="00415AE6"/>
    <w:rsid w:val="00417C54"/>
    <w:rsid w:val="00422327"/>
    <w:rsid w:val="0043148A"/>
    <w:rsid w:val="00431975"/>
    <w:rsid w:val="004326D8"/>
    <w:rsid w:val="00432716"/>
    <w:rsid w:val="0043383F"/>
    <w:rsid w:val="00435AB5"/>
    <w:rsid w:val="00437234"/>
    <w:rsid w:val="00437471"/>
    <w:rsid w:val="00440392"/>
    <w:rsid w:val="00442B73"/>
    <w:rsid w:val="00443A6D"/>
    <w:rsid w:val="00445633"/>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3FAF"/>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D6B7E"/>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0FAD"/>
    <w:rsid w:val="0050255B"/>
    <w:rsid w:val="00503920"/>
    <w:rsid w:val="00503F52"/>
    <w:rsid w:val="00505C81"/>
    <w:rsid w:val="00506D32"/>
    <w:rsid w:val="005072CD"/>
    <w:rsid w:val="00510518"/>
    <w:rsid w:val="0051085D"/>
    <w:rsid w:val="00511375"/>
    <w:rsid w:val="00511668"/>
    <w:rsid w:val="00511934"/>
    <w:rsid w:val="00512C6B"/>
    <w:rsid w:val="00514175"/>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503D"/>
    <w:rsid w:val="00586F6C"/>
    <w:rsid w:val="005912FB"/>
    <w:rsid w:val="005917B8"/>
    <w:rsid w:val="00591AD7"/>
    <w:rsid w:val="005940EB"/>
    <w:rsid w:val="0059545A"/>
    <w:rsid w:val="005955C7"/>
    <w:rsid w:val="00596675"/>
    <w:rsid w:val="005967BB"/>
    <w:rsid w:val="005A0C2E"/>
    <w:rsid w:val="005A3F80"/>
    <w:rsid w:val="005A4F79"/>
    <w:rsid w:val="005A598F"/>
    <w:rsid w:val="005A6977"/>
    <w:rsid w:val="005B172E"/>
    <w:rsid w:val="005B2A87"/>
    <w:rsid w:val="005C04BB"/>
    <w:rsid w:val="005C286E"/>
    <w:rsid w:val="005C33B4"/>
    <w:rsid w:val="005C423C"/>
    <w:rsid w:val="005C50FC"/>
    <w:rsid w:val="005C54B0"/>
    <w:rsid w:val="005C6321"/>
    <w:rsid w:val="005D021A"/>
    <w:rsid w:val="005D1756"/>
    <w:rsid w:val="005D4603"/>
    <w:rsid w:val="005D532E"/>
    <w:rsid w:val="005D7CF3"/>
    <w:rsid w:val="005E0A1A"/>
    <w:rsid w:val="005E22A5"/>
    <w:rsid w:val="005E292E"/>
    <w:rsid w:val="005E6A3C"/>
    <w:rsid w:val="005E7295"/>
    <w:rsid w:val="005F0A77"/>
    <w:rsid w:val="005F2D36"/>
    <w:rsid w:val="005F31C0"/>
    <w:rsid w:val="005F43D7"/>
    <w:rsid w:val="005F4934"/>
    <w:rsid w:val="005F5FFE"/>
    <w:rsid w:val="005F6830"/>
    <w:rsid w:val="005F7C5A"/>
    <w:rsid w:val="00600B7F"/>
    <w:rsid w:val="00600F05"/>
    <w:rsid w:val="00603FF7"/>
    <w:rsid w:val="00604BE2"/>
    <w:rsid w:val="006059DF"/>
    <w:rsid w:val="0060707B"/>
    <w:rsid w:val="00616358"/>
    <w:rsid w:val="0061694F"/>
    <w:rsid w:val="00617B1B"/>
    <w:rsid w:val="0062182F"/>
    <w:rsid w:val="0062241E"/>
    <w:rsid w:val="006226A2"/>
    <w:rsid w:val="006228E2"/>
    <w:rsid w:val="00623399"/>
    <w:rsid w:val="0062567E"/>
    <w:rsid w:val="00626691"/>
    <w:rsid w:val="00630C90"/>
    <w:rsid w:val="0063244C"/>
    <w:rsid w:val="00632DE3"/>
    <w:rsid w:val="00634425"/>
    <w:rsid w:val="00634E66"/>
    <w:rsid w:val="0063688D"/>
    <w:rsid w:val="00640767"/>
    <w:rsid w:val="00640F7D"/>
    <w:rsid w:val="00641512"/>
    <w:rsid w:val="0064229A"/>
    <w:rsid w:val="006469D1"/>
    <w:rsid w:val="00646DDA"/>
    <w:rsid w:val="0065006B"/>
    <w:rsid w:val="00650EBF"/>
    <w:rsid w:val="00655D39"/>
    <w:rsid w:val="0065657E"/>
    <w:rsid w:val="0066069C"/>
    <w:rsid w:val="00661AF9"/>
    <w:rsid w:val="00661B51"/>
    <w:rsid w:val="006644E6"/>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5F8A"/>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83E"/>
    <w:rsid w:val="006D6B2A"/>
    <w:rsid w:val="006D7835"/>
    <w:rsid w:val="006D7F88"/>
    <w:rsid w:val="006E4AC6"/>
    <w:rsid w:val="006E4B7F"/>
    <w:rsid w:val="006E5418"/>
    <w:rsid w:val="006E5E54"/>
    <w:rsid w:val="006E71DC"/>
    <w:rsid w:val="006E7909"/>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4DB1"/>
    <w:rsid w:val="00715BD0"/>
    <w:rsid w:val="00717835"/>
    <w:rsid w:val="00720489"/>
    <w:rsid w:val="0072072E"/>
    <w:rsid w:val="00720BC7"/>
    <w:rsid w:val="00722B78"/>
    <w:rsid w:val="00723374"/>
    <w:rsid w:val="00725A72"/>
    <w:rsid w:val="00725FDA"/>
    <w:rsid w:val="00730697"/>
    <w:rsid w:val="0073096B"/>
    <w:rsid w:val="007317BC"/>
    <w:rsid w:val="0073357B"/>
    <w:rsid w:val="00733A77"/>
    <w:rsid w:val="007343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7F714C"/>
    <w:rsid w:val="00800EE9"/>
    <w:rsid w:val="00801786"/>
    <w:rsid w:val="00803F61"/>
    <w:rsid w:val="008050EE"/>
    <w:rsid w:val="008071C5"/>
    <w:rsid w:val="00807B80"/>
    <w:rsid w:val="00810BB3"/>
    <w:rsid w:val="0081210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3D7E"/>
    <w:rsid w:val="008E569D"/>
    <w:rsid w:val="008F0099"/>
    <w:rsid w:val="008F0605"/>
    <w:rsid w:val="008F0A60"/>
    <w:rsid w:val="008F29DC"/>
    <w:rsid w:val="008F2DEC"/>
    <w:rsid w:val="008F3F14"/>
    <w:rsid w:val="008F5CEC"/>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94A"/>
    <w:rsid w:val="00930FCC"/>
    <w:rsid w:val="00933BEC"/>
    <w:rsid w:val="009361A2"/>
    <w:rsid w:val="009379DE"/>
    <w:rsid w:val="00937F48"/>
    <w:rsid w:val="0094179F"/>
    <w:rsid w:val="00944853"/>
    <w:rsid w:val="00947CE3"/>
    <w:rsid w:val="009500BC"/>
    <w:rsid w:val="009536A2"/>
    <w:rsid w:val="00956D8E"/>
    <w:rsid w:val="009575CF"/>
    <w:rsid w:val="00957E48"/>
    <w:rsid w:val="00961994"/>
    <w:rsid w:val="00962F5F"/>
    <w:rsid w:val="00964E59"/>
    <w:rsid w:val="009653BD"/>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AAB"/>
    <w:rsid w:val="009B2E15"/>
    <w:rsid w:val="009B4B0D"/>
    <w:rsid w:val="009B6105"/>
    <w:rsid w:val="009C1A67"/>
    <w:rsid w:val="009C32A5"/>
    <w:rsid w:val="009C419C"/>
    <w:rsid w:val="009C5170"/>
    <w:rsid w:val="009C5B28"/>
    <w:rsid w:val="009C7411"/>
    <w:rsid w:val="009D2F27"/>
    <w:rsid w:val="009D3849"/>
    <w:rsid w:val="009D5A73"/>
    <w:rsid w:val="009D5B4E"/>
    <w:rsid w:val="009D5C70"/>
    <w:rsid w:val="009D7A98"/>
    <w:rsid w:val="009D7DF9"/>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2F9C"/>
    <w:rsid w:val="00A3317C"/>
    <w:rsid w:val="00A35478"/>
    <w:rsid w:val="00A37C87"/>
    <w:rsid w:val="00A431C7"/>
    <w:rsid w:val="00A439DA"/>
    <w:rsid w:val="00A44347"/>
    <w:rsid w:val="00A45DE3"/>
    <w:rsid w:val="00A500EE"/>
    <w:rsid w:val="00A51D62"/>
    <w:rsid w:val="00A55E93"/>
    <w:rsid w:val="00A56DAE"/>
    <w:rsid w:val="00A614E2"/>
    <w:rsid w:val="00A616E0"/>
    <w:rsid w:val="00A6232F"/>
    <w:rsid w:val="00A641B0"/>
    <w:rsid w:val="00A64291"/>
    <w:rsid w:val="00A649BB"/>
    <w:rsid w:val="00A66DF7"/>
    <w:rsid w:val="00A6703B"/>
    <w:rsid w:val="00A70E02"/>
    <w:rsid w:val="00A7252E"/>
    <w:rsid w:val="00A73197"/>
    <w:rsid w:val="00A73507"/>
    <w:rsid w:val="00A7459E"/>
    <w:rsid w:val="00A75998"/>
    <w:rsid w:val="00A75FBE"/>
    <w:rsid w:val="00A7688B"/>
    <w:rsid w:val="00A8066A"/>
    <w:rsid w:val="00A81B52"/>
    <w:rsid w:val="00A82AA1"/>
    <w:rsid w:val="00A82BB4"/>
    <w:rsid w:val="00A83FB0"/>
    <w:rsid w:val="00A905F5"/>
    <w:rsid w:val="00A925C9"/>
    <w:rsid w:val="00A92D91"/>
    <w:rsid w:val="00A9392B"/>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3C"/>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0AA"/>
    <w:rsid w:val="00B42633"/>
    <w:rsid w:val="00B42A4C"/>
    <w:rsid w:val="00B44520"/>
    <w:rsid w:val="00B45036"/>
    <w:rsid w:val="00B46119"/>
    <w:rsid w:val="00B5016E"/>
    <w:rsid w:val="00B502BF"/>
    <w:rsid w:val="00B52C79"/>
    <w:rsid w:val="00B534DA"/>
    <w:rsid w:val="00B55CA4"/>
    <w:rsid w:val="00B57081"/>
    <w:rsid w:val="00B616CD"/>
    <w:rsid w:val="00B62726"/>
    <w:rsid w:val="00B6562C"/>
    <w:rsid w:val="00B677F2"/>
    <w:rsid w:val="00B73492"/>
    <w:rsid w:val="00B77958"/>
    <w:rsid w:val="00B77C3D"/>
    <w:rsid w:val="00B8362B"/>
    <w:rsid w:val="00B91F4B"/>
    <w:rsid w:val="00B92C27"/>
    <w:rsid w:val="00B9315A"/>
    <w:rsid w:val="00B932BE"/>
    <w:rsid w:val="00B934A6"/>
    <w:rsid w:val="00B9352B"/>
    <w:rsid w:val="00B93A5E"/>
    <w:rsid w:val="00B94086"/>
    <w:rsid w:val="00B942FD"/>
    <w:rsid w:val="00B95B69"/>
    <w:rsid w:val="00B96662"/>
    <w:rsid w:val="00BA0965"/>
    <w:rsid w:val="00BA2E7F"/>
    <w:rsid w:val="00BA3EC8"/>
    <w:rsid w:val="00BA4BA8"/>
    <w:rsid w:val="00BB1681"/>
    <w:rsid w:val="00BB4B24"/>
    <w:rsid w:val="00BB5083"/>
    <w:rsid w:val="00BB6678"/>
    <w:rsid w:val="00BB6B52"/>
    <w:rsid w:val="00BC1F50"/>
    <w:rsid w:val="00BC207F"/>
    <w:rsid w:val="00BC23B8"/>
    <w:rsid w:val="00BC5F7E"/>
    <w:rsid w:val="00BC6ABA"/>
    <w:rsid w:val="00BD1DD0"/>
    <w:rsid w:val="00BD29F1"/>
    <w:rsid w:val="00BD4BF2"/>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4FFE"/>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0E1A"/>
    <w:rsid w:val="00CB462E"/>
    <w:rsid w:val="00CB4BAA"/>
    <w:rsid w:val="00CC03DA"/>
    <w:rsid w:val="00CC3B51"/>
    <w:rsid w:val="00CC400E"/>
    <w:rsid w:val="00CC5EE3"/>
    <w:rsid w:val="00CC78E0"/>
    <w:rsid w:val="00CC7D21"/>
    <w:rsid w:val="00CD11B6"/>
    <w:rsid w:val="00CD4DE2"/>
    <w:rsid w:val="00CD4EFE"/>
    <w:rsid w:val="00CE2F33"/>
    <w:rsid w:val="00CE5DF7"/>
    <w:rsid w:val="00CF0312"/>
    <w:rsid w:val="00CF0BBA"/>
    <w:rsid w:val="00CF198E"/>
    <w:rsid w:val="00CF2F46"/>
    <w:rsid w:val="00CF3028"/>
    <w:rsid w:val="00CF356A"/>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2A22"/>
    <w:rsid w:val="00D63E4B"/>
    <w:rsid w:val="00D64255"/>
    <w:rsid w:val="00D65FFD"/>
    <w:rsid w:val="00D66261"/>
    <w:rsid w:val="00D66655"/>
    <w:rsid w:val="00D7035E"/>
    <w:rsid w:val="00D704CC"/>
    <w:rsid w:val="00D713CE"/>
    <w:rsid w:val="00D71DFC"/>
    <w:rsid w:val="00D71ED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5B4D"/>
    <w:rsid w:val="00D96C21"/>
    <w:rsid w:val="00DA0E06"/>
    <w:rsid w:val="00DA40F0"/>
    <w:rsid w:val="00DA5801"/>
    <w:rsid w:val="00DA6090"/>
    <w:rsid w:val="00DA6CF2"/>
    <w:rsid w:val="00DB3F8F"/>
    <w:rsid w:val="00DB4209"/>
    <w:rsid w:val="00DB71BA"/>
    <w:rsid w:val="00DB739F"/>
    <w:rsid w:val="00DB7E31"/>
    <w:rsid w:val="00DC1BD4"/>
    <w:rsid w:val="00DC3ED1"/>
    <w:rsid w:val="00DC4628"/>
    <w:rsid w:val="00DC6BEA"/>
    <w:rsid w:val="00DD12B3"/>
    <w:rsid w:val="00DD1995"/>
    <w:rsid w:val="00DD1A9F"/>
    <w:rsid w:val="00DD1AF7"/>
    <w:rsid w:val="00DD4661"/>
    <w:rsid w:val="00DD5497"/>
    <w:rsid w:val="00DD5C89"/>
    <w:rsid w:val="00DD7880"/>
    <w:rsid w:val="00DD7A23"/>
    <w:rsid w:val="00DE13FD"/>
    <w:rsid w:val="00DE1D1B"/>
    <w:rsid w:val="00DE23F4"/>
    <w:rsid w:val="00DE2494"/>
    <w:rsid w:val="00DE283C"/>
    <w:rsid w:val="00DE4085"/>
    <w:rsid w:val="00DE5FCB"/>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3529"/>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31E0"/>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58B8"/>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7EF"/>
    <w:rsid w:val="00F05414"/>
    <w:rsid w:val="00F05D6B"/>
    <w:rsid w:val="00F07336"/>
    <w:rsid w:val="00F10753"/>
    <w:rsid w:val="00F10FA6"/>
    <w:rsid w:val="00F1389E"/>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0D4"/>
    <w:rsid w:val="00F96207"/>
    <w:rsid w:val="00F9659F"/>
    <w:rsid w:val="00F97372"/>
    <w:rsid w:val="00FA03F2"/>
    <w:rsid w:val="00FA2369"/>
    <w:rsid w:val="00FA37DD"/>
    <w:rsid w:val="00FA5256"/>
    <w:rsid w:val="00FB41E1"/>
    <w:rsid w:val="00FB6150"/>
    <w:rsid w:val="00FB680D"/>
    <w:rsid w:val="00FB7807"/>
    <w:rsid w:val="00FB7AB0"/>
    <w:rsid w:val="00FC26B5"/>
    <w:rsid w:val="00FC54F6"/>
    <w:rsid w:val="00FC5505"/>
    <w:rsid w:val="00FC5EF5"/>
    <w:rsid w:val="00FD14C0"/>
    <w:rsid w:val="00FD1B1E"/>
    <w:rsid w:val="00FD48F4"/>
    <w:rsid w:val="00FD65F1"/>
    <w:rsid w:val="00FD6CC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F91C2E"/>
  <w15:docId w15:val="{6E8E4AD1-F216-4677-8869-D4555049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5145647">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54720705">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63922158">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3783835">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29821356">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87276401">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microsoft.com/office/2006/metadata/properties"/>
    <ds:schemaRef ds:uri="e7af00a0-4db2-4e43-90e3-8e4b091aeec2"/>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5.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24EE7F-8D8B-4F68-959F-26537246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4638</Words>
  <Characters>28196</Characters>
  <Application>Microsoft Office Word</Application>
  <DocSecurity>0</DocSecurity>
  <Lines>2819</Lines>
  <Paragraphs>1824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31010</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3</cp:revision>
  <cp:lastPrinted>2013-08-08T14:23:00Z</cp:lastPrinted>
  <dcterms:created xsi:type="dcterms:W3CDTF">2022-08-09T13:39:00Z</dcterms:created>
  <dcterms:modified xsi:type="dcterms:W3CDTF">2022-08-09T14:02:00Z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https://fncspro.usda.net/offices/ops/prao/_layouts/15/DocIdRedir.aspx?ID=PAT56XDWNNC6-1500440792-5, PAT56XDWNNC6-1500440792-5</vt:lpwstr>
  </property>
  <property fmtid="{D5CDD505-2E9C-101B-9397-08002B2CF9AE}" pid="9" name="TemplateUrl">
    <vt:lpwstr/>
  </property>
  <property fmtid="{D5CDD505-2E9C-101B-9397-08002B2CF9AE}" pid="10" name="_dlc_DocIdItemGuid">
    <vt:lpwstr>f9460f86-ccb2-45e2-9293-8cbabf720072</vt:lpwstr>
  </property>
</Properties>
</file>