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DCD" w:rsidRDefault="00BA1FB6" w14:paraId="46E28867" w14:textId="77777777">
      <w:pPr>
        <w:pStyle w:val="Heading1"/>
        <w:ind w:left="0"/>
        <w:jc w:val="center"/>
      </w:pPr>
      <w:r>
        <w:t>SUPPORTING STATEMENT</w:t>
      </w:r>
    </w:p>
    <w:p w:rsidR="00897DCD" w:rsidRDefault="00BA1FB6" w14:paraId="7B97C303" w14:textId="77777777">
      <w:pPr>
        <w:spacing w:before="22" w:line="259" w:lineRule="auto"/>
        <w:ind w:firstLine="14"/>
        <w:jc w:val="center"/>
        <w:rPr>
          <w:b/>
        </w:rPr>
      </w:pPr>
      <w:r>
        <w:rPr>
          <w:b/>
        </w:rPr>
        <w:t>U.S. Department of Commerce</w:t>
      </w:r>
    </w:p>
    <w:p w:rsidR="00897DCD" w:rsidRDefault="00BA1FB6" w14:paraId="08214400" w14:textId="77777777">
      <w:pPr>
        <w:spacing w:before="22" w:line="259" w:lineRule="auto"/>
        <w:ind w:firstLine="14"/>
        <w:jc w:val="center"/>
        <w:rPr>
          <w:b/>
        </w:rPr>
      </w:pPr>
      <w:r>
        <w:rPr>
          <w:b/>
        </w:rPr>
        <w:t>National Oceanic &amp; Atmospheric Administration</w:t>
      </w:r>
    </w:p>
    <w:p w:rsidR="00897DCD" w:rsidRDefault="002E6746" w14:paraId="7F3A7BDA" w14:textId="3DD51370">
      <w:pPr>
        <w:spacing w:line="259" w:lineRule="auto"/>
        <w:ind w:hanging="6"/>
        <w:jc w:val="center"/>
        <w:rPr>
          <w:b/>
        </w:rPr>
      </w:pPr>
      <w:r>
        <w:rPr>
          <w:b/>
        </w:rPr>
        <w:t>W</w:t>
      </w:r>
      <w:r w:rsidR="00A56BDA">
        <w:rPr>
          <w:b/>
        </w:rPr>
        <w:t xml:space="preserve">est </w:t>
      </w:r>
      <w:r>
        <w:rPr>
          <w:b/>
        </w:rPr>
        <w:t>C</w:t>
      </w:r>
      <w:r w:rsidR="00A56BDA">
        <w:rPr>
          <w:b/>
        </w:rPr>
        <w:t xml:space="preserve">oast </w:t>
      </w:r>
      <w:r>
        <w:rPr>
          <w:b/>
        </w:rPr>
        <w:t>R</w:t>
      </w:r>
      <w:r w:rsidR="00A56BDA">
        <w:rPr>
          <w:b/>
        </w:rPr>
        <w:t>egion</w:t>
      </w:r>
      <w:r>
        <w:rPr>
          <w:b/>
        </w:rPr>
        <w:t xml:space="preserve"> </w:t>
      </w:r>
      <w:r w:rsidR="004B073F">
        <w:rPr>
          <w:b/>
        </w:rPr>
        <w:t xml:space="preserve">Non-Trawl </w:t>
      </w:r>
      <w:r>
        <w:rPr>
          <w:b/>
        </w:rPr>
        <w:t>Groundfish Logbooks (</w:t>
      </w:r>
      <w:proofErr w:type="gramStart"/>
      <w:r>
        <w:rPr>
          <w:b/>
        </w:rPr>
        <w:t>TEMP</w:t>
      </w:r>
      <w:proofErr w:type="gramEnd"/>
      <w:r>
        <w:rPr>
          <w:b/>
        </w:rPr>
        <w:t xml:space="preserve"> collection)</w:t>
      </w:r>
    </w:p>
    <w:p w:rsidR="00897DCD" w:rsidRDefault="00BA1FB6" w14:paraId="01AE61D2" w14:textId="77777777">
      <w:pPr>
        <w:spacing w:line="259" w:lineRule="auto"/>
        <w:ind w:hanging="6"/>
        <w:jc w:val="center"/>
        <w:rPr>
          <w:b/>
        </w:rPr>
      </w:pPr>
      <w:r>
        <w:rPr>
          <w:b/>
        </w:rPr>
        <w:t>OMB Control No. 0648-XXXX</w:t>
      </w:r>
    </w:p>
    <w:p w:rsidR="00897DCD" w:rsidRDefault="00897DCD" w14:paraId="19EB6013" w14:textId="77777777">
      <w:pPr>
        <w:pBdr>
          <w:top w:val="nil"/>
          <w:left w:val="nil"/>
          <w:bottom w:val="nil"/>
          <w:right w:val="nil"/>
          <w:between w:val="nil"/>
        </w:pBdr>
        <w:spacing w:before="1"/>
        <w:jc w:val="center"/>
        <w:rPr>
          <w:b/>
          <w:color w:val="000000"/>
        </w:rPr>
      </w:pPr>
    </w:p>
    <w:p w:rsidR="00897DCD" w:rsidRDefault="00BA1FB6" w14:paraId="18BB1859" w14:textId="77777777">
      <w:pPr>
        <w:pStyle w:val="Heading1"/>
        <w:spacing w:before="199"/>
        <w:ind w:left="0"/>
      </w:pPr>
      <w:r>
        <w:t>Abstract</w:t>
      </w:r>
    </w:p>
    <w:p w:rsidRPr="006669EC" w:rsidR="009417AB" w:rsidP="009417AB" w:rsidRDefault="00C55D17" w14:paraId="44E88B14" w14:textId="680F1052">
      <w:pPr>
        <w:pBdr>
          <w:top w:val="nil"/>
          <w:left w:val="nil"/>
          <w:bottom w:val="nil"/>
          <w:right w:val="nil"/>
          <w:between w:val="nil"/>
        </w:pBdr>
        <w:spacing w:before="159"/>
      </w:pPr>
      <w:r>
        <w:t>The National Marine Fisheries Service (</w:t>
      </w:r>
      <w:r w:rsidR="00300670">
        <w:t>NMFS</w:t>
      </w:r>
      <w:r>
        <w:t>) West Coast Region</w:t>
      </w:r>
      <w:r w:rsidR="00E967F5">
        <w:t xml:space="preserve"> (WCR)</w:t>
      </w:r>
      <w:r w:rsidR="00300670">
        <w:t xml:space="preserve"> is </w:t>
      </w:r>
      <w:r w:rsidR="007D662E">
        <w:t>submitting</w:t>
      </w:r>
      <w:r>
        <w:t xml:space="preserve"> a </w:t>
      </w:r>
      <w:r w:rsidR="0053709B">
        <w:t xml:space="preserve">temporary </w:t>
      </w:r>
      <w:r>
        <w:t>new information collection</w:t>
      </w:r>
      <w:r w:rsidR="0053709B">
        <w:t xml:space="preserve"> </w:t>
      </w:r>
      <w:r w:rsidR="007D662E">
        <w:t xml:space="preserve">request </w:t>
      </w:r>
      <w:r w:rsidR="0053709B">
        <w:t>(ICR)</w:t>
      </w:r>
      <w:r w:rsidR="0063002C">
        <w:t xml:space="preserve"> for a </w:t>
      </w:r>
      <w:r w:rsidR="002E6746">
        <w:t>federally mandated</w:t>
      </w:r>
      <w:r>
        <w:t xml:space="preserve"> logbook requirement for </w:t>
      </w:r>
      <w:r w:rsidR="00C642D0">
        <w:t xml:space="preserve">non-trawl </w:t>
      </w:r>
      <w:r>
        <w:t>groundfish fisheries that occur in the exclusive economic zone off the coast</w:t>
      </w:r>
      <w:r w:rsidR="0053709B">
        <w:t>s</w:t>
      </w:r>
      <w:r>
        <w:t xml:space="preserve"> of Washi</w:t>
      </w:r>
      <w:r w:rsidR="0053709B">
        <w:t xml:space="preserve">ngton, Oregon, and California. </w:t>
      </w:r>
      <w:r w:rsidR="00F83D45">
        <w:t xml:space="preserve">This temporary collection is necessary due to concurrent actions affecting OMB control number 0648-0782.  </w:t>
      </w:r>
      <w:r w:rsidR="009417AB">
        <w:t xml:space="preserve">This temporary ICR </w:t>
      </w:r>
      <w:proofErr w:type="gramStart"/>
      <w:r w:rsidR="009417AB">
        <w:t xml:space="preserve">will </w:t>
      </w:r>
      <w:r w:rsidRPr="006669EC" w:rsidR="009417AB">
        <w:t>later be merged</w:t>
      </w:r>
      <w:proofErr w:type="gramEnd"/>
      <w:r w:rsidRPr="006669EC" w:rsidR="009417AB">
        <w:t xml:space="preserve"> with the existing ICR for the West Coast </w:t>
      </w:r>
      <w:r w:rsidR="005D2528">
        <w:t xml:space="preserve">Groundfish </w:t>
      </w:r>
      <w:r w:rsidRPr="006669EC" w:rsidR="009417AB">
        <w:t>Trawl Logbook (#</w:t>
      </w:r>
      <w:r w:rsidR="00F06BC7">
        <w:t>0648-</w:t>
      </w:r>
      <w:r w:rsidRPr="006669EC" w:rsidR="009417AB">
        <w:t>0782)</w:t>
      </w:r>
      <w:r w:rsidR="00F83D45">
        <w:t xml:space="preserve"> once all actions are completed</w:t>
      </w:r>
      <w:r w:rsidRPr="006669EC" w:rsidR="009417AB">
        <w:t xml:space="preserve">. </w:t>
      </w:r>
      <w:r w:rsidR="00F83D45">
        <w:t xml:space="preserve"> </w:t>
      </w:r>
    </w:p>
    <w:p w:rsidR="009417AB" w:rsidP="00300670" w:rsidRDefault="009417AB" w14:paraId="6F5E25FF" w14:textId="28BB1422"/>
    <w:p w:rsidR="003816CC" w:rsidP="003816CC" w:rsidRDefault="003816CC" w14:paraId="0D932082" w14:textId="77777777">
      <w:r w:rsidRPr="00043446">
        <w:t xml:space="preserve">Currently, the state of Oregon administers a </w:t>
      </w:r>
      <w:r>
        <w:t>fixed gear</w:t>
      </w:r>
      <w:r w:rsidRPr="00043446">
        <w:t xml:space="preserve"> logbook, but no such reporting occurs in Washington or California </w:t>
      </w:r>
      <w:r>
        <w:t>fixed gear and other non-trawl</w:t>
      </w:r>
      <w:r w:rsidRPr="00043446">
        <w:t xml:space="preserve"> fisher</w:t>
      </w:r>
      <w:r>
        <w:t>ies, which only have partial observer coverage</w:t>
      </w:r>
      <w:r w:rsidRPr="00043446">
        <w:t>.</w:t>
      </w:r>
      <w:r>
        <w:t xml:space="preserve"> A non-trawl logbook has broad applicability and utility for the management of the </w:t>
      </w:r>
      <w:proofErr w:type="gramStart"/>
      <w:r>
        <w:t xml:space="preserve">Pacific coast </w:t>
      </w:r>
      <w:proofErr w:type="spellStart"/>
      <w:r>
        <w:t>groundfish</w:t>
      </w:r>
      <w:proofErr w:type="spellEnd"/>
      <w:r>
        <w:t xml:space="preserve"> non-trawl fisheries</w:t>
      </w:r>
      <w:proofErr w:type="gramEnd"/>
      <w:r>
        <w:t xml:space="preserve">. Data collected in a non-trawl logbook would contribute to stock assessments, inform managers about location-specific catch and discards on non-observed trips and vessels, support economic analysis, and provide effort information to quantify </w:t>
      </w:r>
      <w:proofErr w:type="spellStart"/>
      <w:r>
        <w:t>groundfish</w:t>
      </w:r>
      <w:proofErr w:type="spellEnd"/>
      <w:r>
        <w:t xml:space="preserve"> fishery effort to allow more precise estimation of bycatch of with Endangered Species Act (ESA) listed species, such as seabirds and humpback whales. In addition, implementation of a fixed gear logbook is a term and condition implementing Reasonable and Prudent Measure 4 of the 2017 Biological Opinion for Seabirds </w:t>
      </w:r>
      <w:r w:rsidRPr="00AA0CF9">
        <w:t>(FWS O1EOFWOO-2017-F-03 16)</w:t>
      </w:r>
      <w:r>
        <w:t>. The Pacific Fishery Management Council’s (PFMC) ESA Workgroup has recommended a fixed gear logbook numerous times (</w:t>
      </w:r>
      <w:hyperlink r:id="rId9">
        <w:r>
          <w:rPr>
            <w:color w:val="0000FF"/>
            <w:u w:val="single"/>
          </w:rPr>
          <w:t>June 2019</w:t>
        </w:r>
      </w:hyperlink>
      <w:r>
        <w:t xml:space="preserve">; </w:t>
      </w:r>
      <w:hyperlink r:id="rId10">
        <w:r>
          <w:rPr>
            <w:color w:val="0000FF"/>
            <w:u w:val="single"/>
          </w:rPr>
          <w:t>April 2017</w:t>
        </w:r>
      </w:hyperlink>
      <w:r>
        <w:t xml:space="preserve">; </w:t>
      </w:r>
      <w:hyperlink r:id="rId11">
        <w:r>
          <w:rPr>
            <w:color w:val="0000FF"/>
            <w:u w:val="single"/>
          </w:rPr>
          <w:t>June 2015</w:t>
        </w:r>
      </w:hyperlink>
      <w:r>
        <w:t xml:space="preserve">). Finally, a fixed gear logbook would provide vital area-specific catch information to support potential future actions such as opening up areas of the non-trawl Rockfish Conservation Area (NT-RCA). </w:t>
      </w:r>
    </w:p>
    <w:p w:rsidRPr="00300670" w:rsidR="00C55D17" w:rsidP="00300670" w:rsidRDefault="00C55D17" w14:paraId="07EF84D0" w14:textId="77777777"/>
    <w:p w:rsidR="00897DCD" w:rsidRDefault="00BA1FB6" w14:paraId="0AC6DAFC" w14:textId="77777777">
      <w:pPr>
        <w:pStyle w:val="Heading1"/>
        <w:spacing w:before="124"/>
        <w:ind w:left="0"/>
      </w:pPr>
      <w:r>
        <w:t>Justification</w:t>
      </w:r>
    </w:p>
    <w:p w:rsidR="00897DCD" w:rsidRDefault="00BA1FB6" w14:paraId="09CBAA9A" w14:textId="77777777">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55D17" w:rsidP="00C55D17" w:rsidRDefault="00C55D17" w14:paraId="27C6604A" w14:textId="77777777"/>
    <w:p w:rsidR="003816CC" w:rsidP="003816CC" w:rsidRDefault="003816CC" w14:paraId="5F49DA12" w14:textId="77777777">
      <w:r>
        <w:t xml:space="preserve">During the June 2008 Council meeting, for the 2009-2010 </w:t>
      </w:r>
      <w:proofErr w:type="spellStart"/>
      <w:r>
        <w:t>Groundfish</w:t>
      </w:r>
      <w:proofErr w:type="spellEnd"/>
      <w:r>
        <w:t xml:space="preserve"> Harvest Specifications and Management Measures action, the PFMC recommended that NMFS initiate rulemaking for a mandatory logbook requirement for the limited entry and open access (OA) fixed gear fishing fleets. In the proposed rule for the 2009-2010 harvest specifications (</w:t>
      </w:r>
      <w:hyperlink r:id="rId12">
        <w:r>
          <w:rPr>
            <w:color w:val="1155CC"/>
            <w:u w:val="single"/>
          </w:rPr>
          <w:t>73 FR 80516; December 31, 2008</w:t>
        </w:r>
      </w:hyperlink>
      <w:r>
        <w:t xml:space="preserve">), NMFS determined that “development and implementation of a federal logbook system would take more time than is available for this rulemaking. Therefore, it is under consideration for implementation in the future” (pp 80538). However, implementation has yet to occur due to limited resources and competing workload priorities. </w:t>
      </w:r>
    </w:p>
    <w:p w:rsidR="003816CC" w:rsidP="003816CC" w:rsidRDefault="003816CC" w14:paraId="2F3FD396" w14:textId="77777777"/>
    <w:p w:rsidR="003816CC" w:rsidP="003816CC" w:rsidRDefault="003816CC" w14:paraId="3EA4DC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Similar to the trawl logbook, a fixed gear logbook has broad applicability and utility for the management of the OA and limited entry fixed gear (LEFG) commercial </w:t>
      </w:r>
      <w:proofErr w:type="spellStart"/>
      <w:r>
        <w:t>groundfish</w:t>
      </w:r>
      <w:proofErr w:type="spellEnd"/>
      <w:r>
        <w:t xml:space="preserve"> fisheries. Data collected in a fixed gear logbook would contribute to stock assessments, inform managers about location-specific catch and discards on non-observed trips and vessels, support economic analysis, and provide effort information to quantify </w:t>
      </w:r>
      <w:proofErr w:type="spellStart"/>
      <w:r>
        <w:t>groundfish</w:t>
      </w:r>
      <w:proofErr w:type="spellEnd"/>
      <w:r>
        <w:t xml:space="preserve"> fishery effort to allow </w:t>
      </w:r>
      <w:proofErr w:type="gramStart"/>
      <w:r>
        <w:t xml:space="preserve">more precise estimation of bycatch of </w:t>
      </w:r>
      <w:r>
        <w:lastRenderedPageBreak/>
        <w:t>Endangered Species Act (ESA) listed species, such as seabirds and humpback whales</w:t>
      </w:r>
      <w:proofErr w:type="gramEnd"/>
      <w:r>
        <w:t xml:space="preserve">. In addition, implementation of a logbook for fixed gear is a term and condition implementing Reasonable and Prudent Measure 4 of the 2017 Biological Opinion for Seabirds </w:t>
      </w:r>
      <w:r w:rsidRPr="00AA0CF9">
        <w:t>(FWS O1EOFWOO-2017-F-03 16)</w:t>
      </w:r>
      <w:r>
        <w:t xml:space="preserve">. The Council’s ESA Workgroup has recommended </w:t>
      </w:r>
      <w:r w:rsidRPr="0029723D">
        <w:t>a fixed gear logbook</w:t>
      </w:r>
      <w:r>
        <w:t xml:space="preserve"> numerous times (see the ESA Workgroup reports on the Council’s website (pcouncil.org) for the June 2015</w:t>
      </w:r>
      <w:r w:rsidRPr="0094574F">
        <w:t xml:space="preserve">, April 2017, </w:t>
      </w:r>
      <w:r>
        <w:t xml:space="preserve">and </w:t>
      </w:r>
      <w:r w:rsidRPr="0094574F">
        <w:t>June</w:t>
      </w:r>
      <w:r>
        <w:t xml:space="preserve"> 2021 meetings). Finally, a logbook for the OA and LEFG fisheries would provide vital area-specific catch information to support future actions such as opening up areas of the non-trawl Rockfish Conservation Area (NT-RCA). </w:t>
      </w:r>
    </w:p>
    <w:p w:rsidR="003816CC" w:rsidP="003816CC" w:rsidRDefault="003816CC" w14:paraId="55A4B3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816CC" w:rsidP="003816CC" w:rsidRDefault="003816CC" w14:paraId="2A7764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highlight w:val="white"/>
        </w:rPr>
        <w:t>Considering that it has been several years since the Council’s recommendation on this action and aspects of the relevant fishery sectors have changed since then, NMFS requested additional guidance on the Council’s intended scope for this action at their September 2021 meeting. First, NMFS asked the Council for clarification on whether they intended for the logbook requirement to apply to all OA sectors (</w:t>
      </w:r>
      <w:r w:rsidRPr="00003963">
        <w:rPr>
          <w:i/>
          <w:highlight w:val="white"/>
        </w:rPr>
        <w:t>i.e.</w:t>
      </w:r>
      <w:r>
        <w:rPr>
          <w:highlight w:val="white"/>
        </w:rPr>
        <w:t xml:space="preserve">, directed </w:t>
      </w:r>
      <w:r w:rsidRPr="00FA5813">
        <w:rPr>
          <w:i/>
          <w:highlight w:val="white"/>
        </w:rPr>
        <w:t>and</w:t>
      </w:r>
      <w:r>
        <w:rPr>
          <w:highlight w:val="white"/>
        </w:rPr>
        <w:t xml:space="preserve"> incidental), or </w:t>
      </w:r>
      <w:r w:rsidRPr="00FA5813">
        <w:rPr>
          <w:i/>
          <w:highlight w:val="white"/>
        </w:rPr>
        <w:t>only</w:t>
      </w:r>
      <w:r>
        <w:rPr>
          <w:highlight w:val="white"/>
        </w:rPr>
        <w:t xml:space="preserve"> the directed OA sector. The reason for this request was to confirm whether the Council intended for the logbook to </w:t>
      </w:r>
      <w:proofErr w:type="gramStart"/>
      <w:r>
        <w:rPr>
          <w:highlight w:val="white"/>
        </w:rPr>
        <w:t>be submitted</w:t>
      </w:r>
      <w:proofErr w:type="gramEnd"/>
      <w:r>
        <w:rPr>
          <w:highlight w:val="white"/>
        </w:rPr>
        <w:t xml:space="preserve"> by non-</w:t>
      </w:r>
      <w:proofErr w:type="spellStart"/>
      <w:r>
        <w:rPr>
          <w:highlight w:val="white"/>
        </w:rPr>
        <w:t>groundfish</w:t>
      </w:r>
      <w:proofErr w:type="spellEnd"/>
      <w:r>
        <w:rPr>
          <w:highlight w:val="white"/>
        </w:rPr>
        <w:t xml:space="preserve"> fisheries that land </w:t>
      </w:r>
      <w:proofErr w:type="spellStart"/>
      <w:r>
        <w:rPr>
          <w:highlight w:val="white"/>
        </w:rPr>
        <w:t>groundfish</w:t>
      </w:r>
      <w:proofErr w:type="spellEnd"/>
      <w:r>
        <w:rPr>
          <w:highlight w:val="white"/>
        </w:rPr>
        <w:t xml:space="preserve"> incidentally under OA trip limits (</w:t>
      </w:r>
      <w:r w:rsidRPr="007136E0">
        <w:rPr>
          <w:i/>
          <w:highlight w:val="white"/>
        </w:rPr>
        <w:t>e.g.</w:t>
      </w:r>
      <w:r>
        <w:rPr>
          <w:highlight w:val="white"/>
        </w:rPr>
        <w:t xml:space="preserve">, the salmon troll fishery). </w:t>
      </w:r>
      <w:proofErr w:type="gramStart"/>
      <w:r>
        <w:rPr>
          <w:highlight w:val="white"/>
        </w:rPr>
        <w:t>Second, NMFS asked the Council to clarify whether they intended the logbook to apply to the “non-trawl” fleets as opposed to the “fixed gear” fleets; the terms are sometimes used interchangeably, however, although they include many of the same gear types (</w:t>
      </w:r>
      <w:r w:rsidRPr="001A041C">
        <w:rPr>
          <w:i/>
          <w:highlight w:val="white"/>
        </w:rPr>
        <w:t>e.g.</w:t>
      </w:r>
      <w:r>
        <w:rPr>
          <w:highlight w:val="white"/>
        </w:rPr>
        <w:t>, pot gear), they do not include all of the same gear types (</w:t>
      </w:r>
      <w:r w:rsidRPr="001A041C">
        <w:rPr>
          <w:i/>
          <w:highlight w:val="white"/>
        </w:rPr>
        <w:t>e.g.</w:t>
      </w:r>
      <w:r>
        <w:rPr>
          <w:highlight w:val="white"/>
        </w:rPr>
        <w:t>, troll gear is non-trawl gear, but is not fixed gear).</w:t>
      </w:r>
      <w:proofErr w:type="gramEnd"/>
      <w:r>
        <w:rPr>
          <w:highlight w:val="white"/>
        </w:rPr>
        <w:t xml:space="preserve"> In 2008, the Council used the term “fixed gear” in their recommendation. The reason for this clarification request is </w:t>
      </w:r>
      <w:proofErr w:type="gramStart"/>
      <w:r>
        <w:rPr>
          <w:highlight w:val="white"/>
        </w:rPr>
        <w:t>because</w:t>
      </w:r>
      <w:proofErr w:type="gramEnd"/>
      <w:r>
        <w:rPr>
          <w:highlight w:val="white"/>
        </w:rPr>
        <w:t xml:space="preserve"> the Council has recently expressed interest in collecting logbook information on non-trawl gears that do not meet the regulatory definition of fixed gear (</w:t>
      </w:r>
      <w:r w:rsidRPr="00CC79ED">
        <w:rPr>
          <w:i/>
          <w:highlight w:val="white"/>
        </w:rPr>
        <w:t>see</w:t>
      </w:r>
      <w:r>
        <w:rPr>
          <w:highlight w:val="white"/>
        </w:rPr>
        <w:t xml:space="preserve"> </w:t>
      </w:r>
      <w:r>
        <w:t>§</w:t>
      </w:r>
      <w:r w:rsidRPr="00CC79ED">
        <w:t>660.11</w:t>
      </w:r>
      <w:r>
        <w:t>)</w:t>
      </w:r>
      <w:r>
        <w:rPr>
          <w:highlight w:val="white"/>
        </w:rPr>
        <w:t xml:space="preserve">, namely troll gear. In addition, </w:t>
      </w:r>
      <w:proofErr w:type="gramStart"/>
      <w:r>
        <w:rPr>
          <w:highlight w:val="white"/>
        </w:rPr>
        <w:t>non-trawl gear types that are not fixed gears are being contemplated by the Council for legal use inside the NT-RCA</w:t>
      </w:r>
      <w:proofErr w:type="gramEnd"/>
      <w:r>
        <w:rPr>
          <w:highlight w:val="white"/>
        </w:rPr>
        <w:t xml:space="preserve">, and the Council has indicated that any vessels authorized to fish inside the NT-RCA should be required to fill out a logbook. </w:t>
      </w:r>
    </w:p>
    <w:p w:rsidR="003816CC" w:rsidP="003816CC" w:rsidRDefault="003816CC" w14:paraId="4165D8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816CC" w:rsidP="003816CC" w:rsidRDefault="003816CC" w14:paraId="7B2867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highlight w:val="white"/>
        </w:rPr>
        <w:t xml:space="preserve">In response to NMFS’ request for clarification, at their March 2022 meeting, the Council made a final recommendation on the logbook that clarified the following: </w:t>
      </w:r>
    </w:p>
    <w:p w:rsidRPr="001A041C" w:rsidR="003816CC" w:rsidP="003816CC" w:rsidRDefault="003816CC" w14:paraId="5810DB6E" w14:textId="77777777">
      <w:pPr>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E7990">
        <w:t xml:space="preserve">The logbook requirement would apply to the </w:t>
      </w:r>
      <w:r>
        <w:t xml:space="preserve">more inclusive </w:t>
      </w:r>
      <w:r w:rsidRPr="00EE7990">
        <w:t xml:space="preserve">“non-trawl” </w:t>
      </w:r>
      <w:proofErr w:type="spellStart"/>
      <w:r w:rsidRPr="00EE7990">
        <w:t>groundfish</w:t>
      </w:r>
      <w:proofErr w:type="spellEnd"/>
      <w:r w:rsidRPr="00EE7990">
        <w:t xml:space="preserve"> fleets as opposed to the “fixed gear” </w:t>
      </w:r>
      <w:proofErr w:type="spellStart"/>
      <w:r w:rsidRPr="00EE7990">
        <w:t>groundfish</w:t>
      </w:r>
      <w:proofErr w:type="spellEnd"/>
      <w:r w:rsidRPr="00EE7990">
        <w:t xml:space="preserve"> fleets. </w:t>
      </w:r>
    </w:p>
    <w:p w:rsidRPr="001A041C" w:rsidR="003816CC" w:rsidP="003816CC" w:rsidRDefault="003816CC" w14:paraId="19BEE39B" w14:textId="77777777">
      <w:pPr>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A041C">
        <w:t xml:space="preserve">Vessels using non-trawl gear in the following fishery sectors would be required to submit the federal logbook to NMFS at initial rollout: </w:t>
      </w:r>
    </w:p>
    <w:p w:rsidRPr="001A041C" w:rsidR="003816CC" w:rsidP="003816CC" w:rsidRDefault="003816CC" w14:paraId="4B2E6037" w14:textId="77777777">
      <w:pPr>
        <w:widowControl/>
        <w:numPr>
          <w:ilvl w:val="1"/>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A041C">
        <w:t xml:space="preserve">Directed </w:t>
      </w:r>
      <w:r>
        <w:t>OA</w:t>
      </w:r>
      <w:r w:rsidRPr="001A041C">
        <w:t xml:space="preserve"> for </w:t>
      </w:r>
      <w:proofErr w:type="spellStart"/>
      <w:r w:rsidRPr="001A041C">
        <w:t>groundfish</w:t>
      </w:r>
      <w:proofErr w:type="spellEnd"/>
      <w:r w:rsidRPr="001A041C">
        <w:t xml:space="preserve"> (not incidental </w:t>
      </w:r>
      <w:r>
        <w:t>OA</w:t>
      </w:r>
      <w:r w:rsidRPr="001A041C">
        <w:t xml:space="preserve"> for </w:t>
      </w:r>
      <w:proofErr w:type="spellStart"/>
      <w:r w:rsidRPr="001A041C">
        <w:t>groundfish</w:t>
      </w:r>
      <w:proofErr w:type="spellEnd"/>
      <w:r w:rsidRPr="001A041C">
        <w:t>)</w:t>
      </w:r>
    </w:p>
    <w:p w:rsidRPr="001A041C" w:rsidR="003816CC" w:rsidP="003816CC" w:rsidRDefault="003816CC" w14:paraId="4D2DEC94" w14:textId="77777777">
      <w:pPr>
        <w:widowControl/>
        <w:numPr>
          <w:ilvl w:val="1"/>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A041C">
        <w:t xml:space="preserve">LEFG Primary Sablefish </w:t>
      </w:r>
    </w:p>
    <w:p w:rsidRPr="001A041C" w:rsidR="003816CC" w:rsidP="003816CC" w:rsidRDefault="003816CC" w14:paraId="75D9D85B" w14:textId="77777777">
      <w:pPr>
        <w:widowControl/>
        <w:numPr>
          <w:ilvl w:val="1"/>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A041C">
        <w:t xml:space="preserve">LEFG trip limit </w:t>
      </w:r>
    </w:p>
    <w:p w:rsidRPr="001A041C" w:rsidR="003816CC" w:rsidP="003816CC" w:rsidRDefault="003816CC" w14:paraId="414E1F28" w14:textId="77777777">
      <w:pPr>
        <w:widowControl/>
        <w:numPr>
          <w:ilvl w:val="1"/>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A041C">
        <w:t xml:space="preserve">Vessels using non-trawl gear in the </w:t>
      </w:r>
      <w:proofErr w:type="spellStart"/>
      <w:r w:rsidRPr="001A041C">
        <w:t>Shorebased</w:t>
      </w:r>
      <w:proofErr w:type="spellEnd"/>
      <w:r w:rsidRPr="001A041C">
        <w:t xml:space="preserve"> </w:t>
      </w:r>
      <w:r>
        <w:t>Individual Fishing Quota (</w:t>
      </w:r>
      <w:r w:rsidRPr="001A041C">
        <w:t>IFQ</w:t>
      </w:r>
      <w:r>
        <w:t>) program (</w:t>
      </w:r>
      <w:r w:rsidRPr="001A041C">
        <w:t>referred to as “IFQ gear switchers”</w:t>
      </w:r>
      <w:r>
        <w:t>)</w:t>
      </w:r>
    </w:p>
    <w:p w:rsidR="003816CC" w:rsidP="003816CC" w:rsidRDefault="003816CC" w14:paraId="6D0E245C" w14:textId="77777777">
      <w:pPr>
        <w:widowControl/>
        <w:numPr>
          <w:ilvl w:val="1"/>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A041C">
        <w:t xml:space="preserve">The Council may recommend expanding the logbook requirement for additional non-trawl fisheries retaining </w:t>
      </w:r>
      <w:proofErr w:type="spellStart"/>
      <w:r w:rsidRPr="001A041C">
        <w:t>groundfish</w:t>
      </w:r>
      <w:proofErr w:type="spellEnd"/>
      <w:r w:rsidRPr="001A041C">
        <w:t xml:space="preserve"> in the future.</w:t>
      </w:r>
    </w:p>
    <w:p w:rsidR="003816CC" w:rsidP="003816CC" w:rsidRDefault="003816CC" w14:paraId="5295CD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2E6F67" w:rsidR="003816CC" w:rsidP="003816CC" w:rsidRDefault="003816CC" w14:paraId="57FFD0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A041C">
        <w:rPr>
          <w:highlight w:val="white"/>
        </w:rPr>
        <w:t xml:space="preserve">NMFS is moving forward with the development of a federal non-trawl logbook requirement in accordance with the above recommendations. </w:t>
      </w:r>
    </w:p>
    <w:p w:rsidR="00897DCD" w:rsidRDefault="00BA1FB6" w14:paraId="4ADD3B76" w14:textId="77777777">
      <w:pPr>
        <w:pStyle w:val="Heading1"/>
        <w:numPr>
          <w:ilvl w:val="0"/>
          <w:numId w:val="3"/>
        </w:numPr>
        <w:tabs>
          <w:tab w:val="left" w:pos="360"/>
        </w:tabs>
        <w:spacing w:before="197"/>
        <w:ind w:left="0" w:firstLine="0"/>
      </w:pPr>
      <w:r>
        <w:t xml:space="preserve">Indicate how, by whom, and for what purpose the information is to </w:t>
      </w:r>
      <w:proofErr w:type="gramStart"/>
      <w:r>
        <w:t>be used</w:t>
      </w:r>
      <w:proofErr w:type="gramEnd"/>
      <w:r>
        <w:t>. Except for a new collection, indicate the actual use the agency has made of the information received from the current collection.</w:t>
      </w:r>
    </w:p>
    <w:p w:rsidR="003816CC" w:rsidP="003816CC" w:rsidRDefault="003816CC" w14:paraId="39F10227" w14:textId="77777777">
      <w:pPr>
        <w:pBdr>
          <w:top w:val="nil"/>
          <w:left w:val="nil"/>
          <w:bottom w:val="nil"/>
          <w:right w:val="nil"/>
          <w:between w:val="nil"/>
        </w:pBdr>
        <w:spacing w:before="182"/>
      </w:pPr>
      <w:r>
        <w:t>The data that would be collected in this logbook includes vessel and permit information (</w:t>
      </w:r>
      <w:r w:rsidRPr="003816CC">
        <w:rPr>
          <w:i/>
        </w:rPr>
        <w:t>e.g.</w:t>
      </w:r>
      <w:r>
        <w:t>, vessel name, State or Federal permit numbers), sale information (</w:t>
      </w:r>
      <w:r w:rsidRPr="003816CC">
        <w:rPr>
          <w:i/>
        </w:rPr>
        <w:t>e.g.</w:t>
      </w:r>
      <w:r>
        <w:t>, port of landing, fish ticket number), effort data (</w:t>
      </w:r>
      <w:r w:rsidRPr="003816CC">
        <w:rPr>
          <w:i/>
        </w:rPr>
        <w:t>e.g.</w:t>
      </w:r>
      <w:r>
        <w:t>, number of hooks), space (</w:t>
      </w:r>
      <w:r w:rsidRPr="003816CC">
        <w:rPr>
          <w:i/>
        </w:rPr>
        <w:t>e.g.</w:t>
      </w:r>
      <w:r>
        <w:t>, depth of hooks), time data (</w:t>
      </w:r>
      <w:r w:rsidRPr="003816CC">
        <w:rPr>
          <w:i/>
        </w:rPr>
        <w:t>e.g.</w:t>
      </w:r>
      <w:r>
        <w:t>, time of day hooks were set), and location data (</w:t>
      </w:r>
      <w:r w:rsidRPr="003816CC">
        <w:rPr>
          <w:i/>
        </w:rPr>
        <w:t>i.e.</w:t>
      </w:r>
      <w:r>
        <w:t xml:space="preserve">, the coordinates of fishing locations). </w:t>
      </w:r>
    </w:p>
    <w:p w:rsidRPr="00B61975" w:rsidR="003816CC" w:rsidP="003816CC" w:rsidRDefault="003816CC" w14:paraId="6DEC772B" w14:textId="77777777">
      <w:pPr>
        <w:pBdr>
          <w:top w:val="nil"/>
          <w:left w:val="nil"/>
          <w:bottom w:val="nil"/>
          <w:right w:val="nil"/>
          <w:between w:val="nil"/>
        </w:pBdr>
        <w:spacing w:before="159"/>
      </w:pPr>
      <w:r w:rsidRPr="00BE082E">
        <w:lastRenderedPageBreak/>
        <w:t xml:space="preserve">This information </w:t>
      </w:r>
      <w:proofErr w:type="gramStart"/>
      <w:r w:rsidRPr="00BE082E">
        <w:t>will be collected</w:t>
      </w:r>
      <w:proofErr w:type="gramEnd"/>
      <w:r w:rsidRPr="00BE082E">
        <w:t xml:space="preserve"> from vessels that participate in </w:t>
      </w:r>
      <w:r>
        <w:t>federal non-trawl</w:t>
      </w:r>
      <w:r w:rsidRPr="00BE082E">
        <w:t xml:space="preserve"> fisheries, including the directed </w:t>
      </w:r>
      <w:r>
        <w:t xml:space="preserve">OA, LEFG, and IFQ gear switching fishery sectors. </w:t>
      </w:r>
    </w:p>
    <w:p w:rsidRPr="00E967F5" w:rsidR="003816CC" w:rsidP="003816CC" w:rsidRDefault="003816CC" w14:paraId="23A4A722" w14:textId="77777777">
      <w:pPr>
        <w:pBdr>
          <w:top w:val="nil"/>
          <w:left w:val="nil"/>
          <w:bottom w:val="nil"/>
          <w:right w:val="nil"/>
          <w:between w:val="nil"/>
        </w:pBdr>
        <w:spacing w:before="160" w:line="259" w:lineRule="auto"/>
      </w:pPr>
      <w:r w:rsidRPr="003816CC">
        <w:rPr>
          <w:highlight w:val="white"/>
        </w:rPr>
        <w:t xml:space="preserve">NMFS WCR is working on developing an electronic logbook for this new collection. Electronic reporting provides the most efficient and timely data for fisheries management purposes. </w:t>
      </w:r>
      <w:r w:rsidRPr="001B6A63">
        <w:t>However, given the small boat nature of some parts of the fixed gear fishery, the open access fishery in particular, NMFS is exploring ways to achieve the end goal of an electronic logbook without creating significant costs for compliance for vessels that do not already have onboard computers, tablets, or smartphones.</w:t>
      </w:r>
      <w:r>
        <w:t xml:space="preserve"> </w:t>
      </w:r>
      <w:r w:rsidRPr="003816CC">
        <w:rPr>
          <w:highlight w:val="white"/>
        </w:rPr>
        <w:t xml:space="preserve">Although most fishers have at least a smart phone for electronic applications, NMFS intends to allow paper logbook submissions for a minimum of one year after implementation. It is important for the validity of the data that to the extent practicable, logbooks </w:t>
      </w:r>
      <w:proofErr w:type="gramStart"/>
      <w:r w:rsidRPr="003816CC">
        <w:rPr>
          <w:highlight w:val="white"/>
        </w:rPr>
        <w:t>are being filled out</w:t>
      </w:r>
      <w:proofErr w:type="gramEnd"/>
      <w:r w:rsidRPr="003816CC">
        <w:rPr>
          <w:highlight w:val="white"/>
        </w:rPr>
        <w:t xml:space="preserve"> while fishing is occurring, however data transmission does not need to occur at sea.</w:t>
      </w:r>
      <w:r>
        <w:t xml:space="preserve"> </w:t>
      </w:r>
    </w:p>
    <w:p w:rsidRPr="000A79DC" w:rsidR="003816CC" w:rsidP="003816CC" w:rsidRDefault="003816CC" w14:paraId="7EAC7639" w14:textId="77777777">
      <w:pPr>
        <w:pBdr>
          <w:top w:val="nil"/>
          <w:left w:val="nil"/>
          <w:bottom w:val="nil"/>
          <w:right w:val="nil"/>
          <w:between w:val="nil"/>
        </w:pBdr>
        <w:spacing w:before="80"/>
      </w:pPr>
      <w:proofErr w:type="gramStart"/>
      <w:r>
        <w:t>The data collected from this logbook will be</w:t>
      </w:r>
      <w:r w:rsidRPr="000E59F5">
        <w:t xml:space="preserve"> used regularly by NMFS</w:t>
      </w:r>
      <w:r>
        <w:t xml:space="preserve"> WCR</w:t>
      </w:r>
      <w:r w:rsidRPr="000E59F5">
        <w:t xml:space="preserve">, the </w:t>
      </w:r>
      <w:r>
        <w:t>PFMC</w:t>
      </w:r>
      <w:r w:rsidRPr="000E59F5">
        <w:t xml:space="preserve">, the West Coast </w:t>
      </w:r>
      <w:proofErr w:type="spellStart"/>
      <w:r w:rsidRPr="000E59F5">
        <w:t>Groundfish</w:t>
      </w:r>
      <w:proofErr w:type="spellEnd"/>
      <w:r w:rsidRPr="000E59F5">
        <w:t xml:space="preserve"> Observer Program, NMFS Office of Law Enforcement, and the Coast Guard for fisheries management and enforcement</w:t>
      </w:r>
      <w:proofErr w:type="gramEnd"/>
      <w:r w:rsidRPr="000E59F5">
        <w:t xml:space="preserve">. The data </w:t>
      </w:r>
      <w:r>
        <w:t xml:space="preserve">will </w:t>
      </w:r>
      <w:r w:rsidRPr="000E59F5">
        <w:t xml:space="preserve">provide vital effort and location data on </w:t>
      </w:r>
      <w:proofErr w:type="gramStart"/>
      <w:r w:rsidRPr="000E59F5">
        <w:t>fishing,</w:t>
      </w:r>
      <w:proofErr w:type="gramEnd"/>
      <w:r w:rsidRPr="000E59F5">
        <w:t xml:space="preserve"> and in combination with landings data provide the main data source for fisheries monitoring, management, and enforcement.</w:t>
      </w:r>
    </w:p>
    <w:p w:rsidR="003816CC" w:rsidP="003816CC" w:rsidRDefault="003816CC" w14:paraId="7167FEC4" w14:textId="77777777">
      <w:pPr>
        <w:pBdr>
          <w:top w:val="nil"/>
          <w:left w:val="nil"/>
          <w:bottom w:val="nil"/>
          <w:right w:val="nil"/>
          <w:between w:val="nil"/>
        </w:pBdr>
      </w:pPr>
    </w:p>
    <w:p w:rsidRPr="00E967F5" w:rsidR="003816CC" w:rsidP="003816CC" w:rsidRDefault="003816CC" w14:paraId="394075B9" w14:textId="0870FB5E">
      <w:pPr>
        <w:pBdr>
          <w:top w:val="nil"/>
          <w:left w:val="nil"/>
          <w:bottom w:val="nil"/>
          <w:right w:val="nil"/>
          <w:between w:val="nil"/>
        </w:pBdr>
      </w:pPr>
      <w:r>
        <w:t xml:space="preserve">NMFS WCR will allow fishers to submit a paper form in lieu of electronic submission </w:t>
      </w:r>
      <w:r w:rsidRPr="00676B9E">
        <w:t xml:space="preserve">for </w:t>
      </w:r>
      <w:r>
        <w:t>a minimum of one year after implementation to provide time to those small vessels to establish a submission system (</w:t>
      </w:r>
      <w:r w:rsidRPr="003816CC">
        <w:rPr>
          <w:i/>
        </w:rPr>
        <w:t>e.g.</w:t>
      </w:r>
      <w:r>
        <w:t xml:space="preserve">, gain regular access to a computer). NMFS WCR will issue a public notice 90 calendar days before the provision to use a paper logbook ends. </w:t>
      </w:r>
    </w:p>
    <w:p w:rsidRPr="00E967F5" w:rsidR="003816CC" w:rsidP="003816CC" w:rsidRDefault="003816CC" w14:paraId="78F10E59" w14:textId="77777777">
      <w:pPr>
        <w:pBdr>
          <w:top w:val="nil"/>
          <w:left w:val="nil"/>
          <w:bottom w:val="nil"/>
          <w:right w:val="nil"/>
          <w:between w:val="nil"/>
        </w:pBdr>
        <w:spacing w:before="158"/>
      </w:pPr>
      <w:r>
        <w:t xml:space="preserve">Logbook information </w:t>
      </w:r>
      <w:proofErr w:type="gramStart"/>
      <w:r>
        <w:t>will be required to be recorded</w:t>
      </w:r>
      <w:proofErr w:type="gramEnd"/>
      <w:r>
        <w:t xml:space="preserve"> on every fishing trip. Electronic logbook data </w:t>
      </w:r>
      <w:proofErr w:type="gramStart"/>
      <w:r>
        <w:t>will be required to be submitted</w:t>
      </w:r>
      <w:proofErr w:type="gramEnd"/>
      <w:r>
        <w:t xml:space="preserve"> within a 24-hour period after a trip is concluded. Any limited usage of paper logbooks </w:t>
      </w:r>
      <w:proofErr w:type="gramStart"/>
      <w:r>
        <w:t>would be collected</w:t>
      </w:r>
      <w:proofErr w:type="gramEnd"/>
      <w:r>
        <w:t xml:space="preserve"> on a monthly basis. Fishers can submit logbooks more frequently (</w:t>
      </w:r>
      <w:r w:rsidRPr="003816CC">
        <w:rPr>
          <w:i/>
        </w:rPr>
        <w:t>e.g.</w:t>
      </w:r>
      <w:r>
        <w:t xml:space="preserve">, after each fishing trip) if preferred. </w:t>
      </w:r>
    </w:p>
    <w:p w:rsidR="003816CC" w:rsidP="003816CC" w:rsidRDefault="003816CC" w14:paraId="1D7AB2F4" w14:textId="77777777"/>
    <w:p w:rsidRPr="003816CC" w:rsidR="003816CC" w:rsidP="003816CC" w:rsidRDefault="003816CC" w14:paraId="52C06BDC" w14:textId="6E285CBD">
      <w:pPr>
        <w:rPr>
          <w:highlight w:val="yellow"/>
        </w:rPr>
      </w:pPr>
      <w:r>
        <w:t xml:space="preserve">NMFS WCR will contract with the Pacific States Marine Fisheries Commission (PSMFC) to design and distribute the electronic logbook. The information collected from the logbooks </w:t>
      </w:r>
      <w:proofErr w:type="gramStart"/>
      <w:r>
        <w:t>will be shared</w:t>
      </w:r>
      <w:proofErr w:type="gramEnd"/>
      <w:r>
        <w:t xml:space="preserve"> with its respective state agencies (California Department of Fish and Wildlife, Oregon Department of Fish and Wildlife, or Washington Department of Fish and Wildlife) and the PFMC upon request. </w:t>
      </w:r>
    </w:p>
    <w:p w:rsidR="003816CC" w:rsidP="003816CC" w:rsidRDefault="003816CC" w14:paraId="5AAE81A1" w14:textId="77777777">
      <w:pPr>
        <w:pBdr>
          <w:top w:val="nil"/>
          <w:left w:val="nil"/>
          <w:bottom w:val="nil"/>
          <w:right w:val="nil"/>
          <w:between w:val="nil"/>
        </w:pBdr>
      </w:pPr>
    </w:p>
    <w:p w:rsidRPr="00440F0D" w:rsidR="003816CC" w:rsidP="003816CC" w:rsidRDefault="003816CC" w14:paraId="3AF6B6C1" w14:textId="1AD0E359">
      <w:pPr>
        <w:pBdr>
          <w:top w:val="nil"/>
          <w:left w:val="nil"/>
          <w:bottom w:val="nil"/>
          <w:right w:val="nil"/>
          <w:between w:val="nil"/>
        </w:pBdr>
      </w:pPr>
      <w:r>
        <w:t xml:space="preserve">This is temporary new ICR. </w:t>
      </w:r>
    </w:p>
    <w:p w:rsidR="00897DCD" w:rsidRDefault="00BA1FB6" w14:paraId="6382C6C8" w14:textId="77777777">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C75B1" w:rsidRDefault="00405E69" w14:paraId="3207104B" w14:textId="3E61DDFE">
      <w:pPr>
        <w:spacing w:before="161"/>
      </w:pPr>
      <w:r>
        <w:t xml:space="preserve">See response in #2 above regarding NMFS WCR’s plan to implement an electronic logbook with the temporary option to submit a paper form for small boats that are not accustomed to electronic submissions. NMFS intends for the logbook to </w:t>
      </w:r>
      <w:proofErr w:type="gramStart"/>
      <w:r>
        <w:t>be implemented</w:t>
      </w:r>
      <w:proofErr w:type="gramEnd"/>
      <w:r>
        <w:t xml:space="preserve"> by January 1, 2023. </w:t>
      </w:r>
    </w:p>
    <w:p w:rsidRPr="004C75B1" w:rsidR="00D952F5" w:rsidRDefault="00D952F5" w14:paraId="4B8E33C9" w14:textId="77777777">
      <w:pPr>
        <w:spacing w:before="161"/>
      </w:pPr>
    </w:p>
    <w:p w:rsidR="00897DCD" w:rsidRDefault="00BA1FB6" w14:paraId="364DA78B" w14:textId="2965900B">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efforts to identify duplication. Show specifically why any similar information already available cannot be used or modified for use for the purposes described in Question </w:t>
      </w:r>
      <w:proofErr w:type="gramStart"/>
      <w:r>
        <w:rPr>
          <w:b/>
          <w:color w:val="000000"/>
        </w:rPr>
        <w:t>2</w:t>
      </w:r>
      <w:proofErr w:type="gramEnd"/>
      <w:r w:rsidR="00D952F5">
        <w:rPr>
          <w:b/>
          <w:color w:val="000000"/>
        </w:rPr>
        <w:t>.</w:t>
      </w:r>
    </w:p>
    <w:p w:rsidR="00E967F5" w:rsidP="00E967F5" w:rsidRDefault="00E967F5" w14:paraId="0461E175" w14:textId="77777777">
      <w:pPr>
        <w:rPr>
          <w:highlight w:val="white"/>
        </w:rPr>
      </w:pPr>
    </w:p>
    <w:p w:rsidR="003816CC" w:rsidP="003816CC" w:rsidRDefault="003816CC" w14:paraId="40680F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highlight w:val="white"/>
        </w:rPr>
        <w:t xml:space="preserve">NMFS will create a provision such that any vessels already under a comparable logbook requirement for similar fishery activities.  </w:t>
      </w:r>
      <w:r>
        <w:t xml:space="preserve">For example, Oregon state law requires vessels to submit a fixed gear or </w:t>
      </w:r>
      <w:r>
        <w:lastRenderedPageBreak/>
        <w:t>nearshore logbook, depending on the gear used and fishing location. NMFS is coordinating with the Oregon Department of Fish and Wildlife on an option to allow the submission of a single logbook to satisfy both the state and federal logbook requirement (</w:t>
      </w:r>
      <w:r w:rsidRPr="00FD47DF">
        <w:rPr>
          <w:i/>
        </w:rPr>
        <w:t>i.e.</w:t>
      </w:r>
      <w:r>
        <w:t xml:space="preserve">, the submission of the state logbook </w:t>
      </w:r>
      <w:proofErr w:type="gramStart"/>
      <w:r>
        <w:t>would also</w:t>
      </w:r>
      <w:proofErr w:type="gramEnd"/>
      <w:r>
        <w:t xml:space="preserve"> satisfy the federal requirement, or vice versa). As another example, those vessels that fish in the </w:t>
      </w:r>
      <w:proofErr w:type="spellStart"/>
      <w:r>
        <w:t>Shorebased</w:t>
      </w:r>
      <w:proofErr w:type="spellEnd"/>
      <w:r>
        <w:t xml:space="preserve"> IFQ gear switching sector and use electronic monitoring (EM) in lieu of an observer currently record discards on a paper logbook form </w:t>
      </w:r>
      <w:r w:rsidRPr="00FA419D">
        <w:t>(</w:t>
      </w:r>
      <w:r w:rsidRPr="00FA419D">
        <w:rPr>
          <w:i/>
        </w:rPr>
        <w:t>see</w:t>
      </w:r>
      <w:r w:rsidRPr="00FA419D">
        <w:t xml:space="preserve"> §660.604(s)).</w:t>
      </w:r>
      <w:r>
        <w:t xml:space="preserve"> Those vessels would be required to transition to filling out the electronic non-trawl logbook, with the exception of the first year, when they </w:t>
      </w:r>
      <w:proofErr w:type="gramStart"/>
      <w:r>
        <w:t>would be permitted</w:t>
      </w:r>
      <w:proofErr w:type="gramEnd"/>
      <w:r>
        <w:t xml:space="preserve"> to continue to filling out the paper form as they adapt to the electronic application. </w:t>
      </w:r>
    </w:p>
    <w:p w:rsidRPr="00E967F5" w:rsidR="00E967F5" w:rsidP="00E967F5" w:rsidRDefault="00E967F5" w14:paraId="02402561" w14:textId="31EEC683">
      <w:pPr>
        <w:rPr>
          <w:highlight w:val="white"/>
        </w:rPr>
      </w:pPr>
    </w:p>
    <w:p w:rsidR="00897DCD" w:rsidRDefault="00BA1FB6" w14:paraId="71E6BAC0"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the collection of information </w:t>
      </w:r>
      <w:proofErr w:type="gramStart"/>
      <w:r>
        <w:rPr>
          <w:b/>
          <w:color w:val="000000"/>
        </w:rPr>
        <w:t>impacts</w:t>
      </w:r>
      <w:proofErr w:type="gramEnd"/>
      <w:r>
        <w:rPr>
          <w:b/>
          <w:color w:val="000000"/>
        </w:rPr>
        <w:t xml:space="preserve"> small businesses or other small entities, describe any methods used to minimize burden.</w:t>
      </w:r>
    </w:p>
    <w:p w:rsidR="00C360A1" w:rsidP="0050736D" w:rsidRDefault="00C360A1" w14:paraId="4D44CC00" w14:textId="77777777">
      <w:pPr>
        <w:rPr>
          <w:color w:val="2F5496"/>
        </w:rPr>
      </w:pPr>
    </w:p>
    <w:p w:rsidR="003816CC" w:rsidP="003816CC" w:rsidRDefault="003816CC" w14:paraId="10E801C2" w14:textId="77777777">
      <w:r w:rsidRPr="00EF460B">
        <w:t xml:space="preserve">Although nearly all vessels in the </w:t>
      </w:r>
      <w:proofErr w:type="spellStart"/>
      <w:r>
        <w:t>groundfish</w:t>
      </w:r>
      <w:proofErr w:type="spellEnd"/>
      <w:r>
        <w:t xml:space="preserve"> non-trawl</w:t>
      </w:r>
      <w:r w:rsidRPr="00EF460B">
        <w:t xml:space="preserve"> fisheries </w:t>
      </w:r>
      <w:proofErr w:type="gramStart"/>
      <w:r w:rsidRPr="00EF460B">
        <w:t>are categorized</w:t>
      </w:r>
      <w:proofErr w:type="gramEnd"/>
      <w:r w:rsidRPr="00EF460B">
        <w:t xml:space="preserve"> as small businesses, </w:t>
      </w:r>
      <w:r>
        <w:t>this ICR</w:t>
      </w:r>
      <w:r w:rsidRPr="00EF460B">
        <w:t xml:space="preserve"> is unlikely to result </w:t>
      </w:r>
      <w:r>
        <w:t xml:space="preserve">in </w:t>
      </w:r>
      <w:r w:rsidRPr="00EF460B">
        <w:t>a meaningful change in their operations</w:t>
      </w:r>
      <w:r>
        <w:t>, as efforts are taken to minimize burden</w:t>
      </w:r>
      <w:r w:rsidRPr="00EF460B">
        <w:t xml:space="preserve">. </w:t>
      </w:r>
      <w:r>
        <w:t xml:space="preserve">NMFS will not require real-time data submission, and only require logbook submission within 24 hours of landing. During the first year of implementation when a paper logbook form is available, we would require monthly reporting, which should give fishers sufficient time to review and complete their logbook submissions. </w:t>
      </w:r>
    </w:p>
    <w:p w:rsidRPr="00127BEE" w:rsidR="0050736D" w:rsidP="0050736D" w:rsidRDefault="0050736D" w14:paraId="0C72BE14" w14:textId="77777777"/>
    <w:p w:rsidR="00897DCD" w:rsidRDefault="00BA1FB6" w14:paraId="55F68AA1"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the consequence to Federal program or policy activities if the collection </w:t>
      </w:r>
      <w:proofErr w:type="gramStart"/>
      <w:r>
        <w:rPr>
          <w:b/>
          <w:color w:val="000000"/>
        </w:rPr>
        <w:t>is not conducted</w:t>
      </w:r>
      <w:proofErr w:type="gramEnd"/>
      <w:r>
        <w:rPr>
          <w:b/>
          <w:color w:val="000000"/>
        </w:rPr>
        <w:t xml:space="preserve"> or is conducted less frequently, as well as any technical or legal obstacles to reducing burden.</w:t>
      </w:r>
    </w:p>
    <w:p w:rsidR="003816CC" w:rsidP="003816CC" w:rsidRDefault="003816CC" w14:paraId="78FACDE6" w14:textId="77777777">
      <w:pPr>
        <w:pBdr>
          <w:top w:val="nil"/>
          <w:left w:val="nil"/>
          <w:bottom w:val="nil"/>
          <w:right w:val="nil"/>
          <w:between w:val="nil"/>
        </w:pBdr>
        <w:spacing w:before="115"/>
      </w:pPr>
      <w:r>
        <w:t xml:space="preserve">Currently, there is partial observer coverage in Federal non-trawl fishers off the West Coast. If this ICR </w:t>
      </w:r>
      <w:proofErr w:type="gramStart"/>
      <w:r>
        <w:t>was</w:t>
      </w:r>
      <w:proofErr w:type="gramEnd"/>
      <w:r>
        <w:t xml:space="preserve"> not conducted, NMFS and the PFMC would continue to lack vital information on fishing effort, location, and bycatch in these fisheries. In addition, there has been a significant push from the PFMC to open up and/or permit fishing with certain gear types inside the non-trawl RCA to allow access to healthy, rebuilding rockfish species. If this ICR </w:t>
      </w:r>
      <w:proofErr w:type="gramStart"/>
      <w:r>
        <w:t>was not conducted</w:t>
      </w:r>
      <w:proofErr w:type="gramEnd"/>
      <w:r>
        <w:t xml:space="preserve">, NMFS would be unable to track any bycatch or effort data in these newly opened fishing areas. Finally, this collection would help </w:t>
      </w:r>
      <w:r w:rsidRPr="00A72119">
        <w:t xml:space="preserve">gather essential information to improve the risk assessment for these fisheries </w:t>
      </w:r>
      <w:proofErr w:type="gramStart"/>
      <w:r w:rsidRPr="00A72119">
        <w:t>with regards</w:t>
      </w:r>
      <w:r>
        <w:t xml:space="preserve"> to</w:t>
      </w:r>
      <w:proofErr w:type="gramEnd"/>
      <w:r>
        <w:t xml:space="preserve"> ESA-listed</w:t>
      </w:r>
      <w:r w:rsidRPr="00A72119">
        <w:t xml:space="preserve"> </w:t>
      </w:r>
      <w:r>
        <w:t>seabirds</w:t>
      </w:r>
      <w:r w:rsidRPr="00A72119">
        <w:t>. As</w:t>
      </w:r>
      <w:r>
        <w:t xml:space="preserve"> stated above (</w:t>
      </w:r>
      <w:r w:rsidRPr="003816CC">
        <w:rPr>
          <w:i/>
        </w:rPr>
        <w:t>see</w:t>
      </w:r>
      <w:r>
        <w:t xml:space="preserve"> Abstract), implementation of a fixed gear logbook is a term and condition implementing Reasonable and Prudent Measure 4 of the 2017 Biological Opinion for Seabirds </w:t>
      </w:r>
      <w:r w:rsidRPr="00AA0CF9">
        <w:t>(FWS O1EOFWOO-2017-F-03 16)</w:t>
      </w:r>
      <w:r>
        <w:t xml:space="preserve">. Without logbook information, NMFS, the PFMC, and the U.S. Fish and Wildlife Service would continue to lack set-level and trip-level data about fishing effort, which could maintain a very high level of uncertainty in estimates of ESA-listed seabird take. </w:t>
      </w:r>
    </w:p>
    <w:p w:rsidRPr="00A72119" w:rsidR="004C75B1" w:rsidRDefault="004C75B1" w14:paraId="6ADE0161" w14:textId="77777777">
      <w:pPr>
        <w:pBdr>
          <w:top w:val="nil"/>
          <w:left w:val="nil"/>
          <w:bottom w:val="nil"/>
          <w:right w:val="nil"/>
          <w:between w:val="nil"/>
        </w:pBdr>
        <w:spacing w:before="115"/>
      </w:pPr>
    </w:p>
    <w:p w:rsidR="00897DCD" w:rsidRDefault="00BA1FB6" w14:paraId="646DACDA"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Explain any special circumstances that would cause an information collection to </w:t>
      </w:r>
      <w:proofErr w:type="gramStart"/>
      <w:r>
        <w:rPr>
          <w:b/>
          <w:color w:val="000000"/>
        </w:rPr>
        <w:t>be conducted</w:t>
      </w:r>
      <w:proofErr w:type="gramEnd"/>
      <w:r>
        <w:rPr>
          <w:b/>
          <w:color w:val="000000"/>
        </w:rPr>
        <w:t xml:space="preserve"> in a manner inconsistent with OMB guidelines.</w:t>
      </w:r>
    </w:p>
    <w:p w:rsidR="00C238BA" w:rsidP="00C238BA" w:rsidRDefault="00C238BA" w14:paraId="783C2820" w14:textId="77777777">
      <w:pPr>
        <w:rPr>
          <w:color w:val="2F5496"/>
        </w:rPr>
      </w:pPr>
    </w:p>
    <w:p w:rsidRPr="009E2453" w:rsidR="003816CC" w:rsidP="003816CC" w:rsidRDefault="003816CC" w14:paraId="4FFC2EFC" w14:textId="77777777">
      <w:r w:rsidRPr="009E2453">
        <w:t xml:space="preserve">By requiring </w:t>
      </w:r>
      <w:r>
        <w:t xml:space="preserve">reporting on a trip-by-trip basis (electronic submission) and/or </w:t>
      </w:r>
      <w:r w:rsidRPr="009E2453">
        <w:t>monthly reporting</w:t>
      </w:r>
      <w:r>
        <w:t xml:space="preserve"> (paper submission)</w:t>
      </w:r>
      <w:r w:rsidRPr="009E2453">
        <w:t xml:space="preserve">, this collection would require more frequent submission than the OMB guideline of quarterly reporting. </w:t>
      </w:r>
      <w:r>
        <w:t>Per trip and m</w:t>
      </w:r>
      <w:r w:rsidRPr="009E2453">
        <w:t xml:space="preserve">onthly reporting is necessary in order to obtain data in a timely enough manner through which in-season management adjustments </w:t>
      </w:r>
      <w:proofErr w:type="gramStart"/>
      <w:r w:rsidRPr="009E2453">
        <w:t>could be made</w:t>
      </w:r>
      <w:proofErr w:type="gramEnd"/>
      <w:r w:rsidRPr="009E2453">
        <w:t xml:space="preserve">. Landings data for this fishery </w:t>
      </w:r>
      <w:proofErr w:type="gramStart"/>
      <w:r w:rsidRPr="009E2453">
        <w:t>are collected</w:t>
      </w:r>
      <w:proofErr w:type="gramEnd"/>
      <w:r w:rsidRPr="009E2453">
        <w:t xml:space="preserve"> immediately, and the logbook data that would be collected under this collection are used to corroborate landings data as needed. Therefore, in order to maintain some of the primary utility of this logbook, NMFS must require monthly submissions. This collection is consistent with all other OMB guidelines.</w:t>
      </w:r>
    </w:p>
    <w:p w:rsidR="00C238BA" w:rsidRDefault="00C238BA" w14:paraId="3ADC9C8B" w14:textId="77777777">
      <w:pPr>
        <w:pBdr>
          <w:top w:val="nil"/>
          <w:left w:val="nil"/>
          <w:bottom w:val="nil"/>
          <w:right w:val="nil"/>
          <w:between w:val="nil"/>
        </w:pBdr>
        <w:spacing w:before="80"/>
        <w:rPr>
          <w:color w:val="000000"/>
        </w:rPr>
      </w:pPr>
    </w:p>
    <w:p w:rsidR="00897DCD" w:rsidRDefault="00BA1FB6" w14:paraId="3C6E5038"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applicable, provide a copy and identify the date and page number of publications in the </w:t>
      </w:r>
      <w:r>
        <w:rPr>
          <w:b/>
          <w:color w:val="000000"/>
        </w:rPr>
        <w:lastRenderedPageBreak/>
        <w:t>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7653A" w:rsidRDefault="00E840CF" w14:paraId="3A311E63" w14:textId="61E7DC8C">
      <w:pPr>
        <w:pBdr>
          <w:top w:val="nil"/>
          <w:left w:val="nil"/>
          <w:bottom w:val="nil"/>
          <w:right w:val="nil"/>
          <w:between w:val="nil"/>
        </w:pBdr>
        <w:spacing w:before="159"/>
        <w:rPr>
          <w:color w:val="000000"/>
          <w:shd w:val="clear" w:color="auto" w:fill="FFFFFF"/>
        </w:rPr>
      </w:pPr>
      <w:r>
        <w:rPr>
          <w:color w:val="000000"/>
          <w:shd w:val="clear" w:color="auto" w:fill="FFFFFF"/>
        </w:rPr>
        <w:t>A proposed rule, RIN 0648-</w:t>
      </w:r>
      <w:r w:rsidR="00AF78A9">
        <w:rPr>
          <w:color w:val="000000"/>
          <w:shd w:val="clear" w:color="auto" w:fill="FFFFFF"/>
        </w:rPr>
        <w:t>BK81</w:t>
      </w:r>
      <w:r>
        <w:rPr>
          <w:color w:val="000000"/>
          <w:shd w:val="clear" w:color="auto" w:fill="FFFFFF"/>
        </w:rPr>
        <w:t xml:space="preserve">, </w:t>
      </w:r>
      <w:proofErr w:type="gramStart"/>
      <w:r>
        <w:rPr>
          <w:color w:val="000000"/>
          <w:shd w:val="clear" w:color="auto" w:fill="FFFFFF"/>
        </w:rPr>
        <w:t>will be published</w:t>
      </w:r>
      <w:proofErr w:type="gramEnd"/>
      <w:r>
        <w:rPr>
          <w:color w:val="000000"/>
          <w:shd w:val="clear" w:color="auto" w:fill="FFFFFF"/>
        </w:rPr>
        <w:t xml:space="preserve"> coincident with this submission.  Comments on the proposed rule will </w:t>
      </w:r>
      <w:proofErr w:type="gramStart"/>
      <w:r>
        <w:rPr>
          <w:color w:val="000000"/>
          <w:shd w:val="clear" w:color="auto" w:fill="FFFFFF"/>
        </w:rPr>
        <w:t>be considered</w:t>
      </w:r>
      <w:proofErr w:type="gramEnd"/>
      <w:r>
        <w:rPr>
          <w:color w:val="000000"/>
          <w:shd w:val="clear" w:color="auto" w:fill="FFFFFF"/>
        </w:rPr>
        <w:t xml:space="preserve"> and, as appropriate, be addressed in the final rule.</w:t>
      </w:r>
    </w:p>
    <w:p w:rsidR="00E840CF" w:rsidRDefault="00E840CF" w14:paraId="5CE2D5FF" w14:textId="77777777">
      <w:pPr>
        <w:pBdr>
          <w:top w:val="nil"/>
          <w:left w:val="nil"/>
          <w:bottom w:val="nil"/>
          <w:right w:val="nil"/>
          <w:between w:val="nil"/>
        </w:pBdr>
        <w:spacing w:before="159"/>
        <w:rPr>
          <w:color w:val="000000"/>
        </w:rPr>
      </w:pPr>
    </w:p>
    <w:p w:rsidRPr="0086362C" w:rsidR="0086362C" w:rsidP="0086362C" w:rsidRDefault="00BA1FB6" w14:paraId="44F04A2F"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E7653A" w:rsidP="00E7653A" w:rsidRDefault="00E7653A" w14:paraId="414C0FAB" w14:textId="0CA039AB">
      <w:pPr>
        <w:pBdr>
          <w:top w:val="nil"/>
          <w:left w:val="nil"/>
          <w:bottom w:val="nil"/>
          <w:right w:val="nil"/>
          <w:between w:val="nil"/>
        </w:pBdr>
        <w:spacing w:before="158"/>
      </w:pPr>
      <w:r w:rsidRPr="0086362C">
        <w:t>There will be no payment or gifts awarded to logbook respondent</w:t>
      </w:r>
      <w:r>
        <w:t xml:space="preserve">s. </w:t>
      </w:r>
    </w:p>
    <w:p w:rsidRPr="00E7653A" w:rsidR="00E7653A" w:rsidP="00E7653A" w:rsidRDefault="00E7653A" w14:paraId="106E88F0" w14:textId="77777777">
      <w:pPr>
        <w:pBdr>
          <w:top w:val="nil"/>
          <w:left w:val="nil"/>
          <w:bottom w:val="nil"/>
          <w:right w:val="nil"/>
          <w:between w:val="nil"/>
        </w:pBdr>
        <w:spacing w:before="158"/>
      </w:pPr>
    </w:p>
    <w:p w:rsidR="00897DCD" w:rsidRDefault="00BA1FB6" w14:paraId="6F64E2F1"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Pr>
          <w:b/>
          <w:color w:val="000000"/>
        </w:rPr>
        <w:t>should be cited and described here</w:t>
      </w:r>
      <w:proofErr w:type="gramEnd"/>
      <w:r>
        <w:rPr>
          <w:b/>
          <w:color w:val="000000"/>
        </w:rPr>
        <w:t>.</w:t>
      </w:r>
    </w:p>
    <w:p w:rsidR="009D0895" w:rsidP="009D0895" w:rsidRDefault="009D0895" w14:paraId="64D545EB" w14:textId="77777777"/>
    <w:p w:rsidR="009D0895" w:rsidP="009D0895" w:rsidRDefault="009D0895" w14:paraId="05F6706A" w14:textId="338E9AC4">
      <w:r w:rsidRPr="000725EB">
        <w:t>All logbook data is subject to confidentiality under the Magnuson Stevens Act section 402(b) as amended in 2006 (16 U.S.C. 1801, et seq.).</w:t>
      </w:r>
    </w:p>
    <w:p w:rsidRPr="009D0895" w:rsidR="009D0895" w:rsidP="009D0895" w:rsidRDefault="009D0895" w14:paraId="00D42C9F" w14:textId="77777777"/>
    <w:p w:rsidR="00897DCD" w:rsidP="009232C3" w:rsidRDefault="00BA1FB6" w14:paraId="0722305D" w14:textId="7E9B120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Provide additional justification for any questions of a sensitive nature, such as sexual behavior or attitudes, religious beliefs, and other matters that </w:t>
      </w:r>
      <w:proofErr w:type="gramStart"/>
      <w:r>
        <w:rPr>
          <w:b/>
          <w:color w:val="000000"/>
        </w:rPr>
        <w:t>are commonly considered</w:t>
      </w:r>
      <w:proofErr w:type="gramEnd"/>
      <w:r>
        <w:rPr>
          <w:b/>
          <w:color w:val="000000"/>
        </w:rPr>
        <w:t xml:space="preserve"> private. This justification should include the reasons why the agency considers the questions necessary, the specific uses to be made of the information, the explanation to </w:t>
      </w:r>
      <w:proofErr w:type="gramStart"/>
      <w:r>
        <w:rPr>
          <w:b/>
          <w:color w:val="000000"/>
        </w:rPr>
        <w:t>be given</w:t>
      </w:r>
      <w:proofErr w:type="gramEnd"/>
      <w:r>
        <w:rPr>
          <w:b/>
          <w:color w:val="000000"/>
        </w:rPr>
        <w:t xml:space="preserve"> to persons from whom the information is requested, and any steps to b</w:t>
      </w:r>
      <w:r w:rsidR="009232C3">
        <w:rPr>
          <w:b/>
          <w:color w:val="000000"/>
        </w:rPr>
        <w:t>e taken to obtain their consent.</w:t>
      </w:r>
    </w:p>
    <w:p w:rsidR="009232C3" w:rsidP="009232C3" w:rsidRDefault="009232C3" w14:paraId="1E0EE026" w14:textId="3BB9CA60">
      <w:pPr>
        <w:pBdr>
          <w:top w:val="nil"/>
          <w:left w:val="nil"/>
          <w:bottom w:val="nil"/>
          <w:right w:val="nil"/>
          <w:between w:val="nil"/>
        </w:pBdr>
        <w:tabs>
          <w:tab w:val="left" w:pos="360"/>
        </w:tabs>
        <w:spacing w:before="80"/>
        <w:rPr>
          <w:b/>
          <w:color w:val="000000"/>
        </w:rPr>
      </w:pPr>
    </w:p>
    <w:p w:rsidR="005D44D7" w:rsidP="005D44D7" w:rsidRDefault="005D44D7" w14:paraId="61BBDA07" w14:textId="44C2BAF8">
      <w:r w:rsidRPr="000725EB">
        <w:t>There is no information of a sensitive nature in this collection.</w:t>
      </w:r>
    </w:p>
    <w:p w:rsidR="00897DCD" w:rsidRDefault="00897DCD" w14:paraId="13E42072" w14:textId="71178B91">
      <w:pPr>
        <w:spacing w:line="259" w:lineRule="auto"/>
      </w:pPr>
    </w:p>
    <w:p w:rsidR="00897DCD" w:rsidP="00F06BC7" w:rsidRDefault="00BA1FB6" w14:paraId="254E032A" w14:textId="5CF01543">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F06BC7" w:rsidP="00F06BC7" w:rsidRDefault="00F06BC7" w14:paraId="016CA2B4" w14:textId="3FAA946E">
      <w:pPr>
        <w:pBdr>
          <w:top w:val="nil"/>
          <w:left w:val="nil"/>
          <w:bottom w:val="nil"/>
          <w:right w:val="nil"/>
          <w:between w:val="nil"/>
        </w:pBdr>
        <w:tabs>
          <w:tab w:val="left" w:pos="360"/>
        </w:tabs>
        <w:spacing w:before="80"/>
        <w:rPr>
          <w:b/>
          <w:color w:val="000000"/>
        </w:rPr>
      </w:pPr>
    </w:p>
    <w:p w:rsidR="003816CC" w:rsidP="003816CC" w:rsidRDefault="003816CC" w14:paraId="002A9920" w14:textId="77777777">
      <w:pPr>
        <w:pBdr>
          <w:top w:val="nil"/>
          <w:left w:val="nil"/>
          <w:bottom w:val="nil"/>
          <w:right w:val="nil"/>
          <w:between w:val="nil"/>
        </w:pBdr>
        <w:tabs>
          <w:tab w:val="left" w:pos="360"/>
        </w:tabs>
        <w:spacing w:before="80"/>
        <w:rPr>
          <w:color w:val="000000"/>
        </w:rPr>
      </w:pPr>
      <w:r w:rsidRPr="0022715C">
        <w:rPr>
          <w:color w:val="000000"/>
        </w:rPr>
        <w:t>In order to estimate burden hours</w:t>
      </w:r>
      <w:r>
        <w:rPr>
          <w:color w:val="000000"/>
        </w:rPr>
        <w:t xml:space="preserve">, we tabulated the annual number of fish tickets, which </w:t>
      </w:r>
      <w:proofErr w:type="gramStart"/>
      <w:r>
        <w:rPr>
          <w:color w:val="000000"/>
        </w:rPr>
        <w:t>were assumed</w:t>
      </w:r>
      <w:proofErr w:type="gramEnd"/>
      <w:r>
        <w:rPr>
          <w:color w:val="000000"/>
        </w:rPr>
        <w:t xml:space="preserve"> to equal one fishing trip each, across all non-trawl </w:t>
      </w:r>
      <w:proofErr w:type="spellStart"/>
      <w:r>
        <w:rPr>
          <w:color w:val="000000"/>
        </w:rPr>
        <w:t>groundfish</w:t>
      </w:r>
      <w:proofErr w:type="spellEnd"/>
      <w:r>
        <w:rPr>
          <w:color w:val="000000"/>
        </w:rPr>
        <w:t xml:space="preserve"> sectors, for the fishing years 2016-2019. Directed fisheries for </w:t>
      </w:r>
      <w:proofErr w:type="spellStart"/>
      <w:r>
        <w:rPr>
          <w:color w:val="000000"/>
        </w:rPr>
        <w:t>groundfish</w:t>
      </w:r>
      <w:proofErr w:type="spellEnd"/>
      <w:r>
        <w:rPr>
          <w:color w:val="000000"/>
        </w:rPr>
        <w:t xml:space="preserve"> using non-trawl gear include vessels that participate in the directed OA, LEFG (</w:t>
      </w:r>
      <w:r w:rsidRPr="009232C3">
        <w:rPr>
          <w:i/>
          <w:color w:val="000000"/>
        </w:rPr>
        <w:t>i.e.</w:t>
      </w:r>
      <w:r>
        <w:rPr>
          <w:color w:val="000000"/>
        </w:rPr>
        <w:t xml:space="preserve">, primary sablefish and LE trip limit fisheries), and the IFQ gear switchers. We did not use data from 2020 or 2021, as fishery participation was lower than normal in those years due to COVID-19, and therefore 2020 and 2021 are not considered representative fishing years. </w:t>
      </w:r>
    </w:p>
    <w:p w:rsidR="003816CC" w:rsidP="003816CC" w:rsidRDefault="003816CC" w14:paraId="7D40FFDE" w14:textId="77777777">
      <w:pPr>
        <w:pBdr>
          <w:top w:val="nil"/>
          <w:left w:val="nil"/>
          <w:bottom w:val="nil"/>
          <w:right w:val="nil"/>
          <w:between w:val="nil"/>
        </w:pBdr>
        <w:tabs>
          <w:tab w:val="left" w:pos="360"/>
        </w:tabs>
        <w:spacing w:before="80"/>
        <w:rPr>
          <w:color w:val="000000"/>
        </w:rPr>
      </w:pPr>
      <w:r>
        <w:rPr>
          <w:color w:val="000000"/>
        </w:rPr>
        <w:t xml:space="preserve">The average number of fishing trips taken </w:t>
      </w:r>
      <w:proofErr w:type="gramStart"/>
      <w:r>
        <w:rPr>
          <w:color w:val="000000"/>
        </w:rPr>
        <w:t>between 2016-2019</w:t>
      </w:r>
      <w:proofErr w:type="gramEnd"/>
      <w:r>
        <w:rPr>
          <w:color w:val="000000"/>
        </w:rPr>
        <w:t xml:space="preserve"> was </w:t>
      </w:r>
      <w:r w:rsidRPr="008F3C80">
        <w:rPr>
          <w:color w:val="000000"/>
        </w:rPr>
        <w:t>10,942 trips</w:t>
      </w:r>
      <w:r>
        <w:rPr>
          <w:color w:val="000000"/>
        </w:rPr>
        <w:t xml:space="preserve"> across the three affected sectors. We estimate that the electronic logbook will take approximately </w:t>
      </w:r>
      <w:r w:rsidRPr="00C55F62">
        <w:rPr>
          <w:color w:val="000000"/>
        </w:rPr>
        <w:t>30 minutes or 0.5 hours per</w:t>
      </w:r>
      <w:r>
        <w:rPr>
          <w:color w:val="000000"/>
        </w:rPr>
        <w:t xml:space="preserve"> submission to complete. Assuming 1 submission per fishing trip, we anticipate annual burden hours to amount to: ((10,942 fishing trips per year x 30 minutes per submission)</w:t>
      </w:r>
      <w:proofErr w:type="gramStart"/>
      <w:r>
        <w:rPr>
          <w:color w:val="000000"/>
        </w:rPr>
        <w:t>/(</w:t>
      </w:r>
      <w:proofErr w:type="gramEnd"/>
      <w:r>
        <w:rPr>
          <w:color w:val="000000"/>
        </w:rPr>
        <w:t xml:space="preserve">60 minutes per hour)) = 5,471 hours per year. </w:t>
      </w:r>
    </w:p>
    <w:p w:rsidR="00F06BC7" w:rsidP="00F06BC7" w:rsidRDefault="00F06BC7" w14:paraId="12EBBA98" w14:textId="78620AE5">
      <w:pPr>
        <w:pBdr>
          <w:top w:val="nil"/>
          <w:left w:val="nil"/>
          <w:bottom w:val="nil"/>
          <w:right w:val="nil"/>
          <w:between w:val="nil"/>
        </w:pBdr>
        <w:tabs>
          <w:tab w:val="left" w:pos="360"/>
        </w:tabs>
        <w:spacing w:before="80"/>
        <w:rPr>
          <w:color w:val="000000"/>
        </w:rPr>
      </w:pPr>
    </w:p>
    <w:p w:rsidR="00F06BC7" w:rsidP="00F06BC7" w:rsidRDefault="00F06BC7" w14:paraId="6448DD70" w14:textId="5A640167">
      <w:pPr>
        <w:pBdr>
          <w:top w:val="nil"/>
          <w:left w:val="nil"/>
          <w:bottom w:val="nil"/>
          <w:right w:val="nil"/>
          <w:between w:val="nil"/>
        </w:pBdr>
        <w:tabs>
          <w:tab w:val="left" w:pos="360"/>
        </w:tabs>
        <w:spacing w:before="80"/>
        <w:rPr>
          <w:color w:val="000000"/>
        </w:rPr>
      </w:pPr>
    </w:p>
    <w:p w:rsidR="00F06BC7" w:rsidP="00F06BC7" w:rsidRDefault="00F06BC7" w14:paraId="4996C5F4" w14:textId="3834ECF2">
      <w:pPr>
        <w:pBdr>
          <w:top w:val="nil"/>
          <w:left w:val="nil"/>
          <w:bottom w:val="nil"/>
          <w:right w:val="nil"/>
          <w:between w:val="nil"/>
        </w:pBdr>
        <w:tabs>
          <w:tab w:val="left" w:pos="360"/>
        </w:tabs>
        <w:spacing w:before="80"/>
        <w:rPr>
          <w:color w:val="000000"/>
        </w:rPr>
      </w:pPr>
    </w:p>
    <w:p w:rsidR="00F06BC7" w:rsidP="00F06BC7" w:rsidRDefault="00F06BC7" w14:paraId="6172C871" w14:textId="0B8090AA">
      <w:pPr>
        <w:pBdr>
          <w:top w:val="nil"/>
          <w:left w:val="nil"/>
          <w:bottom w:val="nil"/>
          <w:right w:val="nil"/>
          <w:between w:val="nil"/>
        </w:pBdr>
        <w:tabs>
          <w:tab w:val="left" w:pos="360"/>
        </w:tabs>
        <w:spacing w:before="80"/>
        <w:rPr>
          <w:color w:val="000000"/>
        </w:rPr>
      </w:pPr>
    </w:p>
    <w:p w:rsidR="00F06BC7" w:rsidP="00F06BC7" w:rsidRDefault="00F06BC7" w14:paraId="5E3A75AA" w14:textId="03C0E589">
      <w:pPr>
        <w:pBdr>
          <w:top w:val="nil"/>
          <w:left w:val="nil"/>
          <w:bottom w:val="nil"/>
          <w:right w:val="nil"/>
          <w:between w:val="nil"/>
        </w:pBdr>
        <w:tabs>
          <w:tab w:val="left" w:pos="360"/>
        </w:tabs>
        <w:spacing w:before="80"/>
        <w:rPr>
          <w:color w:val="000000"/>
        </w:rPr>
      </w:pPr>
    </w:p>
    <w:p w:rsidR="00F06BC7" w:rsidP="00F06BC7" w:rsidRDefault="00F06BC7" w14:paraId="1A326607" w14:textId="1A80E94C">
      <w:pPr>
        <w:pBdr>
          <w:top w:val="nil"/>
          <w:left w:val="nil"/>
          <w:bottom w:val="nil"/>
          <w:right w:val="nil"/>
          <w:between w:val="nil"/>
        </w:pBdr>
        <w:tabs>
          <w:tab w:val="left" w:pos="360"/>
        </w:tabs>
        <w:spacing w:before="80"/>
        <w:rPr>
          <w:color w:val="000000"/>
        </w:rPr>
      </w:pPr>
    </w:p>
    <w:tbl>
      <w:tblPr>
        <w:tblStyle w:val="a0"/>
        <w:tblpPr w:leftFromText="180" w:rightFromText="180" w:vertAnchor="text" w:horzAnchor="margin" w:tblpX="-370" w:tblpY="-10"/>
        <w:tblW w:w="10880" w:type="dxa"/>
        <w:tblLayout w:type="fixed"/>
        <w:tblLook w:val="0400" w:firstRow="0" w:lastRow="0" w:firstColumn="0" w:lastColumn="0" w:noHBand="0" w:noVBand="1"/>
      </w:tblPr>
      <w:tblGrid>
        <w:gridCol w:w="1520"/>
        <w:gridCol w:w="1280"/>
        <w:gridCol w:w="970"/>
        <w:gridCol w:w="1080"/>
        <w:gridCol w:w="1010"/>
        <w:gridCol w:w="1060"/>
        <w:gridCol w:w="1080"/>
        <w:gridCol w:w="1530"/>
        <w:gridCol w:w="1350"/>
      </w:tblGrid>
      <w:tr w:rsidR="00F06BC7" w:rsidTr="00F06BC7" w14:paraId="592D7458" w14:textId="77777777">
        <w:trPr>
          <w:trHeight w:val="1365"/>
        </w:trPr>
        <w:tc>
          <w:tcPr>
            <w:tcW w:w="152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F06BC7" w:rsidP="00F06BC7" w:rsidRDefault="00F06BC7" w14:paraId="1E84111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280" w:type="dxa"/>
            <w:tcBorders>
              <w:top w:val="single" w:color="000000" w:sz="8" w:space="0"/>
              <w:left w:val="nil"/>
              <w:bottom w:val="single" w:color="000000" w:sz="8" w:space="0"/>
              <w:right w:val="single" w:color="000000" w:sz="8" w:space="0"/>
            </w:tcBorders>
            <w:shd w:val="clear" w:color="auto" w:fill="BDD7EE"/>
            <w:vAlign w:val="center"/>
          </w:tcPr>
          <w:p w:rsidR="00F06BC7" w:rsidP="00F06BC7" w:rsidRDefault="00F06BC7" w14:paraId="4B8F8DD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970" w:type="dxa"/>
            <w:tcBorders>
              <w:top w:val="single" w:color="000000" w:sz="8" w:space="0"/>
              <w:left w:val="nil"/>
              <w:bottom w:val="single" w:color="000000" w:sz="8" w:space="0"/>
              <w:right w:val="single" w:color="000000" w:sz="8" w:space="0"/>
            </w:tcBorders>
            <w:shd w:val="clear" w:color="auto" w:fill="BDD7EE"/>
            <w:vAlign w:val="center"/>
          </w:tcPr>
          <w:p w:rsidR="00F06BC7" w:rsidP="00F06BC7" w:rsidRDefault="00F06BC7" w14:paraId="5D417B0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p w:rsidRPr="008F2EF7" w:rsidR="00F06BC7" w:rsidP="00F06BC7" w:rsidRDefault="00F06BC7" w14:paraId="341A648F" w14:textId="389BE839">
            <w:pPr>
              <w:widowControl/>
              <w:jc w:val="center"/>
              <w:rPr>
                <w:rFonts w:ascii="Calibri" w:hAnsi="Calibri" w:eastAsia="Calibri" w:cs="Calibri"/>
                <w:i/>
                <w:color w:val="000000"/>
                <w:sz w:val="16"/>
                <w:szCs w:val="16"/>
              </w:rPr>
            </w:pP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F06BC7" w:rsidP="00F06BC7" w:rsidRDefault="00F06BC7" w14:paraId="73909CA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p w:rsidRPr="008F2EF7" w:rsidR="00F06BC7" w:rsidP="00F06BC7" w:rsidRDefault="00F06BC7" w14:paraId="0DD7E482" w14:textId="50289BC3">
            <w:pPr>
              <w:widowControl/>
              <w:jc w:val="center"/>
              <w:rPr>
                <w:rFonts w:ascii="Calibri" w:hAnsi="Calibri" w:eastAsia="Calibri" w:cs="Calibri"/>
                <w:i/>
                <w:color w:val="000000"/>
                <w:sz w:val="16"/>
                <w:szCs w:val="16"/>
              </w:rPr>
            </w:pPr>
          </w:p>
        </w:tc>
        <w:tc>
          <w:tcPr>
            <w:tcW w:w="1010" w:type="dxa"/>
            <w:tcBorders>
              <w:top w:val="single" w:color="000000" w:sz="8" w:space="0"/>
              <w:left w:val="nil"/>
              <w:bottom w:val="single" w:color="000000" w:sz="8" w:space="0"/>
              <w:right w:val="single" w:color="000000" w:sz="8" w:space="0"/>
            </w:tcBorders>
            <w:shd w:val="clear" w:color="auto" w:fill="BDD7EE"/>
            <w:vAlign w:val="center"/>
          </w:tcPr>
          <w:p w:rsidR="00F06BC7" w:rsidP="00F06BC7" w:rsidRDefault="00F06BC7" w14:paraId="2E65F75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060" w:type="dxa"/>
            <w:tcBorders>
              <w:top w:val="single" w:color="000000" w:sz="8" w:space="0"/>
              <w:left w:val="nil"/>
              <w:bottom w:val="single" w:color="000000" w:sz="8" w:space="0"/>
              <w:right w:val="single" w:color="000000" w:sz="8" w:space="0"/>
            </w:tcBorders>
            <w:shd w:val="clear" w:color="auto" w:fill="BDD7EE"/>
            <w:vAlign w:val="center"/>
          </w:tcPr>
          <w:p w:rsidR="00F06BC7" w:rsidP="00F06BC7" w:rsidRDefault="00F06BC7" w14:paraId="18CD98B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F06BC7" w:rsidP="00F06BC7" w:rsidRDefault="00F06BC7" w14:paraId="2268B0D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Pr="00B14C68" w:rsidR="00F06BC7" w:rsidP="00B14C68" w:rsidRDefault="00F06BC7" w14:paraId="2DB30F91" w14:textId="1263CCE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350" w:type="dxa"/>
            <w:tcBorders>
              <w:top w:val="single" w:color="000000" w:sz="8" w:space="0"/>
              <w:left w:val="nil"/>
              <w:bottom w:val="single" w:color="000000" w:sz="8" w:space="0"/>
              <w:right w:val="single" w:color="000000" w:sz="8" w:space="0"/>
            </w:tcBorders>
            <w:shd w:val="clear" w:color="auto" w:fill="BDD7EE"/>
            <w:vAlign w:val="center"/>
          </w:tcPr>
          <w:p w:rsidRPr="00F06BC7" w:rsidR="00F06BC7" w:rsidP="00F06BC7" w:rsidRDefault="00F06BC7" w14:paraId="4968EBDE" w14:textId="77777777">
            <w:pPr>
              <w:rPr>
                <w:rFonts w:eastAsia="Calibri" w:asciiTheme="minorHAnsi" w:hAnsiTheme="minorHAnsi"/>
                <w:b/>
                <w:sz w:val="16"/>
                <w:szCs w:val="16"/>
              </w:rPr>
            </w:pPr>
            <w:r w:rsidRPr="00F06BC7">
              <w:rPr>
                <w:rFonts w:eastAsia="Calibri" w:asciiTheme="minorHAnsi" w:hAnsiTheme="minorHAnsi"/>
                <w:b/>
                <w:sz w:val="16"/>
                <w:szCs w:val="16"/>
              </w:rPr>
              <w:t>Total Annual Wage Burden Costs</w:t>
            </w:r>
            <w:r w:rsidRPr="00F06BC7">
              <w:rPr>
                <w:rFonts w:eastAsia="Calibri" w:asciiTheme="minorHAnsi" w:hAnsiTheme="minorHAnsi"/>
                <w:b/>
                <w:sz w:val="16"/>
                <w:szCs w:val="16"/>
              </w:rPr>
              <w:br/>
              <w:t>(g) = (e) x (f)</w:t>
            </w:r>
          </w:p>
        </w:tc>
      </w:tr>
      <w:tr w:rsidR="00F06BC7" w:rsidTr="00F06BC7" w14:paraId="43527FAA" w14:textId="77777777">
        <w:trPr>
          <w:trHeight w:val="300"/>
        </w:trPr>
        <w:tc>
          <w:tcPr>
            <w:tcW w:w="1520" w:type="dxa"/>
            <w:tcBorders>
              <w:top w:val="nil"/>
              <w:left w:val="single" w:color="000000" w:sz="8" w:space="0"/>
              <w:bottom w:val="single" w:color="000000" w:sz="4" w:space="0"/>
              <w:right w:val="single" w:color="000000" w:sz="4" w:space="0"/>
            </w:tcBorders>
            <w:shd w:val="clear" w:color="auto" w:fill="auto"/>
            <w:vAlign w:val="bottom"/>
          </w:tcPr>
          <w:p w:rsidRPr="008F2EF7" w:rsidR="00F06BC7" w:rsidP="00B14C68" w:rsidRDefault="00F06BC7" w14:paraId="3FD545DC" w14:textId="30D58DF2">
            <w:pPr>
              <w:widowControl/>
              <w:jc w:val="center"/>
              <w:rPr>
                <w:rFonts w:ascii="Calibri" w:hAnsi="Calibri" w:eastAsia="Calibri" w:cs="Calibri"/>
                <w:color w:val="000000"/>
                <w:sz w:val="16"/>
                <w:szCs w:val="16"/>
              </w:rPr>
            </w:pPr>
            <w:r w:rsidRPr="008F2EF7">
              <w:rPr>
                <w:rFonts w:ascii="Calibri" w:hAnsi="Calibri" w:eastAsia="Calibri" w:cs="Calibri"/>
                <w:color w:val="000000"/>
                <w:sz w:val="16"/>
                <w:szCs w:val="16"/>
              </w:rPr>
              <w:t>Non-Trawl Logbook</w:t>
            </w:r>
            <w:r w:rsidR="00B14C68">
              <w:rPr>
                <w:rFonts w:ascii="Calibri" w:hAnsi="Calibri" w:eastAsia="Calibri" w:cs="Calibri"/>
                <w:color w:val="000000"/>
                <w:sz w:val="16"/>
                <w:szCs w:val="16"/>
              </w:rPr>
              <w:t xml:space="preserve"> - </w:t>
            </w:r>
            <w:r w:rsidRPr="00926721" w:rsidR="00B14C68">
              <w:rPr>
                <w:rFonts w:ascii="Calibri" w:hAnsi="Calibri" w:eastAsia="Calibri" w:cs="Calibri"/>
                <w:color w:val="000000"/>
                <w:sz w:val="16"/>
                <w:szCs w:val="16"/>
              </w:rPr>
              <w:t xml:space="preserve"> Directed Open Access for groundfish</w:t>
            </w:r>
          </w:p>
        </w:tc>
        <w:tc>
          <w:tcPr>
            <w:tcW w:w="1280" w:type="dxa"/>
            <w:tcBorders>
              <w:top w:val="nil"/>
              <w:left w:val="nil"/>
              <w:bottom w:val="single" w:color="000000" w:sz="4" w:space="0"/>
              <w:right w:val="single" w:color="000000" w:sz="4" w:space="0"/>
            </w:tcBorders>
            <w:shd w:val="clear" w:color="auto" w:fill="auto"/>
            <w:vAlign w:val="bottom"/>
          </w:tcPr>
          <w:p w:rsidRPr="00B14C68" w:rsidR="00B14C68" w:rsidP="00F06BC7" w:rsidRDefault="00B14C68" w14:paraId="73E5E65B" w14:textId="18097275">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Fishing </w:t>
            </w:r>
            <w:r w:rsidRPr="00B14C68">
              <w:rPr>
                <w:rFonts w:ascii="Calibri" w:hAnsi="Calibri" w:eastAsia="Calibri" w:cs="Calibri"/>
                <w:color w:val="000000"/>
                <w:sz w:val="16"/>
                <w:szCs w:val="16"/>
              </w:rPr>
              <w:t>Occupation 45-0000</w:t>
            </w:r>
          </w:p>
        </w:tc>
        <w:tc>
          <w:tcPr>
            <w:tcW w:w="970" w:type="dxa"/>
            <w:tcBorders>
              <w:top w:val="nil"/>
              <w:left w:val="nil"/>
              <w:bottom w:val="single" w:color="000000" w:sz="4" w:space="0"/>
              <w:right w:val="single" w:color="000000" w:sz="4" w:space="0"/>
            </w:tcBorders>
            <w:shd w:val="clear" w:color="auto" w:fill="auto"/>
            <w:vAlign w:val="bottom"/>
          </w:tcPr>
          <w:p w:rsidR="00F06BC7" w:rsidP="00F06BC7" w:rsidRDefault="00F06BC7" w14:paraId="55C31E4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7,751</w:t>
            </w:r>
          </w:p>
        </w:tc>
        <w:tc>
          <w:tcPr>
            <w:tcW w:w="1080" w:type="dxa"/>
            <w:tcBorders>
              <w:top w:val="nil"/>
              <w:left w:val="nil"/>
              <w:bottom w:val="single" w:color="000000" w:sz="4" w:space="0"/>
              <w:right w:val="single" w:color="000000" w:sz="4" w:space="0"/>
            </w:tcBorders>
            <w:shd w:val="clear" w:color="auto" w:fill="auto"/>
            <w:vAlign w:val="bottom"/>
          </w:tcPr>
          <w:p w:rsidR="00F06BC7" w:rsidP="00F06BC7" w:rsidRDefault="00F06BC7" w14:paraId="396E69E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10" w:type="dxa"/>
            <w:tcBorders>
              <w:top w:val="nil"/>
              <w:left w:val="nil"/>
              <w:bottom w:val="single" w:color="000000" w:sz="4" w:space="0"/>
              <w:right w:val="single" w:color="000000" w:sz="4" w:space="0"/>
            </w:tcBorders>
            <w:shd w:val="clear" w:color="auto" w:fill="auto"/>
            <w:vAlign w:val="bottom"/>
          </w:tcPr>
          <w:p w:rsidR="00F06BC7" w:rsidP="00F06BC7" w:rsidRDefault="00F06BC7" w14:paraId="5BE0CAE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7,751</w:t>
            </w:r>
          </w:p>
        </w:tc>
        <w:tc>
          <w:tcPr>
            <w:tcW w:w="1060" w:type="dxa"/>
            <w:tcBorders>
              <w:top w:val="nil"/>
              <w:left w:val="nil"/>
              <w:bottom w:val="single" w:color="000000" w:sz="4" w:space="0"/>
              <w:right w:val="single" w:color="000000" w:sz="4" w:space="0"/>
            </w:tcBorders>
            <w:shd w:val="clear" w:color="auto" w:fill="auto"/>
            <w:vAlign w:val="bottom"/>
          </w:tcPr>
          <w:p w:rsidR="00F06BC7" w:rsidP="00F06BC7" w:rsidRDefault="00B14C68" w14:paraId="59D41A64" w14:textId="09DE0F4A">
            <w:pPr>
              <w:widowControl/>
              <w:jc w:val="center"/>
              <w:rPr>
                <w:rFonts w:ascii="Calibri" w:hAnsi="Calibri" w:eastAsia="Calibri" w:cs="Calibri"/>
                <w:color w:val="000000"/>
                <w:sz w:val="16"/>
                <w:szCs w:val="16"/>
              </w:rPr>
            </w:pPr>
            <w:r>
              <w:rPr>
                <w:rFonts w:ascii="Calibri" w:hAnsi="Calibri" w:eastAsia="Calibri" w:cs="Calibri"/>
                <w:color w:val="000000"/>
                <w:sz w:val="16"/>
                <w:szCs w:val="16"/>
              </w:rPr>
              <w:t>0.5</w:t>
            </w:r>
          </w:p>
        </w:tc>
        <w:tc>
          <w:tcPr>
            <w:tcW w:w="1080" w:type="dxa"/>
            <w:tcBorders>
              <w:top w:val="nil"/>
              <w:left w:val="nil"/>
              <w:bottom w:val="single" w:color="000000" w:sz="4" w:space="0"/>
              <w:right w:val="single" w:color="000000" w:sz="4" w:space="0"/>
            </w:tcBorders>
            <w:shd w:val="clear" w:color="auto" w:fill="auto"/>
            <w:vAlign w:val="bottom"/>
          </w:tcPr>
          <w:p w:rsidR="00F06BC7" w:rsidP="00F06BC7" w:rsidRDefault="00F06BC7" w14:paraId="3905437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3,876 hours</w:t>
            </w:r>
          </w:p>
        </w:tc>
        <w:tc>
          <w:tcPr>
            <w:tcW w:w="1530" w:type="dxa"/>
            <w:tcBorders>
              <w:top w:val="nil"/>
              <w:left w:val="nil"/>
              <w:bottom w:val="single" w:color="000000" w:sz="4" w:space="0"/>
              <w:right w:val="single" w:color="000000" w:sz="4" w:space="0"/>
            </w:tcBorders>
            <w:shd w:val="clear" w:color="auto" w:fill="auto"/>
            <w:vAlign w:val="bottom"/>
          </w:tcPr>
          <w:p w:rsidR="00F06BC7" w:rsidP="00F06BC7" w:rsidRDefault="00F06BC7" w14:paraId="19F9537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$26.16</w:t>
            </w:r>
          </w:p>
        </w:tc>
        <w:tc>
          <w:tcPr>
            <w:tcW w:w="1350" w:type="dxa"/>
            <w:tcBorders>
              <w:top w:val="nil"/>
              <w:left w:val="nil"/>
              <w:bottom w:val="single" w:color="000000" w:sz="4" w:space="0"/>
              <w:right w:val="single" w:color="000000" w:sz="8" w:space="0"/>
            </w:tcBorders>
            <w:shd w:val="clear" w:color="auto" w:fill="auto"/>
            <w:vAlign w:val="bottom"/>
          </w:tcPr>
          <w:p w:rsidR="00F06BC7" w:rsidP="00F06BC7" w:rsidRDefault="00F06BC7" w14:paraId="0D02E68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$101,396 </w:t>
            </w:r>
          </w:p>
        </w:tc>
      </w:tr>
      <w:tr w:rsidR="00F06BC7" w:rsidTr="00F06BC7" w14:paraId="2EB0BD7E" w14:textId="77777777">
        <w:trPr>
          <w:trHeight w:val="300"/>
        </w:trPr>
        <w:tc>
          <w:tcPr>
            <w:tcW w:w="1520" w:type="dxa"/>
            <w:tcBorders>
              <w:top w:val="nil"/>
              <w:left w:val="single" w:color="000000" w:sz="8" w:space="0"/>
              <w:bottom w:val="single" w:color="000000" w:sz="4" w:space="0"/>
              <w:right w:val="single" w:color="000000" w:sz="4" w:space="0"/>
            </w:tcBorders>
            <w:shd w:val="clear" w:color="auto" w:fill="auto"/>
            <w:vAlign w:val="bottom"/>
          </w:tcPr>
          <w:p w:rsidRPr="008F2EF7" w:rsidR="00F06BC7" w:rsidP="00F06BC7" w:rsidRDefault="00F06BC7" w14:paraId="4EF8868E" w14:textId="1AF8C8A3">
            <w:pPr>
              <w:widowControl/>
              <w:rPr>
                <w:rFonts w:ascii="Calibri" w:hAnsi="Calibri" w:eastAsia="Calibri" w:cs="Calibri"/>
                <w:color w:val="000000"/>
                <w:sz w:val="16"/>
                <w:szCs w:val="16"/>
              </w:rPr>
            </w:pPr>
            <w:r w:rsidRPr="008F2EF7">
              <w:rPr>
                <w:rFonts w:ascii="Calibri" w:hAnsi="Calibri" w:eastAsia="Calibri" w:cs="Calibri"/>
                <w:color w:val="000000"/>
                <w:sz w:val="16"/>
                <w:szCs w:val="16"/>
              </w:rPr>
              <w:t>Non-Trawl Logbook</w:t>
            </w:r>
            <w:r w:rsidR="00B14C68">
              <w:rPr>
                <w:rFonts w:ascii="Calibri" w:hAnsi="Calibri" w:eastAsia="Calibri" w:cs="Calibri"/>
                <w:color w:val="000000"/>
                <w:sz w:val="16"/>
                <w:szCs w:val="16"/>
              </w:rPr>
              <w:t xml:space="preserve"> - LEFG (Primary sablefish, LE trip limit)</w:t>
            </w:r>
          </w:p>
        </w:tc>
        <w:tc>
          <w:tcPr>
            <w:tcW w:w="1280" w:type="dxa"/>
            <w:tcBorders>
              <w:top w:val="nil"/>
              <w:left w:val="nil"/>
              <w:bottom w:val="single" w:color="000000" w:sz="4" w:space="0"/>
              <w:right w:val="single" w:color="000000" w:sz="4" w:space="0"/>
            </w:tcBorders>
            <w:shd w:val="clear" w:color="auto" w:fill="auto"/>
            <w:vAlign w:val="bottom"/>
          </w:tcPr>
          <w:p w:rsidRPr="00926721" w:rsidR="00F06BC7" w:rsidP="00F06BC7" w:rsidRDefault="00B14C68" w14:paraId="2F4EE1B5" w14:textId="6617456E">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Fishing </w:t>
            </w:r>
            <w:r w:rsidRPr="00B14C68">
              <w:rPr>
                <w:rFonts w:ascii="Calibri" w:hAnsi="Calibri" w:eastAsia="Calibri" w:cs="Calibri"/>
                <w:color w:val="000000"/>
                <w:sz w:val="16"/>
                <w:szCs w:val="16"/>
              </w:rPr>
              <w:t>Occupation 45-0000</w:t>
            </w:r>
          </w:p>
        </w:tc>
        <w:tc>
          <w:tcPr>
            <w:tcW w:w="970" w:type="dxa"/>
            <w:tcBorders>
              <w:top w:val="nil"/>
              <w:left w:val="nil"/>
              <w:bottom w:val="single" w:color="000000" w:sz="4" w:space="0"/>
              <w:right w:val="single" w:color="000000" w:sz="4" w:space="0"/>
            </w:tcBorders>
            <w:shd w:val="clear" w:color="auto" w:fill="auto"/>
            <w:vAlign w:val="bottom"/>
          </w:tcPr>
          <w:p w:rsidR="00F06BC7" w:rsidP="00F06BC7" w:rsidRDefault="00815EB7" w14:paraId="0035BAB8" w14:textId="22DA69AF">
            <w:pPr>
              <w:widowControl/>
              <w:jc w:val="center"/>
              <w:rPr>
                <w:rFonts w:ascii="Calibri" w:hAnsi="Calibri" w:eastAsia="Calibri" w:cs="Calibri"/>
                <w:color w:val="000000"/>
                <w:sz w:val="16"/>
                <w:szCs w:val="16"/>
              </w:rPr>
            </w:pPr>
            <w:r>
              <w:rPr>
                <w:rFonts w:ascii="Calibri" w:hAnsi="Calibri" w:eastAsia="Calibri" w:cs="Calibri"/>
                <w:color w:val="000000"/>
                <w:sz w:val="16"/>
                <w:szCs w:val="16"/>
              </w:rPr>
              <w:t>3,055</w:t>
            </w:r>
          </w:p>
        </w:tc>
        <w:tc>
          <w:tcPr>
            <w:tcW w:w="1080" w:type="dxa"/>
            <w:tcBorders>
              <w:top w:val="nil"/>
              <w:left w:val="nil"/>
              <w:bottom w:val="single" w:color="000000" w:sz="4" w:space="0"/>
              <w:right w:val="single" w:color="000000" w:sz="4" w:space="0"/>
            </w:tcBorders>
            <w:shd w:val="clear" w:color="auto" w:fill="auto"/>
            <w:vAlign w:val="bottom"/>
          </w:tcPr>
          <w:p w:rsidR="00F06BC7" w:rsidP="00F06BC7" w:rsidRDefault="00F06BC7" w14:paraId="2848CFC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10" w:type="dxa"/>
            <w:tcBorders>
              <w:top w:val="nil"/>
              <w:left w:val="nil"/>
              <w:bottom w:val="single" w:color="000000" w:sz="4" w:space="0"/>
              <w:right w:val="single" w:color="000000" w:sz="4" w:space="0"/>
            </w:tcBorders>
            <w:shd w:val="clear" w:color="auto" w:fill="auto"/>
            <w:vAlign w:val="bottom"/>
          </w:tcPr>
          <w:p w:rsidR="00F06BC7" w:rsidP="00F06BC7" w:rsidRDefault="00F06BC7" w14:paraId="0C57E23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3,055</w:t>
            </w:r>
          </w:p>
        </w:tc>
        <w:tc>
          <w:tcPr>
            <w:tcW w:w="1060" w:type="dxa"/>
            <w:tcBorders>
              <w:top w:val="nil"/>
              <w:left w:val="nil"/>
              <w:bottom w:val="single" w:color="000000" w:sz="4" w:space="0"/>
              <w:right w:val="single" w:color="000000" w:sz="4" w:space="0"/>
            </w:tcBorders>
            <w:shd w:val="clear" w:color="auto" w:fill="auto"/>
            <w:vAlign w:val="bottom"/>
          </w:tcPr>
          <w:p w:rsidR="00F06BC7" w:rsidP="00F06BC7" w:rsidRDefault="00B14C68" w14:paraId="228DD61C" w14:textId="48642243">
            <w:pPr>
              <w:widowControl/>
              <w:jc w:val="center"/>
              <w:rPr>
                <w:rFonts w:ascii="Calibri" w:hAnsi="Calibri" w:eastAsia="Calibri" w:cs="Calibri"/>
                <w:color w:val="000000"/>
                <w:sz w:val="16"/>
                <w:szCs w:val="16"/>
              </w:rPr>
            </w:pPr>
            <w:r>
              <w:rPr>
                <w:rFonts w:ascii="Calibri" w:hAnsi="Calibri" w:eastAsia="Calibri" w:cs="Calibri"/>
                <w:color w:val="000000"/>
                <w:sz w:val="16"/>
                <w:szCs w:val="16"/>
              </w:rPr>
              <w:t>0.5</w:t>
            </w:r>
          </w:p>
        </w:tc>
        <w:tc>
          <w:tcPr>
            <w:tcW w:w="1080" w:type="dxa"/>
            <w:tcBorders>
              <w:top w:val="nil"/>
              <w:left w:val="nil"/>
              <w:bottom w:val="single" w:color="000000" w:sz="4" w:space="0"/>
              <w:right w:val="single" w:color="000000" w:sz="4" w:space="0"/>
            </w:tcBorders>
            <w:shd w:val="clear" w:color="auto" w:fill="auto"/>
            <w:vAlign w:val="bottom"/>
          </w:tcPr>
          <w:p w:rsidR="00F06BC7" w:rsidP="00F06BC7" w:rsidRDefault="00F06BC7" w14:paraId="365BB542" w14:textId="37B7DC7A">
            <w:pPr>
              <w:widowControl/>
              <w:jc w:val="center"/>
              <w:rPr>
                <w:rFonts w:ascii="Calibri" w:hAnsi="Calibri" w:eastAsia="Calibri" w:cs="Calibri"/>
                <w:color w:val="000000"/>
                <w:sz w:val="16"/>
                <w:szCs w:val="16"/>
              </w:rPr>
            </w:pPr>
            <w:r>
              <w:rPr>
                <w:rFonts w:ascii="Calibri" w:hAnsi="Calibri" w:eastAsia="Calibri" w:cs="Calibri"/>
                <w:color w:val="000000"/>
                <w:sz w:val="16"/>
                <w:szCs w:val="16"/>
              </w:rPr>
              <w:t>1,527</w:t>
            </w:r>
            <w:r w:rsidR="00815EB7">
              <w:rPr>
                <w:rFonts w:ascii="Calibri" w:hAnsi="Calibri" w:eastAsia="Calibri" w:cs="Calibri"/>
                <w:color w:val="000000"/>
                <w:sz w:val="16"/>
                <w:szCs w:val="16"/>
              </w:rPr>
              <w:t>.5</w:t>
            </w:r>
            <w:r>
              <w:rPr>
                <w:rFonts w:ascii="Calibri" w:hAnsi="Calibri" w:eastAsia="Calibri" w:cs="Calibri"/>
                <w:color w:val="000000"/>
                <w:sz w:val="16"/>
                <w:szCs w:val="16"/>
              </w:rPr>
              <w:t xml:space="preserve"> hours</w:t>
            </w:r>
          </w:p>
        </w:tc>
        <w:tc>
          <w:tcPr>
            <w:tcW w:w="1530" w:type="dxa"/>
            <w:tcBorders>
              <w:top w:val="nil"/>
              <w:left w:val="nil"/>
              <w:bottom w:val="single" w:color="000000" w:sz="4" w:space="0"/>
              <w:right w:val="single" w:color="000000" w:sz="4" w:space="0"/>
            </w:tcBorders>
            <w:shd w:val="clear" w:color="auto" w:fill="auto"/>
            <w:vAlign w:val="bottom"/>
          </w:tcPr>
          <w:p w:rsidR="00F06BC7" w:rsidP="00F06BC7" w:rsidRDefault="00F06BC7" w14:paraId="77456A9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$26.16</w:t>
            </w:r>
          </w:p>
        </w:tc>
        <w:tc>
          <w:tcPr>
            <w:tcW w:w="1350" w:type="dxa"/>
            <w:tcBorders>
              <w:top w:val="nil"/>
              <w:left w:val="nil"/>
              <w:bottom w:val="single" w:color="000000" w:sz="4" w:space="0"/>
              <w:right w:val="single" w:color="000000" w:sz="8" w:space="0"/>
            </w:tcBorders>
            <w:shd w:val="clear" w:color="auto" w:fill="auto"/>
            <w:vAlign w:val="bottom"/>
          </w:tcPr>
          <w:p w:rsidR="00F06BC7" w:rsidP="00F06BC7" w:rsidRDefault="00F06BC7" w14:paraId="3D16CC84" w14:textId="77777777">
            <w:pPr>
              <w:widowControl/>
              <w:jc w:val="right"/>
              <w:rPr>
                <w:rFonts w:ascii="Calibri" w:hAnsi="Calibri" w:eastAsia="Calibri" w:cs="Calibri"/>
                <w:color w:val="000000"/>
                <w:sz w:val="16"/>
                <w:szCs w:val="16"/>
              </w:rPr>
            </w:pPr>
            <w:r w:rsidRPr="00456C99">
              <w:rPr>
                <w:rFonts w:ascii="Calibri" w:hAnsi="Calibri" w:eastAsia="Calibri" w:cs="Calibri"/>
                <w:color w:val="000000"/>
                <w:sz w:val="16"/>
                <w:szCs w:val="16"/>
              </w:rPr>
              <w:t>$39</w:t>
            </w:r>
            <w:r>
              <w:rPr>
                <w:rFonts w:ascii="Calibri" w:hAnsi="Calibri" w:eastAsia="Calibri" w:cs="Calibri"/>
                <w:color w:val="000000"/>
                <w:sz w:val="16"/>
                <w:szCs w:val="16"/>
              </w:rPr>
              <w:t>,946 </w:t>
            </w:r>
          </w:p>
        </w:tc>
      </w:tr>
      <w:tr w:rsidR="00F06BC7" w:rsidTr="00F06BC7" w14:paraId="78064FF1" w14:textId="77777777">
        <w:trPr>
          <w:trHeight w:val="300"/>
        </w:trPr>
        <w:tc>
          <w:tcPr>
            <w:tcW w:w="1520" w:type="dxa"/>
            <w:tcBorders>
              <w:top w:val="nil"/>
              <w:left w:val="single" w:color="000000" w:sz="8" w:space="0"/>
              <w:bottom w:val="single" w:color="000000" w:sz="4" w:space="0"/>
              <w:right w:val="single" w:color="000000" w:sz="4" w:space="0"/>
            </w:tcBorders>
            <w:shd w:val="clear" w:color="auto" w:fill="auto"/>
            <w:vAlign w:val="bottom"/>
          </w:tcPr>
          <w:p w:rsidRPr="00B12B95" w:rsidR="00F06BC7" w:rsidP="00F06BC7" w:rsidRDefault="00F06BC7" w14:paraId="4D6266EF" w14:textId="56B89600">
            <w:pPr>
              <w:widowControl/>
              <w:rPr>
                <w:rFonts w:ascii="Calibri" w:hAnsi="Calibri" w:eastAsia="Calibri" w:cs="Calibri"/>
                <w:color w:val="000000"/>
                <w:sz w:val="16"/>
                <w:szCs w:val="16"/>
                <w:highlight w:val="yellow"/>
              </w:rPr>
            </w:pPr>
            <w:r w:rsidRPr="001D145B">
              <w:rPr>
                <w:rFonts w:ascii="Calibri" w:hAnsi="Calibri" w:eastAsia="Calibri" w:cs="Calibri"/>
                <w:color w:val="000000"/>
                <w:sz w:val="16"/>
                <w:szCs w:val="16"/>
              </w:rPr>
              <w:t>Non-Trawl Logbook</w:t>
            </w:r>
            <w:r w:rsidR="00B14C68">
              <w:rPr>
                <w:rFonts w:ascii="Calibri" w:hAnsi="Calibri" w:eastAsia="Calibri" w:cs="Calibri"/>
                <w:color w:val="000000"/>
                <w:sz w:val="16"/>
                <w:szCs w:val="16"/>
              </w:rPr>
              <w:t xml:space="preserve"> -  IFQ gear switchers</w:t>
            </w:r>
          </w:p>
        </w:tc>
        <w:tc>
          <w:tcPr>
            <w:tcW w:w="1280" w:type="dxa"/>
            <w:tcBorders>
              <w:top w:val="nil"/>
              <w:left w:val="nil"/>
              <w:bottom w:val="single" w:color="000000" w:sz="4" w:space="0"/>
              <w:right w:val="single" w:color="000000" w:sz="4" w:space="0"/>
            </w:tcBorders>
            <w:shd w:val="clear" w:color="auto" w:fill="auto"/>
            <w:vAlign w:val="bottom"/>
          </w:tcPr>
          <w:p w:rsidRPr="00926721" w:rsidR="00F06BC7" w:rsidP="00F06BC7" w:rsidRDefault="00B14C68" w14:paraId="5313C8B2" w14:textId="25CF6D9F">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Fishing </w:t>
            </w:r>
            <w:r w:rsidRPr="00B14C68">
              <w:rPr>
                <w:rFonts w:ascii="Calibri" w:hAnsi="Calibri" w:eastAsia="Calibri" w:cs="Calibri"/>
                <w:color w:val="000000"/>
                <w:sz w:val="16"/>
                <w:szCs w:val="16"/>
              </w:rPr>
              <w:t>Occupation 45-0000</w:t>
            </w:r>
          </w:p>
        </w:tc>
        <w:tc>
          <w:tcPr>
            <w:tcW w:w="970" w:type="dxa"/>
            <w:tcBorders>
              <w:top w:val="nil"/>
              <w:left w:val="nil"/>
              <w:bottom w:val="single" w:color="000000" w:sz="4" w:space="0"/>
              <w:right w:val="single" w:color="000000" w:sz="4" w:space="0"/>
            </w:tcBorders>
            <w:shd w:val="clear" w:color="auto" w:fill="auto"/>
            <w:vAlign w:val="bottom"/>
          </w:tcPr>
          <w:p w:rsidR="00F06BC7" w:rsidP="00F06BC7" w:rsidRDefault="00F06BC7" w14:paraId="390747C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136</w:t>
            </w:r>
          </w:p>
        </w:tc>
        <w:tc>
          <w:tcPr>
            <w:tcW w:w="1080" w:type="dxa"/>
            <w:tcBorders>
              <w:top w:val="nil"/>
              <w:left w:val="nil"/>
              <w:bottom w:val="single" w:color="000000" w:sz="4" w:space="0"/>
              <w:right w:val="single" w:color="000000" w:sz="4" w:space="0"/>
            </w:tcBorders>
            <w:shd w:val="clear" w:color="auto" w:fill="auto"/>
            <w:vAlign w:val="bottom"/>
          </w:tcPr>
          <w:p w:rsidR="00F06BC7" w:rsidP="00F06BC7" w:rsidRDefault="00F06BC7" w14:paraId="675890F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10" w:type="dxa"/>
            <w:tcBorders>
              <w:top w:val="nil"/>
              <w:left w:val="nil"/>
              <w:bottom w:val="single" w:color="000000" w:sz="4" w:space="0"/>
              <w:right w:val="single" w:color="000000" w:sz="4" w:space="0"/>
            </w:tcBorders>
            <w:shd w:val="clear" w:color="auto" w:fill="auto"/>
            <w:vAlign w:val="bottom"/>
          </w:tcPr>
          <w:p w:rsidR="00F06BC7" w:rsidP="00F06BC7" w:rsidRDefault="00F06BC7" w14:paraId="4BBDB25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136</w:t>
            </w:r>
          </w:p>
        </w:tc>
        <w:tc>
          <w:tcPr>
            <w:tcW w:w="1060" w:type="dxa"/>
            <w:tcBorders>
              <w:top w:val="nil"/>
              <w:left w:val="nil"/>
              <w:bottom w:val="single" w:color="000000" w:sz="4" w:space="0"/>
              <w:right w:val="single" w:color="000000" w:sz="4" w:space="0"/>
            </w:tcBorders>
            <w:shd w:val="clear" w:color="auto" w:fill="auto"/>
            <w:vAlign w:val="bottom"/>
          </w:tcPr>
          <w:p w:rsidR="00F06BC7" w:rsidP="00C363D8" w:rsidRDefault="00B14C68" w14:paraId="476E8074" w14:textId="14096E79">
            <w:pPr>
              <w:widowControl/>
              <w:jc w:val="center"/>
              <w:rPr>
                <w:rFonts w:ascii="Calibri" w:hAnsi="Calibri" w:eastAsia="Calibri" w:cs="Calibri"/>
                <w:color w:val="000000"/>
                <w:sz w:val="16"/>
                <w:szCs w:val="16"/>
              </w:rPr>
            </w:pPr>
            <w:r>
              <w:rPr>
                <w:rFonts w:ascii="Calibri" w:hAnsi="Calibri" w:eastAsia="Calibri" w:cs="Calibri"/>
                <w:color w:val="000000"/>
                <w:sz w:val="16"/>
                <w:szCs w:val="16"/>
              </w:rPr>
              <w:t>0.5</w:t>
            </w:r>
          </w:p>
        </w:tc>
        <w:tc>
          <w:tcPr>
            <w:tcW w:w="1080" w:type="dxa"/>
            <w:tcBorders>
              <w:top w:val="nil"/>
              <w:left w:val="nil"/>
              <w:bottom w:val="single" w:color="000000" w:sz="4" w:space="0"/>
              <w:right w:val="single" w:color="000000" w:sz="4" w:space="0"/>
            </w:tcBorders>
            <w:shd w:val="clear" w:color="auto" w:fill="auto"/>
            <w:vAlign w:val="bottom"/>
          </w:tcPr>
          <w:p w:rsidR="00F06BC7" w:rsidP="00F06BC7" w:rsidRDefault="00F06BC7" w14:paraId="7542B05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68 hours</w:t>
            </w:r>
          </w:p>
        </w:tc>
        <w:tc>
          <w:tcPr>
            <w:tcW w:w="1530" w:type="dxa"/>
            <w:tcBorders>
              <w:top w:val="nil"/>
              <w:left w:val="nil"/>
              <w:bottom w:val="single" w:color="000000" w:sz="4" w:space="0"/>
              <w:right w:val="single" w:color="000000" w:sz="4" w:space="0"/>
            </w:tcBorders>
            <w:shd w:val="clear" w:color="auto" w:fill="auto"/>
            <w:vAlign w:val="bottom"/>
          </w:tcPr>
          <w:p w:rsidR="00F06BC7" w:rsidP="00F06BC7" w:rsidRDefault="00F06BC7" w14:paraId="1A74D1E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$26.16</w:t>
            </w:r>
          </w:p>
        </w:tc>
        <w:tc>
          <w:tcPr>
            <w:tcW w:w="1350" w:type="dxa"/>
            <w:tcBorders>
              <w:top w:val="nil"/>
              <w:left w:val="nil"/>
              <w:bottom w:val="single" w:color="000000" w:sz="4" w:space="0"/>
              <w:right w:val="single" w:color="000000" w:sz="8" w:space="0"/>
            </w:tcBorders>
            <w:shd w:val="clear" w:color="auto" w:fill="auto"/>
            <w:vAlign w:val="bottom"/>
          </w:tcPr>
          <w:p w:rsidR="00F06BC7" w:rsidP="00F06BC7" w:rsidRDefault="00F06BC7" w14:paraId="0EA556F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$1,779 </w:t>
            </w:r>
          </w:p>
        </w:tc>
      </w:tr>
      <w:tr w:rsidR="00F06BC7" w:rsidTr="00F06BC7" w14:paraId="145DBE05" w14:textId="77777777">
        <w:trPr>
          <w:trHeight w:val="615"/>
        </w:trPr>
        <w:tc>
          <w:tcPr>
            <w:tcW w:w="1520" w:type="dxa"/>
            <w:tcBorders>
              <w:top w:val="nil"/>
              <w:left w:val="single" w:color="000000" w:sz="8" w:space="0"/>
              <w:bottom w:val="single" w:color="000000" w:sz="8" w:space="0"/>
              <w:right w:val="single" w:color="000000" w:sz="8" w:space="0"/>
            </w:tcBorders>
            <w:shd w:val="clear" w:color="auto" w:fill="DDEBF7"/>
            <w:vAlign w:val="bottom"/>
          </w:tcPr>
          <w:p w:rsidR="00F06BC7" w:rsidP="00F06BC7" w:rsidRDefault="00F06BC7" w14:paraId="72328182" w14:textId="77777777">
            <w:pPr>
              <w:widowControl/>
              <w:rPr>
                <w:rFonts w:ascii="Calibri" w:hAnsi="Calibri" w:eastAsia="Calibri" w:cs="Calibri"/>
                <w:b/>
                <w:color w:val="000000"/>
              </w:rPr>
            </w:pPr>
            <w:r>
              <w:rPr>
                <w:rFonts w:ascii="Calibri" w:hAnsi="Calibri" w:eastAsia="Calibri" w:cs="Calibri"/>
                <w:b/>
                <w:color w:val="000000"/>
              </w:rPr>
              <w:t>Totals</w:t>
            </w:r>
          </w:p>
        </w:tc>
        <w:tc>
          <w:tcPr>
            <w:tcW w:w="1280" w:type="dxa"/>
            <w:tcBorders>
              <w:top w:val="nil"/>
              <w:left w:val="nil"/>
              <w:bottom w:val="single" w:color="000000" w:sz="8" w:space="0"/>
              <w:right w:val="single" w:color="000000" w:sz="8" w:space="0"/>
            </w:tcBorders>
            <w:shd w:val="clear" w:color="auto" w:fill="000000"/>
            <w:vAlign w:val="bottom"/>
          </w:tcPr>
          <w:p w:rsidR="00F06BC7" w:rsidP="00F06BC7" w:rsidRDefault="00F06BC7" w14:paraId="169F3A29" w14:textId="77777777">
            <w:pPr>
              <w:widowControl/>
              <w:rPr>
                <w:rFonts w:ascii="Calibri" w:hAnsi="Calibri" w:eastAsia="Calibri" w:cs="Calibri"/>
                <w:b/>
                <w:color w:val="000000"/>
              </w:rPr>
            </w:pPr>
            <w:r>
              <w:rPr>
                <w:rFonts w:ascii="Calibri" w:hAnsi="Calibri" w:eastAsia="Calibri" w:cs="Calibri"/>
                <w:b/>
                <w:color w:val="000000"/>
              </w:rPr>
              <w:t> </w:t>
            </w:r>
          </w:p>
        </w:tc>
        <w:tc>
          <w:tcPr>
            <w:tcW w:w="970" w:type="dxa"/>
            <w:tcBorders>
              <w:top w:val="nil"/>
              <w:left w:val="nil"/>
              <w:bottom w:val="single" w:color="000000" w:sz="8" w:space="0"/>
              <w:right w:val="single" w:color="000000" w:sz="8" w:space="0"/>
            </w:tcBorders>
            <w:shd w:val="clear" w:color="auto" w:fill="000000"/>
            <w:vAlign w:val="bottom"/>
          </w:tcPr>
          <w:p w:rsidR="00F06BC7" w:rsidP="00F06BC7" w:rsidRDefault="00F06BC7" w14:paraId="7586F9F4" w14:textId="77777777">
            <w:pPr>
              <w:widowControl/>
              <w:rPr>
                <w:rFonts w:ascii="Calibri" w:hAnsi="Calibri" w:eastAsia="Calibri" w:cs="Calibri"/>
                <w:b/>
                <w:color w:val="000000"/>
              </w:rPr>
            </w:pPr>
            <w:r>
              <w:rPr>
                <w:rFonts w:ascii="Calibri" w:hAnsi="Calibri" w:eastAsia="Calibri" w:cs="Calibri"/>
                <w:b/>
                <w:color w:val="000000"/>
              </w:rPr>
              <w:t> </w:t>
            </w:r>
          </w:p>
        </w:tc>
        <w:tc>
          <w:tcPr>
            <w:tcW w:w="1080" w:type="dxa"/>
            <w:tcBorders>
              <w:top w:val="nil"/>
              <w:left w:val="nil"/>
              <w:bottom w:val="single" w:color="000000" w:sz="8" w:space="0"/>
              <w:right w:val="single" w:color="000000" w:sz="8" w:space="0"/>
            </w:tcBorders>
            <w:shd w:val="clear" w:color="auto" w:fill="000000"/>
            <w:vAlign w:val="bottom"/>
          </w:tcPr>
          <w:p w:rsidR="00F06BC7" w:rsidP="00F06BC7" w:rsidRDefault="00F06BC7" w14:paraId="562FF548" w14:textId="77777777">
            <w:pPr>
              <w:widowControl/>
              <w:rPr>
                <w:rFonts w:ascii="Calibri" w:hAnsi="Calibri" w:eastAsia="Calibri" w:cs="Calibri"/>
                <w:b/>
                <w:color w:val="000000"/>
              </w:rPr>
            </w:pPr>
            <w:r>
              <w:rPr>
                <w:rFonts w:ascii="Calibri" w:hAnsi="Calibri" w:eastAsia="Calibri" w:cs="Calibri"/>
                <w:b/>
                <w:color w:val="000000"/>
              </w:rPr>
              <w:t> </w:t>
            </w:r>
          </w:p>
        </w:tc>
        <w:tc>
          <w:tcPr>
            <w:tcW w:w="1010" w:type="dxa"/>
            <w:tcBorders>
              <w:top w:val="nil"/>
              <w:left w:val="nil"/>
              <w:bottom w:val="single" w:color="000000" w:sz="8" w:space="0"/>
              <w:right w:val="single" w:color="000000" w:sz="8" w:space="0"/>
            </w:tcBorders>
            <w:shd w:val="clear" w:color="auto" w:fill="DDEBF7"/>
            <w:vAlign w:val="bottom"/>
          </w:tcPr>
          <w:p w:rsidR="00F06BC7" w:rsidP="00F06BC7" w:rsidRDefault="00F06BC7" w14:paraId="08E1BDE0" w14:textId="77777777">
            <w:pPr>
              <w:widowControl/>
              <w:rPr>
                <w:rFonts w:ascii="Calibri" w:hAnsi="Calibri" w:eastAsia="Calibri" w:cs="Calibri"/>
                <w:b/>
                <w:color w:val="000000"/>
              </w:rPr>
            </w:pPr>
            <w:r>
              <w:rPr>
                <w:rFonts w:ascii="Calibri" w:hAnsi="Calibri" w:eastAsia="Calibri" w:cs="Calibri"/>
                <w:b/>
                <w:color w:val="000000"/>
              </w:rPr>
              <w:t> 10,942</w:t>
            </w:r>
          </w:p>
        </w:tc>
        <w:tc>
          <w:tcPr>
            <w:tcW w:w="1060" w:type="dxa"/>
            <w:tcBorders>
              <w:top w:val="nil"/>
              <w:left w:val="nil"/>
              <w:bottom w:val="single" w:color="000000" w:sz="8" w:space="0"/>
              <w:right w:val="single" w:color="000000" w:sz="8" w:space="0"/>
            </w:tcBorders>
            <w:shd w:val="clear" w:color="auto" w:fill="000000"/>
            <w:vAlign w:val="bottom"/>
          </w:tcPr>
          <w:p w:rsidR="00F06BC7" w:rsidP="00F06BC7" w:rsidRDefault="00F06BC7" w14:paraId="573DF15F" w14:textId="77777777">
            <w:pPr>
              <w:widowControl/>
              <w:rPr>
                <w:rFonts w:ascii="Calibri" w:hAnsi="Calibri" w:eastAsia="Calibri" w:cs="Calibri"/>
                <w:b/>
                <w:color w:val="000000"/>
              </w:rPr>
            </w:pPr>
            <w:r>
              <w:rPr>
                <w:rFonts w:ascii="Calibri" w:hAnsi="Calibri" w:eastAsia="Calibri" w:cs="Calibri"/>
                <w:b/>
                <w:color w:val="000000"/>
              </w:rPr>
              <w:t> </w:t>
            </w:r>
          </w:p>
        </w:tc>
        <w:tc>
          <w:tcPr>
            <w:tcW w:w="1080" w:type="dxa"/>
            <w:tcBorders>
              <w:top w:val="nil"/>
              <w:left w:val="nil"/>
              <w:bottom w:val="single" w:color="000000" w:sz="8" w:space="0"/>
              <w:right w:val="single" w:color="000000" w:sz="8" w:space="0"/>
            </w:tcBorders>
            <w:shd w:val="clear" w:color="auto" w:fill="DDEBF7"/>
            <w:vAlign w:val="bottom"/>
          </w:tcPr>
          <w:p w:rsidR="00F06BC7" w:rsidP="00F06BC7" w:rsidRDefault="00815EB7" w14:paraId="7E61AFC9" w14:textId="5A7002BE">
            <w:pPr>
              <w:widowControl/>
              <w:rPr>
                <w:rFonts w:ascii="Calibri" w:hAnsi="Calibri" w:eastAsia="Calibri" w:cs="Calibri"/>
                <w:b/>
                <w:color w:val="000000"/>
              </w:rPr>
            </w:pPr>
            <w:r>
              <w:rPr>
                <w:rFonts w:ascii="Calibri" w:hAnsi="Calibri" w:eastAsia="Calibri" w:cs="Calibri"/>
                <w:b/>
                <w:color w:val="000000"/>
              </w:rPr>
              <w:t> 5,472</w:t>
            </w:r>
          </w:p>
        </w:tc>
        <w:tc>
          <w:tcPr>
            <w:tcW w:w="1530" w:type="dxa"/>
            <w:tcBorders>
              <w:top w:val="nil"/>
              <w:left w:val="nil"/>
              <w:bottom w:val="single" w:color="000000" w:sz="8" w:space="0"/>
              <w:right w:val="single" w:color="000000" w:sz="8" w:space="0"/>
            </w:tcBorders>
            <w:shd w:val="clear" w:color="auto" w:fill="000000"/>
            <w:vAlign w:val="bottom"/>
          </w:tcPr>
          <w:p w:rsidR="00F06BC7" w:rsidP="00F06BC7" w:rsidRDefault="00F06BC7" w14:paraId="04A1AFE7" w14:textId="77777777">
            <w:pPr>
              <w:widowControl/>
              <w:rPr>
                <w:rFonts w:ascii="Calibri" w:hAnsi="Calibri" w:eastAsia="Calibri" w:cs="Calibri"/>
                <w:b/>
                <w:color w:val="000000"/>
              </w:rPr>
            </w:pPr>
            <w:r>
              <w:rPr>
                <w:rFonts w:ascii="Calibri" w:hAnsi="Calibri" w:eastAsia="Calibri" w:cs="Calibri"/>
                <w:b/>
                <w:color w:val="000000"/>
              </w:rPr>
              <w:t> </w:t>
            </w:r>
          </w:p>
        </w:tc>
        <w:tc>
          <w:tcPr>
            <w:tcW w:w="1350" w:type="dxa"/>
            <w:tcBorders>
              <w:top w:val="nil"/>
              <w:left w:val="nil"/>
              <w:bottom w:val="single" w:color="000000" w:sz="8" w:space="0"/>
              <w:right w:val="single" w:color="000000" w:sz="8" w:space="0"/>
            </w:tcBorders>
            <w:shd w:val="clear" w:color="auto" w:fill="DDEBF7"/>
            <w:vAlign w:val="bottom"/>
          </w:tcPr>
          <w:p w:rsidR="00F06BC7" w:rsidP="00F06BC7" w:rsidRDefault="00F06BC7" w14:paraId="49E5EA63" w14:textId="77777777">
            <w:pPr>
              <w:widowControl/>
              <w:rPr>
                <w:rFonts w:ascii="Calibri" w:hAnsi="Calibri" w:eastAsia="Calibri" w:cs="Calibri"/>
                <w:b/>
                <w:color w:val="000000"/>
              </w:rPr>
            </w:pPr>
            <w:r>
              <w:rPr>
                <w:rFonts w:ascii="Calibri" w:hAnsi="Calibri" w:eastAsia="Calibri" w:cs="Calibri"/>
                <w:b/>
                <w:color w:val="000000"/>
              </w:rPr>
              <w:t> $143,121</w:t>
            </w:r>
          </w:p>
        </w:tc>
      </w:tr>
    </w:tbl>
    <w:p w:rsidRPr="00F06BC7" w:rsidR="00F06BC7" w:rsidP="00F06BC7" w:rsidRDefault="00F06BC7" w14:paraId="450D85A5" w14:textId="005AF925">
      <w:pPr>
        <w:pBdr>
          <w:top w:val="nil"/>
          <w:left w:val="nil"/>
          <w:bottom w:val="nil"/>
          <w:right w:val="nil"/>
          <w:between w:val="nil"/>
        </w:pBdr>
        <w:tabs>
          <w:tab w:val="left" w:pos="360"/>
        </w:tabs>
        <w:spacing w:before="80"/>
        <w:rPr>
          <w:color w:val="000000"/>
        </w:rPr>
      </w:pPr>
    </w:p>
    <w:p w:rsidR="00F06BC7" w:rsidRDefault="00F06BC7" w14:paraId="23A478FA" w14:textId="5A1173F3">
      <w:pPr>
        <w:spacing w:line="259" w:lineRule="auto"/>
        <w:rPr>
          <w:b/>
          <w:color w:val="FF0000"/>
        </w:rPr>
      </w:pPr>
    </w:p>
    <w:p w:rsidRPr="003C3843" w:rsidR="00407C26" w:rsidP="003C3843" w:rsidRDefault="00BA1FB6" w14:paraId="0BC71E6D" w14:textId="3BED98A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3816CC" w:rsidP="003816CC" w:rsidRDefault="003816CC" w14:paraId="06AD2FB3" w14:textId="77777777">
      <w:pPr>
        <w:pBdr>
          <w:top w:val="nil"/>
          <w:left w:val="nil"/>
          <w:bottom w:val="nil"/>
          <w:right w:val="nil"/>
          <w:between w:val="nil"/>
        </w:pBdr>
        <w:spacing w:line="259" w:lineRule="auto"/>
      </w:pPr>
    </w:p>
    <w:p w:rsidR="003816CC" w:rsidP="003816CC" w:rsidRDefault="003816CC" w14:paraId="7E71FF14" w14:textId="28A2C004">
      <w:pPr>
        <w:pBdr>
          <w:top w:val="nil"/>
          <w:left w:val="nil"/>
          <w:bottom w:val="nil"/>
          <w:right w:val="nil"/>
          <w:between w:val="nil"/>
        </w:pBdr>
        <w:spacing w:line="259" w:lineRule="auto"/>
      </w:pPr>
      <w:r w:rsidRPr="009D0895">
        <w:t>There are no capita</w:t>
      </w:r>
      <w:r>
        <w:t xml:space="preserve">l costs or ongoing operation and </w:t>
      </w:r>
      <w:r w:rsidRPr="009D0895">
        <w:t xml:space="preserve">maintenance costs associated </w:t>
      </w:r>
      <w:r>
        <w:t>with the electronic logbook portion of this information collection</w:t>
      </w:r>
      <w:r w:rsidRPr="009D0895">
        <w:t>.</w:t>
      </w:r>
      <w:r>
        <w:t xml:space="preserve"> The electronic logbook application would be available to download free of charge on a smart phone, a tablet, or a desktop computer (all fishers have at least one of these devices). Additionally, there will be no charge for logbook submissions.</w:t>
      </w:r>
    </w:p>
    <w:p w:rsidR="003816CC" w:rsidP="003816CC" w:rsidRDefault="003816CC" w14:paraId="332B384E" w14:textId="77777777">
      <w:pPr>
        <w:pBdr>
          <w:top w:val="nil"/>
          <w:left w:val="nil"/>
          <w:bottom w:val="nil"/>
          <w:right w:val="nil"/>
          <w:between w:val="nil"/>
        </w:pBdr>
        <w:spacing w:line="259" w:lineRule="auto"/>
      </w:pPr>
    </w:p>
    <w:p w:rsidR="003816CC" w:rsidP="003816CC" w:rsidRDefault="003816CC" w14:paraId="7653AF94" w14:textId="643A7F1C">
      <w:pPr>
        <w:pBdr>
          <w:top w:val="nil"/>
          <w:left w:val="nil"/>
          <w:bottom w:val="nil"/>
          <w:right w:val="nil"/>
          <w:between w:val="nil"/>
        </w:pBdr>
        <w:spacing w:line="259" w:lineRule="auto"/>
      </w:pPr>
      <w:r>
        <w:t xml:space="preserve">For at least the first year of implementation, NMFS will allow the optional submission of a paper logbook form in lieu of electronic submission in order to allow a grace period for adapting to electronic </w:t>
      </w:r>
      <w:r w:rsidRPr="00EC28B7">
        <w:t xml:space="preserve">submission. The total annual cost burden for the paper logbook form </w:t>
      </w:r>
      <w:proofErr w:type="gramStart"/>
      <w:r w:rsidRPr="00EC28B7">
        <w:t>is offset</w:t>
      </w:r>
      <w:proofErr w:type="gramEnd"/>
      <w:r w:rsidRPr="00EC28B7">
        <w:t xml:space="preserve"> by NMFS and the PSMFC providing both the forms and pre-addressed envelopes in which to return the forms. Therefore, the only cost burden to respondents would be to photocopy the forms in order to retain records of the logbooks.</w:t>
      </w:r>
      <w:r>
        <w:t xml:space="preserve"> This would only apply if a fisher chooses to keep hard copies over electronic copies (</w:t>
      </w:r>
      <w:r w:rsidRPr="003816CC">
        <w:rPr>
          <w:i/>
        </w:rPr>
        <w:t>i.e.</w:t>
      </w:r>
      <w:r>
        <w:t>, photos or scanned copies) of the logbook form.</w:t>
      </w:r>
      <w:r w:rsidRPr="00EC28B7">
        <w:t xml:space="preserve"> </w:t>
      </w:r>
      <w:r w:rsidRPr="007D4CDB">
        <w:t xml:space="preserve">These photocopies </w:t>
      </w:r>
      <w:proofErr w:type="gramStart"/>
      <w:r w:rsidRPr="007D4CDB">
        <w:t>are estimated</w:t>
      </w:r>
      <w:proofErr w:type="gramEnd"/>
      <w:r w:rsidRPr="007D4CDB">
        <w:t xml:space="preserve"> to have an annual cost burden of less than $50 per respondent.</w:t>
      </w:r>
      <w:r>
        <w:t xml:space="preserve">  </w:t>
      </w:r>
    </w:p>
    <w:p w:rsidR="00897DCD" w:rsidRDefault="00897DCD" w14:paraId="1EB98372" w14:textId="77777777">
      <w:pPr>
        <w:pBdr>
          <w:top w:val="nil"/>
          <w:left w:val="nil"/>
          <w:bottom w:val="nil"/>
          <w:right w:val="nil"/>
          <w:between w:val="nil"/>
        </w:pBdr>
        <w:spacing w:before="7"/>
        <w:rPr>
          <w:b/>
          <w:color w:val="000000"/>
        </w:rPr>
      </w:pPr>
    </w:p>
    <w:p w:rsidR="00897DCD" w:rsidRDefault="00BA1FB6" w14:paraId="4DF47458" w14:textId="52F95F04">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07C26" w:rsidP="00407C26" w:rsidRDefault="00407C26" w14:paraId="2400ED5B" w14:textId="66F288B5">
      <w:pPr>
        <w:pBdr>
          <w:top w:val="nil"/>
          <w:left w:val="nil"/>
          <w:bottom w:val="nil"/>
          <w:right w:val="nil"/>
          <w:between w:val="nil"/>
        </w:pBdr>
        <w:tabs>
          <w:tab w:val="left" w:pos="360"/>
        </w:tabs>
        <w:spacing w:before="80"/>
        <w:rPr>
          <w:b/>
          <w:color w:val="000000"/>
        </w:rPr>
      </w:pPr>
    </w:p>
    <w:p w:rsidR="003816CC" w:rsidP="003816CC" w:rsidRDefault="003816CC" w14:paraId="264836E8" w14:textId="77777777">
      <w:pPr>
        <w:pBdr>
          <w:top w:val="nil"/>
          <w:left w:val="nil"/>
          <w:bottom w:val="nil"/>
          <w:right w:val="nil"/>
          <w:between w:val="nil"/>
        </w:pBdr>
        <w:tabs>
          <w:tab w:val="left" w:pos="360"/>
        </w:tabs>
        <w:rPr>
          <w:color w:val="000000"/>
        </w:rPr>
      </w:pPr>
      <w:r>
        <w:rPr>
          <w:color w:val="000000"/>
        </w:rPr>
        <w:t xml:space="preserve">NMFS estimated the number of start-up burden hours used by government employees to develop this logbook action, including time spent on preparing PFMC reports, meeting with the PFMC and its advisory bodies, meetings with the PSMFC, drafting documents for the rule package, and reviewing the rule package documents. NMFS also estimated the ongoing burden hours spent to maintain the logbook by both NMFS employees and PSMFC employees. </w:t>
      </w:r>
    </w:p>
    <w:p w:rsidR="003816CC" w:rsidP="003816CC" w:rsidRDefault="003816CC" w14:paraId="3B6F172E" w14:textId="77777777">
      <w:pPr>
        <w:pBdr>
          <w:top w:val="nil"/>
          <w:left w:val="nil"/>
          <w:bottom w:val="nil"/>
          <w:right w:val="nil"/>
          <w:between w:val="nil"/>
        </w:pBdr>
        <w:tabs>
          <w:tab w:val="left" w:pos="360"/>
        </w:tabs>
        <w:spacing w:before="80"/>
        <w:rPr>
          <w:color w:val="000000"/>
        </w:rPr>
      </w:pPr>
      <w:r>
        <w:rPr>
          <w:color w:val="000000"/>
        </w:rPr>
        <w:lastRenderedPageBreak/>
        <w:t>Based on the most recent Standard Pay Tables (</w:t>
      </w:r>
      <w:hyperlink w:history="1" r:id="rId13">
        <w:r w:rsidRPr="00F61B3B">
          <w:rPr>
            <w:rStyle w:val="Hyperlink"/>
          </w:rPr>
          <w:t>https://www.commerce.gov/sites/default/files/2022-01/rpStandard-22.pdf</w:t>
        </w:r>
      </w:hyperlink>
      <w:r>
        <w:rPr>
          <w:color w:val="000000"/>
        </w:rPr>
        <w:t xml:space="preserve">), the wage rate for the Band III employee </w:t>
      </w:r>
      <w:proofErr w:type="gramStart"/>
      <w:r>
        <w:rPr>
          <w:color w:val="000000"/>
        </w:rPr>
        <w:t>is estimated</w:t>
      </w:r>
      <w:proofErr w:type="gramEnd"/>
      <w:r>
        <w:rPr>
          <w:color w:val="000000"/>
        </w:rPr>
        <w:t xml:space="preserve"> at $38 per hour, and the wage rate for the Band IV employee is estimated at $47 per hour. </w:t>
      </w:r>
      <w:r w:rsidRPr="008D7330">
        <w:rPr>
          <w:color w:val="000000"/>
        </w:rPr>
        <w:t xml:space="preserve">For a Band III NMFS employee, approximately 5 hours per week from September 2021 to November 2022 </w:t>
      </w:r>
      <w:proofErr w:type="gramStart"/>
      <w:r w:rsidRPr="008D7330">
        <w:rPr>
          <w:color w:val="000000"/>
        </w:rPr>
        <w:t>will be spent</w:t>
      </w:r>
      <w:proofErr w:type="gramEnd"/>
      <w:r w:rsidRPr="008D7330">
        <w:rPr>
          <w:color w:val="000000"/>
        </w:rPr>
        <w:t xml:space="preserve"> on logbook development and implementation, totaling 300 hours at $38 per hour, or $11,400 startup labor cost. For a Band IV NMFS employee, an estimated 1 hour per week from September 2021 to November 2022 </w:t>
      </w:r>
      <w:proofErr w:type="gramStart"/>
      <w:r w:rsidRPr="008D7330">
        <w:rPr>
          <w:color w:val="000000"/>
        </w:rPr>
        <w:t>will be spent</w:t>
      </w:r>
      <w:proofErr w:type="gramEnd"/>
      <w:r w:rsidRPr="008D7330">
        <w:rPr>
          <w:color w:val="000000"/>
        </w:rPr>
        <w:t xml:space="preserve"> on logbook development and implementation, totaling 60 hours at $47 per hour, or $2,820 startup labor cost. Once implemented, PSMFC will handle the majority of ongoing </w:t>
      </w:r>
      <w:proofErr w:type="gramStart"/>
      <w:r w:rsidRPr="008D7330">
        <w:rPr>
          <w:color w:val="000000"/>
        </w:rPr>
        <w:t>maintenance,</w:t>
      </w:r>
      <w:proofErr w:type="gramEnd"/>
      <w:r w:rsidRPr="008D7330">
        <w:rPr>
          <w:color w:val="000000"/>
        </w:rPr>
        <w:t xml:space="preserve"> therefore we anticipate no more than 24 and 12 hours per year for Band III and Band IV NMFS employees, or $912 and $564 ongoing labor hours</w:t>
      </w:r>
      <w:r>
        <w:rPr>
          <w:color w:val="000000"/>
        </w:rPr>
        <w:t xml:space="preserve"> per year</w:t>
      </w:r>
      <w:r w:rsidRPr="008D7330">
        <w:rPr>
          <w:color w:val="000000"/>
        </w:rPr>
        <w:t>, respectively.</w:t>
      </w:r>
      <w:r>
        <w:rPr>
          <w:color w:val="000000"/>
        </w:rPr>
        <w:t xml:space="preserve">  </w:t>
      </w:r>
    </w:p>
    <w:p w:rsidR="003816CC" w:rsidP="003816CC" w:rsidRDefault="003816CC" w14:paraId="2FD922B1" w14:textId="77777777">
      <w:pPr>
        <w:pBdr>
          <w:top w:val="nil"/>
          <w:left w:val="nil"/>
          <w:bottom w:val="nil"/>
          <w:right w:val="nil"/>
          <w:between w:val="nil"/>
        </w:pBdr>
        <w:tabs>
          <w:tab w:val="left" w:pos="360"/>
        </w:tabs>
        <w:spacing w:before="80"/>
        <w:rPr>
          <w:color w:val="000000"/>
        </w:rPr>
      </w:pPr>
      <w:r>
        <w:rPr>
          <w:color w:val="000000"/>
        </w:rPr>
        <w:t xml:space="preserve">NMFS awarded $210,000 of Fisheries Information System (FIS) funds to </w:t>
      </w:r>
      <w:r w:rsidRPr="00407C26">
        <w:rPr>
          <w:color w:val="000000"/>
        </w:rPr>
        <w:t xml:space="preserve">PSMFC </w:t>
      </w:r>
      <w:r>
        <w:rPr>
          <w:color w:val="000000"/>
        </w:rPr>
        <w:t xml:space="preserve">for their </w:t>
      </w:r>
      <w:r w:rsidRPr="00407C26">
        <w:rPr>
          <w:color w:val="000000"/>
        </w:rPr>
        <w:t xml:space="preserve">staff </w:t>
      </w:r>
      <w:r>
        <w:rPr>
          <w:color w:val="000000"/>
        </w:rPr>
        <w:t xml:space="preserve">to develop this electronic logbook. This includes the development of the electronic application, as well as labor for a part-time staff member to gather and document requirements for the system from data users and partners. </w:t>
      </w:r>
      <w:r w:rsidRPr="00B365B6">
        <w:rPr>
          <w:color w:val="000000"/>
        </w:rPr>
        <w:t>The PSMFC estimates approximately 20 hours per week (</w:t>
      </w:r>
      <w:r w:rsidRPr="00B365B6">
        <w:rPr>
          <w:i/>
          <w:color w:val="000000"/>
        </w:rPr>
        <w:t>i.e.</w:t>
      </w:r>
      <w:r w:rsidRPr="00B365B6">
        <w:rPr>
          <w:color w:val="000000"/>
        </w:rPr>
        <w:t>, 80 hours per month), at an assumed rate of $38 per hour, will be spent on ongoing maintenance of the logbook, which includes verifying logbook information against fish tickets, fixing logbook entry errors, answering industry questions, coordinating information requests for NMFS and the PFMC, etc.</w:t>
      </w:r>
      <w:r>
        <w:rPr>
          <w:color w:val="000000"/>
        </w:rPr>
        <w:t xml:space="preserve"> </w:t>
      </w:r>
    </w:p>
    <w:p w:rsidR="00B365B6" w:rsidP="00407C26" w:rsidRDefault="00B365B6" w14:paraId="22481AF5" w14:textId="27DC3BF6">
      <w:pPr>
        <w:pBdr>
          <w:top w:val="nil"/>
          <w:left w:val="nil"/>
          <w:bottom w:val="nil"/>
          <w:right w:val="nil"/>
          <w:between w:val="nil"/>
        </w:pBdr>
        <w:tabs>
          <w:tab w:val="left" w:pos="360"/>
        </w:tabs>
        <w:spacing w:before="80"/>
        <w:rPr>
          <w:color w:val="000000"/>
        </w:rPr>
      </w:pPr>
      <w:bookmarkStart w:name="_GoBack" w:id="0"/>
      <w:bookmarkEnd w:id="0"/>
    </w:p>
    <w:p w:rsidR="007C3B14" w:rsidP="00407C26" w:rsidRDefault="007C3B14" w14:paraId="65CA0DA6" w14:textId="7896A1ED">
      <w:pPr>
        <w:pBdr>
          <w:top w:val="nil"/>
          <w:left w:val="nil"/>
          <w:bottom w:val="nil"/>
          <w:right w:val="nil"/>
          <w:between w:val="nil"/>
        </w:pBdr>
        <w:tabs>
          <w:tab w:val="left" w:pos="360"/>
        </w:tabs>
        <w:spacing w:before="80"/>
        <w:rPr>
          <w:color w:val="000000"/>
        </w:rPr>
      </w:pPr>
      <w:r w:rsidRPr="007C3B14">
        <w:rPr>
          <w:b/>
          <w:color w:val="000000"/>
        </w:rPr>
        <w:t>Cost Summary</w:t>
      </w:r>
      <w:r>
        <w:rPr>
          <w:color w:val="000000"/>
        </w:rPr>
        <w:t xml:space="preserve">: </w:t>
      </w:r>
    </w:p>
    <w:p w:rsidR="007C3B14" w:rsidP="00407C26" w:rsidRDefault="007C3B14" w14:paraId="341BCA40" w14:textId="54A9832A">
      <w:pPr>
        <w:pBdr>
          <w:top w:val="nil"/>
          <w:left w:val="nil"/>
          <w:bottom w:val="nil"/>
          <w:right w:val="nil"/>
          <w:between w:val="nil"/>
        </w:pBdr>
        <w:tabs>
          <w:tab w:val="left" w:pos="360"/>
        </w:tabs>
        <w:spacing w:before="80"/>
        <w:rPr>
          <w:color w:val="000000"/>
        </w:rPr>
      </w:pPr>
      <w:r w:rsidRPr="008D7330">
        <w:rPr>
          <w:i/>
          <w:color w:val="000000"/>
        </w:rPr>
        <w:t>Band III Startup:</w:t>
      </w:r>
      <w:r>
        <w:rPr>
          <w:color w:val="000000"/>
        </w:rPr>
        <w:t xml:space="preserve"> </w:t>
      </w:r>
      <w:r w:rsidR="00060A9A">
        <w:rPr>
          <w:color w:val="000000"/>
        </w:rPr>
        <w:t>5 hours per week September 2021 – November 2022</w:t>
      </w:r>
    </w:p>
    <w:p w:rsidR="008D7330" w:rsidP="00407C26" w:rsidRDefault="008D7330" w14:paraId="0619B91B" w14:textId="32ADA12A">
      <w:pPr>
        <w:pBdr>
          <w:top w:val="nil"/>
          <w:left w:val="nil"/>
          <w:bottom w:val="nil"/>
          <w:right w:val="nil"/>
          <w:between w:val="nil"/>
        </w:pBdr>
        <w:tabs>
          <w:tab w:val="left" w:pos="360"/>
        </w:tabs>
        <w:spacing w:before="80"/>
        <w:rPr>
          <w:color w:val="000000"/>
        </w:rPr>
      </w:pPr>
      <w:r>
        <w:rPr>
          <w:color w:val="000000"/>
        </w:rPr>
        <w:t xml:space="preserve">5 hours/week x 4 week/month x 15 months x $38 per hour = </w:t>
      </w:r>
      <w:r w:rsidRPr="00CE718A">
        <w:rPr>
          <w:color w:val="000000"/>
          <w:highlight w:val="green"/>
        </w:rPr>
        <w:t>$11,400 startup</w:t>
      </w:r>
      <w:r>
        <w:rPr>
          <w:color w:val="000000"/>
        </w:rPr>
        <w:t xml:space="preserve"> </w:t>
      </w:r>
    </w:p>
    <w:p w:rsidR="008D7330" w:rsidP="00407C26" w:rsidRDefault="008D7330" w14:paraId="4A0C9D9A" w14:textId="77777777">
      <w:pPr>
        <w:pBdr>
          <w:top w:val="nil"/>
          <w:left w:val="nil"/>
          <w:bottom w:val="nil"/>
          <w:right w:val="nil"/>
          <w:between w:val="nil"/>
        </w:pBdr>
        <w:tabs>
          <w:tab w:val="left" w:pos="360"/>
        </w:tabs>
        <w:spacing w:before="80"/>
        <w:rPr>
          <w:color w:val="000000"/>
        </w:rPr>
      </w:pPr>
    </w:p>
    <w:p w:rsidR="008D7330" w:rsidP="00407C26" w:rsidRDefault="007C3B14" w14:paraId="2620DC6F" w14:textId="7C6FE021">
      <w:pPr>
        <w:pBdr>
          <w:top w:val="nil"/>
          <w:left w:val="nil"/>
          <w:bottom w:val="nil"/>
          <w:right w:val="nil"/>
          <w:between w:val="nil"/>
        </w:pBdr>
        <w:tabs>
          <w:tab w:val="left" w:pos="360"/>
        </w:tabs>
        <w:spacing w:before="80"/>
        <w:rPr>
          <w:color w:val="000000"/>
        </w:rPr>
      </w:pPr>
      <w:r w:rsidRPr="008D7330">
        <w:rPr>
          <w:i/>
          <w:color w:val="000000"/>
        </w:rPr>
        <w:t>Band III Ongoing:</w:t>
      </w:r>
      <w:r>
        <w:rPr>
          <w:color w:val="000000"/>
        </w:rPr>
        <w:t xml:space="preserve"> </w:t>
      </w:r>
      <w:r w:rsidR="008D7330">
        <w:rPr>
          <w:color w:val="000000"/>
        </w:rPr>
        <w:t xml:space="preserve">2 hours per month </w:t>
      </w:r>
    </w:p>
    <w:p w:rsidR="007C3B14" w:rsidP="00407C26" w:rsidRDefault="008D7330" w14:paraId="20E6F79B" w14:textId="6106F283">
      <w:pPr>
        <w:pBdr>
          <w:top w:val="nil"/>
          <w:left w:val="nil"/>
          <w:bottom w:val="nil"/>
          <w:right w:val="nil"/>
          <w:between w:val="nil"/>
        </w:pBdr>
        <w:tabs>
          <w:tab w:val="left" w:pos="360"/>
        </w:tabs>
        <w:spacing w:before="80"/>
        <w:rPr>
          <w:color w:val="000000"/>
        </w:rPr>
      </w:pPr>
      <w:r>
        <w:rPr>
          <w:color w:val="000000"/>
        </w:rPr>
        <w:t xml:space="preserve">2 hours per month x 12 months per year x $38 per hour = </w:t>
      </w:r>
      <w:r w:rsidRPr="008D7330">
        <w:rPr>
          <w:color w:val="000000"/>
          <w:highlight w:val="cyan"/>
        </w:rPr>
        <w:t>$912 per year</w:t>
      </w:r>
    </w:p>
    <w:p w:rsidR="008D7330" w:rsidP="00407C26" w:rsidRDefault="008D7330" w14:paraId="62927610" w14:textId="77777777">
      <w:pPr>
        <w:pBdr>
          <w:top w:val="nil"/>
          <w:left w:val="nil"/>
          <w:bottom w:val="nil"/>
          <w:right w:val="nil"/>
          <w:between w:val="nil"/>
        </w:pBdr>
        <w:tabs>
          <w:tab w:val="left" w:pos="360"/>
        </w:tabs>
        <w:spacing w:before="80"/>
        <w:rPr>
          <w:color w:val="000000"/>
        </w:rPr>
      </w:pPr>
    </w:p>
    <w:p w:rsidR="007C3B14" w:rsidP="00407C26" w:rsidRDefault="007C3B14" w14:paraId="69D86467" w14:textId="5A4AB92D">
      <w:pPr>
        <w:pBdr>
          <w:top w:val="nil"/>
          <w:left w:val="nil"/>
          <w:bottom w:val="nil"/>
          <w:right w:val="nil"/>
          <w:between w:val="nil"/>
        </w:pBdr>
        <w:tabs>
          <w:tab w:val="left" w:pos="360"/>
        </w:tabs>
        <w:spacing w:before="80"/>
        <w:rPr>
          <w:color w:val="000000"/>
        </w:rPr>
      </w:pPr>
      <w:r w:rsidRPr="008D7330">
        <w:rPr>
          <w:i/>
          <w:color w:val="000000"/>
        </w:rPr>
        <w:t>Band IV Startup:</w:t>
      </w:r>
      <w:r>
        <w:rPr>
          <w:color w:val="000000"/>
        </w:rPr>
        <w:t xml:space="preserve"> </w:t>
      </w:r>
      <w:r w:rsidR="00060A9A">
        <w:rPr>
          <w:color w:val="000000"/>
        </w:rPr>
        <w:t>1 hour per week September 2021 – November 2022</w:t>
      </w:r>
    </w:p>
    <w:p w:rsidR="008D7330" w:rsidP="00407C26" w:rsidRDefault="008D7330" w14:paraId="7FAED37A" w14:textId="28585321">
      <w:pPr>
        <w:pBdr>
          <w:top w:val="nil"/>
          <w:left w:val="nil"/>
          <w:bottom w:val="nil"/>
          <w:right w:val="nil"/>
          <w:between w:val="nil"/>
        </w:pBdr>
        <w:tabs>
          <w:tab w:val="left" w:pos="360"/>
        </w:tabs>
        <w:spacing w:before="80"/>
        <w:rPr>
          <w:color w:val="000000"/>
        </w:rPr>
      </w:pPr>
      <w:r>
        <w:rPr>
          <w:color w:val="000000"/>
        </w:rPr>
        <w:t xml:space="preserve">1 hour/week x 4 week/month x 15 months x $47 per hour = </w:t>
      </w:r>
      <w:r w:rsidRPr="00CE718A">
        <w:rPr>
          <w:color w:val="000000"/>
          <w:highlight w:val="green"/>
        </w:rPr>
        <w:t>$2,820 startup</w:t>
      </w:r>
    </w:p>
    <w:p w:rsidR="008D7330" w:rsidP="00407C26" w:rsidRDefault="008D7330" w14:paraId="43CA39F8" w14:textId="77777777">
      <w:pPr>
        <w:pBdr>
          <w:top w:val="nil"/>
          <w:left w:val="nil"/>
          <w:bottom w:val="nil"/>
          <w:right w:val="nil"/>
          <w:between w:val="nil"/>
        </w:pBdr>
        <w:tabs>
          <w:tab w:val="left" w:pos="360"/>
        </w:tabs>
        <w:spacing w:before="80"/>
        <w:rPr>
          <w:color w:val="000000"/>
        </w:rPr>
      </w:pPr>
    </w:p>
    <w:p w:rsidRPr="008D7330" w:rsidR="007C3B14" w:rsidP="00407C26" w:rsidRDefault="007C3B14" w14:paraId="01168424" w14:textId="30D737DF">
      <w:pPr>
        <w:pBdr>
          <w:top w:val="nil"/>
          <w:left w:val="nil"/>
          <w:bottom w:val="nil"/>
          <w:right w:val="nil"/>
          <w:between w:val="nil"/>
        </w:pBdr>
        <w:tabs>
          <w:tab w:val="left" w:pos="360"/>
        </w:tabs>
        <w:spacing w:before="80"/>
        <w:rPr>
          <w:color w:val="000000"/>
        </w:rPr>
      </w:pPr>
      <w:r w:rsidRPr="008D7330">
        <w:rPr>
          <w:i/>
          <w:color w:val="000000"/>
        </w:rPr>
        <w:t xml:space="preserve">Band IV Ongoing: </w:t>
      </w:r>
      <w:r w:rsidR="008D7330">
        <w:rPr>
          <w:color w:val="000000"/>
        </w:rPr>
        <w:t xml:space="preserve">1 hour/month x 12 months/year x $47 per hour = </w:t>
      </w:r>
      <w:r w:rsidRPr="008D7330" w:rsidR="008D7330">
        <w:rPr>
          <w:color w:val="000000"/>
          <w:highlight w:val="cyan"/>
        </w:rPr>
        <w:t>$564 per year</w:t>
      </w:r>
    </w:p>
    <w:p w:rsidR="008D7330" w:rsidP="00407C26" w:rsidRDefault="008D7330" w14:paraId="74E3236B" w14:textId="77777777">
      <w:pPr>
        <w:pBdr>
          <w:top w:val="nil"/>
          <w:left w:val="nil"/>
          <w:bottom w:val="nil"/>
          <w:right w:val="nil"/>
          <w:between w:val="nil"/>
        </w:pBdr>
        <w:tabs>
          <w:tab w:val="left" w:pos="360"/>
        </w:tabs>
        <w:spacing w:before="80"/>
        <w:rPr>
          <w:color w:val="000000"/>
        </w:rPr>
      </w:pPr>
    </w:p>
    <w:p w:rsidR="008B5209" w:rsidP="00407C26" w:rsidRDefault="008B5209" w14:paraId="151EA687" w14:textId="76257C38">
      <w:pPr>
        <w:pBdr>
          <w:top w:val="nil"/>
          <w:left w:val="nil"/>
          <w:bottom w:val="nil"/>
          <w:right w:val="nil"/>
          <w:between w:val="nil"/>
        </w:pBdr>
        <w:tabs>
          <w:tab w:val="left" w:pos="360"/>
        </w:tabs>
        <w:spacing w:before="80"/>
        <w:rPr>
          <w:color w:val="000000"/>
        </w:rPr>
      </w:pPr>
      <w:r w:rsidRPr="008D7330">
        <w:rPr>
          <w:i/>
          <w:color w:val="000000"/>
        </w:rPr>
        <w:t>PSMFC Startup</w:t>
      </w:r>
      <w:r w:rsidRPr="008D7330" w:rsidR="007C3B14">
        <w:rPr>
          <w:i/>
          <w:color w:val="000000"/>
        </w:rPr>
        <w:t>:</w:t>
      </w:r>
      <w:r>
        <w:rPr>
          <w:color w:val="000000"/>
        </w:rPr>
        <w:t xml:space="preserve"> </w:t>
      </w:r>
      <w:r w:rsidRPr="00CE718A">
        <w:rPr>
          <w:color w:val="000000"/>
          <w:highlight w:val="green"/>
        </w:rPr>
        <w:t>$210,000</w:t>
      </w:r>
      <w:r w:rsidRPr="00CE718A" w:rsidR="008D7330">
        <w:rPr>
          <w:color w:val="000000"/>
          <w:highlight w:val="green"/>
        </w:rPr>
        <w:t xml:space="preserve"> FIS funds</w:t>
      </w:r>
    </w:p>
    <w:p w:rsidR="008D7330" w:rsidP="00407C26" w:rsidRDefault="008D7330" w14:paraId="54ACF247" w14:textId="77777777">
      <w:pPr>
        <w:pBdr>
          <w:top w:val="nil"/>
          <w:left w:val="nil"/>
          <w:bottom w:val="nil"/>
          <w:right w:val="nil"/>
          <w:between w:val="nil"/>
        </w:pBdr>
        <w:tabs>
          <w:tab w:val="left" w:pos="360"/>
        </w:tabs>
        <w:spacing w:before="80"/>
        <w:rPr>
          <w:color w:val="000000"/>
        </w:rPr>
      </w:pPr>
    </w:p>
    <w:p w:rsidRPr="00CE718A" w:rsidR="0055307D" w:rsidP="00407C26" w:rsidRDefault="008B5209" w14:paraId="0A9BFF05" w14:textId="0394616D">
      <w:pPr>
        <w:pBdr>
          <w:top w:val="nil"/>
          <w:left w:val="nil"/>
          <w:bottom w:val="nil"/>
          <w:right w:val="nil"/>
          <w:between w:val="nil"/>
        </w:pBdr>
        <w:tabs>
          <w:tab w:val="left" w:pos="360"/>
        </w:tabs>
        <w:spacing w:before="80"/>
        <w:rPr>
          <w:color w:val="000000"/>
        </w:rPr>
      </w:pPr>
      <w:r w:rsidRPr="008D7330">
        <w:rPr>
          <w:i/>
          <w:color w:val="000000"/>
        </w:rPr>
        <w:t xml:space="preserve">PSMFC Ongoing: </w:t>
      </w:r>
      <w:r w:rsidRPr="008D7330" w:rsidR="007C3B14">
        <w:rPr>
          <w:i/>
          <w:color w:val="000000"/>
        </w:rPr>
        <w:t xml:space="preserve"> </w:t>
      </w:r>
      <w:r w:rsidR="00CE718A">
        <w:rPr>
          <w:color w:val="000000"/>
        </w:rPr>
        <w:t xml:space="preserve">80 hours/month x 12 months/year x $38 per hour = </w:t>
      </w:r>
      <w:r w:rsidRPr="00CE718A" w:rsidR="00CE718A">
        <w:rPr>
          <w:color w:val="000000"/>
          <w:highlight w:val="cyan"/>
        </w:rPr>
        <w:t>$36,480 per year</w:t>
      </w:r>
    </w:p>
    <w:p w:rsidR="007D2032" w:rsidP="00407C26" w:rsidRDefault="007D2032" w14:paraId="2269E0F5" w14:textId="52E7D797">
      <w:pPr>
        <w:pBdr>
          <w:top w:val="nil"/>
          <w:left w:val="nil"/>
          <w:bottom w:val="nil"/>
          <w:right w:val="nil"/>
          <w:between w:val="nil"/>
        </w:pBdr>
        <w:tabs>
          <w:tab w:val="left" w:pos="360"/>
        </w:tabs>
        <w:spacing w:before="80"/>
        <w:rPr>
          <w:color w:val="000000"/>
        </w:rPr>
      </w:pPr>
    </w:p>
    <w:p w:rsidR="007D2032" w:rsidP="00407C26" w:rsidRDefault="00CE718A" w14:paraId="2346ABBA" w14:textId="2A90B2BE">
      <w:pPr>
        <w:pBdr>
          <w:top w:val="nil"/>
          <w:left w:val="nil"/>
          <w:bottom w:val="nil"/>
          <w:right w:val="nil"/>
          <w:between w:val="nil"/>
        </w:pBdr>
        <w:tabs>
          <w:tab w:val="left" w:pos="360"/>
        </w:tabs>
        <w:spacing w:before="80"/>
        <w:rPr>
          <w:color w:val="000000"/>
        </w:rPr>
      </w:pPr>
      <w:r w:rsidRPr="00CE718A">
        <w:rPr>
          <w:b/>
          <w:i/>
          <w:color w:val="000000"/>
        </w:rPr>
        <w:t>Total Startup</w:t>
      </w:r>
      <w:r>
        <w:rPr>
          <w:color w:val="000000"/>
        </w:rPr>
        <w:t xml:space="preserve">: </w:t>
      </w:r>
      <w:r w:rsidRPr="00CE718A">
        <w:rPr>
          <w:color w:val="000000"/>
          <w:highlight w:val="green"/>
        </w:rPr>
        <w:t>$224,220</w:t>
      </w:r>
    </w:p>
    <w:p w:rsidR="00EC28B7" w:rsidP="00407C26" w:rsidRDefault="00CE718A" w14:paraId="6F8CEB86" w14:textId="45D11E10">
      <w:pPr>
        <w:pBdr>
          <w:top w:val="nil"/>
          <w:left w:val="nil"/>
          <w:bottom w:val="nil"/>
          <w:right w:val="nil"/>
          <w:between w:val="nil"/>
        </w:pBdr>
        <w:tabs>
          <w:tab w:val="left" w:pos="360"/>
        </w:tabs>
        <w:spacing w:before="80"/>
        <w:rPr>
          <w:color w:val="000000"/>
        </w:rPr>
      </w:pPr>
      <w:r w:rsidRPr="00CE718A">
        <w:rPr>
          <w:b/>
          <w:i/>
          <w:color w:val="000000"/>
        </w:rPr>
        <w:t>Total Ongoing per year</w:t>
      </w:r>
      <w:r>
        <w:rPr>
          <w:color w:val="000000"/>
        </w:rPr>
        <w:t xml:space="preserve">: </w:t>
      </w:r>
      <w:r w:rsidRPr="00CE718A">
        <w:rPr>
          <w:color w:val="000000"/>
          <w:highlight w:val="cyan"/>
        </w:rPr>
        <w:t>$37,956</w:t>
      </w:r>
    </w:p>
    <w:tbl>
      <w:tblPr>
        <w:tblW w:w="9673" w:type="dxa"/>
        <w:tblLook w:val="04A0" w:firstRow="1" w:lastRow="0" w:firstColumn="1" w:lastColumn="0" w:noHBand="0" w:noVBand="1"/>
      </w:tblPr>
      <w:tblGrid>
        <w:gridCol w:w="2210"/>
        <w:gridCol w:w="1402"/>
        <w:gridCol w:w="1658"/>
        <w:gridCol w:w="986"/>
        <w:gridCol w:w="1833"/>
        <w:gridCol w:w="1584"/>
      </w:tblGrid>
      <w:tr w:rsidRPr="00706905" w:rsidR="00706905" w:rsidTr="00706905" w14:paraId="56FC02A9" w14:textId="77777777">
        <w:trPr>
          <w:trHeight w:val="543"/>
        </w:trPr>
        <w:tc>
          <w:tcPr>
            <w:tcW w:w="2210" w:type="dxa"/>
            <w:tcBorders>
              <w:top w:val="single" w:color="auto" w:sz="8" w:space="0"/>
              <w:left w:val="single" w:color="auto" w:sz="8" w:space="0"/>
              <w:bottom w:val="nil"/>
              <w:right w:val="single" w:color="auto" w:sz="8" w:space="0"/>
            </w:tcBorders>
            <w:shd w:val="clear" w:color="000000" w:fill="BDD7EE"/>
            <w:vAlign w:val="center"/>
            <w:hideMark/>
          </w:tcPr>
          <w:p w:rsidRPr="00706905" w:rsidR="00706905" w:rsidP="00706905" w:rsidRDefault="00706905" w14:paraId="46ECD496" w14:textId="77777777">
            <w:pPr>
              <w:widowControl/>
              <w:jc w:val="center"/>
              <w:rPr>
                <w:rFonts w:ascii="Calibri" w:hAnsi="Calibri"/>
                <w:b/>
                <w:bCs/>
                <w:color w:val="000000"/>
                <w:sz w:val="16"/>
                <w:szCs w:val="16"/>
              </w:rPr>
            </w:pPr>
            <w:r w:rsidRPr="00706905">
              <w:rPr>
                <w:rFonts w:ascii="Calibri" w:hAnsi="Calibri"/>
                <w:b/>
                <w:bCs/>
                <w:color w:val="000000"/>
                <w:sz w:val="16"/>
                <w:szCs w:val="16"/>
              </w:rPr>
              <w:t>Cost Descriptions</w:t>
            </w:r>
          </w:p>
        </w:tc>
        <w:tc>
          <w:tcPr>
            <w:tcW w:w="1402" w:type="dxa"/>
            <w:tcBorders>
              <w:top w:val="single" w:color="auto" w:sz="8" w:space="0"/>
              <w:left w:val="nil"/>
              <w:bottom w:val="nil"/>
              <w:right w:val="single" w:color="auto" w:sz="8" w:space="0"/>
            </w:tcBorders>
            <w:shd w:val="clear" w:color="000000" w:fill="BDD7EE"/>
            <w:vAlign w:val="center"/>
            <w:hideMark/>
          </w:tcPr>
          <w:p w:rsidRPr="00706905" w:rsidR="00706905" w:rsidP="00706905" w:rsidRDefault="00706905" w14:paraId="06A45F61" w14:textId="77777777">
            <w:pPr>
              <w:widowControl/>
              <w:jc w:val="center"/>
              <w:rPr>
                <w:rFonts w:ascii="Calibri" w:hAnsi="Calibri"/>
                <w:b/>
                <w:bCs/>
                <w:color w:val="000000"/>
                <w:sz w:val="16"/>
                <w:szCs w:val="16"/>
              </w:rPr>
            </w:pPr>
            <w:r w:rsidRPr="00706905">
              <w:rPr>
                <w:rFonts w:ascii="Calibri" w:hAnsi="Calibri"/>
                <w:b/>
                <w:bCs/>
                <w:color w:val="000000"/>
                <w:sz w:val="16"/>
                <w:szCs w:val="16"/>
              </w:rPr>
              <w:t>Grade/Step</w:t>
            </w:r>
          </w:p>
        </w:tc>
        <w:tc>
          <w:tcPr>
            <w:tcW w:w="1658" w:type="dxa"/>
            <w:tcBorders>
              <w:top w:val="single" w:color="auto" w:sz="8" w:space="0"/>
              <w:left w:val="nil"/>
              <w:bottom w:val="nil"/>
              <w:right w:val="single" w:color="auto" w:sz="8" w:space="0"/>
            </w:tcBorders>
            <w:shd w:val="clear" w:color="000000" w:fill="BDD7EE"/>
            <w:vAlign w:val="center"/>
            <w:hideMark/>
          </w:tcPr>
          <w:p w:rsidRPr="00706905" w:rsidR="00706905" w:rsidP="00706905" w:rsidRDefault="00706905" w14:paraId="6AEBBA64" w14:textId="77777777">
            <w:pPr>
              <w:widowControl/>
              <w:jc w:val="center"/>
              <w:rPr>
                <w:rFonts w:ascii="Calibri" w:hAnsi="Calibri"/>
                <w:b/>
                <w:bCs/>
                <w:color w:val="000000"/>
                <w:sz w:val="16"/>
                <w:szCs w:val="16"/>
              </w:rPr>
            </w:pPr>
            <w:r w:rsidRPr="00706905">
              <w:rPr>
                <w:rFonts w:ascii="Calibri" w:hAnsi="Calibri"/>
                <w:b/>
                <w:bCs/>
                <w:color w:val="000000"/>
                <w:sz w:val="16"/>
                <w:szCs w:val="16"/>
              </w:rPr>
              <w:t>Loaded Salary /Cost</w:t>
            </w:r>
          </w:p>
        </w:tc>
        <w:tc>
          <w:tcPr>
            <w:tcW w:w="986" w:type="dxa"/>
            <w:tcBorders>
              <w:top w:val="single" w:color="auto" w:sz="8" w:space="0"/>
              <w:left w:val="nil"/>
              <w:bottom w:val="nil"/>
              <w:right w:val="single" w:color="auto" w:sz="8" w:space="0"/>
            </w:tcBorders>
            <w:shd w:val="clear" w:color="000000" w:fill="BDD7EE"/>
            <w:vAlign w:val="center"/>
            <w:hideMark/>
          </w:tcPr>
          <w:p w:rsidRPr="00706905" w:rsidR="00706905" w:rsidP="00706905" w:rsidRDefault="00706905" w14:paraId="705A8A55" w14:textId="77777777">
            <w:pPr>
              <w:widowControl/>
              <w:jc w:val="center"/>
              <w:rPr>
                <w:rFonts w:ascii="Calibri" w:hAnsi="Calibri"/>
                <w:b/>
                <w:bCs/>
                <w:color w:val="000000"/>
                <w:sz w:val="16"/>
                <w:szCs w:val="16"/>
              </w:rPr>
            </w:pPr>
            <w:r w:rsidRPr="00706905">
              <w:rPr>
                <w:rFonts w:ascii="Calibri" w:hAnsi="Calibri"/>
                <w:b/>
                <w:bCs/>
                <w:color w:val="000000"/>
                <w:sz w:val="16"/>
                <w:szCs w:val="16"/>
              </w:rPr>
              <w:t>% of Effort</w:t>
            </w:r>
          </w:p>
        </w:tc>
        <w:tc>
          <w:tcPr>
            <w:tcW w:w="1833" w:type="dxa"/>
            <w:tcBorders>
              <w:top w:val="single" w:color="auto" w:sz="8" w:space="0"/>
              <w:left w:val="nil"/>
              <w:bottom w:val="nil"/>
              <w:right w:val="single" w:color="auto" w:sz="8" w:space="0"/>
            </w:tcBorders>
            <w:shd w:val="clear" w:color="000000" w:fill="BDD7EE"/>
            <w:vAlign w:val="center"/>
            <w:hideMark/>
          </w:tcPr>
          <w:p w:rsidRPr="00706905" w:rsidR="00706905" w:rsidP="00706905" w:rsidRDefault="00706905" w14:paraId="5C79D065" w14:textId="77777777">
            <w:pPr>
              <w:widowControl/>
              <w:jc w:val="center"/>
              <w:rPr>
                <w:rFonts w:ascii="Calibri" w:hAnsi="Calibri"/>
                <w:b/>
                <w:bCs/>
                <w:color w:val="000000"/>
                <w:sz w:val="16"/>
                <w:szCs w:val="16"/>
              </w:rPr>
            </w:pPr>
            <w:r w:rsidRPr="00706905">
              <w:rPr>
                <w:rFonts w:ascii="Calibri" w:hAnsi="Calibri"/>
                <w:b/>
                <w:bCs/>
                <w:color w:val="000000"/>
                <w:sz w:val="16"/>
                <w:szCs w:val="16"/>
              </w:rPr>
              <w:t>Fringe (if Applicable)</w:t>
            </w:r>
          </w:p>
        </w:tc>
        <w:tc>
          <w:tcPr>
            <w:tcW w:w="1584" w:type="dxa"/>
            <w:tcBorders>
              <w:top w:val="single" w:color="auto" w:sz="8" w:space="0"/>
              <w:left w:val="nil"/>
              <w:bottom w:val="nil"/>
              <w:right w:val="single" w:color="auto" w:sz="8" w:space="0"/>
            </w:tcBorders>
            <w:shd w:val="clear" w:color="000000" w:fill="BDD7EE"/>
            <w:vAlign w:val="center"/>
            <w:hideMark/>
          </w:tcPr>
          <w:p w:rsidRPr="00706905" w:rsidR="00706905" w:rsidP="00706905" w:rsidRDefault="00706905" w14:paraId="483C93B9" w14:textId="77777777">
            <w:pPr>
              <w:widowControl/>
              <w:jc w:val="center"/>
              <w:rPr>
                <w:rFonts w:ascii="Calibri" w:hAnsi="Calibri"/>
                <w:b/>
                <w:bCs/>
                <w:color w:val="000000"/>
                <w:sz w:val="16"/>
                <w:szCs w:val="16"/>
              </w:rPr>
            </w:pPr>
            <w:r w:rsidRPr="00706905">
              <w:rPr>
                <w:rFonts w:ascii="Calibri" w:hAnsi="Calibri"/>
                <w:b/>
                <w:bCs/>
                <w:color w:val="000000"/>
                <w:sz w:val="16"/>
                <w:szCs w:val="16"/>
              </w:rPr>
              <w:t>Total Cost to Government</w:t>
            </w:r>
          </w:p>
        </w:tc>
      </w:tr>
      <w:tr w:rsidRPr="00706905" w:rsidR="008D121A" w:rsidTr="00706905" w14:paraId="6C1C62D3" w14:textId="77777777">
        <w:trPr>
          <w:trHeight w:val="383"/>
        </w:trPr>
        <w:tc>
          <w:tcPr>
            <w:tcW w:w="221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706905" w:rsidR="008D121A" w:rsidP="008D121A" w:rsidRDefault="008D121A" w14:paraId="1CFF0129" w14:textId="77777777">
            <w:pPr>
              <w:widowControl/>
              <w:rPr>
                <w:rFonts w:ascii="Calibri" w:hAnsi="Calibri"/>
                <w:b/>
                <w:bCs/>
                <w:color w:val="000000"/>
                <w:sz w:val="16"/>
                <w:szCs w:val="16"/>
              </w:rPr>
            </w:pPr>
            <w:r w:rsidRPr="00706905">
              <w:rPr>
                <w:rFonts w:ascii="Calibri" w:hAnsi="Calibri"/>
                <w:b/>
                <w:bCs/>
                <w:color w:val="000000"/>
                <w:sz w:val="16"/>
                <w:szCs w:val="16"/>
              </w:rPr>
              <w:t>Federal Oversight</w:t>
            </w:r>
          </w:p>
        </w:tc>
        <w:tc>
          <w:tcPr>
            <w:tcW w:w="1402" w:type="dxa"/>
            <w:tcBorders>
              <w:top w:val="single" w:color="auto" w:sz="4" w:space="0"/>
              <w:left w:val="nil"/>
              <w:bottom w:val="single" w:color="auto" w:sz="4" w:space="0"/>
              <w:right w:val="single" w:color="auto" w:sz="4" w:space="0"/>
            </w:tcBorders>
            <w:shd w:val="clear" w:color="auto" w:fill="auto"/>
            <w:noWrap/>
            <w:vAlign w:val="bottom"/>
            <w:hideMark/>
          </w:tcPr>
          <w:p w:rsidRPr="00706905" w:rsidR="008D121A" w:rsidP="008D121A" w:rsidRDefault="008D121A" w14:paraId="7DDC4DB8" w14:textId="49DC7B2B">
            <w:pPr>
              <w:widowControl/>
              <w:rPr>
                <w:rFonts w:ascii="Calibri" w:hAnsi="Calibri"/>
                <w:color w:val="000000"/>
                <w:sz w:val="16"/>
                <w:szCs w:val="16"/>
              </w:rPr>
            </w:pPr>
            <w:r w:rsidRPr="00706905">
              <w:rPr>
                <w:rFonts w:ascii="Calibri" w:hAnsi="Calibri"/>
                <w:color w:val="000000"/>
                <w:sz w:val="16"/>
                <w:szCs w:val="16"/>
              </w:rPr>
              <w:t> </w:t>
            </w:r>
            <w:r>
              <w:rPr>
                <w:rFonts w:ascii="Calibri" w:hAnsi="Calibri"/>
                <w:color w:val="000000"/>
                <w:sz w:val="16"/>
                <w:szCs w:val="16"/>
              </w:rPr>
              <w:t>ZP-III</w:t>
            </w:r>
          </w:p>
        </w:tc>
        <w:tc>
          <w:tcPr>
            <w:tcW w:w="1658" w:type="dxa"/>
            <w:tcBorders>
              <w:top w:val="single" w:color="auto" w:sz="4" w:space="0"/>
              <w:left w:val="nil"/>
              <w:bottom w:val="single" w:color="auto" w:sz="4" w:space="0"/>
              <w:right w:val="single" w:color="auto" w:sz="4" w:space="0"/>
            </w:tcBorders>
            <w:shd w:val="clear" w:color="auto" w:fill="auto"/>
            <w:noWrap/>
            <w:vAlign w:val="bottom"/>
            <w:hideMark/>
          </w:tcPr>
          <w:p w:rsidRPr="00706905" w:rsidR="008D121A" w:rsidP="008D121A" w:rsidRDefault="008D121A" w14:paraId="079E8528" w14:textId="57177F15">
            <w:pPr>
              <w:widowControl/>
              <w:rPr>
                <w:rFonts w:ascii="Calibri" w:hAnsi="Calibri"/>
                <w:color w:val="000000"/>
                <w:sz w:val="16"/>
                <w:szCs w:val="16"/>
              </w:rPr>
            </w:pPr>
            <w:r w:rsidRPr="00706905">
              <w:rPr>
                <w:rFonts w:ascii="Calibri" w:hAnsi="Calibri"/>
                <w:color w:val="000000"/>
                <w:sz w:val="16"/>
                <w:szCs w:val="16"/>
              </w:rPr>
              <w:t> </w:t>
            </w:r>
            <w:r>
              <w:rPr>
                <w:rFonts w:ascii="Calibri" w:hAnsi="Calibri"/>
                <w:color w:val="000000"/>
                <w:sz w:val="16"/>
                <w:szCs w:val="16"/>
              </w:rPr>
              <w:t>$79,040</w:t>
            </w:r>
          </w:p>
        </w:tc>
        <w:tc>
          <w:tcPr>
            <w:tcW w:w="986" w:type="dxa"/>
            <w:tcBorders>
              <w:top w:val="single" w:color="auto" w:sz="4" w:space="0"/>
              <w:left w:val="nil"/>
              <w:bottom w:val="single" w:color="auto" w:sz="4" w:space="0"/>
              <w:right w:val="single" w:color="auto" w:sz="4" w:space="0"/>
            </w:tcBorders>
            <w:shd w:val="clear" w:color="auto" w:fill="auto"/>
            <w:noWrap/>
            <w:vAlign w:val="bottom"/>
            <w:hideMark/>
          </w:tcPr>
          <w:p w:rsidRPr="00706905" w:rsidR="008D121A" w:rsidP="008D121A" w:rsidRDefault="008D121A" w14:paraId="67670601" w14:textId="6425F348">
            <w:pPr>
              <w:widowControl/>
              <w:rPr>
                <w:rFonts w:ascii="Calibri" w:hAnsi="Calibri"/>
                <w:color w:val="000000"/>
                <w:sz w:val="16"/>
                <w:szCs w:val="16"/>
              </w:rPr>
            </w:pPr>
            <w:r w:rsidRPr="00706905">
              <w:rPr>
                <w:rFonts w:ascii="Calibri" w:hAnsi="Calibri"/>
                <w:color w:val="000000"/>
                <w:sz w:val="16"/>
                <w:szCs w:val="16"/>
              </w:rPr>
              <w:t> </w:t>
            </w:r>
            <w:r>
              <w:rPr>
                <w:rFonts w:ascii="Calibri" w:hAnsi="Calibri"/>
                <w:color w:val="000000"/>
                <w:sz w:val="16"/>
                <w:szCs w:val="16"/>
              </w:rPr>
              <w:t>1%</w:t>
            </w:r>
          </w:p>
        </w:tc>
        <w:tc>
          <w:tcPr>
            <w:tcW w:w="1833" w:type="dxa"/>
            <w:tcBorders>
              <w:top w:val="single" w:color="auto" w:sz="4" w:space="0"/>
              <w:left w:val="nil"/>
              <w:bottom w:val="single" w:color="auto" w:sz="4" w:space="0"/>
              <w:right w:val="single" w:color="auto" w:sz="4" w:space="0"/>
            </w:tcBorders>
            <w:shd w:val="clear" w:color="000000" w:fill="808080"/>
            <w:noWrap/>
            <w:vAlign w:val="bottom"/>
            <w:hideMark/>
          </w:tcPr>
          <w:p w:rsidRPr="00706905" w:rsidR="008D121A" w:rsidP="008D121A" w:rsidRDefault="008D121A" w14:paraId="765E3039" w14:textId="77777777">
            <w:pPr>
              <w:widowControl/>
              <w:rPr>
                <w:rFonts w:ascii="Calibri" w:hAnsi="Calibri"/>
                <w:color w:val="000000"/>
                <w:sz w:val="16"/>
                <w:szCs w:val="16"/>
              </w:rPr>
            </w:pPr>
            <w:r w:rsidRPr="00706905">
              <w:rPr>
                <w:rFonts w:ascii="Calibri" w:hAnsi="Calibri"/>
                <w:color w:val="000000"/>
                <w:sz w:val="16"/>
                <w:szCs w:val="16"/>
              </w:rPr>
              <w:t> </w:t>
            </w:r>
          </w:p>
        </w:tc>
        <w:tc>
          <w:tcPr>
            <w:tcW w:w="1584" w:type="dxa"/>
            <w:tcBorders>
              <w:top w:val="single" w:color="auto" w:sz="4" w:space="0"/>
              <w:left w:val="nil"/>
              <w:bottom w:val="single" w:color="auto" w:sz="4" w:space="0"/>
              <w:right w:val="single" w:color="auto" w:sz="8" w:space="0"/>
            </w:tcBorders>
            <w:shd w:val="clear" w:color="auto" w:fill="auto"/>
            <w:noWrap/>
            <w:vAlign w:val="bottom"/>
            <w:hideMark/>
          </w:tcPr>
          <w:p w:rsidRPr="00706905" w:rsidR="008D121A" w:rsidP="008D121A" w:rsidRDefault="008D121A" w14:paraId="166CEF13" w14:textId="57194221">
            <w:pPr>
              <w:widowControl/>
              <w:rPr>
                <w:rFonts w:ascii="Calibri" w:hAnsi="Calibri"/>
                <w:color w:val="000000"/>
                <w:sz w:val="16"/>
                <w:szCs w:val="16"/>
              </w:rPr>
            </w:pPr>
            <w:r w:rsidRPr="00706905">
              <w:rPr>
                <w:rFonts w:ascii="Calibri" w:hAnsi="Calibri"/>
                <w:color w:val="000000"/>
                <w:sz w:val="16"/>
                <w:szCs w:val="16"/>
              </w:rPr>
              <w:t> </w:t>
            </w:r>
            <w:r>
              <w:rPr>
                <w:rFonts w:ascii="Calibri" w:hAnsi="Calibri"/>
                <w:color w:val="000000"/>
                <w:sz w:val="16"/>
                <w:szCs w:val="16"/>
              </w:rPr>
              <w:t>$912</w:t>
            </w:r>
          </w:p>
        </w:tc>
      </w:tr>
      <w:tr w:rsidRPr="00706905" w:rsidR="008D121A" w:rsidTr="008D121A" w14:paraId="300401D4" w14:textId="77777777">
        <w:trPr>
          <w:trHeight w:val="383"/>
        </w:trPr>
        <w:tc>
          <w:tcPr>
            <w:tcW w:w="2210" w:type="dxa"/>
            <w:tcBorders>
              <w:top w:val="nil"/>
              <w:left w:val="single" w:color="auto" w:sz="8" w:space="0"/>
              <w:bottom w:val="single" w:color="auto" w:sz="4" w:space="0"/>
              <w:right w:val="single" w:color="auto" w:sz="8" w:space="0"/>
            </w:tcBorders>
            <w:shd w:val="clear" w:color="auto" w:fill="auto"/>
            <w:noWrap/>
            <w:vAlign w:val="bottom"/>
            <w:hideMark/>
          </w:tcPr>
          <w:p w:rsidRPr="00706905" w:rsidR="008D121A" w:rsidP="008D121A" w:rsidRDefault="008D121A" w14:paraId="180817F7" w14:textId="77777777">
            <w:pPr>
              <w:widowControl/>
              <w:rPr>
                <w:rFonts w:ascii="Calibri" w:hAnsi="Calibri"/>
                <w:color w:val="000000"/>
                <w:sz w:val="16"/>
                <w:szCs w:val="16"/>
              </w:rPr>
            </w:pPr>
            <w:r w:rsidRPr="00706905">
              <w:rPr>
                <w:rFonts w:ascii="Calibri" w:hAnsi="Calibri"/>
                <w:color w:val="000000"/>
                <w:sz w:val="16"/>
                <w:szCs w:val="16"/>
              </w:rPr>
              <w:t>Other Federal Positions</w:t>
            </w:r>
          </w:p>
        </w:tc>
        <w:tc>
          <w:tcPr>
            <w:tcW w:w="1402" w:type="dxa"/>
            <w:tcBorders>
              <w:top w:val="nil"/>
              <w:left w:val="nil"/>
              <w:bottom w:val="single" w:color="auto" w:sz="4" w:space="0"/>
              <w:right w:val="single" w:color="auto" w:sz="4" w:space="0"/>
            </w:tcBorders>
            <w:shd w:val="clear" w:color="auto" w:fill="auto"/>
            <w:noWrap/>
            <w:vAlign w:val="bottom"/>
          </w:tcPr>
          <w:p w:rsidRPr="00706905" w:rsidR="008D121A" w:rsidP="008D121A" w:rsidRDefault="008D121A" w14:paraId="098C1402" w14:textId="3B733221">
            <w:pPr>
              <w:widowControl/>
              <w:rPr>
                <w:rFonts w:ascii="Calibri" w:hAnsi="Calibri"/>
                <w:color w:val="000000"/>
                <w:sz w:val="16"/>
                <w:szCs w:val="16"/>
              </w:rPr>
            </w:pPr>
            <w:r w:rsidRPr="00706905">
              <w:rPr>
                <w:rFonts w:ascii="Calibri" w:hAnsi="Calibri"/>
                <w:color w:val="000000"/>
                <w:sz w:val="16"/>
                <w:szCs w:val="16"/>
              </w:rPr>
              <w:t> </w:t>
            </w:r>
            <w:r>
              <w:rPr>
                <w:rFonts w:ascii="Calibri" w:hAnsi="Calibri"/>
                <w:color w:val="000000"/>
                <w:sz w:val="16"/>
                <w:szCs w:val="16"/>
              </w:rPr>
              <w:t>ZP-IV</w:t>
            </w:r>
          </w:p>
        </w:tc>
        <w:tc>
          <w:tcPr>
            <w:tcW w:w="1658" w:type="dxa"/>
            <w:tcBorders>
              <w:top w:val="nil"/>
              <w:left w:val="nil"/>
              <w:bottom w:val="single" w:color="auto" w:sz="4" w:space="0"/>
              <w:right w:val="single" w:color="auto" w:sz="4" w:space="0"/>
            </w:tcBorders>
            <w:shd w:val="clear" w:color="auto" w:fill="auto"/>
            <w:noWrap/>
            <w:vAlign w:val="bottom"/>
          </w:tcPr>
          <w:p w:rsidRPr="00706905" w:rsidR="008D121A" w:rsidP="008D121A" w:rsidRDefault="008D121A" w14:paraId="5DE849D2" w14:textId="5E1E0D61">
            <w:pPr>
              <w:widowControl/>
              <w:rPr>
                <w:rFonts w:ascii="Calibri" w:hAnsi="Calibri"/>
                <w:color w:val="000000"/>
                <w:sz w:val="16"/>
                <w:szCs w:val="16"/>
              </w:rPr>
            </w:pPr>
            <w:r w:rsidRPr="00706905">
              <w:rPr>
                <w:rFonts w:ascii="Calibri" w:hAnsi="Calibri"/>
                <w:color w:val="000000"/>
                <w:sz w:val="16"/>
                <w:szCs w:val="16"/>
              </w:rPr>
              <w:t> </w:t>
            </w:r>
            <w:r>
              <w:rPr>
                <w:rFonts w:ascii="Calibri" w:hAnsi="Calibri"/>
                <w:color w:val="000000"/>
                <w:sz w:val="16"/>
                <w:szCs w:val="16"/>
              </w:rPr>
              <w:t>$97,760</w:t>
            </w:r>
          </w:p>
        </w:tc>
        <w:tc>
          <w:tcPr>
            <w:tcW w:w="986" w:type="dxa"/>
            <w:tcBorders>
              <w:top w:val="nil"/>
              <w:left w:val="nil"/>
              <w:bottom w:val="single" w:color="auto" w:sz="4" w:space="0"/>
              <w:right w:val="single" w:color="auto" w:sz="4" w:space="0"/>
            </w:tcBorders>
            <w:shd w:val="clear" w:color="auto" w:fill="auto"/>
            <w:noWrap/>
            <w:vAlign w:val="bottom"/>
            <w:hideMark/>
          </w:tcPr>
          <w:p w:rsidRPr="00706905" w:rsidR="008D121A" w:rsidP="008D121A" w:rsidRDefault="008D121A" w14:paraId="3364E6DD" w14:textId="6A2513AD">
            <w:pPr>
              <w:widowControl/>
              <w:rPr>
                <w:rFonts w:ascii="Calibri" w:hAnsi="Calibri"/>
                <w:color w:val="000000"/>
                <w:sz w:val="16"/>
                <w:szCs w:val="16"/>
              </w:rPr>
            </w:pPr>
            <w:r w:rsidRPr="00706905">
              <w:rPr>
                <w:rFonts w:ascii="Calibri" w:hAnsi="Calibri"/>
                <w:color w:val="000000"/>
                <w:sz w:val="16"/>
                <w:szCs w:val="16"/>
              </w:rPr>
              <w:t> </w:t>
            </w:r>
            <w:r>
              <w:rPr>
                <w:rFonts w:ascii="Calibri" w:hAnsi="Calibri"/>
                <w:color w:val="000000"/>
                <w:sz w:val="16"/>
                <w:szCs w:val="16"/>
              </w:rPr>
              <w:t>1%</w:t>
            </w:r>
          </w:p>
        </w:tc>
        <w:tc>
          <w:tcPr>
            <w:tcW w:w="1833" w:type="dxa"/>
            <w:tcBorders>
              <w:top w:val="nil"/>
              <w:left w:val="nil"/>
              <w:bottom w:val="single" w:color="auto" w:sz="4" w:space="0"/>
              <w:right w:val="single" w:color="auto" w:sz="4" w:space="0"/>
            </w:tcBorders>
            <w:shd w:val="clear" w:color="000000" w:fill="808080"/>
            <w:noWrap/>
            <w:vAlign w:val="bottom"/>
            <w:hideMark/>
          </w:tcPr>
          <w:p w:rsidRPr="00706905" w:rsidR="008D121A" w:rsidP="008D121A" w:rsidRDefault="008D121A" w14:paraId="40F98381" w14:textId="77777777">
            <w:pPr>
              <w:widowControl/>
              <w:rPr>
                <w:rFonts w:ascii="Calibri" w:hAnsi="Calibri"/>
                <w:color w:val="000000"/>
                <w:sz w:val="16"/>
                <w:szCs w:val="16"/>
              </w:rPr>
            </w:pPr>
            <w:r w:rsidRPr="00706905">
              <w:rPr>
                <w:rFonts w:ascii="Calibri" w:hAnsi="Calibri"/>
                <w:color w:val="000000"/>
                <w:sz w:val="16"/>
                <w:szCs w:val="16"/>
              </w:rPr>
              <w:t> </w:t>
            </w:r>
          </w:p>
        </w:tc>
        <w:tc>
          <w:tcPr>
            <w:tcW w:w="1584" w:type="dxa"/>
            <w:tcBorders>
              <w:top w:val="nil"/>
              <w:left w:val="nil"/>
              <w:bottom w:val="single" w:color="auto" w:sz="4" w:space="0"/>
              <w:right w:val="single" w:color="auto" w:sz="8" w:space="0"/>
            </w:tcBorders>
            <w:shd w:val="clear" w:color="auto" w:fill="auto"/>
            <w:noWrap/>
            <w:vAlign w:val="bottom"/>
            <w:hideMark/>
          </w:tcPr>
          <w:p w:rsidRPr="00706905" w:rsidR="008D121A" w:rsidP="008D121A" w:rsidRDefault="008D121A" w14:paraId="3F36AFD3" w14:textId="3FF2549A">
            <w:pPr>
              <w:widowControl/>
              <w:rPr>
                <w:rFonts w:ascii="Calibri" w:hAnsi="Calibri"/>
                <w:color w:val="000000"/>
                <w:sz w:val="16"/>
                <w:szCs w:val="16"/>
              </w:rPr>
            </w:pPr>
            <w:r w:rsidRPr="00706905">
              <w:rPr>
                <w:rFonts w:ascii="Calibri" w:hAnsi="Calibri"/>
                <w:color w:val="000000"/>
                <w:sz w:val="16"/>
                <w:szCs w:val="16"/>
              </w:rPr>
              <w:t> </w:t>
            </w:r>
            <w:r>
              <w:rPr>
                <w:rFonts w:ascii="Calibri" w:hAnsi="Calibri"/>
                <w:color w:val="000000"/>
                <w:sz w:val="16"/>
                <w:szCs w:val="16"/>
              </w:rPr>
              <w:t>$564</w:t>
            </w:r>
          </w:p>
        </w:tc>
      </w:tr>
      <w:tr w:rsidRPr="00706905" w:rsidR="008D121A" w:rsidTr="008D121A" w14:paraId="27372DDE" w14:textId="77777777">
        <w:trPr>
          <w:trHeight w:val="383"/>
        </w:trPr>
        <w:tc>
          <w:tcPr>
            <w:tcW w:w="2210" w:type="dxa"/>
            <w:tcBorders>
              <w:top w:val="nil"/>
              <w:left w:val="single" w:color="auto" w:sz="8" w:space="0"/>
              <w:bottom w:val="single" w:color="auto" w:sz="4" w:space="0"/>
              <w:right w:val="single" w:color="auto" w:sz="8" w:space="0"/>
            </w:tcBorders>
            <w:shd w:val="clear" w:color="auto" w:fill="auto"/>
            <w:noWrap/>
            <w:vAlign w:val="bottom"/>
            <w:hideMark/>
          </w:tcPr>
          <w:p w:rsidRPr="00706905" w:rsidR="008D121A" w:rsidP="008D121A" w:rsidRDefault="00824F29" w14:paraId="24C6E321" w14:textId="45C7A99A">
            <w:pPr>
              <w:widowControl/>
              <w:rPr>
                <w:rFonts w:ascii="Calibri" w:hAnsi="Calibri"/>
                <w:color w:val="000000"/>
                <w:sz w:val="16"/>
                <w:szCs w:val="16"/>
              </w:rPr>
            </w:pPr>
            <w:r>
              <w:rPr>
                <w:rFonts w:ascii="Calibri" w:hAnsi="Calibri"/>
                <w:color w:val="000000"/>
                <w:sz w:val="16"/>
                <w:szCs w:val="16"/>
              </w:rPr>
              <w:t>Federal Startup</w:t>
            </w:r>
            <w:r w:rsidRPr="00706905" w:rsidR="008D121A">
              <w:rPr>
                <w:rFonts w:ascii="Calibri" w:hAnsi="Calibri"/>
                <w:color w:val="000000"/>
                <w:sz w:val="16"/>
                <w:szCs w:val="16"/>
              </w:rPr>
              <w:t> </w:t>
            </w:r>
          </w:p>
        </w:tc>
        <w:tc>
          <w:tcPr>
            <w:tcW w:w="1402" w:type="dxa"/>
            <w:tcBorders>
              <w:top w:val="nil"/>
              <w:left w:val="nil"/>
              <w:bottom w:val="single" w:color="auto" w:sz="4" w:space="0"/>
              <w:right w:val="single" w:color="auto" w:sz="4" w:space="0"/>
            </w:tcBorders>
            <w:shd w:val="clear" w:color="auto" w:fill="auto"/>
            <w:noWrap/>
            <w:vAlign w:val="bottom"/>
          </w:tcPr>
          <w:p w:rsidRPr="00706905" w:rsidR="008D121A" w:rsidP="008D121A" w:rsidRDefault="008D121A" w14:paraId="7D043CE8" w14:textId="76DD1B24">
            <w:pPr>
              <w:widowControl/>
              <w:rPr>
                <w:rFonts w:ascii="Calibri" w:hAnsi="Calibri"/>
                <w:color w:val="000000"/>
                <w:sz w:val="16"/>
                <w:szCs w:val="16"/>
              </w:rPr>
            </w:pPr>
          </w:p>
        </w:tc>
        <w:tc>
          <w:tcPr>
            <w:tcW w:w="1658" w:type="dxa"/>
            <w:tcBorders>
              <w:top w:val="nil"/>
              <w:left w:val="nil"/>
              <w:bottom w:val="single" w:color="auto" w:sz="4" w:space="0"/>
              <w:right w:val="single" w:color="auto" w:sz="4" w:space="0"/>
            </w:tcBorders>
            <w:shd w:val="clear" w:color="auto" w:fill="auto"/>
            <w:noWrap/>
            <w:vAlign w:val="bottom"/>
          </w:tcPr>
          <w:p w:rsidRPr="00706905" w:rsidR="008D121A" w:rsidP="008D121A" w:rsidRDefault="008D121A" w14:paraId="26A17AE8" w14:textId="3B639879">
            <w:pPr>
              <w:widowControl/>
              <w:rPr>
                <w:rFonts w:ascii="Calibri" w:hAnsi="Calibri"/>
                <w:color w:val="000000"/>
                <w:sz w:val="16"/>
                <w:szCs w:val="16"/>
              </w:rPr>
            </w:pPr>
          </w:p>
        </w:tc>
        <w:tc>
          <w:tcPr>
            <w:tcW w:w="986" w:type="dxa"/>
            <w:tcBorders>
              <w:top w:val="nil"/>
              <w:left w:val="nil"/>
              <w:bottom w:val="single" w:color="auto" w:sz="4" w:space="0"/>
              <w:right w:val="single" w:color="auto" w:sz="4" w:space="0"/>
            </w:tcBorders>
            <w:shd w:val="clear" w:color="auto" w:fill="auto"/>
            <w:noWrap/>
            <w:vAlign w:val="bottom"/>
            <w:hideMark/>
          </w:tcPr>
          <w:p w:rsidRPr="00706905" w:rsidR="008D121A" w:rsidP="008D121A" w:rsidRDefault="008D121A" w14:paraId="1BF4DC0B" w14:textId="77777777">
            <w:pPr>
              <w:widowControl/>
              <w:rPr>
                <w:rFonts w:ascii="Calibri" w:hAnsi="Calibri"/>
                <w:color w:val="000000"/>
                <w:sz w:val="16"/>
                <w:szCs w:val="16"/>
              </w:rPr>
            </w:pPr>
            <w:r w:rsidRPr="00706905">
              <w:rPr>
                <w:rFonts w:ascii="Calibri" w:hAnsi="Calibri"/>
                <w:color w:val="000000"/>
                <w:sz w:val="16"/>
                <w:szCs w:val="16"/>
              </w:rPr>
              <w:t> </w:t>
            </w:r>
          </w:p>
        </w:tc>
        <w:tc>
          <w:tcPr>
            <w:tcW w:w="1833" w:type="dxa"/>
            <w:tcBorders>
              <w:top w:val="nil"/>
              <w:left w:val="nil"/>
              <w:bottom w:val="single" w:color="auto" w:sz="4" w:space="0"/>
              <w:right w:val="single" w:color="auto" w:sz="4" w:space="0"/>
            </w:tcBorders>
            <w:shd w:val="clear" w:color="000000" w:fill="808080"/>
            <w:noWrap/>
            <w:vAlign w:val="bottom"/>
            <w:hideMark/>
          </w:tcPr>
          <w:p w:rsidRPr="00706905" w:rsidR="008D121A" w:rsidP="008D121A" w:rsidRDefault="008D121A" w14:paraId="1BAA4998" w14:textId="77777777">
            <w:pPr>
              <w:widowControl/>
              <w:rPr>
                <w:rFonts w:ascii="Calibri" w:hAnsi="Calibri"/>
                <w:color w:val="000000"/>
                <w:sz w:val="16"/>
                <w:szCs w:val="16"/>
              </w:rPr>
            </w:pPr>
            <w:r w:rsidRPr="00706905">
              <w:rPr>
                <w:rFonts w:ascii="Calibri" w:hAnsi="Calibri"/>
                <w:color w:val="000000"/>
                <w:sz w:val="16"/>
                <w:szCs w:val="16"/>
              </w:rPr>
              <w:t> </w:t>
            </w:r>
          </w:p>
        </w:tc>
        <w:tc>
          <w:tcPr>
            <w:tcW w:w="1584" w:type="dxa"/>
            <w:tcBorders>
              <w:top w:val="nil"/>
              <w:left w:val="nil"/>
              <w:bottom w:val="single" w:color="auto" w:sz="4" w:space="0"/>
              <w:right w:val="single" w:color="auto" w:sz="8" w:space="0"/>
            </w:tcBorders>
            <w:shd w:val="clear" w:color="auto" w:fill="auto"/>
            <w:noWrap/>
            <w:vAlign w:val="bottom"/>
            <w:hideMark/>
          </w:tcPr>
          <w:p w:rsidRPr="00706905" w:rsidR="008D121A" w:rsidP="008D121A" w:rsidRDefault="00824F29" w14:paraId="6ED61D83" w14:textId="47B176C5">
            <w:pPr>
              <w:widowControl/>
              <w:rPr>
                <w:rFonts w:ascii="Calibri" w:hAnsi="Calibri"/>
                <w:color w:val="000000"/>
                <w:sz w:val="16"/>
                <w:szCs w:val="16"/>
              </w:rPr>
            </w:pPr>
            <w:r>
              <w:rPr>
                <w:rFonts w:ascii="Calibri" w:hAnsi="Calibri"/>
                <w:color w:val="000000"/>
                <w:sz w:val="16"/>
                <w:szCs w:val="16"/>
              </w:rPr>
              <w:t>$14,220</w:t>
            </w:r>
          </w:p>
        </w:tc>
      </w:tr>
      <w:tr w:rsidRPr="00706905" w:rsidR="008D121A" w:rsidTr="008D121A" w14:paraId="7DC5A191" w14:textId="77777777">
        <w:trPr>
          <w:trHeight w:val="383"/>
        </w:trPr>
        <w:tc>
          <w:tcPr>
            <w:tcW w:w="2210" w:type="dxa"/>
            <w:tcBorders>
              <w:top w:val="nil"/>
              <w:left w:val="single" w:color="auto" w:sz="8" w:space="0"/>
              <w:bottom w:val="single" w:color="auto" w:sz="4" w:space="0"/>
              <w:right w:val="single" w:color="auto" w:sz="8" w:space="0"/>
            </w:tcBorders>
            <w:shd w:val="clear" w:color="auto" w:fill="auto"/>
            <w:noWrap/>
            <w:vAlign w:val="bottom"/>
          </w:tcPr>
          <w:p w:rsidRPr="00706905" w:rsidR="008D121A" w:rsidP="008D121A" w:rsidRDefault="00824F29" w14:paraId="67ED4E3F" w14:textId="1AFC3B7B">
            <w:pPr>
              <w:widowControl/>
              <w:rPr>
                <w:rFonts w:ascii="Calibri" w:hAnsi="Calibri"/>
                <w:color w:val="000000"/>
                <w:sz w:val="16"/>
                <w:szCs w:val="16"/>
              </w:rPr>
            </w:pPr>
            <w:r>
              <w:rPr>
                <w:rFonts w:ascii="Calibri" w:hAnsi="Calibri"/>
                <w:color w:val="000000"/>
                <w:sz w:val="16"/>
                <w:szCs w:val="16"/>
              </w:rPr>
              <w:t>Other Costs:  PSMFC Startup</w:t>
            </w:r>
          </w:p>
        </w:tc>
        <w:tc>
          <w:tcPr>
            <w:tcW w:w="1402" w:type="dxa"/>
            <w:tcBorders>
              <w:top w:val="nil"/>
              <w:left w:val="nil"/>
              <w:bottom w:val="single" w:color="auto" w:sz="4" w:space="0"/>
              <w:right w:val="single" w:color="auto" w:sz="4" w:space="0"/>
            </w:tcBorders>
            <w:shd w:val="clear" w:color="auto" w:fill="auto"/>
            <w:noWrap/>
            <w:vAlign w:val="bottom"/>
          </w:tcPr>
          <w:p w:rsidRPr="00706905" w:rsidR="008D121A" w:rsidP="008D121A" w:rsidRDefault="008D121A" w14:paraId="15DFAAD8" w14:textId="77777777">
            <w:pPr>
              <w:widowControl/>
              <w:rPr>
                <w:rFonts w:ascii="Calibri" w:hAnsi="Calibri"/>
                <w:color w:val="000000"/>
                <w:sz w:val="16"/>
                <w:szCs w:val="16"/>
              </w:rPr>
            </w:pPr>
          </w:p>
        </w:tc>
        <w:tc>
          <w:tcPr>
            <w:tcW w:w="1658" w:type="dxa"/>
            <w:tcBorders>
              <w:top w:val="nil"/>
              <w:left w:val="nil"/>
              <w:bottom w:val="single" w:color="auto" w:sz="4" w:space="0"/>
              <w:right w:val="single" w:color="auto" w:sz="4" w:space="0"/>
            </w:tcBorders>
            <w:shd w:val="clear" w:color="auto" w:fill="auto"/>
            <w:noWrap/>
            <w:vAlign w:val="bottom"/>
          </w:tcPr>
          <w:p w:rsidRPr="00706905" w:rsidR="008D121A" w:rsidP="008D121A" w:rsidRDefault="008D121A" w14:paraId="40A9DFC9" w14:textId="77777777">
            <w:pPr>
              <w:widowControl/>
              <w:rPr>
                <w:rFonts w:ascii="Calibri" w:hAnsi="Calibri"/>
                <w:color w:val="000000"/>
                <w:sz w:val="16"/>
                <w:szCs w:val="16"/>
              </w:rPr>
            </w:pPr>
          </w:p>
        </w:tc>
        <w:tc>
          <w:tcPr>
            <w:tcW w:w="986" w:type="dxa"/>
            <w:tcBorders>
              <w:top w:val="nil"/>
              <w:left w:val="nil"/>
              <w:bottom w:val="single" w:color="auto" w:sz="4" w:space="0"/>
              <w:right w:val="single" w:color="auto" w:sz="4" w:space="0"/>
            </w:tcBorders>
            <w:shd w:val="clear" w:color="auto" w:fill="auto"/>
            <w:noWrap/>
            <w:vAlign w:val="bottom"/>
          </w:tcPr>
          <w:p w:rsidRPr="00706905" w:rsidR="008D121A" w:rsidP="008D121A" w:rsidRDefault="008D121A" w14:paraId="4FFAE827" w14:textId="77777777">
            <w:pPr>
              <w:widowControl/>
              <w:rPr>
                <w:rFonts w:ascii="Calibri" w:hAnsi="Calibri"/>
                <w:color w:val="000000"/>
                <w:sz w:val="16"/>
                <w:szCs w:val="16"/>
              </w:rPr>
            </w:pPr>
          </w:p>
        </w:tc>
        <w:tc>
          <w:tcPr>
            <w:tcW w:w="1833" w:type="dxa"/>
            <w:tcBorders>
              <w:top w:val="nil"/>
              <w:left w:val="nil"/>
              <w:bottom w:val="single" w:color="auto" w:sz="4" w:space="0"/>
              <w:right w:val="single" w:color="auto" w:sz="4" w:space="0"/>
            </w:tcBorders>
            <w:shd w:val="clear" w:color="000000" w:fill="808080"/>
            <w:noWrap/>
            <w:vAlign w:val="bottom"/>
          </w:tcPr>
          <w:p w:rsidRPr="00706905" w:rsidR="008D121A" w:rsidP="008D121A" w:rsidRDefault="008D121A" w14:paraId="67A8FA9B" w14:textId="77777777">
            <w:pPr>
              <w:widowControl/>
              <w:rPr>
                <w:rFonts w:ascii="Calibri" w:hAnsi="Calibri"/>
                <w:color w:val="000000"/>
                <w:sz w:val="16"/>
                <w:szCs w:val="16"/>
              </w:rPr>
            </w:pPr>
          </w:p>
        </w:tc>
        <w:tc>
          <w:tcPr>
            <w:tcW w:w="1584" w:type="dxa"/>
            <w:tcBorders>
              <w:top w:val="nil"/>
              <w:left w:val="nil"/>
              <w:bottom w:val="single" w:color="auto" w:sz="4" w:space="0"/>
              <w:right w:val="single" w:color="auto" w:sz="8" w:space="0"/>
            </w:tcBorders>
            <w:shd w:val="clear" w:color="auto" w:fill="auto"/>
            <w:noWrap/>
            <w:vAlign w:val="bottom"/>
          </w:tcPr>
          <w:p w:rsidRPr="00706905" w:rsidR="008D121A" w:rsidP="008D121A" w:rsidRDefault="00824F29" w14:paraId="58A2EF5D" w14:textId="4ECEF07D">
            <w:pPr>
              <w:widowControl/>
              <w:rPr>
                <w:rFonts w:ascii="Calibri" w:hAnsi="Calibri"/>
                <w:color w:val="000000"/>
                <w:sz w:val="16"/>
                <w:szCs w:val="16"/>
              </w:rPr>
            </w:pPr>
            <w:r>
              <w:rPr>
                <w:rFonts w:ascii="Calibri" w:hAnsi="Calibri"/>
                <w:color w:val="000000"/>
                <w:sz w:val="16"/>
                <w:szCs w:val="16"/>
              </w:rPr>
              <w:t>$210,000</w:t>
            </w:r>
          </w:p>
        </w:tc>
      </w:tr>
      <w:tr w:rsidRPr="00706905" w:rsidR="008D121A" w:rsidTr="00706905" w14:paraId="3EA4A36D" w14:textId="77777777">
        <w:trPr>
          <w:trHeight w:val="699"/>
        </w:trPr>
        <w:tc>
          <w:tcPr>
            <w:tcW w:w="2210" w:type="dxa"/>
            <w:tcBorders>
              <w:top w:val="nil"/>
              <w:left w:val="single" w:color="auto" w:sz="8" w:space="0"/>
              <w:bottom w:val="nil"/>
              <w:right w:val="single" w:color="auto" w:sz="8" w:space="0"/>
            </w:tcBorders>
            <w:shd w:val="clear" w:color="auto" w:fill="auto"/>
            <w:vAlign w:val="center"/>
            <w:hideMark/>
          </w:tcPr>
          <w:p w:rsidRPr="00706905" w:rsidR="008D121A" w:rsidP="008D121A" w:rsidRDefault="00824F29" w14:paraId="17413651" w14:textId="4522A131">
            <w:pPr>
              <w:widowControl/>
              <w:rPr>
                <w:rFonts w:ascii="Calibri" w:hAnsi="Calibri"/>
                <w:b/>
                <w:bCs/>
                <w:color w:val="000000"/>
                <w:sz w:val="16"/>
                <w:szCs w:val="16"/>
              </w:rPr>
            </w:pPr>
            <w:r>
              <w:rPr>
                <w:rFonts w:ascii="Calibri" w:hAnsi="Calibri"/>
                <w:b/>
                <w:bCs/>
                <w:color w:val="000000"/>
                <w:sz w:val="16"/>
                <w:szCs w:val="16"/>
              </w:rPr>
              <w:lastRenderedPageBreak/>
              <w:t>Other Costs::  PSMFC Ongoing</w:t>
            </w:r>
          </w:p>
        </w:tc>
        <w:tc>
          <w:tcPr>
            <w:tcW w:w="1402" w:type="dxa"/>
            <w:tcBorders>
              <w:top w:val="nil"/>
              <w:left w:val="nil"/>
              <w:bottom w:val="single" w:color="auto" w:sz="4" w:space="0"/>
              <w:right w:val="single" w:color="auto" w:sz="4" w:space="0"/>
            </w:tcBorders>
            <w:shd w:val="clear" w:color="000000" w:fill="808080"/>
            <w:noWrap/>
            <w:vAlign w:val="bottom"/>
            <w:hideMark/>
          </w:tcPr>
          <w:p w:rsidRPr="00706905" w:rsidR="008D121A" w:rsidP="008D121A" w:rsidRDefault="008D121A" w14:paraId="3BCD8E14" w14:textId="77777777">
            <w:pPr>
              <w:widowControl/>
              <w:rPr>
                <w:rFonts w:ascii="Calibri" w:hAnsi="Calibri"/>
                <w:color w:val="000000"/>
                <w:sz w:val="16"/>
                <w:szCs w:val="16"/>
              </w:rPr>
            </w:pPr>
            <w:r w:rsidRPr="00706905">
              <w:rPr>
                <w:rFonts w:ascii="Calibri" w:hAnsi="Calibri"/>
                <w:color w:val="000000"/>
                <w:sz w:val="16"/>
                <w:szCs w:val="16"/>
              </w:rPr>
              <w:t> </w:t>
            </w:r>
          </w:p>
        </w:tc>
        <w:tc>
          <w:tcPr>
            <w:tcW w:w="1658" w:type="dxa"/>
            <w:tcBorders>
              <w:top w:val="nil"/>
              <w:left w:val="nil"/>
              <w:bottom w:val="single" w:color="auto" w:sz="4" w:space="0"/>
              <w:right w:val="single" w:color="auto" w:sz="4" w:space="0"/>
            </w:tcBorders>
            <w:shd w:val="clear" w:color="000000" w:fill="808080"/>
            <w:noWrap/>
            <w:vAlign w:val="bottom"/>
            <w:hideMark/>
          </w:tcPr>
          <w:p w:rsidRPr="00706905" w:rsidR="008D121A" w:rsidP="008D121A" w:rsidRDefault="008D121A" w14:paraId="57D06823" w14:textId="77777777">
            <w:pPr>
              <w:widowControl/>
              <w:rPr>
                <w:rFonts w:ascii="Calibri" w:hAnsi="Calibri"/>
                <w:color w:val="000000"/>
                <w:sz w:val="16"/>
                <w:szCs w:val="16"/>
              </w:rPr>
            </w:pPr>
            <w:r w:rsidRPr="00706905">
              <w:rPr>
                <w:rFonts w:ascii="Calibri" w:hAnsi="Calibri"/>
                <w:color w:val="000000"/>
                <w:sz w:val="16"/>
                <w:szCs w:val="16"/>
              </w:rPr>
              <w:t> </w:t>
            </w:r>
          </w:p>
        </w:tc>
        <w:tc>
          <w:tcPr>
            <w:tcW w:w="986" w:type="dxa"/>
            <w:tcBorders>
              <w:top w:val="nil"/>
              <w:left w:val="nil"/>
              <w:bottom w:val="single" w:color="auto" w:sz="4" w:space="0"/>
              <w:right w:val="single" w:color="auto" w:sz="4" w:space="0"/>
            </w:tcBorders>
            <w:shd w:val="clear" w:color="000000" w:fill="808080"/>
            <w:noWrap/>
            <w:vAlign w:val="bottom"/>
            <w:hideMark/>
          </w:tcPr>
          <w:p w:rsidRPr="00706905" w:rsidR="008D121A" w:rsidP="008D121A" w:rsidRDefault="008D121A" w14:paraId="7137DC81" w14:textId="77777777">
            <w:pPr>
              <w:widowControl/>
              <w:rPr>
                <w:rFonts w:ascii="Calibri" w:hAnsi="Calibri"/>
                <w:color w:val="000000"/>
                <w:sz w:val="16"/>
                <w:szCs w:val="16"/>
              </w:rPr>
            </w:pPr>
            <w:r w:rsidRPr="00706905">
              <w:rPr>
                <w:rFonts w:ascii="Calibri" w:hAnsi="Calibri"/>
                <w:color w:val="000000"/>
                <w:sz w:val="16"/>
                <w:szCs w:val="16"/>
              </w:rPr>
              <w:t> </w:t>
            </w:r>
          </w:p>
        </w:tc>
        <w:tc>
          <w:tcPr>
            <w:tcW w:w="1833" w:type="dxa"/>
            <w:tcBorders>
              <w:top w:val="nil"/>
              <w:left w:val="nil"/>
              <w:bottom w:val="single" w:color="auto" w:sz="4" w:space="0"/>
              <w:right w:val="single" w:color="auto" w:sz="4" w:space="0"/>
            </w:tcBorders>
            <w:shd w:val="clear" w:color="000000" w:fill="808080"/>
            <w:noWrap/>
            <w:vAlign w:val="bottom"/>
            <w:hideMark/>
          </w:tcPr>
          <w:p w:rsidRPr="00706905" w:rsidR="008D121A" w:rsidP="008D121A" w:rsidRDefault="008D121A" w14:paraId="0713403F" w14:textId="77777777">
            <w:pPr>
              <w:widowControl/>
              <w:rPr>
                <w:rFonts w:ascii="Calibri" w:hAnsi="Calibri"/>
                <w:color w:val="000000"/>
                <w:sz w:val="16"/>
                <w:szCs w:val="16"/>
              </w:rPr>
            </w:pPr>
            <w:r w:rsidRPr="00706905">
              <w:rPr>
                <w:rFonts w:ascii="Calibri" w:hAnsi="Calibri"/>
                <w:color w:val="000000"/>
                <w:sz w:val="16"/>
                <w:szCs w:val="16"/>
              </w:rPr>
              <w:t> </w:t>
            </w:r>
          </w:p>
        </w:tc>
        <w:tc>
          <w:tcPr>
            <w:tcW w:w="1584" w:type="dxa"/>
            <w:tcBorders>
              <w:top w:val="nil"/>
              <w:left w:val="nil"/>
              <w:bottom w:val="single" w:color="auto" w:sz="4" w:space="0"/>
              <w:right w:val="single" w:color="auto" w:sz="8" w:space="0"/>
            </w:tcBorders>
            <w:shd w:val="clear" w:color="auto" w:fill="auto"/>
            <w:noWrap/>
            <w:vAlign w:val="bottom"/>
            <w:hideMark/>
          </w:tcPr>
          <w:p w:rsidRPr="00706905" w:rsidR="008D121A" w:rsidP="008D121A" w:rsidRDefault="008D121A" w14:paraId="08945C46" w14:textId="2E2BAFD1">
            <w:pPr>
              <w:widowControl/>
              <w:rPr>
                <w:rFonts w:ascii="Calibri" w:hAnsi="Calibri"/>
                <w:color w:val="000000"/>
                <w:sz w:val="16"/>
                <w:szCs w:val="16"/>
              </w:rPr>
            </w:pPr>
            <w:r w:rsidRPr="00706905">
              <w:rPr>
                <w:rFonts w:ascii="Calibri" w:hAnsi="Calibri"/>
                <w:color w:val="000000"/>
                <w:sz w:val="16"/>
                <w:szCs w:val="16"/>
              </w:rPr>
              <w:t> </w:t>
            </w:r>
            <w:r w:rsidR="004B073F">
              <w:rPr>
                <w:rFonts w:ascii="Calibri" w:hAnsi="Calibri"/>
                <w:color w:val="000000"/>
                <w:sz w:val="16"/>
                <w:szCs w:val="16"/>
              </w:rPr>
              <w:t>$36,480</w:t>
            </w:r>
          </w:p>
        </w:tc>
      </w:tr>
      <w:tr w:rsidRPr="00706905" w:rsidR="008D121A" w:rsidTr="00706905" w14:paraId="44BD3C87" w14:textId="77777777">
        <w:trPr>
          <w:trHeight w:val="399"/>
        </w:trPr>
        <w:tc>
          <w:tcPr>
            <w:tcW w:w="221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706905" w:rsidR="008D121A" w:rsidP="008D121A" w:rsidRDefault="008D121A" w14:paraId="4D1E56B4" w14:textId="77777777">
            <w:pPr>
              <w:widowControl/>
              <w:rPr>
                <w:rFonts w:ascii="Calibri" w:hAnsi="Calibri"/>
                <w:b/>
                <w:bCs/>
                <w:color w:val="000000"/>
                <w:sz w:val="16"/>
                <w:szCs w:val="16"/>
              </w:rPr>
            </w:pPr>
            <w:r w:rsidRPr="00706905">
              <w:rPr>
                <w:rFonts w:ascii="Calibri" w:hAnsi="Calibri"/>
                <w:b/>
                <w:bCs/>
                <w:color w:val="000000"/>
                <w:sz w:val="16"/>
                <w:szCs w:val="16"/>
              </w:rPr>
              <w:t>TOTAL</w:t>
            </w:r>
          </w:p>
        </w:tc>
        <w:tc>
          <w:tcPr>
            <w:tcW w:w="1402" w:type="dxa"/>
            <w:tcBorders>
              <w:top w:val="single" w:color="auto" w:sz="8" w:space="0"/>
              <w:left w:val="nil"/>
              <w:bottom w:val="single" w:color="auto" w:sz="8" w:space="0"/>
              <w:right w:val="single" w:color="auto" w:sz="8" w:space="0"/>
            </w:tcBorders>
            <w:shd w:val="clear" w:color="000000" w:fill="808080"/>
            <w:noWrap/>
            <w:vAlign w:val="bottom"/>
            <w:hideMark/>
          </w:tcPr>
          <w:p w:rsidRPr="00706905" w:rsidR="008D121A" w:rsidP="008D121A" w:rsidRDefault="008D121A" w14:paraId="1FF10385" w14:textId="77777777">
            <w:pPr>
              <w:widowControl/>
              <w:rPr>
                <w:rFonts w:ascii="Calibri" w:hAnsi="Calibri"/>
                <w:color w:val="000000"/>
                <w:sz w:val="16"/>
                <w:szCs w:val="16"/>
              </w:rPr>
            </w:pPr>
            <w:r w:rsidRPr="00706905">
              <w:rPr>
                <w:rFonts w:ascii="Calibri" w:hAnsi="Calibri"/>
                <w:color w:val="000000"/>
                <w:sz w:val="16"/>
                <w:szCs w:val="16"/>
              </w:rPr>
              <w:t> </w:t>
            </w:r>
          </w:p>
        </w:tc>
        <w:tc>
          <w:tcPr>
            <w:tcW w:w="1658" w:type="dxa"/>
            <w:tcBorders>
              <w:top w:val="single" w:color="auto" w:sz="8" w:space="0"/>
              <w:left w:val="nil"/>
              <w:bottom w:val="single" w:color="auto" w:sz="8" w:space="0"/>
              <w:right w:val="single" w:color="auto" w:sz="8" w:space="0"/>
            </w:tcBorders>
            <w:shd w:val="clear" w:color="000000" w:fill="DDEBF7"/>
            <w:noWrap/>
            <w:vAlign w:val="bottom"/>
            <w:hideMark/>
          </w:tcPr>
          <w:p w:rsidRPr="00706905" w:rsidR="008D121A" w:rsidP="008D121A" w:rsidRDefault="008D121A" w14:paraId="7C20CDC5" w14:textId="77777777">
            <w:pPr>
              <w:widowControl/>
              <w:rPr>
                <w:rFonts w:ascii="Calibri" w:hAnsi="Calibri"/>
                <w:color w:val="000000"/>
                <w:sz w:val="16"/>
                <w:szCs w:val="16"/>
              </w:rPr>
            </w:pPr>
            <w:r w:rsidRPr="00706905">
              <w:rPr>
                <w:rFonts w:ascii="Calibri" w:hAnsi="Calibri"/>
                <w:color w:val="000000"/>
                <w:sz w:val="16"/>
                <w:szCs w:val="16"/>
              </w:rPr>
              <w:t> </w:t>
            </w:r>
          </w:p>
        </w:tc>
        <w:tc>
          <w:tcPr>
            <w:tcW w:w="986" w:type="dxa"/>
            <w:tcBorders>
              <w:top w:val="single" w:color="auto" w:sz="8" w:space="0"/>
              <w:left w:val="nil"/>
              <w:bottom w:val="single" w:color="auto" w:sz="8" w:space="0"/>
              <w:right w:val="single" w:color="auto" w:sz="8" w:space="0"/>
            </w:tcBorders>
            <w:shd w:val="clear" w:color="000000" w:fill="757171"/>
            <w:noWrap/>
            <w:vAlign w:val="bottom"/>
            <w:hideMark/>
          </w:tcPr>
          <w:p w:rsidRPr="00706905" w:rsidR="008D121A" w:rsidP="008D121A" w:rsidRDefault="008D121A" w14:paraId="1182F136" w14:textId="77777777">
            <w:pPr>
              <w:widowControl/>
              <w:rPr>
                <w:rFonts w:ascii="Calibri" w:hAnsi="Calibri"/>
                <w:color w:val="000000"/>
                <w:sz w:val="16"/>
                <w:szCs w:val="16"/>
              </w:rPr>
            </w:pPr>
            <w:r w:rsidRPr="00706905">
              <w:rPr>
                <w:rFonts w:ascii="Calibri" w:hAnsi="Calibri"/>
                <w:color w:val="000000"/>
                <w:sz w:val="16"/>
                <w:szCs w:val="16"/>
              </w:rPr>
              <w:t> </w:t>
            </w:r>
          </w:p>
        </w:tc>
        <w:tc>
          <w:tcPr>
            <w:tcW w:w="1833" w:type="dxa"/>
            <w:tcBorders>
              <w:top w:val="single" w:color="auto" w:sz="8" w:space="0"/>
              <w:left w:val="nil"/>
              <w:bottom w:val="single" w:color="auto" w:sz="8" w:space="0"/>
              <w:right w:val="single" w:color="auto" w:sz="8" w:space="0"/>
            </w:tcBorders>
            <w:shd w:val="clear" w:color="000000" w:fill="DDEBF7"/>
            <w:noWrap/>
            <w:vAlign w:val="bottom"/>
            <w:hideMark/>
          </w:tcPr>
          <w:p w:rsidRPr="00706905" w:rsidR="008D121A" w:rsidP="008D121A" w:rsidRDefault="008D121A" w14:paraId="676C54CB" w14:textId="77777777">
            <w:pPr>
              <w:widowControl/>
              <w:rPr>
                <w:rFonts w:ascii="Calibri" w:hAnsi="Calibri"/>
                <w:color w:val="000000"/>
                <w:sz w:val="16"/>
                <w:szCs w:val="16"/>
              </w:rPr>
            </w:pPr>
            <w:r w:rsidRPr="00706905">
              <w:rPr>
                <w:rFonts w:ascii="Calibri" w:hAnsi="Calibri"/>
                <w:color w:val="000000"/>
                <w:sz w:val="16"/>
                <w:szCs w:val="16"/>
              </w:rPr>
              <w:t> </w:t>
            </w:r>
          </w:p>
        </w:tc>
        <w:tc>
          <w:tcPr>
            <w:tcW w:w="1584" w:type="dxa"/>
            <w:tcBorders>
              <w:top w:val="single" w:color="auto" w:sz="8" w:space="0"/>
              <w:left w:val="nil"/>
              <w:bottom w:val="single" w:color="auto" w:sz="8" w:space="0"/>
              <w:right w:val="single" w:color="auto" w:sz="8" w:space="0"/>
            </w:tcBorders>
            <w:shd w:val="clear" w:color="000000" w:fill="DDEBF7"/>
            <w:noWrap/>
            <w:vAlign w:val="bottom"/>
            <w:hideMark/>
          </w:tcPr>
          <w:p w:rsidRPr="00824F29" w:rsidR="008D121A" w:rsidP="00824F29" w:rsidRDefault="008D121A" w14:paraId="41FDE815" w14:textId="7BA112DD">
            <w:pPr>
              <w:widowControl/>
              <w:rPr>
                <w:rFonts w:ascii="Calibri" w:hAnsi="Calibri"/>
                <w:b/>
                <w:color w:val="000000"/>
                <w:sz w:val="16"/>
                <w:szCs w:val="16"/>
              </w:rPr>
            </w:pPr>
            <w:r w:rsidRPr="00824F29">
              <w:rPr>
                <w:rFonts w:ascii="Calibri" w:hAnsi="Calibri"/>
                <w:b/>
                <w:color w:val="000000"/>
                <w:sz w:val="16"/>
                <w:szCs w:val="16"/>
              </w:rPr>
              <w:t> </w:t>
            </w:r>
            <w:r w:rsidRPr="00824F29" w:rsidR="00824F29">
              <w:rPr>
                <w:rFonts w:ascii="Calibri" w:hAnsi="Calibri"/>
                <w:b/>
                <w:color w:val="000000"/>
                <w:sz w:val="16"/>
                <w:szCs w:val="16"/>
              </w:rPr>
              <w:t>262,176</w:t>
            </w:r>
          </w:p>
        </w:tc>
      </w:tr>
    </w:tbl>
    <w:p w:rsidR="00407C26" w:rsidP="00407C26" w:rsidRDefault="00407C26" w14:paraId="681AEF77" w14:textId="77777777">
      <w:pPr>
        <w:pBdr>
          <w:top w:val="nil"/>
          <w:left w:val="nil"/>
          <w:bottom w:val="nil"/>
          <w:right w:val="nil"/>
          <w:between w:val="nil"/>
        </w:pBdr>
        <w:tabs>
          <w:tab w:val="left" w:pos="360"/>
        </w:tabs>
        <w:spacing w:before="80"/>
        <w:rPr>
          <w:color w:val="000000"/>
        </w:rPr>
      </w:pPr>
    </w:p>
    <w:p w:rsidR="00897DCD" w:rsidRDefault="00BA1FB6" w14:paraId="4834945D"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Pr="006669EC" w:rsidR="009D0895" w:rsidRDefault="009D0895" w14:paraId="04DAE178" w14:textId="08AEEF88">
      <w:pPr>
        <w:pBdr>
          <w:top w:val="nil"/>
          <w:left w:val="nil"/>
          <w:bottom w:val="nil"/>
          <w:right w:val="nil"/>
          <w:between w:val="nil"/>
        </w:pBdr>
        <w:spacing w:before="159"/>
      </w:pPr>
      <w:r w:rsidRPr="006669EC">
        <w:t xml:space="preserve">This is a temporary new ICR that </w:t>
      </w:r>
      <w:proofErr w:type="gramStart"/>
      <w:r w:rsidRPr="006669EC">
        <w:t>will later be merged</w:t>
      </w:r>
      <w:proofErr w:type="gramEnd"/>
      <w:r w:rsidRPr="006669EC">
        <w:t xml:space="preserve"> with the existing ICR for the West Coast Trawl Logbook (</w:t>
      </w:r>
      <w:r w:rsidRPr="006669EC" w:rsidR="006669EC">
        <w:t>#</w:t>
      </w:r>
      <w:r w:rsidR="00682716">
        <w:t>0648-</w:t>
      </w:r>
      <w:r w:rsidRPr="006669EC" w:rsidR="006669EC">
        <w:t xml:space="preserve">0782). </w:t>
      </w:r>
    </w:p>
    <w:p w:rsidR="00897DCD" w:rsidRDefault="00897DCD" w14:paraId="724498D3" w14:textId="77777777">
      <w:pPr>
        <w:pBdr>
          <w:top w:val="nil"/>
          <w:left w:val="nil"/>
          <w:bottom w:val="nil"/>
          <w:right w:val="nil"/>
          <w:between w:val="nil"/>
        </w:pBdr>
        <w:spacing w:before="7"/>
        <w:rPr>
          <w:b/>
          <w:color w:val="000000"/>
        </w:rPr>
      </w:pPr>
    </w:p>
    <w:p w:rsidR="00897DCD" w:rsidRDefault="00BA1FB6" w14:paraId="4CA7C698"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For collections of information whose results </w:t>
      </w:r>
      <w:proofErr w:type="gramStart"/>
      <w:r>
        <w:rPr>
          <w:b/>
          <w:color w:val="000000"/>
        </w:rPr>
        <w:t>will be published</w:t>
      </w:r>
      <w:proofErr w:type="gramEnd"/>
      <w:r>
        <w:rPr>
          <w:b/>
          <w:color w:val="000000"/>
        </w:rPr>
        <w:t xml:space="preserve">, outline plans for tabulation and publication. Address any complex analytical techniques that </w:t>
      </w:r>
      <w:proofErr w:type="gramStart"/>
      <w:r>
        <w:rPr>
          <w:b/>
          <w:color w:val="000000"/>
        </w:rPr>
        <w:t>will be used</w:t>
      </w:r>
      <w:proofErr w:type="gramEnd"/>
      <w:r>
        <w:rPr>
          <w:b/>
          <w:color w:val="000000"/>
        </w:rPr>
        <w:t>. Provide the time schedule for the entire project, including beginning and ending dates of the collection of information, completion of report, publication dates, and other actions.</w:t>
      </w:r>
    </w:p>
    <w:p w:rsidR="006669EC" w:rsidP="006669EC" w:rsidRDefault="006669EC" w14:paraId="737330FA" w14:textId="77777777"/>
    <w:p w:rsidR="006669EC" w:rsidP="006669EC" w:rsidRDefault="006669EC" w14:paraId="53B62BA0" w14:textId="7967B688">
      <w:r w:rsidRPr="006669EC">
        <w:t xml:space="preserve">No </w:t>
      </w:r>
      <w:r>
        <w:t xml:space="preserve">logbook data </w:t>
      </w:r>
      <w:proofErr w:type="gramStart"/>
      <w:r>
        <w:t>would be</w:t>
      </w:r>
      <w:r w:rsidRPr="006669EC">
        <w:t xml:space="preserve"> published</w:t>
      </w:r>
      <w:proofErr w:type="gramEnd"/>
      <w:r w:rsidRPr="006669EC">
        <w:t xml:space="preserve"> as a regular procedure. However, the information collected</w:t>
      </w:r>
      <w:r>
        <w:t xml:space="preserve"> would be</w:t>
      </w:r>
      <w:r w:rsidRPr="006669EC">
        <w:t xml:space="preserve"> used to inform fishery management and may be published in analyses</w:t>
      </w:r>
      <w:r w:rsidR="00A42FDA">
        <w:t xml:space="preserve"> (</w:t>
      </w:r>
      <w:r w:rsidRPr="00A42FDA" w:rsidR="00A42FDA">
        <w:rPr>
          <w:i/>
        </w:rPr>
        <w:t>e.g.</w:t>
      </w:r>
      <w:r w:rsidR="00A42FDA">
        <w:t>, PFMC Groundfish Management Team analyses</w:t>
      </w:r>
      <w:r w:rsidR="00E74482">
        <w:t>)</w:t>
      </w:r>
      <w:r w:rsidRPr="006669EC">
        <w:t>, to the extent allowable under confidentiality rules</w:t>
      </w:r>
      <w:r>
        <w:t>.</w:t>
      </w:r>
    </w:p>
    <w:p w:rsidRPr="006669EC" w:rsidR="006669EC" w:rsidP="006669EC" w:rsidRDefault="006669EC" w14:paraId="71B1C845" w14:textId="77777777"/>
    <w:p w:rsidR="00897DCD" w:rsidRDefault="00BA1FB6" w14:paraId="09F6EB4B"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seeking approval </w:t>
      </w:r>
      <w:proofErr w:type="gramStart"/>
      <w:r>
        <w:rPr>
          <w:b/>
          <w:color w:val="000000"/>
        </w:rPr>
        <w:t>to not display</w:t>
      </w:r>
      <w:proofErr w:type="gramEnd"/>
      <w:r>
        <w:rPr>
          <w:b/>
          <w:color w:val="000000"/>
        </w:rPr>
        <w:t xml:space="preserve"> the expiration date for OMB approval of the information collection, explain the reasons that display would be inappropriate.</w:t>
      </w:r>
    </w:p>
    <w:p w:rsidRPr="00E840CF" w:rsidR="00E840CF" w:rsidRDefault="00E840CF" w14:paraId="4C47828B" w14:textId="48699F64">
      <w:pPr>
        <w:spacing w:before="161"/>
      </w:pPr>
      <w:r w:rsidRPr="00E840CF">
        <w:t>The agency plans to display the expiration date for OMB approval of the information</w:t>
      </w:r>
      <w:r>
        <w:t xml:space="preserve"> collection on all instruments.</w:t>
      </w:r>
    </w:p>
    <w:p w:rsidRPr="006669EC" w:rsidR="00E74482" w:rsidP="006669EC" w:rsidRDefault="00E74482" w14:paraId="6A891B8D" w14:textId="433EE998"/>
    <w:p w:rsidRPr="00B365B6" w:rsidR="002E27A6" w:rsidP="00B365B6" w:rsidRDefault="00BA1FB6" w14:paraId="3A4872B8" w14:textId="0612AA2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2E27A6" w:rsidP="00C363D8" w:rsidRDefault="002E27A6" w14:paraId="3945D92A" w14:textId="223099E9">
      <w:pPr>
        <w:spacing w:before="221" w:line="259" w:lineRule="auto"/>
      </w:pPr>
      <w:r>
        <w:t>The agency certifies compliance with</w:t>
      </w:r>
      <w:r w:rsidR="00E840CF">
        <w:t xml:space="preserve"> </w:t>
      </w:r>
      <w:r>
        <w:t>al</w:t>
      </w:r>
      <w:r w:rsidR="00E840CF">
        <w:t>l</w:t>
      </w:r>
      <w:r>
        <w:t xml:space="preserve"> other requirements under </w:t>
      </w:r>
      <w:hyperlink r:id="rId14">
        <w:r>
          <w:rPr>
            <w:color w:val="0563C1"/>
            <w:u w:val="single"/>
          </w:rPr>
          <w:t>5 CFR 1320.9</w:t>
        </w:r>
      </w:hyperlink>
      <w:hyperlink r:id="rId15">
        <w:r>
          <w:rPr>
            <w:color w:val="0563C1"/>
          </w:rPr>
          <w:t xml:space="preserve"> </w:t>
        </w:r>
      </w:hyperlink>
      <w:r>
        <w:t xml:space="preserve">and the related provisions of </w:t>
      </w:r>
      <w:hyperlink r:id="rId16">
        <w:r>
          <w:rPr>
            <w:color w:val="0563C1"/>
            <w:u w:val="single"/>
          </w:rPr>
          <w:t>5 CFR</w:t>
        </w:r>
      </w:hyperlink>
      <w:r>
        <w:rPr>
          <w:color w:val="0563C1"/>
        </w:rPr>
        <w:t xml:space="preserve"> </w:t>
      </w:r>
      <w:hyperlink r:id="rId17">
        <w:r>
          <w:rPr>
            <w:color w:val="0563C1"/>
            <w:u w:val="single"/>
          </w:rPr>
          <w:t>1320.8(b)(3)</w:t>
        </w:r>
      </w:hyperlink>
      <w:r>
        <w:t>.</w:t>
      </w:r>
    </w:p>
    <w:p w:rsidRPr="000725EB" w:rsidR="002E27A6" w:rsidP="002E27A6" w:rsidRDefault="002E27A6" w14:paraId="03B98F4B" w14:textId="77777777"/>
    <w:sectPr w:rsidRPr="000725EB" w:rsidR="002E27A6">
      <w:footerReference w:type="default" r:id="rId18"/>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96C70" w14:textId="77777777" w:rsidR="00AD06ED" w:rsidRDefault="00AD06ED">
      <w:r>
        <w:separator/>
      </w:r>
    </w:p>
  </w:endnote>
  <w:endnote w:type="continuationSeparator" w:id="0">
    <w:p w14:paraId="281806A2" w14:textId="77777777" w:rsidR="00AD06ED" w:rsidRDefault="00AD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3C4A6" w14:textId="39A4F9BE" w:rsidR="009232C3" w:rsidRDefault="009232C3">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A3197" w14:textId="77777777" w:rsidR="00AD06ED" w:rsidRDefault="00AD06ED">
      <w:r>
        <w:separator/>
      </w:r>
    </w:p>
  </w:footnote>
  <w:footnote w:type="continuationSeparator" w:id="0">
    <w:p w14:paraId="30D9F886" w14:textId="77777777" w:rsidR="00AD06ED" w:rsidRDefault="00AD0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A96"/>
    <w:multiLevelType w:val="multilevel"/>
    <w:tmpl w:val="30C2F5B2"/>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 w15:restartNumberingAfterBreak="0">
    <w:nsid w:val="0DA815D0"/>
    <w:multiLevelType w:val="multilevel"/>
    <w:tmpl w:val="21D6539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15:restartNumberingAfterBreak="0">
    <w:nsid w:val="0E517772"/>
    <w:multiLevelType w:val="multilevel"/>
    <w:tmpl w:val="3D7E7FD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15:restartNumberingAfterBreak="0">
    <w:nsid w:val="12254991"/>
    <w:multiLevelType w:val="multilevel"/>
    <w:tmpl w:val="F49ED65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15:restartNumberingAfterBreak="0">
    <w:nsid w:val="28E173AC"/>
    <w:multiLevelType w:val="multilevel"/>
    <w:tmpl w:val="CC9CF56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15:restartNumberingAfterBreak="0">
    <w:nsid w:val="2DEA1326"/>
    <w:multiLevelType w:val="multilevel"/>
    <w:tmpl w:val="BD060102"/>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6" w15:restartNumberingAfterBreak="0">
    <w:nsid w:val="309E5074"/>
    <w:multiLevelType w:val="multilevel"/>
    <w:tmpl w:val="849E3AC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15:restartNumberingAfterBreak="0">
    <w:nsid w:val="41F33A02"/>
    <w:multiLevelType w:val="multilevel"/>
    <w:tmpl w:val="2502251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15:restartNumberingAfterBreak="0">
    <w:nsid w:val="6C6B1468"/>
    <w:multiLevelType w:val="multilevel"/>
    <w:tmpl w:val="FEE2D02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15:restartNumberingAfterBreak="0">
    <w:nsid w:val="74750DDA"/>
    <w:multiLevelType w:val="hybridMultilevel"/>
    <w:tmpl w:val="0EC85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E7081"/>
    <w:multiLevelType w:val="multilevel"/>
    <w:tmpl w:val="8F12530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1" w15:restartNumberingAfterBreak="0">
    <w:nsid w:val="7D2014BB"/>
    <w:multiLevelType w:val="multilevel"/>
    <w:tmpl w:val="F796C702"/>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num w:numId="1">
    <w:abstractNumId w:val="10"/>
  </w:num>
  <w:num w:numId="2">
    <w:abstractNumId w:val="5"/>
  </w:num>
  <w:num w:numId="3">
    <w:abstractNumId w:val="1"/>
  </w:num>
  <w:num w:numId="4">
    <w:abstractNumId w:val="6"/>
  </w:num>
  <w:num w:numId="5">
    <w:abstractNumId w:val="8"/>
  </w:num>
  <w:num w:numId="6">
    <w:abstractNumId w:val="7"/>
  </w:num>
  <w:num w:numId="7">
    <w:abstractNumId w:val="2"/>
  </w:num>
  <w:num w:numId="8">
    <w:abstractNumId w:val="3"/>
  </w:num>
  <w:num w:numId="9">
    <w:abstractNumId w:val="11"/>
  </w:num>
  <w:num w:numId="10">
    <w:abstractNumId w:val="4"/>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CD"/>
    <w:rsid w:val="00043446"/>
    <w:rsid w:val="0004393F"/>
    <w:rsid w:val="000458BF"/>
    <w:rsid w:val="0006009F"/>
    <w:rsid w:val="00060A9A"/>
    <w:rsid w:val="000701FB"/>
    <w:rsid w:val="00075459"/>
    <w:rsid w:val="000A7590"/>
    <w:rsid w:val="000A79DC"/>
    <w:rsid w:val="00127BEE"/>
    <w:rsid w:val="00136BA4"/>
    <w:rsid w:val="00137B01"/>
    <w:rsid w:val="00137F62"/>
    <w:rsid w:val="00146A6B"/>
    <w:rsid w:val="001524F5"/>
    <w:rsid w:val="00155F0E"/>
    <w:rsid w:val="00191CB4"/>
    <w:rsid w:val="001B6A63"/>
    <w:rsid w:val="001D145B"/>
    <w:rsid w:val="001F07ED"/>
    <w:rsid w:val="0022715C"/>
    <w:rsid w:val="00260696"/>
    <w:rsid w:val="00261200"/>
    <w:rsid w:val="002C005F"/>
    <w:rsid w:val="002E27A6"/>
    <w:rsid w:val="002E6746"/>
    <w:rsid w:val="00300670"/>
    <w:rsid w:val="003035DD"/>
    <w:rsid w:val="00316C70"/>
    <w:rsid w:val="00340A58"/>
    <w:rsid w:val="003816CC"/>
    <w:rsid w:val="00390DC1"/>
    <w:rsid w:val="003C3843"/>
    <w:rsid w:val="00405E69"/>
    <w:rsid w:val="004075FD"/>
    <w:rsid w:val="00407C26"/>
    <w:rsid w:val="004205D3"/>
    <w:rsid w:val="004248F1"/>
    <w:rsid w:val="00440F0D"/>
    <w:rsid w:val="004529B0"/>
    <w:rsid w:val="00456C99"/>
    <w:rsid w:val="00465005"/>
    <w:rsid w:val="0048279F"/>
    <w:rsid w:val="004B073F"/>
    <w:rsid w:val="004C75B1"/>
    <w:rsid w:val="004D0922"/>
    <w:rsid w:val="004F41D5"/>
    <w:rsid w:val="0050736D"/>
    <w:rsid w:val="0053709B"/>
    <w:rsid w:val="005408D6"/>
    <w:rsid w:val="0055307D"/>
    <w:rsid w:val="005A15EB"/>
    <w:rsid w:val="005D2528"/>
    <w:rsid w:val="005D44D7"/>
    <w:rsid w:val="00602465"/>
    <w:rsid w:val="00612EBC"/>
    <w:rsid w:val="00623733"/>
    <w:rsid w:val="0063002C"/>
    <w:rsid w:val="00635484"/>
    <w:rsid w:val="006669EC"/>
    <w:rsid w:val="00676B9E"/>
    <w:rsid w:val="00682716"/>
    <w:rsid w:val="0069364C"/>
    <w:rsid w:val="006A47C2"/>
    <w:rsid w:val="006B2B9C"/>
    <w:rsid w:val="006C58AE"/>
    <w:rsid w:val="006E2C49"/>
    <w:rsid w:val="006F6C2B"/>
    <w:rsid w:val="00706905"/>
    <w:rsid w:val="0071264B"/>
    <w:rsid w:val="007512AD"/>
    <w:rsid w:val="0079412A"/>
    <w:rsid w:val="007B0055"/>
    <w:rsid w:val="007B26BC"/>
    <w:rsid w:val="007C3B14"/>
    <w:rsid w:val="007D0F41"/>
    <w:rsid w:val="007D1E1C"/>
    <w:rsid w:val="007D2032"/>
    <w:rsid w:val="007D4CDB"/>
    <w:rsid w:val="007D662E"/>
    <w:rsid w:val="007E0026"/>
    <w:rsid w:val="00802326"/>
    <w:rsid w:val="00813ACA"/>
    <w:rsid w:val="00815EB7"/>
    <w:rsid w:val="00824F29"/>
    <w:rsid w:val="00854161"/>
    <w:rsid w:val="0086362C"/>
    <w:rsid w:val="008765FE"/>
    <w:rsid w:val="00897DCD"/>
    <w:rsid w:val="008B5209"/>
    <w:rsid w:val="008C62A3"/>
    <w:rsid w:val="008D121A"/>
    <w:rsid w:val="008D7330"/>
    <w:rsid w:val="008F2EF7"/>
    <w:rsid w:val="008F3C80"/>
    <w:rsid w:val="00903FDB"/>
    <w:rsid w:val="009232C3"/>
    <w:rsid w:val="009250BF"/>
    <w:rsid w:val="009252E5"/>
    <w:rsid w:val="00926721"/>
    <w:rsid w:val="009417AB"/>
    <w:rsid w:val="00956993"/>
    <w:rsid w:val="00990716"/>
    <w:rsid w:val="009C1F49"/>
    <w:rsid w:val="009D0895"/>
    <w:rsid w:val="009E2032"/>
    <w:rsid w:val="00A12369"/>
    <w:rsid w:val="00A165E9"/>
    <w:rsid w:val="00A42FDA"/>
    <w:rsid w:val="00A5435A"/>
    <w:rsid w:val="00A56BDA"/>
    <w:rsid w:val="00A72119"/>
    <w:rsid w:val="00A73E66"/>
    <w:rsid w:val="00A93186"/>
    <w:rsid w:val="00AC1100"/>
    <w:rsid w:val="00AD06ED"/>
    <w:rsid w:val="00AE3DD0"/>
    <w:rsid w:val="00AF5B2A"/>
    <w:rsid w:val="00AF78A9"/>
    <w:rsid w:val="00B12B95"/>
    <w:rsid w:val="00B14C68"/>
    <w:rsid w:val="00B365B6"/>
    <w:rsid w:val="00B61975"/>
    <w:rsid w:val="00B74254"/>
    <w:rsid w:val="00BA1FB6"/>
    <w:rsid w:val="00BA568B"/>
    <w:rsid w:val="00BA776C"/>
    <w:rsid w:val="00BB1DC7"/>
    <w:rsid w:val="00BC19E9"/>
    <w:rsid w:val="00BE082E"/>
    <w:rsid w:val="00C15DDD"/>
    <w:rsid w:val="00C238BA"/>
    <w:rsid w:val="00C360A1"/>
    <w:rsid w:val="00C363D8"/>
    <w:rsid w:val="00C4186B"/>
    <w:rsid w:val="00C554F4"/>
    <w:rsid w:val="00C55D17"/>
    <w:rsid w:val="00C55F62"/>
    <w:rsid w:val="00C642D0"/>
    <w:rsid w:val="00C71D54"/>
    <w:rsid w:val="00C758FE"/>
    <w:rsid w:val="00CA4BAE"/>
    <w:rsid w:val="00CE718A"/>
    <w:rsid w:val="00CF5A42"/>
    <w:rsid w:val="00D21E8B"/>
    <w:rsid w:val="00D23100"/>
    <w:rsid w:val="00D43159"/>
    <w:rsid w:val="00D75C3B"/>
    <w:rsid w:val="00D952F5"/>
    <w:rsid w:val="00DD0396"/>
    <w:rsid w:val="00DD2C43"/>
    <w:rsid w:val="00E32661"/>
    <w:rsid w:val="00E62779"/>
    <w:rsid w:val="00E73612"/>
    <w:rsid w:val="00E74482"/>
    <w:rsid w:val="00E7653A"/>
    <w:rsid w:val="00E840CF"/>
    <w:rsid w:val="00E84477"/>
    <w:rsid w:val="00E967F5"/>
    <w:rsid w:val="00EC28B7"/>
    <w:rsid w:val="00EC7842"/>
    <w:rsid w:val="00F06BC7"/>
    <w:rsid w:val="00F1058F"/>
    <w:rsid w:val="00F764E4"/>
    <w:rsid w:val="00F83D45"/>
    <w:rsid w:val="00FA4B9B"/>
    <w:rsid w:val="00FB561B"/>
    <w:rsid w:val="00FC7100"/>
    <w:rsid w:val="00FE1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4630D"/>
  <w15:docId w15:val="{86F7864F-027B-45D5-A253-204EBDBD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styleId="FootnoteText">
    <w:name w:val="footnote text"/>
    <w:basedOn w:val="Normal"/>
    <w:link w:val="FootnoteTextChar"/>
    <w:uiPriority w:val="99"/>
    <w:semiHidden/>
    <w:unhideWhenUsed/>
    <w:rsid w:val="00C55D17"/>
    <w:pPr>
      <w:widowControl/>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C55D17"/>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C55D17"/>
    <w:rPr>
      <w:vertAlign w:val="superscript"/>
    </w:rPr>
  </w:style>
  <w:style w:type="paragraph" w:styleId="CommentSubject">
    <w:name w:val="annotation subject"/>
    <w:basedOn w:val="CommentText"/>
    <w:next w:val="CommentText"/>
    <w:link w:val="CommentSubjectChar"/>
    <w:uiPriority w:val="99"/>
    <w:semiHidden/>
    <w:unhideWhenUsed/>
    <w:rsid w:val="0053709B"/>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53709B"/>
    <w:rPr>
      <w:rFonts w:ascii="Arial" w:eastAsia="Arial" w:hAnsi="Arial" w:cs="Arial"/>
      <w:b/>
      <w:bCs/>
      <w:color w:val="2E53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83637">
      <w:bodyDiv w:val="1"/>
      <w:marLeft w:val="0"/>
      <w:marRight w:val="0"/>
      <w:marTop w:val="0"/>
      <w:marBottom w:val="0"/>
      <w:divBdr>
        <w:top w:val="none" w:sz="0" w:space="0" w:color="auto"/>
        <w:left w:val="none" w:sz="0" w:space="0" w:color="auto"/>
        <w:bottom w:val="none" w:sz="0" w:space="0" w:color="auto"/>
        <w:right w:val="none" w:sz="0" w:space="0" w:color="auto"/>
      </w:divBdr>
    </w:div>
    <w:div w:id="1040546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mmerce.gov/sites/default/files/2022-01/rpStandard-22.pdf"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federalregister.gov/documents/2008/12/31/E8-30778/magnuson-stevens-act-provisions-fisheries-off-west-coast-states-pacific-coast-groundfish-fishery" TargetMode="External"/><Relationship Id="rId17" Type="http://schemas.openxmlformats.org/officeDocument/2006/relationships/hyperlink" Target="http://www.gpo.gov/fdsys/pkg/CFR-2014-title5-vol3/pdf/CFR-2014-title5-vol3-sec1320-8.pdf" TargetMode="External"/><Relationship Id="rId2" Type="http://schemas.openxmlformats.org/officeDocument/2006/relationships/customXml" Target="../customXml/item2.xml"/><Relationship Id="rId16" Type="http://schemas.openxmlformats.org/officeDocument/2006/relationships/hyperlink" Target="http://www.gpo.gov/fdsys/pkg/CFR-2014-title5-vol3/pdf/CFR-2014-title5-vol3-sec1320-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council.org/wp-content/uploads/2015/06/D4a_Sup_GF_ESA_WrkgrpRpt_JUN2015BB.pdf" TargetMode="External"/><Relationship Id="rId5" Type="http://schemas.openxmlformats.org/officeDocument/2006/relationships/settings" Target="settings.xml"/><Relationship Id="rId15" Type="http://schemas.openxmlformats.org/officeDocument/2006/relationships/hyperlink" Target="http://www.gpo.gov/fdsys/pkg/CFR-2014-title5-vol3/pdf/CFR-2014-title5-vol3-sec1320-9.pdf" TargetMode="External"/><Relationship Id="rId10" Type="http://schemas.openxmlformats.org/officeDocument/2006/relationships/hyperlink" Target="http://www.pcouncil.org/wp-content/uploads/2017/03/F5a_ESA_Workgroup_Rpt_3-17-2017_Apr2017BB.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pcouncil.org/documents/2021/06/g-4-a-groundfish-endangered-species-act-workgroup-report.pdf/" TargetMode="External"/><Relationship Id="rId14"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2ACE46-A608-469F-AD82-4F040900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3823</Words>
  <Characters>21793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Janet.Peery</cp:lastModifiedBy>
  <cp:revision>7</cp:revision>
  <dcterms:created xsi:type="dcterms:W3CDTF">2022-05-06T15:38:00Z</dcterms:created>
  <dcterms:modified xsi:type="dcterms:W3CDTF">2022-05-11T18:15:00Z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