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66375" w:rsidP="00866375" w:rsidRDefault="00866375" w14:paraId="2AEEA654"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866375" w:rsidP="00866375" w:rsidRDefault="00866375" w14:paraId="206FBAAF" w14:textId="77777777">
      <w:pPr>
        <w:spacing w:before="22" w:line="259" w:lineRule="auto"/>
        <w:ind w:firstLine="14"/>
        <w:jc w:val="center"/>
        <w:rPr>
          <w:b/>
        </w:rPr>
      </w:pPr>
      <w:r w:rsidRPr="00BD7237">
        <w:rPr>
          <w:b/>
        </w:rPr>
        <w:t>U.S. Department of Commerce</w:t>
      </w:r>
    </w:p>
    <w:p w:rsidRPr="00BD7237" w:rsidR="00866375" w:rsidP="00866375" w:rsidRDefault="00866375" w14:paraId="7959A110" w14:textId="77777777">
      <w:pPr>
        <w:spacing w:before="22" w:line="259" w:lineRule="auto"/>
        <w:ind w:firstLine="14"/>
        <w:jc w:val="center"/>
        <w:rPr>
          <w:b/>
        </w:rPr>
      </w:pPr>
      <w:r w:rsidRPr="00BD7237">
        <w:rPr>
          <w:b/>
        </w:rPr>
        <w:t>National Oceanic &amp; Atmospheric Administration</w:t>
      </w:r>
    </w:p>
    <w:p w:rsidRPr="009D161C" w:rsidR="00094069" w:rsidP="00BC041A" w:rsidRDefault="00094069" w14:paraId="304A8CF6" w14:textId="1F317997">
      <w:pPr>
        <w:jc w:val="center"/>
        <w:rPr>
          <w:b/>
          <w:bCs/>
        </w:rPr>
      </w:pPr>
      <w:r>
        <w:rPr>
          <w:b/>
          <w:bCs/>
        </w:rPr>
        <w:t>P</w:t>
      </w:r>
      <w:r w:rsidR="00866375">
        <w:rPr>
          <w:b/>
          <w:bCs/>
        </w:rPr>
        <w:t>ort State</w:t>
      </w:r>
      <w:r>
        <w:rPr>
          <w:b/>
          <w:bCs/>
        </w:rPr>
        <w:t xml:space="preserve"> M</w:t>
      </w:r>
      <w:r w:rsidR="00866375">
        <w:rPr>
          <w:b/>
          <w:bCs/>
        </w:rPr>
        <w:t>easures</w:t>
      </w:r>
      <w:r>
        <w:rPr>
          <w:b/>
          <w:bCs/>
        </w:rPr>
        <w:t xml:space="preserve"> A</w:t>
      </w:r>
      <w:r w:rsidR="00866375">
        <w:rPr>
          <w:b/>
          <w:bCs/>
        </w:rPr>
        <w:t>greement</w:t>
      </w:r>
      <w:r>
        <w:rPr>
          <w:b/>
          <w:bCs/>
        </w:rPr>
        <w:t xml:space="preserve"> I</w:t>
      </w:r>
      <w:r w:rsidR="00866375">
        <w:rPr>
          <w:b/>
          <w:bCs/>
        </w:rPr>
        <w:t>mplementation</w:t>
      </w:r>
    </w:p>
    <w:p w:rsidRPr="009D161C" w:rsidR="00094069" w:rsidP="00BC041A" w:rsidRDefault="00094069" w14:paraId="370E8532" w14:textId="0A7CF63B">
      <w:pPr>
        <w:jc w:val="center"/>
        <w:rPr>
          <w:b/>
          <w:bCs/>
        </w:rPr>
      </w:pPr>
      <w:r w:rsidRPr="009D161C">
        <w:rPr>
          <w:b/>
          <w:bCs/>
        </w:rPr>
        <w:t>OMB C</w:t>
      </w:r>
      <w:r w:rsidR="00866375">
        <w:rPr>
          <w:b/>
          <w:bCs/>
        </w:rPr>
        <w:t>ontrol No</w:t>
      </w:r>
      <w:r w:rsidRPr="009D161C">
        <w:rPr>
          <w:b/>
          <w:bCs/>
        </w:rPr>
        <w:t>. 0648-</w:t>
      </w:r>
      <w:r w:rsidRPr="0065126E">
        <w:rPr>
          <w:b/>
          <w:bCs/>
        </w:rPr>
        <w:t>XXXX</w:t>
      </w:r>
    </w:p>
    <w:p w:rsidR="00866375" w:rsidP="00BC041A" w:rsidRDefault="00866375" w14:paraId="65413E4E" w14:textId="77777777"/>
    <w:p w:rsidRPr="00866375" w:rsidR="00866375" w:rsidP="00BC041A" w:rsidRDefault="00866375" w14:paraId="5A7B66C5" w14:textId="2ECCC53F">
      <w:pPr>
        <w:rPr>
          <w:b/>
        </w:rPr>
      </w:pPr>
      <w:r w:rsidRPr="00866375">
        <w:rPr>
          <w:b/>
        </w:rPr>
        <w:t>Abstract</w:t>
      </w:r>
      <w:r w:rsidRPr="00866375" w:rsidR="00094069">
        <w:rPr>
          <w:b/>
        </w:rPr>
        <w:br/>
      </w:r>
    </w:p>
    <w:p w:rsidR="00094069" w:rsidP="00BC041A" w:rsidRDefault="00094069" w14:paraId="4318A21C" w14:textId="4A312593">
      <w:r w:rsidRPr="009D161C">
        <w:t>The National Marine Fisheries Service (NMFS)</w:t>
      </w:r>
      <w:r>
        <w:t xml:space="preserve"> seeks a new </w:t>
      </w:r>
      <w:r w:rsidRPr="009D161C">
        <w:t xml:space="preserve">information collection affecting </w:t>
      </w:r>
      <w:r>
        <w:t>foreign</w:t>
      </w:r>
      <w:r w:rsidRPr="009D161C">
        <w:t xml:space="preserve"> fishing vessels</w:t>
      </w:r>
      <w:r w:rsidRPr="00632672" w:rsidR="00632672">
        <w:t xml:space="preserve"> </w:t>
      </w:r>
      <w:r w:rsidRPr="00094069" w:rsidR="00632672">
        <w:t xml:space="preserve">and </w:t>
      </w:r>
      <w:r w:rsidR="00632672">
        <w:t xml:space="preserve">foreign </w:t>
      </w:r>
      <w:r w:rsidRPr="00094069" w:rsidR="00632672">
        <w:t xml:space="preserve">vessels engaged in fishing related activities </w:t>
      </w:r>
      <w:r w:rsidR="00632672">
        <w:t>seeking</w:t>
      </w:r>
      <w:r w:rsidRPr="00094069" w:rsidR="00632672">
        <w:t xml:space="preserve"> </w:t>
      </w:r>
      <w:r w:rsidR="00632672">
        <w:t xml:space="preserve">access </w:t>
      </w:r>
      <w:r w:rsidRPr="00094069" w:rsidR="00632672">
        <w:t>to U.S. ports</w:t>
      </w:r>
      <w:r w:rsidRPr="009D161C">
        <w:t xml:space="preserve">. This request is associated with a </w:t>
      </w:r>
      <w:r>
        <w:t>proposed rule, RIN 0648-BG11</w:t>
      </w:r>
      <w:r w:rsidRPr="009D161C">
        <w:t>, to</w:t>
      </w:r>
      <w:r>
        <w:t xml:space="preserve"> </w:t>
      </w:r>
      <w:r w:rsidRPr="00094069">
        <w:t xml:space="preserve">establish expanded information submission requirements for </w:t>
      </w:r>
      <w:r w:rsidR="001B5C76">
        <w:t>these vessels</w:t>
      </w:r>
      <w:r w:rsidRPr="00094069">
        <w:t>, as well as</w:t>
      </w:r>
      <w:r w:rsidR="001B5C76">
        <w:t xml:space="preserve"> to</w:t>
      </w:r>
      <w:r w:rsidRPr="00094069">
        <w:t xml:space="preserve"> establish circumstances under which port entry and access </w:t>
      </w:r>
      <w:proofErr w:type="gramStart"/>
      <w:r w:rsidRPr="00094069">
        <w:t>is authorized or denied</w:t>
      </w:r>
      <w:proofErr w:type="gramEnd"/>
      <w:r w:rsidRPr="00094069">
        <w:t xml:space="preserve"> and </w:t>
      </w:r>
      <w:r w:rsidR="001B5C76">
        <w:t xml:space="preserve">to </w:t>
      </w:r>
      <w:r w:rsidRPr="00094069">
        <w:t>establish notification requirements for communicating port entry and access determinations.</w:t>
      </w:r>
      <w:r w:rsidR="00746E75">
        <w:t xml:space="preserve"> </w:t>
      </w:r>
    </w:p>
    <w:p w:rsidRPr="009D161C" w:rsidR="00BC041A" w:rsidP="00BC041A" w:rsidRDefault="00BC041A" w14:paraId="230FE8EF" w14:textId="77777777"/>
    <w:p w:rsidRPr="00866375" w:rsidR="00BC041A" w:rsidP="00BC041A" w:rsidRDefault="00866375" w14:paraId="12177DF8" w14:textId="03E7BBC7">
      <w:pPr>
        <w:rPr>
          <w:b/>
          <w:bCs/>
        </w:rPr>
      </w:pPr>
      <w:r>
        <w:rPr>
          <w:b/>
          <w:bCs/>
        </w:rPr>
        <w:t>Justification</w:t>
      </w:r>
    </w:p>
    <w:p w:rsidRPr="00BD7237" w:rsidR="00866375" w:rsidP="00866375" w:rsidRDefault="00094069" w14:paraId="6B0060C6" w14:textId="77777777">
      <w:pPr>
        <w:pStyle w:val="ListParagraph"/>
        <w:widowControl w:val="0"/>
        <w:tabs>
          <w:tab w:val="left" w:pos="360"/>
        </w:tabs>
        <w:autoSpaceDE w:val="0"/>
        <w:autoSpaceDN w:val="0"/>
        <w:spacing w:before="182" w:line="259" w:lineRule="auto"/>
        <w:ind w:left="0"/>
        <w:contextualSpacing w:val="0"/>
        <w:rPr>
          <w:b/>
        </w:rPr>
      </w:pPr>
      <w:r w:rsidRPr="009D161C">
        <w:rPr>
          <w:b/>
          <w:bCs/>
        </w:rPr>
        <w:t xml:space="preserve">1. </w:t>
      </w:r>
      <w:r w:rsidRPr="00BD7237" w:rsidR="0086637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041A" w:rsidP="00BC041A" w:rsidRDefault="00BC041A" w14:paraId="323B1B8A" w14:textId="251ACCD1">
      <w:pPr>
        <w:ind w:right="100"/>
      </w:pPr>
    </w:p>
    <w:p w:rsidR="004558EC" w:rsidP="00BC041A" w:rsidRDefault="00746E75" w14:paraId="209C4B23" w14:textId="77777777">
      <w:pPr>
        <w:ind w:right="100"/>
      </w:pPr>
      <w:r>
        <w:t>T</w:t>
      </w:r>
      <w:r w:rsidRPr="00746E75">
        <w:t>he Illegal, Unreported, and Unregulated Fishing Enforcement Act of 2015 (or “the IUU Fishing Act”)</w:t>
      </w:r>
      <w:r w:rsidR="00946016">
        <w:t xml:space="preserve">, </w:t>
      </w:r>
      <w:r w:rsidRPr="00746E75">
        <w:t>provides authority to implement</w:t>
      </w:r>
      <w:r w:rsidR="000A484E">
        <w:t>, among other things,</w:t>
      </w:r>
      <w:r w:rsidRPr="00746E75">
        <w:t xml:space="preserve"> the United Nations Food and Agriculture Organization (UN FAO) Agreement on Port State Measures to Prevent, Deter and Eliminate Illegal, Unreported and Unregulated Fishing </w:t>
      </w:r>
      <w:r w:rsidR="000A484E">
        <w:t>(Port State Measures Agreement). The Port State Measures Agreement</w:t>
      </w:r>
      <w:r w:rsidRPr="00746E75">
        <w:t xml:space="preserve"> requires parties to control entry into their respective ports by foreign vessels, conduct inspections on foreign vessels, and restrict activities of vessels that </w:t>
      </w:r>
      <w:proofErr w:type="gramStart"/>
      <w:r w:rsidRPr="00746E75">
        <w:t>are known</w:t>
      </w:r>
      <w:proofErr w:type="gramEnd"/>
      <w:r w:rsidRPr="00746E75">
        <w:t xml:space="preserve"> to be or are suspected of engaging in illegal, unreported and unregulated (IUU) fishing or fishing related activities in support of such fishing. </w:t>
      </w:r>
    </w:p>
    <w:p w:rsidR="00BC041A" w:rsidP="00BC041A" w:rsidRDefault="00BC041A" w14:paraId="26FB3490" w14:textId="77777777">
      <w:pPr>
        <w:ind w:right="100"/>
      </w:pPr>
    </w:p>
    <w:p w:rsidR="004558EC" w:rsidP="00BC041A" w:rsidRDefault="00946016" w14:paraId="0E1C50A8" w14:textId="3AF8079C">
      <w:pPr>
        <w:ind w:right="100"/>
      </w:pPr>
      <w:r>
        <w:t xml:space="preserve">In order to comply with </w:t>
      </w:r>
      <w:r w:rsidR="00632672">
        <w:t xml:space="preserve">requirements of </w:t>
      </w:r>
      <w:r>
        <w:t xml:space="preserve">Annex A of the </w:t>
      </w:r>
      <w:hyperlink w:history="1" r:id="rId8">
        <w:r w:rsidRPr="004D428D">
          <w:rPr>
            <w:rStyle w:val="Hyperlink"/>
          </w:rPr>
          <w:t>Port State Measures Agreement</w:t>
        </w:r>
      </w:hyperlink>
      <w:r>
        <w:t>, entitled</w:t>
      </w:r>
      <w:r w:rsidR="00632672">
        <w:t>,</w:t>
      </w:r>
      <w:r>
        <w:t xml:space="preserve"> “Information to be provided in advance by vessels requesting port entry,” </w:t>
      </w:r>
      <w:r w:rsidR="004558EC">
        <w:t xml:space="preserve">NMFS is preparing a proposed rule to require </w:t>
      </w:r>
      <w:r w:rsidR="000A484E">
        <w:t xml:space="preserve">the collection of </w:t>
      </w:r>
      <w:r>
        <w:t>additional information</w:t>
      </w:r>
      <w:r w:rsidR="004558EC">
        <w:t xml:space="preserve"> </w:t>
      </w:r>
      <w:r>
        <w:t xml:space="preserve">from foreign fishing vessels and </w:t>
      </w:r>
      <w:r w:rsidR="000A484E">
        <w:t xml:space="preserve">foreign </w:t>
      </w:r>
      <w:r>
        <w:t xml:space="preserve">vessels engaged in fishing related activities bound for a U.S. port. </w:t>
      </w:r>
      <w:r w:rsidR="004558EC">
        <w:t>The U.S. Coast Guard currently collects a majority of the information required by Annex A</w:t>
      </w:r>
      <w:r w:rsidR="00632672">
        <w:t xml:space="preserve"> through the Notice of Arrival process</w:t>
      </w:r>
      <w:r w:rsidR="004558EC">
        <w:t>, but t</w:t>
      </w:r>
      <w:r>
        <w:t xml:space="preserve">he proposed action </w:t>
      </w:r>
      <w:r w:rsidR="000A484E">
        <w:t>details</w:t>
      </w:r>
      <w:r w:rsidR="00C63148">
        <w:t xml:space="preserve"> the additional</w:t>
      </w:r>
      <w:r>
        <w:t xml:space="preserve"> information submission requirements</w:t>
      </w:r>
      <w:r w:rsidR="00053C01">
        <w:t xml:space="preserve"> </w:t>
      </w:r>
      <w:r w:rsidR="00A4601D">
        <w:t xml:space="preserve">not currently collected by the U.S. Coast Guard, </w:t>
      </w:r>
      <w:r w:rsidR="00632672">
        <w:t>including</w:t>
      </w:r>
      <w:r>
        <w:t xml:space="preserve">: </w:t>
      </w:r>
    </w:p>
    <w:p w:rsidR="00BC041A" w:rsidP="00BC041A" w:rsidRDefault="00BC041A" w14:paraId="6F4EF66C" w14:textId="77777777">
      <w:pPr>
        <w:ind w:right="100"/>
      </w:pPr>
    </w:p>
    <w:p w:rsidRPr="00053C01" w:rsidR="00053C01" w:rsidP="00053C01" w:rsidRDefault="00053C01" w14:paraId="435092AF" w14:textId="77777777">
      <w:pPr>
        <w:pStyle w:val="ListParagraph"/>
        <w:numPr>
          <w:ilvl w:val="0"/>
          <w:numId w:val="2"/>
        </w:numPr>
        <w:ind w:right="100"/>
      </w:pPr>
      <w:r>
        <w:rPr>
          <w:u w:val="single"/>
        </w:rPr>
        <w:t>Type of Vessel</w:t>
      </w:r>
      <w:r w:rsidRPr="00053C01">
        <w:t xml:space="preserve">: All </w:t>
      </w:r>
      <w:proofErr w:type="spellStart"/>
      <w:r w:rsidRPr="00053C01">
        <w:t>eNOAD</w:t>
      </w:r>
      <w:proofErr w:type="spellEnd"/>
      <w:r w:rsidRPr="00053C01">
        <w:t xml:space="preserve"> users will be required to submit their Vessel Class. For those that are “Fishing Vessel[s]” or “Fishing Support Vessel[s]”, users will be required to submit Vessel Type, and Vessel Sub-Type.</w:t>
      </w:r>
      <w:r>
        <w:rPr>
          <w:u w:val="single"/>
        </w:rPr>
        <w:t xml:space="preserve"> </w:t>
      </w:r>
      <w:r w:rsidRPr="00053C01">
        <w:rPr>
          <w:u w:val="single"/>
        </w:rPr>
        <w:t xml:space="preserve"> </w:t>
      </w:r>
    </w:p>
    <w:p w:rsidR="004558EC" w:rsidP="00BC041A" w:rsidRDefault="004558EC" w14:paraId="05180A63" w14:textId="77777777">
      <w:pPr>
        <w:pStyle w:val="ListParagraph"/>
        <w:numPr>
          <w:ilvl w:val="0"/>
          <w:numId w:val="2"/>
        </w:numPr>
        <w:ind w:right="100"/>
      </w:pPr>
      <w:r w:rsidRPr="00B928CD">
        <w:rPr>
          <w:u w:val="single"/>
        </w:rPr>
        <w:t>Certificate of Registry Identification</w:t>
      </w:r>
      <w:r w:rsidR="00632672">
        <w:t xml:space="preserve">: </w:t>
      </w:r>
      <w:r w:rsidR="00053C01">
        <w:t>Foreign fishing vessels and fishing support vessels will be required to submit i</w:t>
      </w:r>
      <w:r w:rsidR="00B928CD">
        <w:t>nformation related to the flag State</w:t>
      </w:r>
      <w:r w:rsidRPr="00B928CD" w:rsidR="00B928CD">
        <w:t xml:space="preserve"> in which the vessel is registered</w:t>
      </w:r>
      <w:r w:rsidR="00B928CD">
        <w:t xml:space="preserve"> and </w:t>
      </w:r>
      <w:r w:rsidR="00053C01">
        <w:t xml:space="preserve">unique </w:t>
      </w:r>
      <w:r w:rsidR="00B928CD">
        <w:t xml:space="preserve">ID code. </w:t>
      </w:r>
    </w:p>
    <w:p w:rsidRPr="00B928CD" w:rsidR="004558EC" w:rsidP="00BC041A" w:rsidRDefault="004558EC" w14:paraId="06531E08" w14:textId="77777777">
      <w:pPr>
        <w:pStyle w:val="ListParagraph"/>
        <w:numPr>
          <w:ilvl w:val="0"/>
          <w:numId w:val="2"/>
        </w:numPr>
        <w:ind w:right="100"/>
      </w:pPr>
      <w:r w:rsidRPr="00B928CD">
        <w:rPr>
          <w:u w:val="single"/>
        </w:rPr>
        <w:lastRenderedPageBreak/>
        <w:t>External Identification</w:t>
      </w:r>
      <w:r w:rsidR="00632672">
        <w:t xml:space="preserve">: </w:t>
      </w:r>
      <w:r w:rsidR="00053C01">
        <w:t>Foreign fishing vessels and fishing support vessels will be required to submit information related to</w:t>
      </w:r>
      <w:r w:rsidRPr="00B928CD" w:rsidR="00053C01">
        <w:t xml:space="preserve"> </w:t>
      </w:r>
      <w:r w:rsidR="00053C01">
        <w:t>v</w:t>
      </w:r>
      <w:r w:rsidRPr="00B928CD" w:rsidR="00B928CD">
        <w:t>essel identification documentation and information relating to the flag State or international records of vessels</w:t>
      </w:r>
      <w:r w:rsidR="00B928CD">
        <w:t>.</w:t>
      </w:r>
    </w:p>
    <w:p w:rsidR="004558EC" w:rsidP="00BC041A" w:rsidRDefault="004558EC" w14:paraId="3DB3D6DF" w14:textId="77777777">
      <w:pPr>
        <w:pStyle w:val="ListParagraph"/>
        <w:numPr>
          <w:ilvl w:val="0"/>
          <w:numId w:val="2"/>
        </w:numPr>
        <w:ind w:right="100"/>
      </w:pPr>
      <w:r w:rsidRPr="00B928CD">
        <w:rPr>
          <w:u w:val="single"/>
        </w:rPr>
        <w:t>RFMO Identification</w:t>
      </w:r>
      <w:r w:rsidR="00632672">
        <w:t xml:space="preserve">: </w:t>
      </w:r>
      <w:r w:rsidR="00053C01">
        <w:t>Foreign fishing vessels and fishing support vessels will be required to submit information related to</w:t>
      </w:r>
      <w:r w:rsidRPr="00B928CD" w:rsidR="00053C01">
        <w:t xml:space="preserve"> </w:t>
      </w:r>
      <w:r w:rsidR="00053C01">
        <w:t>r</w:t>
      </w:r>
      <w:r w:rsidRPr="00B928CD" w:rsidR="00B928CD">
        <w:t>elevant Regional Fisheries Management Organizations (RFMOs) documentation (e.g. RFMO registration number)</w:t>
      </w:r>
      <w:r w:rsidR="00053C01">
        <w:t>.</w:t>
      </w:r>
    </w:p>
    <w:p w:rsidR="004558EC" w:rsidP="00BC041A" w:rsidRDefault="004558EC" w14:paraId="37470B2B" w14:textId="77777777">
      <w:pPr>
        <w:pStyle w:val="ListParagraph"/>
        <w:numPr>
          <w:ilvl w:val="0"/>
          <w:numId w:val="2"/>
        </w:numPr>
        <w:ind w:right="100"/>
      </w:pPr>
      <w:r w:rsidRPr="00B928CD">
        <w:rPr>
          <w:u w:val="single"/>
        </w:rPr>
        <w:t>Vessel Monitoring System Information</w:t>
      </w:r>
      <w:r w:rsidR="00632672">
        <w:t xml:space="preserve">: </w:t>
      </w:r>
      <w:r w:rsidR="00053C01">
        <w:t>Foreign fishing vessels and fishing support vessels will be required to submit information related to</w:t>
      </w:r>
      <w:r w:rsidRPr="00B928CD" w:rsidR="00053C01">
        <w:t xml:space="preserve"> </w:t>
      </w:r>
      <w:r w:rsidR="00053C01">
        <w:t>the V</w:t>
      </w:r>
      <w:r w:rsidRPr="00B928CD" w:rsidR="00B928CD">
        <w:t>essel Monitoring System (VMS)</w:t>
      </w:r>
      <w:r w:rsidR="00053C01">
        <w:t xml:space="preserve"> on board</w:t>
      </w:r>
      <w:r w:rsidRPr="00B928CD" w:rsidR="00B928CD">
        <w:t>.</w:t>
      </w:r>
    </w:p>
    <w:p w:rsidR="00B928CD" w:rsidP="00BC041A" w:rsidRDefault="004558EC" w14:paraId="3B844883" w14:textId="77777777">
      <w:pPr>
        <w:pStyle w:val="ListParagraph"/>
        <w:numPr>
          <w:ilvl w:val="0"/>
          <w:numId w:val="2"/>
        </w:numPr>
        <w:ind w:right="100"/>
      </w:pPr>
      <w:r w:rsidRPr="00B928CD">
        <w:rPr>
          <w:u w:val="single"/>
        </w:rPr>
        <w:t>Vessel Dimensions</w:t>
      </w:r>
      <w:r w:rsidR="00632672">
        <w:t xml:space="preserve">: </w:t>
      </w:r>
      <w:r w:rsidR="00053C01">
        <w:t>Foreign fishing vessels and fishing support vessels will be required to submit v</w:t>
      </w:r>
      <w:r w:rsidR="00B928CD">
        <w:t>essel c</w:t>
      </w:r>
      <w:r w:rsidRPr="00B928CD" w:rsidR="00B928CD">
        <w:t xml:space="preserve">haracteristics </w:t>
      </w:r>
      <w:r w:rsidR="00053C01">
        <w:t xml:space="preserve">including </w:t>
      </w:r>
      <w:r w:rsidRPr="00B928CD" w:rsidR="00B928CD">
        <w:t>length</w:t>
      </w:r>
      <w:r w:rsidR="00053C01">
        <w:t xml:space="preserve"> overall</w:t>
      </w:r>
      <w:r w:rsidRPr="00B928CD" w:rsidR="00B928CD">
        <w:t>, beam, and draft in meters or feet</w:t>
      </w:r>
    </w:p>
    <w:p w:rsidR="004558EC" w:rsidP="00BC041A" w:rsidRDefault="004558EC" w14:paraId="5CDEA5E6" w14:textId="77777777">
      <w:pPr>
        <w:pStyle w:val="ListParagraph"/>
        <w:numPr>
          <w:ilvl w:val="0"/>
          <w:numId w:val="2"/>
        </w:numPr>
        <w:ind w:right="100"/>
      </w:pPr>
      <w:r w:rsidRPr="00B928CD">
        <w:rPr>
          <w:u w:val="single"/>
        </w:rPr>
        <w:t>Purpose(s) for Port Call</w:t>
      </w:r>
      <w:r w:rsidR="00053C01">
        <w:t>: Foreign fishing vessels and fishing support vessels will be required to submit information related to</w:t>
      </w:r>
      <w:r w:rsidR="00B928CD">
        <w:t xml:space="preserve"> v</w:t>
      </w:r>
      <w:r w:rsidRPr="00B928CD" w:rsidR="00B928CD">
        <w:t>essel log</w:t>
      </w:r>
      <w:r w:rsidR="00053C01">
        <w:t xml:space="preserve">istics (e.g. replenishing food and/or </w:t>
      </w:r>
      <w:r w:rsidRPr="00B928CD" w:rsidR="00B928CD">
        <w:t>fuel, offloading catch</w:t>
      </w:r>
      <w:r w:rsidR="00053C01">
        <w:t>, transshipping</w:t>
      </w:r>
      <w:r w:rsidRPr="00B928CD" w:rsidR="00B928CD">
        <w:t>)</w:t>
      </w:r>
      <w:r w:rsidR="00B928CD">
        <w:t>.</w:t>
      </w:r>
    </w:p>
    <w:p w:rsidR="004558EC" w:rsidP="00BC041A" w:rsidRDefault="004558EC" w14:paraId="648F605D" w14:textId="77777777">
      <w:pPr>
        <w:pStyle w:val="ListParagraph"/>
        <w:numPr>
          <w:ilvl w:val="0"/>
          <w:numId w:val="2"/>
        </w:numPr>
        <w:ind w:right="100"/>
      </w:pPr>
      <w:r w:rsidRPr="00B928CD">
        <w:rPr>
          <w:u w:val="single"/>
        </w:rPr>
        <w:t>Relevant Fishing Authorization(s)</w:t>
      </w:r>
      <w:r w:rsidR="00053C01">
        <w:t>: Foreign fishing vessels and fishing support vessels will be required to submit information related to</w:t>
      </w:r>
      <w:r w:rsidRPr="00B928CD" w:rsidR="00053C01">
        <w:t xml:space="preserve"> </w:t>
      </w:r>
      <w:r w:rsidR="00053C01">
        <w:t>t</w:t>
      </w:r>
      <w:r w:rsidR="00B928CD">
        <w:t>he identifier, issuer,</w:t>
      </w:r>
      <w:r w:rsidR="00F75106">
        <w:t xml:space="preserve"> and</w:t>
      </w:r>
      <w:r w:rsidR="00B928CD">
        <w:t xml:space="preserve"> v</w:t>
      </w:r>
      <w:r w:rsidRPr="004558EC">
        <w:t>alidity</w:t>
      </w:r>
      <w:r w:rsidR="00F75106">
        <w:t xml:space="preserve"> of relevant fishing authorizations, including the fishing a</w:t>
      </w:r>
      <w:r w:rsidRPr="004558EC">
        <w:t xml:space="preserve">rea(s), </w:t>
      </w:r>
      <w:r w:rsidR="00F75106">
        <w:t>s</w:t>
      </w:r>
      <w:r w:rsidRPr="004558EC">
        <w:t>pecies,</w:t>
      </w:r>
      <w:r>
        <w:t xml:space="preserve"> and</w:t>
      </w:r>
      <w:r w:rsidR="00F75106">
        <w:t xml:space="preserve"> g</w:t>
      </w:r>
      <w:r w:rsidRPr="004558EC">
        <w:t>ear</w:t>
      </w:r>
      <w:r w:rsidR="00F75106">
        <w:t xml:space="preserve"> t</w:t>
      </w:r>
      <w:r>
        <w:t>ype</w:t>
      </w:r>
      <w:r w:rsidR="00F75106">
        <w:t>s covered.</w:t>
      </w:r>
      <w:r w:rsidR="00B928CD">
        <w:t xml:space="preserve"> </w:t>
      </w:r>
    </w:p>
    <w:p w:rsidR="004558EC" w:rsidP="00BC041A" w:rsidRDefault="004558EC" w14:paraId="6B70BAA1" w14:textId="77777777">
      <w:pPr>
        <w:pStyle w:val="ListParagraph"/>
        <w:numPr>
          <w:ilvl w:val="0"/>
          <w:numId w:val="2"/>
        </w:numPr>
        <w:ind w:right="100"/>
      </w:pPr>
      <w:r w:rsidRPr="00F75106">
        <w:rPr>
          <w:u w:val="single"/>
        </w:rPr>
        <w:t>Relevant</w:t>
      </w:r>
      <w:r w:rsidRPr="00F75106" w:rsidR="00F75106">
        <w:rPr>
          <w:u w:val="single"/>
        </w:rPr>
        <w:t xml:space="preserve"> Transshipment Authorization(s)</w:t>
      </w:r>
      <w:r w:rsidR="00F75106">
        <w:t xml:space="preserve">: </w:t>
      </w:r>
      <w:r w:rsidR="00053C01">
        <w:t>Foreign fishing vessels and fishing support vessels will be required to submit information related to</w:t>
      </w:r>
      <w:r w:rsidRPr="00B928CD" w:rsidR="00053C01">
        <w:t xml:space="preserve"> </w:t>
      </w:r>
      <w:r w:rsidR="00053C01">
        <w:t xml:space="preserve">the </w:t>
      </w:r>
      <w:r w:rsidR="00F75106">
        <w:t>identifier, issuer, and v</w:t>
      </w:r>
      <w:r w:rsidRPr="004558EC" w:rsidR="00F75106">
        <w:t>alidity</w:t>
      </w:r>
      <w:r w:rsidR="00F75106">
        <w:t xml:space="preserve"> of relevant transshipment authorizations.</w:t>
      </w:r>
    </w:p>
    <w:p w:rsidR="004558EC" w:rsidP="00BC041A" w:rsidRDefault="004558EC" w14:paraId="5EB4B370" w14:textId="77777777">
      <w:pPr>
        <w:pStyle w:val="ListParagraph"/>
        <w:numPr>
          <w:ilvl w:val="0"/>
          <w:numId w:val="2"/>
        </w:numPr>
        <w:ind w:right="100"/>
      </w:pPr>
      <w:r w:rsidRPr="00F75106">
        <w:rPr>
          <w:u w:val="single"/>
        </w:rPr>
        <w:t>Transs</w:t>
      </w:r>
      <w:r w:rsidR="00F75106">
        <w:rPr>
          <w:u w:val="single"/>
        </w:rPr>
        <w:t>hipment Information concerning Donor V</w:t>
      </w:r>
      <w:r w:rsidRPr="00F75106">
        <w:rPr>
          <w:u w:val="single"/>
        </w:rPr>
        <w:t>essel</w:t>
      </w:r>
      <w:r w:rsidRPr="00F75106" w:rsidR="00F75106">
        <w:rPr>
          <w:u w:val="single"/>
        </w:rPr>
        <w:t>(</w:t>
      </w:r>
      <w:r w:rsidRPr="00F75106">
        <w:rPr>
          <w:u w:val="single"/>
        </w:rPr>
        <w:t>s</w:t>
      </w:r>
      <w:r w:rsidRPr="00F75106" w:rsidR="00F75106">
        <w:rPr>
          <w:u w:val="single"/>
        </w:rPr>
        <w:t>)</w:t>
      </w:r>
      <w:r w:rsidRPr="004558EC">
        <w:t xml:space="preserve">: </w:t>
      </w:r>
      <w:r w:rsidR="00053C01">
        <w:t>Foreign fishing vessels and fishing support vessels will be required to submit information r</w:t>
      </w:r>
      <w:r w:rsidR="00F75106">
        <w:t>egarding donor vessel(s) including the name, flag State, ID number of the donor vessel(s), the date and location of transshipment, and the species, p</w:t>
      </w:r>
      <w:r w:rsidRPr="004558EC">
        <w:t>roduc</w:t>
      </w:r>
      <w:r>
        <w:t xml:space="preserve">t </w:t>
      </w:r>
      <w:r w:rsidR="00F75106">
        <w:t>form, c</w:t>
      </w:r>
      <w:r>
        <w:t xml:space="preserve">atch </w:t>
      </w:r>
      <w:r w:rsidR="00F75106">
        <w:t>area, and q</w:t>
      </w:r>
      <w:r>
        <w:t>uality</w:t>
      </w:r>
      <w:r w:rsidR="00F75106">
        <w:t xml:space="preserve"> of the products received from the donor vessel(s).</w:t>
      </w:r>
    </w:p>
    <w:p w:rsidR="004558EC" w:rsidP="00BC041A" w:rsidRDefault="004558EC" w14:paraId="5554C0C1" w14:textId="77777777">
      <w:pPr>
        <w:pStyle w:val="ListParagraph"/>
        <w:numPr>
          <w:ilvl w:val="0"/>
          <w:numId w:val="2"/>
        </w:numPr>
        <w:ind w:right="100"/>
      </w:pPr>
      <w:r w:rsidRPr="00F75106">
        <w:rPr>
          <w:u w:val="single"/>
        </w:rPr>
        <w:t>Total Catch Onboard</w:t>
      </w:r>
      <w:r w:rsidR="00F75106">
        <w:t xml:space="preserve">: </w:t>
      </w:r>
      <w:r w:rsidR="00053C01">
        <w:t>Foreign fishing vessels and fishing support vessels will be required to submit information related to</w:t>
      </w:r>
      <w:r w:rsidRPr="00B928CD" w:rsidR="00053C01">
        <w:t xml:space="preserve"> </w:t>
      </w:r>
      <w:r w:rsidR="00053C01">
        <w:t>the s</w:t>
      </w:r>
      <w:r w:rsidR="00F75106">
        <w:t xml:space="preserve">pecies, product form(s), catch area(s), and quantity of the total catch onboard. </w:t>
      </w:r>
    </w:p>
    <w:p w:rsidR="00B928CD" w:rsidP="00BC041A" w:rsidRDefault="004558EC" w14:paraId="2F7389A0" w14:textId="77777777">
      <w:pPr>
        <w:pStyle w:val="ListParagraph"/>
        <w:numPr>
          <w:ilvl w:val="0"/>
          <w:numId w:val="2"/>
        </w:numPr>
        <w:ind w:right="100"/>
      </w:pPr>
      <w:r w:rsidRPr="00F75106">
        <w:rPr>
          <w:u w:val="single"/>
        </w:rPr>
        <w:t xml:space="preserve">Catch </w:t>
      </w:r>
      <w:r w:rsidRPr="00F75106" w:rsidR="00B928CD">
        <w:rPr>
          <w:u w:val="single"/>
        </w:rPr>
        <w:t>to be Offloaded</w:t>
      </w:r>
      <w:r w:rsidR="00F75106">
        <w:t xml:space="preserve">: </w:t>
      </w:r>
      <w:r w:rsidR="00053C01">
        <w:t>Foreign fishing vessels and fishing support vessels will be required to submit information related to</w:t>
      </w:r>
      <w:r w:rsidRPr="00B928CD" w:rsidR="00053C01">
        <w:t xml:space="preserve"> </w:t>
      </w:r>
      <w:r w:rsidR="00053C01">
        <w:t xml:space="preserve">the </w:t>
      </w:r>
      <w:r w:rsidR="00F75106">
        <w:t>species, product form(s), catch area(s), and quantity of the total catch to be offloaded.</w:t>
      </w:r>
    </w:p>
    <w:p w:rsidR="00BC041A" w:rsidP="00BC041A" w:rsidRDefault="00BC041A" w14:paraId="7E738CF9" w14:textId="77777777">
      <w:pPr>
        <w:ind w:right="100"/>
      </w:pPr>
    </w:p>
    <w:p w:rsidRPr="00BD7237" w:rsidR="00866375" w:rsidP="00866375" w:rsidRDefault="00094069" w14:paraId="79D1C0ED" w14:textId="77777777">
      <w:pPr>
        <w:pStyle w:val="Heading1"/>
        <w:tabs>
          <w:tab w:val="left" w:pos="360"/>
        </w:tabs>
        <w:spacing w:before="197"/>
        <w:ind w:left="0"/>
        <w:rPr>
          <w:rFonts w:ascii="Times New Roman" w:hAnsi="Times New Roman" w:cs="Times New Roman"/>
        </w:rPr>
      </w:pPr>
      <w:r w:rsidRPr="009D161C">
        <w:t xml:space="preserve">2. </w:t>
      </w:r>
      <w:r w:rsidRPr="00BD7237" w:rsidR="00866375">
        <w:rPr>
          <w:rFonts w:ascii="Times New Roman" w:hAnsi="Times New Roman" w:cs="Times New Roman"/>
          <w:bCs w:val="0"/>
        </w:rPr>
        <w:t xml:space="preserve">Indicate how, by whom, and for what purpose the information is to </w:t>
      </w:r>
      <w:proofErr w:type="gramStart"/>
      <w:r w:rsidRPr="00BD7237" w:rsidR="00866375">
        <w:rPr>
          <w:rFonts w:ascii="Times New Roman" w:hAnsi="Times New Roman" w:cs="Times New Roman"/>
          <w:bCs w:val="0"/>
        </w:rPr>
        <w:t>be used</w:t>
      </w:r>
      <w:proofErr w:type="gramEnd"/>
      <w:r w:rsidRPr="00BD7237" w:rsidR="00866375">
        <w:rPr>
          <w:rFonts w:ascii="Times New Roman" w:hAnsi="Times New Roman" w:cs="Times New Roman"/>
          <w:bCs w:val="0"/>
        </w:rPr>
        <w:t>. Except for a</w:t>
      </w:r>
      <w:r w:rsidRPr="00BD7237" w:rsidR="00866375">
        <w:rPr>
          <w:rFonts w:ascii="Times New Roman" w:hAnsi="Times New Roman" w:cs="Times New Roman"/>
        </w:rPr>
        <w:t xml:space="preserve"> </w:t>
      </w:r>
      <w:r w:rsidRPr="00BD7237" w:rsidR="00866375">
        <w:rPr>
          <w:rFonts w:ascii="Times New Roman" w:hAnsi="Times New Roman" w:cs="Times New Roman"/>
          <w:bCs w:val="0"/>
        </w:rPr>
        <w:t>new collection, indicate the actual use the agency has made of the information received from the</w:t>
      </w:r>
      <w:r w:rsidRPr="00BD7237" w:rsidR="00866375">
        <w:rPr>
          <w:rFonts w:ascii="Times New Roman" w:hAnsi="Times New Roman" w:cs="Times New Roman"/>
        </w:rPr>
        <w:t xml:space="preserve"> current</w:t>
      </w:r>
      <w:r w:rsidRPr="00BD7237" w:rsidR="00866375">
        <w:rPr>
          <w:rFonts w:ascii="Times New Roman" w:hAnsi="Times New Roman" w:cs="Times New Roman"/>
          <w:spacing w:val="-1"/>
        </w:rPr>
        <w:t xml:space="preserve"> </w:t>
      </w:r>
      <w:r w:rsidRPr="00BD7237" w:rsidR="00866375">
        <w:rPr>
          <w:rFonts w:ascii="Times New Roman" w:hAnsi="Times New Roman" w:cs="Times New Roman"/>
        </w:rPr>
        <w:t>collection.</w:t>
      </w:r>
    </w:p>
    <w:p w:rsidRPr="009D161C" w:rsidR="00094069" w:rsidP="00BC041A" w:rsidRDefault="00094069" w14:paraId="7DCCD373" w14:textId="2214C237"/>
    <w:p w:rsidRPr="004558EC" w:rsidR="004558EC" w:rsidP="00BC041A" w:rsidRDefault="00510C17" w14:paraId="59A5CA3E" w14:textId="4C199AA1">
      <w:r>
        <w:rPr>
          <w:iCs/>
        </w:rPr>
        <w:t xml:space="preserve">The additional data elements described in (1) </w:t>
      </w:r>
      <w:proofErr w:type="gramStart"/>
      <w:r>
        <w:rPr>
          <w:iCs/>
        </w:rPr>
        <w:t>will be collected</w:t>
      </w:r>
      <w:proofErr w:type="gramEnd"/>
      <w:r>
        <w:rPr>
          <w:iCs/>
        </w:rPr>
        <w:t xml:space="preserve"> through the U.S. Coast Guard’s electronic Notice of Arrival and Departure (</w:t>
      </w:r>
      <w:proofErr w:type="spellStart"/>
      <w:r>
        <w:rPr>
          <w:iCs/>
        </w:rPr>
        <w:t>eNOAD</w:t>
      </w:r>
      <w:proofErr w:type="spellEnd"/>
      <w:r>
        <w:rPr>
          <w:iCs/>
        </w:rPr>
        <w:t xml:space="preserve">) system. This information will be collected from </w:t>
      </w:r>
      <w:proofErr w:type="gramStart"/>
      <w:r>
        <w:rPr>
          <w:iCs/>
        </w:rPr>
        <w:t xml:space="preserve">all </w:t>
      </w:r>
      <w:r>
        <w:t>foreign</w:t>
      </w:r>
      <w:proofErr w:type="gramEnd"/>
      <w:r>
        <w:t xml:space="preserve"> fishing vessels and foreign vessels engaged in fishing related activities </w:t>
      </w:r>
      <w:r w:rsidR="00CC0082">
        <w:t>each</w:t>
      </w:r>
      <w:r>
        <w:t xml:space="preserve"> time such a vessel is bound for a U.S. port.</w:t>
      </w:r>
      <w:r w:rsidR="004D428D">
        <w:t xml:space="preserve"> Captains will be able to transfer some information (as long as it has not changed) from previously submitted </w:t>
      </w:r>
      <w:proofErr w:type="spellStart"/>
      <w:r w:rsidR="004D428D">
        <w:t>eNOAD</w:t>
      </w:r>
      <w:proofErr w:type="spellEnd"/>
      <w:r w:rsidR="004D428D">
        <w:t xml:space="preserve"> reports that </w:t>
      </w:r>
      <w:proofErr w:type="gramStart"/>
      <w:r w:rsidR="004D428D">
        <w:t>are listed</w:t>
      </w:r>
      <w:proofErr w:type="gramEnd"/>
      <w:r w:rsidR="004D428D">
        <w:t xml:space="preserve"> in their FV’s history.</w:t>
      </w:r>
      <w:r w:rsidR="002C4C24">
        <w:t xml:space="preserve"> </w:t>
      </w:r>
      <w:proofErr w:type="gramStart"/>
      <w:r w:rsidR="002C4C24">
        <w:t xml:space="preserve">This information will be used by </w:t>
      </w:r>
      <w:r w:rsidR="00BC041A">
        <w:t xml:space="preserve">authorized </w:t>
      </w:r>
      <w:r w:rsidR="002C4C24">
        <w:t xml:space="preserve">NOAA and U.S. Coast Guard personnel to </w:t>
      </w:r>
      <w:r w:rsidR="00E276C5">
        <w:t xml:space="preserve">fulfill U.S. obligations to the Port State Measures Agreement and </w:t>
      </w:r>
      <w:r w:rsidRPr="002C4C24" w:rsidR="002C4C24">
        <w:t xml:space="preserve">enhance regional and </w:t>
      </w:r>
      <w:r w:rsidRPr="002C4C24" w:rsidR="002C4C24">
        <w:lastRenderedPageBreak/>
        <w:t xml:space="preserve">international cooperation </w:t>
      </w:r>
      <w:r w:rsidR="00A207DC">
        <w:t xml:space="preserve">to prevent, deter, and eliminate IUU fishing </w:t>
      </w:r>
      <w:r w:rsidRPr="002C4C24" w:rsidR="002C4C24">
        <w:t>and block the flow of IUU-caught fish into national and international markets</w:t>
      </w:r>
      <w:proofErr w:type="gramEnd"/>
      <w:r w:rsidRPr="002C4C24" w:rsidR="002C4C24">
        <w:t>.</w:t>
      </w:r>
    </w:p>
    <w:p w:rsidRPr="00BD7237" w:rsidR="00866375" w:rsidP="00866375" w:rsidRDefault="00094069" w14:paraId="3B9A9948" w14:textId="4C8E75C5">
      <w:pPr>
        <w:pStyle w:val="ListParagraph"/>
        <w:widowControl w:val="0"/>
        <w:tabs>
          <w:tab w:val="left" w:pos="360"/>
        </w:tabs>
        <w:autoSpaceDE w:val="0"/>
        <w:autoSpaceDN w:val="0"/>
        <w:spacing w:before="199"/>
        <w:ind w:left="0"/>
        <w:contextualSpacing w:val="0"/>
        <w:rPr>
          <w:b/>
        </w:rPr>
      </w:pPr>
      <w:r w:rsidRPr="009D161C">
        <w:rPr>
          <w:b/>
          <w:bCs/>
        </w:rPr>
        <w:t xml:space="preserve">3. </w:t>
      </w:r>
      <w:r w:rsidR="00866375">
        <w:rPr>
          <w:b/>
        </w:rPr>
        <w:t>Descri</w:t>
      </w:r>
      <w:r w:rsidRPr="00BD7237" w:rsidR="00866375">
        <w:rPr>
          <w:b/>
        </w:rPr>
        <w:t>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866375">
        <w:rPr>
          <w:b/>
          <w:spacing w:val="-6"/>
        </w:rPr>
        <w:t xml:space="preserve"> </w:t>
      </w:r>
      <w:r w:rsidRPr="00BD7237" w:rsidR="00866375">
        <w:rPr>
          <w:b/>
        </w:rPr>
        <w:t>burden.</w:t>
      </w:r>
    </w:p>
    <w:p w:rsidRPr="009D161C" w:rsidR="00BC041A" w:rsidP="00BC041A" w:rsidRDefault="00BC041A" w14:paraId="3A8F122C" w14:textId="602ED22D">
      <w:pPr>
        <w:ind w:right="283"/>
        <w:rPr>
          <w:b/>
          <w:bCs/>
        </w:rPr>
      </w:pPr>
    </w:p>
    <w:p w:rsidR="000F2298" w:rsidP="00BC041A" w:rsidRDefault="00094069" w14:paraId="1DB90531" w14:textId="578F449B">
      <w:r w:rsidRPr="009D161C">
        <w:t xml:space="preserve">When the rule </w:t>
      </w:r>
      <w:proofErr w:type="gramStart"/>
      <w:r w:rsidRPr="009D161C">
        <w:t>is finalized</w:t>
      </w:r>
      <w:proofErr w:type="gramEnd"/>
      <w:r w:rsidRPr="009D161C">
        <w:t xml:space="preserve"> and takes effect, </w:t>
      </w:r>
      <w:r w:rsidR="0099709A">
        <w:t>the additional</w:t>
      </w:r>
      <w:r w:rsidR="000F2298">
        <w:t xml:space="preserve"> information proposed to be collected will be collected </w:t>
      </w:r>
      <w:r w:rsidR="003276D4">
        <w:t xml:space="preserve">electronically </w:t>
      </w:r>
      <w:r w:rsidR="000F2298">
        <w:t xml:space="preserve">through the U.S. Coast Guard’s </w:t>
      </w:r>
      <w:proofErr w:type="spellStart"/>
      <w:r w:rsidR="0099709A">
        <w:t>eNOAD</w:t>
      </w:r>
      <w:proofErr w:type="spellEnd"/>
      <w:r w:rsidR="0099709A">
        <w:t xml:space="preserve"> system. </w:t>
      </w:r>
      <w:r w:rsidR="00C0382F">
        <w:t xml:space="preserve">Coast Guard regulations </w:t>
      </w:r>
      <w:r w:rsidRPr="00A4601D" w:rsidR="00C0382F">
        <w:rPr>
          <w:iCs/>
        </w:rPr>
        <w:t>require</w:t>
      </w:r>
      <w:r w:rsidR="00C0382F">
        <w:rPr>
          <w:iCs/>
        </w:rPr>
        <w:t xml:space="preserve"> all</w:t>
      </w:r>
      <w:r w:rsidRPr="00A4601D" w:rsidR="00C0382F">
        <w:rPr>
          <w:iCs/>
        </w:rPr>
        <w:t xml:space="preserve"> foreign vessels to give advance notice prior to arrival at a U.S. port or place of destination</w:t>
      </w:r>
      <w:r w:rsidR="00C0382F">
        <w:rPr>
          <w:iCs/>
        </w:rPr>
        <w:t xml:space="preserve"> through the </w:t>
      </w:r>
      <w:proofErr w:type="spellStart"/>
      <w:r w:rsidR="00C0382F">
        <w:rPr>
          <w:iCs/>
        </w:rPr>
        <w:t>eNOAD</w:t>
      </w:r>
      <w:proofErr w:type="spellEnd"/>
      <w:r w:rsidR="00C0382F">
        <w:rPr>
          <w:iCs/>
        </w:rPr>
        <w:t xml:space="preserve"> system</w:t>
      </w:r>
      <w:r w:rsidR="00F644A8">
        <w:t xml:space="preserve">; this new information collection </w:t>
      </w:r>
      <w:proofErr w:type="gramStart"/>
      <w:r w:rsidR="00F644A8">
        <w:t>would be incorporated</w:t>
      </w:r>
      <w:proofErr w:type="gramEnd"/>
      <w:r w:rsidR="00F644A8">
        <w:t xml:space="preserve"> into the existing </w:t>
      </w:r>
      <w:proofErr w:type="spellStart"/>
      <w:r w:rsidR="00C0382F">
        <w:t>eNOAD</w:t>
      </w:r>
      <w:proofErr w:type="spellEnd"/>
      <w:r w:rsidR="00C0382F">
        <w:t xml:space="preserve"> </w:t>
      </w:r>
      <w:r w:rsidR="00F644A8">
        <w:t>system</w:t>
      </w:r>
      <w:r w:rsidR="00E848B7">
        <w:t xml:space="preserve">. </w:t>
      </w:r>
      <w:r w:rsidR="0099709A">
        <w:t xml:space="preserve">A selection of screenshots of the User Manual for the </w:t>
      </w:r>
      <w:proofErr w:type="spellStart"/>
      <w:r w:rsidR="0099709A">
        <w:t>eNOAD</w:t>
      </w:r>
      <w:proofErr w:type="spellEnd"/>
      <w:r w:rsidR="0099709A">
        <w:t xml:space="preserve"> system </w:t>
      </w:r>
      <w:r w:rsidR="004D428D">
        <w:t>is included with this submission</w:t>
      </w:r>
      <w:r w:rsidR="0099709A">
        <w:t>.</w:t>
      </w:r>
    </w:p>
    <w:p w:rsidRPr="009D161C" w:rsidR="00094069" w:rsidP="00BC041A" w:rsidRDefault="00094069" w14:paraId="5E08EF28" w14:textId="77777777"/>
    <w:p w:rsidRPr="00BD7237" w:rsidR="00866375" w:rsidP="00866375" w:rsidRDefault="00094069" w14:paraId="1FE6E650" w14:textId="77777777">
      <w:pPr>
        <w:pStyle w:val="ListParagraph"/>
        <w:widowControl w:val="0"/>
        <w:tabs>
          <w:tab w:val="left" w:pos="360"/>
        </w:tabs>
        <w:autoSpaceDE w:val="0"/>
        <w:autoSpaceDN w:val="0"/>
        <w:spacing w:before="80"/>
        <w:ind w:left="0"/>
        <w:contextualSpacing w:val="0"/>
        <w:rPr>
          <w:b/>
        </w:rPr>
      </w:pPr>
      <w:r w:rsidRPr="009D161C">
        <w:rPr>
          <w:b/>
          <w:bCs/>
        </w:rPr>
        <w:t xml:space="preserve">4. </w:t>
      </w:r>
      <w:r w:rsidRPr="00BD7237" w:rsidR="00866375">
        <w:rPr>
          <w:b/>
        </w:rPr>
        <w:t>Describe efforts to identify duplication. Show specifically why any similar information already available cannot be used or modified for use for the purposes described in Question</w:t>
      </w:r>
      <w:r w:rsidRPr="00BD7237" w:rsidR="00866375">
        <w:rPr>
          <w:b/>
          <w:spacing w:val="-42"/>
        </w:rPr>
        <w:t xml:space="preserve"> </w:t>
      </w:r>
      <w:proofErr w:type="gramStart"/>
      <w:r w:rsidRPr="00BD7237" w:rsidR="00866375">
        <w:rPr>
          <w:b/>
        </w:rPr>
        <w:t>2</w:t>
      </w:r>
      <w:proofErr w:type="gramEnd"/>
    </w:p>
    <w:p w:rsidRPr="009D161C" w:rsidR="00BC041A" w:rsidP="00BC041A" w:rsidRDefault="00BC041A" w14:paraId="7EB32810" w14:textId="266D68C3">
      <w:pPr>
        <w:rPr>
          <w:b/>
          <w:bCs/>
        </w:rPr>
      </w:pPr>
    </w:p>
    <w:p w:rsidR="00A4601D" w:rsidP="00BC041A" w:rsidRDefault="00A4601D" w14:paraId="3A14F416" w14:textId="77777777">
      <w:pPr>
        <w:rPr>
          <w:iCs/>
        </w:rPr>
      </w:pPr>
      <w:r w:rsidRPr="00A4601D">
        <w:rPr>
          <w:iCs/>
        </w:rPr>
        <w:t>Currently, Coast Guard regulations require</w:t>
      </w:r>
      <w:r w:rsidR="0099709A">
        <w:rPr>
          <w:iCs/>
        </w:rPr>
        <w:t xml:space="preserve"> all</w:t>
      </w:r>
      <w:r w:rsidRPr="00A4601D">
        <w:rPr>
          <w:iCs/>
        </w:rPr>
        <w:t xml:space="preserve"> foreign vessels to give advance notice prior to arrival at a U.S. port or place of destination, as defined in 33 CFR 160.202. In accordance with 33 CFR 160.206, vessels are required to report electronically</w:t>
      </w:r>
      <w:r w:rsidR="00CC0082">
        <w:rPr>
          <w:iCs/>
        </w:rPr>
        <w:t xml:space="preserve"> through the </w:t>
      </w:r>
      <w:proofErr w:type="spellStart"/>
      <w:r w:rsidR="00CC0082">
        <w:rPr>
          <w:iCs/>
        </w:rPr>
        <w:t>eNOAD</w:t>
      </w:r>
      <w:proofErr w:type="spellEnd"/>
      <w:r w:rsidRPr="00A4601D">
        <w:rPr>
          <w:iCs/>
        </w:rPr>
        <w:t xml:space="preserve"> the vessel name, voyage, cargo, crewmembers, and other information to the Coast Guard’s National Vessel Movement Center (NVMC) at least 96 hours before entering the port or place of destination, or in accordance with 33 CFR 160.212 if an exemption applies</w:t>
      </w:r>
      <w:r>
        <w:rPr>
          <w:iCs/>
        </w:rPr>
        <w:t xml:space="preserve">. </w:t>
      </w:r>
    </w:p>
    <w:p w:rsidR="00A4601D" w:rsidP="00BC041A" w:rsidRDefault="00A4601D" w14:paraId="50E4B6A6" w14:textId="77777777">
      <w:pPr>
        <w:rPr>
          <w:iCs/>
        </w:rPr>
      </w:pPr>
    </w:p>
    <w:p w:rsidRPr="009D161C" w:rsidR="00094069" w:rsidP="00BC041A" w:rsidRDefault="00A4601D" w14:paraId="713FE328" w14:textId="0048C3D7">
      <w:pPr>
        <w:rPr>
          <w:iCs/>
        </w:rPr>
      </w:pPr>
      <w:r>
        <w:rPr>
          <w:iCs/>
        </w:rPr>
        <w:t xml:space="preserve">Though this </w:t>
      </w:r>
      <w:r w:rsidR="00CC0082">
        <w:rPr>
          <w:iCs/>
        </w:rPr>
        <w:t xml:space="preserve">existing </w:t>
      </w:r>
      <w:r>
        <w:rPr>
          <w:iCs/>
        </w:rPr>
        <w:t xml:space="preserve">information requirement </w:t>
      </w:r>
      <w:proofErr w:type="gramStart"/>
      <w:r>
        <w:rPr>
          <w:iCs/>
        </w:rPr>
        <w:t>is related</w:t>
      </w:r>
      <w:proofErr w:type="gramEnd"/>
      <w:r>
        <w:rPr>
          <w:iCs/>
        </w:rPr>
        <w:t xml:space="preserve"> to the proposed new information collection, </w:t>
      </w:r>
      <w:r w:rsidR="0099709A">
        <w:rPr>
          <w:iCs/>
        </w:rPr>
        <w:t xml:space="preserve">the new information collection is specific to foreign fishing vessels </w:t>
      </w:r>
      <w:r w:rsidRPr="00094069" w:rsidR="0099709A">
        <w:t xml:space="preserve">and </w:t>
      </w:r>
      <w:r w:rsidR="0099709A">
        <w:t xml:space="preserve">foreign </w:t>
      </w:r>
      <w:r w:rsidRPr="00094069" w:rsidR="0099709A">
        <w:t xml:space="preserve">vessels engaged in fishing related activities </w:t>
      </w:r>
      <w:r w:rsidR="0099709A">
        <w:t>seeking</w:t>
      </w:r>
      <w:r w:rsidRPr="00094069" w:rsidR="0099709A">
        <w:t xml:space="preserve"> </w:t>
      </w:r>
      <w:r w:rsidR="0099709A">
        <w:t xml:space="preserve">access </w:t>
      </w:r>
      <w:r w:rsidRPr="00094069" w:rsidR="0099709A">
        <w:t>to U.S. ports</w:t>
      </w:r>
      <w:r w:rsidR="0099709A">
        <w:rPr>
          <w:iCs/>
        </w:rPr>
        <w:t xml:space="preserve">. </w:t>
      </w:r>
      <w:r w:rsidR="003276D4">
        <w:rPr>
          <w:iCs/>
        </w:rPr>
        <w:t xml:space="preserve">NOAA </w:t>
      </w:r>
      <w:r>
        <w:rPr>
          <w:iCs/>
        </w:rPr>
        <w:t>and the U.S. Coast Guard have worked</w:t>
      </w:r>
      <w:r w:rsidR="003276D4">
        <w:rPr>
          <w:iCs/>
        </w:rPr>
        <w:t xml:space="preserve"> collaboratively</w:t>
      </w:r>
      <w:r>
        <w:rPr>
          <w:iCs/>
        </w:rPr>
        <w:t xml:space="preserve"> to ensure that the </w:t>
      </w:r>
      <w:r w:rsidR="0099709A">
        <w:rPr>
          <w:iCs/>
        </w:rPr>
        <w:t xml:space="preserve">collection of the </w:t>
      </w:r>
      <w:r>
        <w:rPr>
          <w:iCs/>
        </w:rPr>
        <w:t>additional information required by Annex A</w:t>
      </w:r>
      <w:r w:rsidR="00CC0082">
        <w:rPr>
          <w:iCs/>
        </w:rPr>
        <w:t xml:space="preserve"> of the Port State Measures Agreement</w:t>
      </w:r>
      <w:r w:rsidR="003D6E27">
        <w:rPr>
          <w:iCs/>
        </w:rPr>
        <w:t xml:space="preserve"> is not duplicative by: 1) making use of an existing reporting system; and 2) making use of currently collected data elements to meet the Annex </w:t>
      </w:r>
      <w:proofErr w:type="gramStart"/>
      <w:r w:rsidR="003D6E27">
        <w:rPr>
          <w:iCs/>
        </w:rPr>
        <w:t>A</w:t>
      </w:r>
      <w:proofErr w:type="gramEnd"/>
      <w:r w:rsidR="003D6E27">
        <w:rPr>
          <w:iCs/>
        </w:rPr>
        <w:t xml:space="preserve"> requirements.</w:t>
      </w:r>
    </w:p>
    <w:p w:rsidR="00094069" w:rsidP="00BC041A" w:rsidRDefault="00094069" w14:paraId="3AFA621A" w14:textId="77777777">
      <w:pPr>
        <w:rPr>
          <w:b/>
          <w:bCs/>
        </w:rPr>
      </w:pPr>
    </w:p>
    <w:p w:rsidRPr="00866375" w:rsidR="00094069" w:rsidP="00866375" w:rsidRDefault="00094069" w14:paraId="329260EE" w14:textId="68D61B0E">
      <w:pPr>
        <w:pStyle w:val="ListParagraph"/>
        <w:widowControl w:val="0"/>
        <w:tabs>
          <w:tab w:val="left" w:pos="360"/>
        </w:tabs>
        <w:autoSpaceDE w:val="0"/>
        <w:autoSpaceDN w:val="0"/>
        <w:spacing w:before="80"/>
        <w:ind w:left="0"/>
        <w:contextualSpacing w:val="0"/>
        <w:rPr>
          <w:b/>
        </w:rPr>
      </w:pPr>
      <w:r w:rsidRPr="009D161C">
        <w:rPr>
          <w:b/>
          <w:bCs/>
        </w:rPr>
        <w:t xml:space="preserve">5. </w:t>
      </w:r>
      <w:r w:rsidRPr="00BD7237" w:rsidR="00866375">
        <w:rPr>
          <w:b/>
        </w:rPr>
        <w:t xml:space="preserve">If the collection of information </w:t>
      </w:r>
      <w:proofErr w:type="gramStart"/>
      <w:r w:rsidRPr="00BD7237" w:rsidR="00866375">
        <w:rPr>
          <w:b/>
        </w:rPr>
        <w:t>impacts</w:t>
      </w:r>
      <w:proofErr w:type="gramEnd"/>
      <w:r w:rsidRPr="00BD7237" w:rsidR="00866375">
        <w:rPr>
          <w:b/>
        </w:rPr>
        <w:t xml:space="preserve"> small businesses or other small entities, describe any methods used to minimize burden.</w:t>
      </w:r>
    </w:p>
    <w:p w:rsidRPr="009D161C" w:rsidR="00094069" w:rsidP="00BC041A" w:rsidRDefault="00094069" w14:paraId="349D4A00" w14:textId="77777777">
      <w:pPr>
        <w:rPr>
          <w:b/>
          <w:bCs/>
        </w:rPr>
      </w:pPr>
    </w:p>
    <w:p w:rsidRPr="00CC0082" w:rsidR="00094069" w:rsidP="00BC041A" w:rsidRDefault="003D6E27" w14:paraId="112CBD0B" w14:textId="7A2080AB">
      <w:r>
        <w:t xml:space="preserve">Ocean-going vessels are typically large ships with high operating costs and </w:t>
      </w:r>
      <w:proofErr w:type="gramStart"/>
      <w:r>
        <w:t>are managed</w:t>
      </w:r>
      <w:proofErr w:type="gramEnd"/>
      <w:r>
        <w:t xml:space="preserve"> by relatively larger firms given the capital and logistical requirements. </w:t>
      </w:r>
      <w:r w:rsidRPr="00CC0082" w:rsidR="00CC0082">
        <w:t>Reporting requirements for small</w:t>
      </w:r>
      <w:r>
        <w:t>er</w:t>
      </w:r>
      <w:r w:rsidRPr="00CC0082" w:rsidR="00CC0082">
        <w:t xml:space="preserve"> entities are generally proportionately less due to the fewer numbers of vessels they operate</w:t>
      </w:r>
      <w:r>
        <w:t xml:space="preserve">. Thus, no particular methods </w:t>
      </w:r>
      <w:proofErr w:type="gramStart"/>
      <w:r>
        <w:t>were used</w:t>
      </w:r>
      <w:proofErr w:type="gramEnd"/>
      <w:r>
        <w:t xml:space="preserve"> to minimize the burden on small entities.</w:t>
      </w:r>
    </w:p>
    <w:p w:rsidRPr="009D161C" w:rsidR="00CC0082" w:rsidP="00BC041A" w:rsidRDefault="00CC0082" w14:paraId="7C5CF6B4" w14:textId="77777777"/>
    <w:p w:rsidRPr="00BD7237" w:rsidR="00866375" w:rsidP="00866375" w:rsidRDefault="00094069" w14:paraId="5A364481" w14:textId="77777777">
      <w:pPr>
        <w:pStyle w:val="ListParagraph"/>
        <w:widowControl w:val="0"/>
        <w:tabs>
          <w:tab w:val="left" w:pos="360"/>
        </w:tabs>
        <w:autoSpaceDE w:val="0"/>
        <w:autoSpaceDN w:val="0"/>
        <w:spacing w:before="80"/>
        <w:ind w:left="0"/>
        <w:contextualSpacing w:val="0"/>
        <w:rPr>
          <w:b/>
        </w:rPr>
      </w:pPr>
      <w:r w:rsidRPr="009D161C">
        <w:rPr>
          <w:b/>
          <w:bCs/>
        </w:rPr>
        <w:t xml:space="preserve">6. </w:t>
      </w:r>
      <w:r w:rsidRPr="00BD7237" w:rsidR="00866375">
        <w:rPr>
          <w:b/>
        </w:rPr>
        <w:t xml:space="preserve">Describe the consequence to Federal program or policy activities if the collection </w:t>
      </w:r>
      <w:proofErr w:type="gramStart"/>
      <w:r w:rsidRPr="00BD7237" w:rsidR="00866375">
        <w:rPr>
          <w:b/>
        </w:rPr>
        <w:t>is not conducted</w:t>
      </w:r>
      <w:proofErr w:type="gramEnd"/>
      <w:r w:rsidRPr="00BD7237" w:rsidR="00866375">
        <w:rPr>
          <w:b/>
        </w:rPr>
        <w:t xml:space="preserve"> or is conducted less frequently, as well as any technical or legal obstacles to reducing burden.</w:t>
      </w:r>
    </w:p>
    <w:p w:rsidRPr="009D161C" w:rsidR="00094069" w:rsidP="00BC041A" w:rsidRDefault="00094069" w14:paraId="39C6E21F" w14:textId="0BF930AC">
      <w:pPr>
        <w:rPr>
          <w:b/>
          <w:bCs/>
        </w:rPr>
      </w:pPr>
    </w:p>
    <w:p w:rsidR="00094069" w:rsidP="00BC041A" w:rsidRDefault="00094069" w14:paraId="1DDD8001" w14:textId="77777777">
      <w:r w:rsidRPr="009D161C">
        <w:t xml:space="preserve">Without the collection of </w:t>
      </w:r>
      <w:r w:rsidR="009141CB">
        <w:t>the full suite of information as outlined in Annex A of the Port State Measures Agreement</w:t>
      </w:r>
      <w:r w:rsidR="00C87C00">
        <w:t xml:space="preserve"> (attached)</w:t>
      </w:r>
      <w:r w:rsidR="009141CB">
        <w:t xml:space="preserve">, the U.S. would not </w:t>
      </w:r>
      <w:proofErr w:type="gramStart"/>
      <w:r w:rsidR="009141CB">
        <w:t>be in compliance</w:t>
      </w:r>
      <w:proofErr w:type="gramEnd"/>
      <w:r w:rsidR="009141CB">
        <w:t xml:space="preserve"> with its obligations as a signatory of th</w:t>
      </w:r>
      <w:r w:rsidR="00C87C00">
        <w:t xml:space="preserve">e Port State Measures Agreement (attached). </w:t>
      </w:r>
    </w:p>
    <w:p w:rsidRPr="009D161C" w:rsidR="009141CB" w:rsidP="00BC041A" w:rsidRDefault="009141CB" w14:paraId="55845771" w14:textId="77777777"/>
    <w:p w:rsidRPr="00866375" w:rsidR="00094069" w:rsidP="00866375" w:rsidRDefault="00094069" w14:paraId="511B62EA" w14:textId="51CCB187">
      <w:pPr>
        <w:pStyle w:val="ListParagraph"/>
        <w:widowControl w:val="0"/>
        <w:tabs>
          <w:tab w:val="left" w:pos="360"/>
        </w:tabs>
        <w:autoSpaceDE w:val="0"/>
        <w:autoSpaceDN w:val="0"/>
        <w:spacing w:before="80"/>
        <w:ind w:left="0"/>
        <w:contextualSpacing w:val="0"/>
        <w:rPr>
          <w:b/>
        </w:rPr>
      </w:pPr>
      <w:r w:rsidRPr="009D161C">
        <w:rPr>
          <w:b/>
          <w:bCs/>
        </w:rPr>
        <w:t xml:space="preserve">7. </w:t>
      </w:r>
      <w:r w:rsidRPr="00BD7237" w:rsidR="00866375">
        <w:rPr>
          <w:b/>
        </w:rPr>
        <w:t>Explain any special circumstances that would cause an information collect</w:t>
      </w:r>
      <w:r w:rsidR="00866375">
        <w:rPr>
          <w:b/>
        </w:rPr>
        <w:t xml:space="preserve">ion to </w:t>
      </w:r>
      <w:proofErr w:type="gramStart"/>
      <w:r w:rsidR="00866375">
        <w:rPr>
          <w:b/>
        </w:rPr>
        <w:t>be conducted</w:t>
      </w:r>
      <w:proofErr w:type="gramEnd"/>
      <w:r w:rsidR="00866375">
        <w:rPr>
          <w:b/>
        </w:rPr>
        <w:t xml:space="preserve"> in a manner inconsistent with OMB guidelines.</w:t>
      </w:r>
    </w:p>
    <w:p w:rsidRPr="009D161C" w:rsidR="00BC041A" w:rsidP="00BC041A" w:rsidRDefault="00BC041A" w14:paraId="22AE952F" w14:textId="77777777">
      <w:pPr>
        <w:ind w:right="710"/>
        <w:rPr>
          <w:b/>
          <w:bCs/>
        </w:rPr>
      </w:pPr>
    </w:p>
    <w:p w:rsidR="00094069" w:rsidP="00BC041A" w:rsidRDefault="00094069" w14:paraId="1E9DEE50" w14:textId="77777777">
      <w:r w:rsidRPr="009D161C">
        <w:t xml:space="preserve">The collection is consistent with the guidelines. </w:t>
      </w:r>
    </w:p>
    <w:p w:rsidRPr="009D161C" w:rsidR="00BC041A" w:rsidP="00BC041A" w:rsidRDefault="00BC041A" w14:paraId="2BCC3C6B" w14:textId="77777777"/>
    <w:p w:rsidRPr="00866375" w:rsidR="00094069" w:rsidP="00866375" w:rsidRDefault="00094069" w14:paraId="5536A80A" w14:textId="72937EAB">
      <w:pPr>
        <w:pStyle w:val="ListParagraph"/>
        <w:widowControl w:val="0"/>
        <w:tabs>
          <w:tab w:val="left" w:pos="360"/>
        </w:tabs>
        <w:autoSpaceDE w:val="0"/>
        <w:autoSpaceDN w:val="0"/>
        <w:spacing w:before="80"/>
        <w:ind w:left="0"/>
        <w:contextualSpacing w:val="0"/>
        <w:rPr>
          <w:b/>
        </w:rPr>
      </w:pPr>
      <w:r w:rsidRPr="009D161C">
        <w:rPr>
          <w:b/>
          <w:bCs/>
        </w:rPr>
        <w:t xml:space="preserve">8. </w:t>
      </w:r>
      <w:r w:rsidRPr="00BD7237" w:rsidR="00866375">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C041A" w:rsidP="00BC041A" w:rsidRDefault="00BC041A" w14:paraId="2CD9794D" w14:textId="77777777">
      <w:pPr>
        <w:rPr>
          <w:b/>
          <w:bCs/>
        </w:rPr>
      </w:pPr>
    </w:p>
    <w:p w:rsidR="0003030E" w:rsidP="00BC041A" w:rsidRDefault="001B5C76" w14:paraId="2E0F4781" w14:textId="3D8F6DF1">
      <w:pPr>
        <w:rPr>
          <w:bCs/>
        </w:rPr>
      </w:pPr>
      <w:r>
        <w:rPr>
          <w:bCs/>
        </w:rPr>
        <w:t xml:space="preserve">A proposed rule </w:t>
      </w:r>
      <w:r w:rsidR="00BE0D20">
        <w:rPr>
          <w:bCs/>
        </w:rPr>
        <w:t xml:space="preserve">RIN: 0648-BG11 </w:t>
      </w:r>
      <w:proofErr w:type="gramStart"/>
      <w:r>
        <w:rPr>
          <w:bCs/>
        </w:rPr>
        <w:t>will be published</w:t>
      </w:r>
      <w:proofErr w:type="gramEnd"/>
      <w:r>
        <w:rPr>
          <w:bCs/>
        </w:rPr>
        <w:t xml:space="preserve"> coincident with the submission of this request.</w:t>
      </w:r>
      <w:r w:rsidR="003D6E27">
        <w:rPr>
          <w:bCs/>
        </w:rPr>
        <w:t xml:space="preserve">  Comments on the proposed rule </w:t>
      </w:r>
      <w:proofErr w:type="gramStart"/>
      <w:r w:rsidR="003D6E27">
        <w:rPr>
          <w:bCs/>
        </w:rPr>
        <w:t>will be considered and, if appropriate, addressed in the development of the final rule</w:t>
      </w:r>
      <w:proofErr w:type="gramEnd"/>
      <w:r w:rsidR="003D6E27">
        <w:rPr>
          <w:bCs/>
        </w:rPr>
        <w:t>.</w:t>
      </w:r>
    </w:p>
    <w:p w:rsidRPr="0003030E" w:rsidR="00BC041A" w:rsidP="00BC041A" w:rsidRDefault="00BC041A" w14:paraId="1B36F31C" w14:textId="77777777">
      <w:pPr>
        <w:rPr>
          <w:bCs/>
        </w:rPr>
      </w:pPr>
    </w:p>
    <w:p w:rsidRPr="00BD7237" w:rsidR="00866375" w:rsidP="00866375" w:rsidRDefault="00094069" w14:paraId="1802D809" w14:textId="77777777">
      <w:pPr>
        <w:pStyle w:val="ListParagraph"/>
        <w:widowControl w:val="0"/>
        <w:tabs>
          <w:tab w:val="left" w:pos="360"/>
        </w:tabs>
        <w:autoSpaceDE w:val="0"/>
        <w:autoSpaceDN w:val="0"/>
        <w:spacing w:before="80"/>
        <w:ind w:left="0"/>
        <w:contextualSpacing w:val="0"/>
        <w:rPr>
          <w:b/>
        </w:rPr>
      </w:pPr>
      <w:r w:rsidRPr="009D161C">
        <w:rPr>
          <w:b/>
          <w:bCs/>
        </w:rPr>
        <w:t xml:space="preserve">9. </w:t>
      </w:r>
      <w:r w:rsidRPr="00BD7237" w:rsidR="00866375">
        <w:rPr>
          <w:b/>
        </w:rPr>
        <w:t>Explain any decision to provide any payment or gift to respondents, other than remuneration of contractors or grantees.</w:t>
      </w:r>
    </w:p>
    <w:p w:rsidRPr="009D161C" w:rsidR="00BC041A" w:rsidP="00BC041A" w:rsidRDefault="00BC041A" w14:paraId="337018D3" w14:textId="4D0C6D20">
      <w:pPr>
        <w:ind w:right="1113"/>
        <w:rPr>
          <w:b/>
          <w:bCs/>
        </w:rPr>
      </w:pPr>
    </w:p>
    <w:p w:rsidR="00094069" w:rsidP="00BC041A" w:rsidRDefault="00094069" w14:paraId="6E752A45" w14:textId="77777777">
      <w:r w:rsidRPr="009D161C">
        <w:t xml:space="preserve">No payments or gifts are involved. </w:t>
      </w:r>
    </w:p>
    <w:p w:rsidRPr="009D161C" w:rsidR="00BC041A" w:rsidP="00BC041A" w:rsidRDefault="00BC041A" w14:paraId="1FE38E2E" w14:textId="77777777"/>
    <w:p w:rsidRPr="00BD7237" w:rsidR="00866375" w:rsidP="00866375" w:rsidRDefault="00094069" w14:paraId="2128B97D" w14:textId="77777777">
      <w:pPr>
        <w:pStyle w:val="ListParagraph"/>
        <w:widowControl w:val="0"/>
        <w:tabs>
          <w:tab w:val="left" w:pos="360"/>
        </w:tabs>
        <w:autoSpaceDE w:val="0"/>
        <w:autoSpaceDN w:val="0"/>
        <w:spacing w:before="80"/>
        <w:ind w:left="0"/>
        <w:contextualSpacing w:val="0"/>
        <w:rPr>
          <w:b/>
        </w:rPr>
      </w:pPr>
      <w:r w:rsidRPr="009D161C">
        <w:rPr>
          <w:b/>
          <w:bCs/>
        </w:rPr>
        <w:t xml:space="preserve">10. </w:t>
      </w:r>
      <w:r w:rsidRPr="00BD7237" w:rsidR="00866375">
        <w:rPr>
          <w:b/>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sidR="00866375">
        <w:rPr>
          <w:b/>
        </w:rPr>
        <w:t>should be cited and described here</w:t>
      </w:r>
      <w:proofErr w:type="gramEnd"/>
      <w:r w:rsidRPr="00BD7237" w:rsidR="00866375">
        <w:rPr>
          <w:b/>
        </w:rPr>
        <w:t>.</w:t>
      </w:r>
    </w:p>
    <w:p w:rsidRPr="009D161C" w:rsidR="00BC041A" w:rsidP="00BC041A" w:rsidRDefault="00BC041A" w14:paraId="5A787D1A" w14:textId="5E48883E">
      <w:pPr>
        <w:ind w:right="373"/>
        <w:rPr>
          <w:b/>
          <w:bCs/>
        </w:rPr>
      </w:pPr>
    </w:p>
    <w:p w:rsidRPr="009D161C" w:rsidR="00094069" w:rsidP="00BC041A" w:rsidRDefault="003D6E27" w14:paraId="5B642DFA" w14:textId="613F6175">
      <w:r>
        <w:t>D</w:t>
      </w:r>
      <w:r w:rsidRPr="009D161C" w:rsidR="00094069">
        <w:t xml:space="preserve">ata submitted to NMFS to fulfill </w:t>
      </w:r>
      <w:r w:rsidR="0003030E">
        <w:t>its Port State Measures obligations</w:t>
      </w:r>
      <w:r w:rsidRPr="009D161C" w:rsidR="00094069">
        <w:t xml:space="preserve"> </w:t>
      </w:r>
      <w:proofErr w:type="gramStart"/>
      <w:r>
        <w:t>is collected</w:t>
      </w:r>
      <w:proofErr w:type="gramEnd"/>
      <w:r>
        <w:t xml:space="preserve"> under the authority of the IUU Fishing Act. Data </w:t>
      </w:r>
      <w:proofErr w:type="gramStart"/>
      <w:r w:rsidR="00094069">
        <w:t>will</w:t>
      </w:r>
      <w:r w:rsidRPr="009D161C" w:rsidR="00094069">
        <w:t xml:space="preserve"> be managed</w:t>
      </w:r>
      <w:proofErr w:type="gramEnd"/>
      <w:r w:rsidRPr="009D161C" w:rsidR="00094069">
        <w:t xml:space="preserve"> consistent with </w:t>
      </w:r>
      <w:hyperlink w:history="1" r:id="rId9">
        <w:r w:rsidRPr="004D428D" w:rsidR="004D428D">
          <w:rPr>
            <w:rStyle w:val="Hyperlink"/>
          </w:rPr>
          <w:t>NAO 216-100: Protection of Confidential Fisheries Statistics</w:t>
        </w:r>
      </w:hyperlink>
      <w:r w:rsidR="003276D4">
        <w:t xml:space="preserve">. </w:t>
      </w:r>
      <w:r w:rsidRPr="009D161C" w:rsidR="00094069">
        <w:t>NMFS does not release confidential information submitted in compliance with provisions of the Magnuson-Stevens Fishery Conserva</w:t>
      </w:r>
      <w:r>
        <w:t>tion and Management Act</w:t>
      </w:r>
      <w:r w:rsidRPr="009D161C" w:rsidR="00094069">
        <w:t xml:space="preserve">, </w:t>
      </w:r>
      <w:r>
        <w:t xml:space="preserve">other than in aggregate </w:t>
      </w:r>
      <w:proofErr w:type="gramStart"/>
      <w:r>
        <w:t>form or</w:t>
      </w:r>
      <w:r w:rsidRPr="009D161C" w:rsidR="00094069">
        <w:t xml:space="preserve"> under circumstances </w:t>
      </w:r>
      <w:r w:rsidR="003276D4">
        <w:t>required</w:t>
      </w:r>
      <w:proofErr w:type="gramEnd"/>
      <w:r w:rsidR="003276D4">
        <w:t xml:space="preserve"> or authorized by law. </w:t>
      </w:r>
      <w:r w:rsidRPr="009D161C" w:rsidR="00094069">
        <w:t xml:space="preserve">Whenever data are requested or released to the </w:t>
      </w:r>
      <w:proofErr w:type="gramStart"/>
      <w:r w:rsidRPr="009D161C" w:rsidR="00094069">
        <w:t>general public</w:t>
      </w:r>
      <w:proofErr w:type="gramEnd"/>
      <w:r w:rsidRPr="009D161C" w:rsidR="00094069">
        <w:t xml:space="preserve">, NMFS ensures that information on the financial business activity of a vessel is not identified. </w:t>
      </w:r>
    </w:p>
    <w:p w:rsidRPr="009D161C" w:rsidR="00094069" w:rsidP="00BC041A" w:rsidRDefault="00094069" w14:paraId="2D44C05D" w14:textId="77777777"/>
    <w:p w:rsidRPr="00BD7237" w:rsidR="00866375" w:rsidP="00866375" w:rsidRDefault="00094069" w14:paraId="7BBC983A" w14:textId="77777777">
      <w:pPr>
        <w:pStyle w:val="ListParagraph"/>
        <w:widowControl w:val="0"/>
        <w:tabs>
          <w:tab w:val="left" w:pos="360"/>
        </w:tabs>
        <w:autoSpaceDE w:val="0"/>
        <w:autoSpaceDN w:val="0"/>
        <w:spacing w:before="80"/>
        <w:ind w:left="0"/>
        <w:contextualSpacing w:val="0"/>
        <w:rPr>
          <w:b/>
        </w:rPr>
      </w:pPr>
      <w:r w:rsidRPr="009D161C">
        <w:rPr>
          <w:b/>
          <w:bCs/>
        </w:rPr>
        <w:t xml:space="preserve">11. </w:t>
      </w:r>
      <w:r w:rsidRPr="00BD7237" w:rsidR="00866375">
        <w:rPr>
          <w:b/>
        </w:rPr>
        <w:t xml:space="preserve">Provide additional justification for any questions of a sensitive nature, such as sexual behavior or attitudes, religious beliefs, and other matters that </w:t>
      </w:r>
      <w:proofErr w:type="gramStart"/>
      <w:r w:rsidRPr="00BD7237" w:rsidR="00866375">
        <w:rPr>
          <w:b/>
        </w:rPr>
        <w:t>are commonly considered</w:t>
      </w:r>
      <w:proofErr w:type="gramEnd"/>
      <w:r w:rsidRPr="00BD7237" w:rsidR="00866375">
        <w:rPr>
          <w:b/>
        </w:rPr>
        <w:t xml:space="preserve"> private. This justification should include the reasons why the agency considers the questions necessary, the specific uses to be made of the information, the explanation to </w:t>
      </w:r>
      <w:proofErr w:type="gramStart"/>
      <w:r w:rsidRPr="00BD7237" w:rsidR="00866375">
        <w:rPr>
          <w:b/>
        </w:rPr>
        <w:t>be given</w:t>
      </w:r>
      <w:proofErr w:type="gramEnd"/>
      <w:r w:rsidRPr="00BD7237" w:rsidR="00866375">
        <w:rPr>
          <w:b/>
        </w:rPr>
        <w:t xml:space="preserve"> to persons from whom the information is requested, and any steps to be taken to obtain their consent.</w:t>
      </w:r>
    </w:p>
    <w:p w:rsidRPr="009D161C" w:rsidR="00094069" w:rsidP="00BC041A" w:rsidRDefault="00094069" w14:paraId="796DDC6F" w14:textId="5FA29861">
      <w:pPr>
        <w:rPr>
          <w:b/>
          <w:bCs/>
        </w:rPr>
      </w:pPr>
    </w:p>
    <w:p w:rsidRPr="009D161C" w:rsidR="00094069" w:rsidP="00BC041A" w:rsidRDefault="00094069" w14:paraId="06AE8158" w14:textId="77777777">
      <w:r w:rsidRPr="009D161C">
        <w:t xml:space="preserve">No sensitive questions </w:t>
      </w:r>
      <w:proofErr w:type="gramStart"/>
      <w:r w:rsidRPr="009D161C">
        <w:t>are asked</w:t>
      </w:r>
      <w:proofErr w:type="gramEnd"/>
      <w:r w:rsidRPr="009D161C">
        <w:t xml:space="preserve">. </w:t>
      </w:r>
    </w:p>
    <w:p w:rsidRPr="009D161C" w:rsidR="00094069" w:rsidP="00BC041A" w:rsidRDefault="00094069" w14:paraId="6FA4B98C" w14:textId="77777777">
      <w:pPr>
        <w:rPr>
          <w:b/>
          <w:bCs/>
        </w:rPr>
      </w:pPr>
      <w:r w:rsidRPr="009D161C">
        <w:rPr>
          <w:b/>
          <w:bCs/>
        </w:rPr>
        <w:t xml:space="preserve"> </w:t>
      </w:r>
    </w:p>
    <w:p w:rsidRPr="00BD7237" w:rsidR="00866375" w:rsidP="00866375" w:rsidRDefault="00094069" w14:paraId="74F93D81" w14:textId="77777777">
      <w:pPr>
        <w:pStyle w:val="ListParagraph"/>
        <w:widowControl w:val="0"/>
        <w:tabs>
          <w:tab w:val="left" w:pos="360"/>
        </w:tabs>
        <w:autoSpaceDE w:val="0"/>
        <w:autoSpaceDN w:val="0"/>
        <w:spacing w:before="80"/>
        <w:ind w:left="0"/>
        <w:contextualSpacing w:val="0"/>
        <w:rPr>
          <w:b/>
        </w:rPr>
      </w:pPr>
      <w:r w:rsidRPr="009D161C">
        <w:rPr>
          <w:b/>
          <w:bCs/>
        </w:rPr>
        <w:t xml:space="preserve">12. </w:t>
      </w:r>
      <w:r w:rsidRPr="00BD7237" w:rsidR="00866375">
        <w:rPr>
          <w:b/>
        </w:rPr>
        <w:t>Provide estimates of the hour burden of the collection of information.</w:t>
      </w:r>
    </w:p>
    <w:p w:rsidR="00094069" w:rsidP="00BC041A" w:rsidRDefault="00094069" w14:paraId="4E03C297" w14:textId="7EB4C8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0003030E" w:rsidP="00BC041A" w:rsidRDefault="00AC41A6" w14:paraId="014CFAEB" w14:textId="5E793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In 2017, the U.S. Coast Guard received</w:t>
      </w:r>
      <w:r w:rsidR="00104257">
        <w:t xml:space="preserve"> 183,582 total vessel Notice of Arrival submissions, 675 of which </w:t>
      </w:r>
      <w:proofErr w:type="gramStart"/>
      <w:r w:rsidR="00104257">
        <w:t>were classified</w:t>
      </w:r>
      <w:proofErr w:type="gramEnd"/>
      <w:r w:rsidR="00104257">
        <w:t xml:space="preserve"> as fishing vessels. Of these fishing vessel submissions, 217 were from </w:t>
      </w:r>
      <w:r w:rsidRPr="0003030E" w:rsidR="0003030E">
        <w:t xml:space="preserve">foreign fishing vessels or foreign vessels that have engaged in fishing related activities. </w:t>
      </w:r>
      <w:r w:rsidR="003276D4">
        <w:t>As described in the rulemaking, o</w:t>
      </w:r>
      <w:r w:rsidRPr="0003030E" w:rsidR="0003030E">
        <w:t xml:space="preserve">nly </w:t>
      </w:r>
      <w:r w:rsidRPr="0003030E" w:rsidR="00104257">
        <w:t>foreign fishing vessels or foreign vessels that have engaged in fishing related activities</w:t>
      </w:r>
      <w:r w:rsidRPr="0003030E" w:rsidR="0003030E">
        <w:t xml:space="preserve"> will be required to submit the </w:t>
      </w:r>
      <w:r w:rsidR="003276D4">
        <w:t xml:space="preserve">full suite of </w:t>
      </w:r>
      <w:r w:rsidRPr="0003030E" w:rsidR="0003030E">
        <w:t>additional data elements described in (1). The current estimate of burden h</w:t>
      </w:r>
      <w:r w:rsidR="003276D4">
        <w:t>ours it takes to complete the Notice of Arrival</w:t>
      </w:r>
      <w:r w:rsidR="00104257">
        <w:t xml:space="preserve"> is one hour. Given this, </w:t>
      </w:r>
      <w:r w:rsidR="003276D4">
        <w:t xml:space="preserve">filling in </w:t>
      </w:r>
      <w:r w:rsidR="00104257">
        <w:t xml:space="preserve">the </w:t>
      </w:r>
      <w:r w:rsidRPr="0003030E" w:rsidR="0003030E">
        <w:t>new</w:t>
      </w:r>
      <w:r w:rsidR="003276D4">
        <w:t xml:space="preserve"> data fields described in (1) </w:t>
      </w:r>
      <w:proofErr w:type="gramStart"/>
      <w:r w:rsidR="003276D4">
        <w:t>is</w:t>
      </w:r>
      <w:r w:rsidRPr="0003030E" w:rsidR="0003030E">
        <w:t xml:space="preserve"> expected</w:t>
      </w:r>
      <w:proofErr w:type="gramEnd"/>
      <w:r w:rsidRPr="0003030E" w:rsidR="0003030E">
        <w:t xml:space="preserve"> to take at most ten additional minutes</w:t>
      </w:r>
      <w:r w:rsidR="00621F31">
        <w:t xml:space="preserve"> per </w:t>
      </w:r>
      <w:proofErr w:type="spellStart"/>
      <w:r w:rsidR="00621F31">
        <w:t>eNOAD</w:t>
      </w:r>
      <w:proofErr w:type="spellEnd"/>
      <w:r w:rsidR="00621F31">
        <w:t xml:space="preserve"> submission</w:t>
      </w:r>
      <w:r w:rsidRPr="0003030E" w:rsidR="0003030E">
        <w:t>, to</w:t>
      </w:r>
      <w:r w:rsidR="00104257">
        <w:t xml:space="preserve">taling 70 minutes or 1.17 hours to complete the </w:t>
      </w:r>
      <w:r w:rsidR="00621F31">
        <w:t xml:space="preserve">electronic </w:t>
      </w:r>
      <w:r w:rsidR="00104257">
        <w:t>Notice of Arrival</w:t>
      </w:r>
      <w:r w:rsidR="00621F31">
        <w:t xml:space="preserve"> for the affected vessels</w:t>
      </w:r>
      <w:r w:rsidR="00104257">
        <w:t>.</w:t>
      </w:r>
      <w:r w:rsidR="00621F31">
        <w:t xml:space="preserve">  For an estimate of 300 foreign fishing vessel arrivals submitting Annex </w:t>
      </w:r>
      <w:proofErr w:type="gramStart"/>
      <w:r w:rsidR="00621F31">
        <w:t>A</w:t>
      </w:r>
      <w:proofErr w:type="gramEnd"/>
      <w:r w:rsidR="00621F31">
        <w:t xml:space="preserve"> information, the burden attributable to this information collection would be 50 hours on an annual basis.  Note that </w:t>
      </w:r>
      <w:r w:rsidR="00C046A1">
        <w:t xml:space="preserve">this estimate represents </w:t>
      </w:r>
      <w:r w:rsidR="00621F31">
        <w:t xml:space="preserve">only the incremental burden of the Annex </w:t>
      </w:r>
      <w:proofErr w:type="gramStart"/>
      <w:r w:rsidR="00621F31">
        <w:t>A</w:t>
      </w:r>
      <w:proofErr w:type="gramEnd"/>
      <w:r w:rsidR="00621F31">
        <w:t xml:space="preserve"> report </w:t>
      </w:r>
      <w:r w:rsidR="000B1ECD">
        <w:t xml:space="preserve">for directly affected </w:t>
      </w:r>
      <w:r w:rsidR="00C046A1">
        <w:t xml:space="preserve">fishing </w:t>
      </w:r>
      <w:r w:rsidR="000B1ECD">
        <w:t>vessels</w:t>
      </w:r>
      <w:r w:rsidR="00C046A1">
        <w:t>. T</w:t>
      </w:r>
      <w:r w:rsidR="00621F31">
        <w:t xml:space="preserve">he </w:t>
      </w:r>
      <w:r w:rsidR="00C046A1">
        <w:t>balance</w:t>
      </w:r>
      <w:r w:rsidR="00621F31">
        <w:t xml:space="preserve"> of the burden </w:t>
      </w:r>
      <w:r w:rsidR="000B1ECD">
        <w:t xml:space="preserve">of advance notice of arrival </w:t>
      </w:r>
      <w:proofErr w:type="gramStart"/>
      <w:r w:rsidR="00C046A1">
        <w:t xml:space="preserve">is </w:t>
      </w:r>
      <w:r w:rsidR="000B1ECD">
        <w:t xml:space="preserve">still </w:t>
      </w:r>
      <w:r w:rsidR="00621F31">
        <w:t>being accounted for</w:t>
      </w:r>
      <w:proofErr w:type="gramEnd"/>
      <w:r w:rsidR="00621F31">
        <w:t xml:space="preserve"> under </w:t>
      </w:r>
      <w:r w:rsidR="00C046A1">
        <w:t xml:space="preserve">a </w:t>
      </w:r>
      <w:r w:rsidR="000B1ECD">
        <w:t xml:space="preserve">U.S. Coast Guard </w:t>
      </w:r>
      <w:r w:rsidR="00977543">
        <w:t>i</w:t>
      </w:r>
      <w:r w:rsidR="000B1ECD">
        <w:t xml:space="preserve">nformation </w:t>
      </w:r>
      <w:r w:rsidR="00977543">
        <w:t>c</w:t>
      </w:r>
      <w:r w:rsidR="00621F31">
        <w:t xml:space="preserve">ollection </w:t>
      </w:r>
      <w:r w:rsidR="00C046A1">
        <w:t>approved under OMB C</w:t>
      </w:r>
      <w:r w:rsidR="00977543">
        <w:t xml:space="preserve">ontrol Number </w:t>
      </w:r>
      <w:r w:rsidR="00621F31">
        <w:t>1625-0100.</w:t>
      </w:r>
    </w:p>
    <w:p w:rsidR="003242EE" w:rsidP="00BC041A" w:rsidRDefault="003242EE" w14:paraId="6A9DBA55" w14:textId="093FA1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242EE" w:rsidP="003242EE" w:rsidRDefault="003242EE" w14:paraId="41D5F0B7" w14:textId="77777777">
      <w:pPr>
        <w:rPr>
          <w:b/>
          <w:bCs/>
        </w:rPr>
      </w:pPr>
      <w:r>
        <w:rPr>
          <w:iCs/>
        </w:rPr>
        <w:t xml:space="preserve">NMFS has used </w:t>
      </w:r>
      <w:r w:rsidRPr="001132D9">
        <w:rPr>
          <w:bCs/>
        </w:rPr>
        <w:t xml:space="preserve">the Bureau of Labor and Statistics </w:t>
      </w:r>
      <w:r>
        <w:rPr>
          <w:bCs/>
        </w:rPr>
        <w:t xml:space="preserve">May </w:t>
      </w:r>
      <w:r w:rsidRPr="001132D9">
        <w:rPr>
          <w:bCs/>
        </w:rPr>
        <w:t>20</w:t>
      </w:r>
      <w:r>
        <w:rPr>
          <w:bCs/>
        </w:rPr>
        <w:t>21</w:t>
      </w:r>
      <w:r w:rsidRPr="001132D9">
        <w:rPr>
          <w:bCs/>
        </w:rPr>
        <w:t xml:space="preserve"> mean hourly wage </w:t>
      </w:r>
      <w:r w:rsidRPr="007D484F">
        <w:rPr>
          <w:bCs/>
        </w:rPr>
        <w:t xml:space="preserve">for </w:t>
      </w:r>
      <w:r w:rsidRPr="007D484F">
        <w:t xml:space="preserve">Office and Administrative Support Workers (All Other) (43-9199) </w:t>
      </w:r>
      <w:r w:rsidRPr="007D484F">
        <w:rPr>
          <w:bCs/>
        </w:rPr>
        <w:t>of $</w:t>
      </w:r>
      <w:r>
        <w:rPr>
          <w:bCs/>
        </w:rPr>
        <w:t>20.47</w:t>
      </w:r>
      <w:r w:rsidRPr="007D484F">
        <w:rPr>
          <w:bCs/>
        </w:rPr>
        <w:t xml:space="preserve"> to estimate the time value of the ship’s</w:t>
      </w:r>
      <w:r w:rsidRPr="00DE7235">
        <w:rPr>
          <w:bCs/>
        </w:rPr>
        <w:t xml:space="preserve"> crew or shore side support  personnel (ship’s ag</w:t>
      </w:r>
      <w:r w:rsidRPr="007D484F">
        <w:rPr>
          <w:bCs/>
        </w:rPr>
        <w:t>ent) makin</w:t>
      </w:r>
      <w:r>
        <w:rPr>
          <w:bCs/>
        </w:rPr>
        <w:t>g the pre-arrival report.</w:t>
      </w:r>
      <w:r>
        <w:rPr>
          <w:iCs/>
        </w:rPr>
        <w:t xml:space="preserve"> Assuming an incremental burden of 10 minutes per report, and using </w:t>
      </w:r>
      <w:r w:rsidRPr="001132D9">
        <w:rPr>
          <w:bCs/>
        </w:rPr>
        <w:t>the Bureau of Labor and S</w:t>
      </w:r>
      <w:r>
        <w:rPr>
          <w:bCs/>
        </w:rPr>
        <w:t>tatistics 2021 mean hourly wage of $20.47, the total cost to comply with this information collection would be $1,023.50 annually.</w:t>
      </w:r>
    </w:p>
    <w:p w:rsidR="003E551B" w:rsidP="00BC041A" w:rsidRDefault="003E551B" w14:paraId="58F36E63" w14:textId="297A1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Pr="009D161C" w:rsidR="003E551B" w:rsidP="003E551B" w:rsidRDefault="003E551B" w14:paraId="5C1A5BAB" w14:textId="77777777">
      <w:pPr>
        <w:rPr>
          <w:i/>
        </w:rPr>
      </w:pPr>
      <w:r w:rsidRPr="009D161C">
        <w:rPr>
          <w:i/>
        </w:rPr>
        <w:t>Summary and Total</w:t>
      </w:r>
    </w:p>
    <w:p w:rsidRPr="009D161C" w:rsidR="003E551B" w:rsidP="003E551B" w:rsidRDefault="003E551B" w14:paraId="7A3BA3A2" w14:textId="77777777"/>
    <w:tbl>
      <w:tblPr>
        <w:tblpPr w:leftFromText="180" w:rightFromText="180" w:vertAnchor="page" w:horzAnchor="margin" w:tblpXSpec="center" w:tblpY="10453"/>
        <w:tblW w:w="10188" w:type="dxa"/>
        <w:tblLook w:val="04A0" w:firstRow="1" w:lastRow="0" w:firstColumn="1" w:lastColumn="0" w:noHBand="0" w:noVBand="1"/>
      </w:tblPr>
      <w:tblGrid>
        <w:gridCol w:w="1171"/>
        <w:gridCol w:w="1654"/>
        <w:gridCol w:w="1080"/>
        <w:gridCol w:w="1016"/>
        <w:gridCol w:w="917"/>
        <w:gridCol w:w="853"/>
        <w:gridCol w:w="925"/>
        <w:gridCol w:w="1079"/>
        <w:gridCol w:w="1493"/>
      </w:tblGrid>
      <w:tr w:rsidRPr="00495053" w:rsidR="00F8382D" w:rsidTr="00F8382D" w14:paraId="0E23B9B9" w14:textId="77777777">
        <w:trPr>
          <w:trHeight w:val="1125"/>
        </w:trPr>
        <w:tc>
          <w:tcPr>
            <w:tcW w:w="1171"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495053" w:rsidR="00F8382D" w:rsidP="00F8382D" w:rsidRDefault="00F8382D" w14:paraId="49A46EAF" w14:textId="77777777">
            <w:pPr>
              <w:jc w:val="center"/>
              <w:rPr>
                <w:rFonts w:ascii="Calibri" w:hAnsi="Calibri" w:cs="Calibri"/>
                <w:b/>
                <w:bCs/>
                <w:sz w:val="16"/>
                <w:szCs w:val="16"/>
              </w:rPr>
            </w:pPr>
            <w:r w:rsidRPr="00495053">
              <w:rPr>
                <w:rFonts w:ascii="Calibri" w:hAnsi="Calibri" w:cs="Calibri"/>
                <w:b/>
                <w:bCs/>
                <w:sz w:val="16"/>
                <w:szCs w:val="16"/>
              </w:rPr>
              <w:t>Information Collection</w:t>
            </w:r>
          </w:p>
        </w:tc>
        <w:tc>
          <w:tcPr>
            <w:tcW w:w="1654" w:type="dxa"/>
            <w:tcBorders>
              <w:top w:val="single" w:color="auto" w:sz="8" w:space="0"/>
              <w:left w:val="nil"/>
              <w:bottom w:val="single" w:color="auto" w:sz="8" w:space="0"/>
              <w:right w:val="single" w:color="000000" w:sz="8" w:space="0"/>
            </w:tcBorders>
            <w:shd w:val="clear" w:color="000000" w:fill="BDD7EE"/>
            <w:vAlign w:val="center"/>
            <w:hideMark/>
          </w:tcPr>
          <w:p w:rsidRPr="00495053" w:rsidR="00F8382D" w:rsidP="00F8382D" w:rsidRDefault="00F8382D" w14:paraId="44371627" w14:textId="77777777">
            <w:pPr>
              <w:jc w:val="center"/>
              <w:rPr>
                <w:rFonts w:ascii="Calibri" w:hAnsi="Calibri" w:cs="Calibri"/>
                <w:b/>
                <w:bCs/>
                <w:sz w:val="16"/>
                <w:szCs w:val="16"/>
              </w:rPr>
            </w:pPr>
            <w:r w:rsidRPr="00495053">
              <w:rPr>
                <w:rFonts w:ascii="Calibri" w:hAnsi="Calibri" w:cs="Calibri"/>
                <w:b/>
                <w:bCs/>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495053" w:rsidR="00F8382D" w:rsidP="00F8382D" w:rsidRDefault="00F8382D" w14:paraId="1059A333" w14:textId="77777777">
            <w:pPr>
              <w:jc w:val="center"/>
              <w:rPr>
                <w:rFonts w:ascii="Calibri" w:hAnsi="Calibri" w:cs="Calibri"/>
                <w:b/>
                <w:bCs/>
                <w:sz w:val="16"/>
                <w:szCs w:val="16"/>
              </w:rPr>
            </w:pPr>
            <w:r w:rsidRPr="00495053">
              <w:rPr>
                <w:rFonts w:ascii="Calibri" w:hAnsi="Calibri" w:cs="Calibri"/>
                <w:b/>
                <w:bCs/>
                <w:sz w:val="16"/>
                <w:szCs w:val="16"/>
              </w:rPr>
              <w:t># of Respondents</w:t>
            </w:r>
            <w:r w:rsidRPr="00495053">
              <w:rPr>
                <w:rFonts w:ascii="Calibri" w:hAnsi="Calibri" w:cs="Calibri"/>
                <w:b/>
                <w:bCs/>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59D68483" w14:textId="77777777">
            <w:pPr>
              <w:jc w:val="center"/>
              <w:rPr>
                <w:rFonts w:ascii="Calibri" w:hAnsi="Calibri" w:cs="Calibri"/>
                <w:b/>
                <w:bCs/>
                <w:sz w:val="16"/>
                <w:szCs w:val="16"/>
              </w:rPr>
            </w:pPr>
            <w:r w:rsidRPr="00495053">
              <w:rPr>
                <w:rFonts w:ascii="Calibri" w:hAnsi="Calibri" w:cs="Calibri"/>
                <w:b/>
                <w:bCs/>
                <w:sz w:val="16"/>
                <w:szCs w:val="16"/>
              </w:rPr>
              <w:t>Annual # of Responses / Respondent</w:t>
            </w:r>
            <w:r w:rsidRPr="00495053">
              <w:rPr>
                <w:rFonts w:ascii="Calibri" w:hAnsi="Calibri" w:cs="Calibri"/>
                <w:b/>
                <w:bCs/>
                <w:sz w:val="16"/>
                <w:szCs w:val="16"/>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15A67D25" w14:textId="77777777">
            <w:pPr>
              <w:jc w:val="center"/>
              <w:rPr>
                <w:rFonts w:ascii="Calibri" w:hAnsi="Calibri" w:cs="Calibri"/>
                <w:b/>
                <w:bCs/>
                <w:sz w:val="16"/>
                <w:szCs w:val="16"/>
              </w:rPr>
            </w:pPr>
            <w:r w:rsidRPr="00495053">
              <w:rPr>
                <w:rFonts w:ascii="Calibri" w:hAnsi="Calibri" w:cs="Calibri"/>
                <w:b/>
                <w:bCs/>
                <w:sz w:val="16"/>
                <w:szCs w:val="16"/>
              </w:rPr>
              <w:t xml:space="preserve"> Total # of Annual Responses</w:t>
            </w:r>
            <w:r w:rsidRPr="00495053">
              <w:rPr>
                <w:rFonts w:ascii="Calibri" w:hAnsi="Calibri" w:cs="Calibri"/>
                <w:b/>
                <w:bCs/>
                <w:sz w:val="16"/>
                <w:szCs w:val="16"/>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2F1BA8F8" w14:textId="77777777">
            <w:pPr>
              <w:jc w:val="center"/>
              <w:rPr>
                <w:rFonts w:ascii="Calibri" w:hAnsi="Calibri" w:cs="Calibri"/>
                <w:b/>
                <w:bCs/>
                <w:sz w:val="16"/>
                <w:szCs w:val="16"/>
              </w:rPr>
            </w:pPr>
            <w:r w:rsidRPr="00495053">
              <w:rPr>
                <w:rFonts w:ascii="Calibri" w:hAnsi="Calibri" w:cs="Calibri"/>
                <w:b/>
                <w:bCs/>
                <w:sz w:val="16"/>
                <w:szCs w:val="16"/>
              </w:rPr>
              <w:t xml:space="preserve">Burden </w:t>
            </w:r>
            <w:proofErr w:type="spellStart"/>
            <w:r w:rsidRPr="00495053">
              <w:rPr>
                <w:rFonts w:ascii="Calibri" w:hAnsi="Calibri" w:cs="Calibri"/>
                <w:b/>
                <w:bCs/>
                <w:sz w:val="16"/>
                <w:szCs w:val="16"/>
              </w:rPr>
              <w:t>Hrs</w:t>
            </w:r>
            <w:proofErr w:type="spellEnd"/>
            <w:r w:rsidRPr="00495053">
              <w:rPr>
                <w:rFonts w:ascii="Calibri" w:hAnsi="Calibri" w:cs="Calibri"/>
                <w:b/>
                <w:bCs/>
                <w:sz w:val="16"/>
                <w:szCs w:val="16"/>
              </w:rPr>
              <w:t xml:space="preserve"> / Response</w:t>
            </w:r>
            <w:r w:rsidRPr="00495053">
              <w:rPr>
                <w:rFonts w:ascii="Calibri" w:hAnsi="Calibri" w:cs="Calibri"/>
                <w:b/>
                <w:bCs/>
                <w:sz w:val="16"/>
                <w:szCs w:val="16"/>
              </w:rPr>
              <w:br/>
              <w:t>(d)</w:t>
            </w:r>
          </w:p>
        </w:tc>
        <w:tc>
          <w:tcPr>
            <w:tcW w:w="925"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532DF23B" w14:textId="77777777">
            <w:pPr>
              <w:jc w:val="center"/>
              <w:rPr>
                <w:rFonts w:ascii="Calibri" w:hAnsi="Calibri" w:cs="Calibri"/>
                <w:b/>
                <w:bCs/>
                <w:sz w:val="16"/>
                <w:szCs w:val="16"/>
              </w:rPr>
            </w:pPr>
            <w:r w:rsidRPr="00495053">
              <w:rPr>
                <w:rFonts w:ascii="Calibri" w:hAnsi="Calibri" w:cs="Calibri"/>
                <w:b/>
                <w:bCs/>
                <w:sz w:val="16"/>
                <w:szCs w:val="16"/>
              </w:rPr>
              <w:t xml:space="preserve">Total Annual Burden </w:t>
            </w:r>
            <w:proofErr w:type="spellStart"/>
            <w:r w:rsidRPr="00495053">
              <w:rPr>
                <w:rFonts w:ascii="Calibri" w:hAnsi="Calibri" w:cs="Calibri"/>
                <w:b/>
                <w:bCs/>
                <w:sz w:val="16"/>
                <w:szCs w:val="16"/>
              </w:rPr>
              <w:t>Hrs</w:t>
            </w:r>
            <w:proofErr w:type="spellEnd"/>
            <w:r w:rsidRPr="00495053">
              <w:rPr>
                <w:rFonts w:ascii="Calibri" w:hAnsi="Calibri" w:cs="Calibri"/>
                <w:b/>
                <w:bCs/>
                <w:sz w:val="16"/>
                <w:szCs w:val="16"/>
              </w:rPr>
              <w:br/>
              <w:t>(e)  = (c) x (d)</w:t>
            </w:r>
          </w:p>
        </w:tc>
        <w:tc>
          <w:tcPr>
            <w:tcW w:w="1079"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24B2ADDB" w14:textId="77777777">
            <w:pPr>
              <w:jc w:val="center"/>
              <w:rPr>
                <w:rFonts w:ascii="Calibri" w:hAnsi="Calibri" w:cs="Calibri"/>
                <w:b/>
                <w:bCs/>
                <w:sz w:val="16"/>
                <w:szCs w:val="16"/>
              </w:rPr>
            </w:pPr>
            <w:r w:rsidRPr="00495053">
              <w:rPr>
                <w:rFonts w:ascii="Calibri" w:hAnsi="Calibri" w:cs="Calibri"/>
                <w:b/>
                <w:bCs/>
                <w:sz w:val="16"/>
                <w:szCs w:val="16"/>
              </w:rPr>
              <w:t>Hourly Wage Rate  (for Type of Respondent)</w:t>
            </w:r>
            <w:r w:rsidRPr="00495053">
              <w:rPr>
                <w:rFonts w:ascii="Calibri" w:hAnsi="Calibri" w:cs="Calibri"/>
                <w:b/>
                <w:bCs/>
                <w:sz w:val="16"/>
                <w:szCs w:val="16"/>
              </w:rPr>
              <w:br/>
              <w:t>(f)</w:t>
            </w:r>
          </w:p>
        </w:tc>
        <w:tc>
          <w:tcPr>
            <w:tcW w:w="1493" w:type="dxa"/>
            <w:tcBorders>
              <w:top w:val="single" w:color="auto" w:sz="8" w:space="0"/>
              <w:left w:val="nil"/>
              <w:bottom w:val="single" w:color="auto" w:sz="8" w:space="0"/>
              <w:right w:val="single" w:color="auto" w:sz="8" w:space="0"/>
            </w:tcBorders>
            <w:shd w:val="clear" w:color="000000" w:fill="BDD7EE"/>
            <w:vAlign w:val="center"/>
            <w:hideMark/>
          </w:tcPr>
          <w:p w:rsidRPr="00495053" w:rsidR="00F8382D" w:rsidP="00F8382D" w:rsidRDefault="00F8382D" w14:paraId="75C47E07" w14:textId="77777777">
            <w:pPr>
              <w:jc w:val="center"/>
              <w:rPr>
                <w:rFonts w:ascii="Calibri" w:hAnsi="Calibri" w:cs="Calibri"/>
                <w:b/>
                <w:bCs/>
                <w:sz w:val="16"/>
                <w:szCs w:val="16"/>
              </w:rPr>
            </w:pPr>
            <w:r w:rsidRPr="00495053">
              <w:rPr>
                <w:rFonts w:ascii="Calibri" w:hAnsi="Calibri" w:cs="Calibri"/>
                <w:b/>
                <w:bCs/>
                <w:sz w:val="16"/>
                <w:szCs w:val="16"/>
              </w:rPr>
              <w:t>Total Annual Wage Burden Costs</w:t>
            </w:r>
            <w:r w:rsidRPr="00495053">
              <w:rPr>
                <w:rFonts w:ascii="Calibri" w:hAnsi="Calibri" w:cs="Calibri"/>
                <w:b/>
                <w:bCs/>
                <w:sz w:val="16"/>
                <w:szCs w:val="16"/>
              </w:rPr>
              <w:br/>
              <w:t>(g) = (e) x (f)</w:t>
            </w:r>
          </w:p>
        </w:tc>
      </w:tr>
      <w:tr w:rsidRPr="00495053" w:rsidR="00F8382D" w:rsidTr="00F8382D" w14:paraId="4EBA74E7" w14:textId="77777777">
        <w:trPr>
          <w:trHeight w:val="247"/>
        </w:trPr>
        <w:tc>
          <w:tcPr>
            <w:tcW w:w="1171" w:type="dxa"/>
            <w:tcBorders>
              <w:top w:val="nil"/>
              <w:left w:val="single" w:color="auto" w:sz="8" w:space="0"/>
              <w:bottom w:val="single" w:color="auto" w:sz="4" w:space="0"/>
              <w:right w:val="single" w:color="auto" w:sz="4" w:space="0"/>
            </w:tcBorders>
            <w:shd w:val="clear" w:color="auto" w:fill="auto"/>
            <w:vAlign w:val="bottom"/>
            <w:hideMark/>
          </w:tcPr>
          <w:p w:rsidRPr="00495053" w:rsidR="00F8382D" w:rsidP="00F8382D" w:rsidRDefault="00F8382D" w14:paraId="0B98A655" w14:textId="77777777">
            <w:pPr>
              <w:rPr>
                <w:rFonts w:ascii="Calibri" w:hAnsi="Calibri" w:cs="Calibri"/>
                <w:sz w:val="16"/>
                <w:szCs w:val="16"/>
              </w:rPr>
            </w:pPr>
            <w:r>
              <w:rPr>
                <w:rFonts w:ascii="Calibri" w:hAnsi="Calibri" w:cs="Calibri"/>
                <w:sz w:val="16"/>
                <w:szCs w:val="16"/>
              </w:rPr>
              <w:t>Annex A reports</w:t>
            </w:r>
          </w:p>
        </w:tc>
        <w:tc>
          <w:tcPr>
            <w:tcW w:w="1654" w:type="dxa"/>
            <w:tcBorders>
              <w:top w:val="nil"/>
              <w:left w:val="nil"/>
              <w:bottom w:val="nil"/>
              <w:right w:val="nil"/>
            </w:tcBorders>
            <w:shd w:val="clear" w:color="auto" w:fill="auto"/>
            <w:noWrap/>
            <w:vAlign w:val="bottom"/>
            <w:hideMark/>
          </w:tcPr>
          <w:p w:rsidRPr="00495053" w:rsidR="00F8382D" w:rsidP="00F8382D" w:rsidRDefault="00F8382D" w14:paraId="7A31C03A" w14:textId="77777777">
            <w:pPr>
              <w:rPr>
                <w:rFonts w:ascii="Calibri" w:hAnsi="Calibri" w:cs="Calibri"/>
                <w:sz w:val="16"/>
                <w:szCs w:val="16"/>
              </w:rPr>
            </w:pPr>
            <w:r w:rsidRPr="00495053">
              <w:rPr>
                <w:rFonts w:ascii="Calibri" w:hAnsi="Calibri" w:cs="Calibri"/>
                <w:sz w:val="16"/>
                <w:szCs w:val="16"/>
              </w:rPr>
              <w:t>Vessel Operator</w:t>
            </w:r>
            <w:r>
              <w:rPr>
                <w:rFonts w:ascii="Calibri" w:hAnsi="Calibri" w:cs="Calibri"/>
                <w:sz w:val="16"/>
                <w:szCs w:val="16"/>
              </w:rPr>
              <w:t>/Ship’s agent</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495053" w:rsidR="00F8382D" w:rsidP="00F8382D" w:rsidRDefault="00F8382D" w14:paraId="61A8577F" w14:textId="77777777">
            <w:pPr>
              <w:jc w:val="right"/>
              <w:rPr>
                <w:rFonts w:ascii="Calibri" w:hAnsi="Calibri" w:cs="Calibri"/>
                <w:sz w:val="16"/>
                <w:szCs w:val="16"/>
              </w:rPr>
            </w:pPr>
            <w:r>
              <w:rPr>
                <w:rFonts w:ascii="Calibri" w:hAnsi="Calibri" w:cs="Calibri"/>
                <w:sz w:val="16"/>
                <w:szCs w:val="16"/>
              </w:rPr>
              <w:t>3</w:t>
            </w:r>
            <w:r w:rsidRPr="00495053">
              <w:rPr>
                <w:rFonts w:ascii="Calibri" w:hAnsi="Calibri" w:cs="Calibri"/>
                <w:sz w:val="16"/>
                <w:szCs w:val="16"/>
              </w:rPr>
              <w:t>00</w:t>
            </w:r>
          </w:p>
        </w:tc>
        <w:tc>
          <w:tcPr>
            <w:tcW w:w="1016" w:type="dxa"/>
            <w:tcBorders>
              <w:top w:val="nil"/>
              <w:left w:val="nil"/>
              <w:bottom w:val="single" w:color="auto" w:sz="4" w:space="0"/>
              <w:right w:val="single" w:color="auto" w:sz="4" w:space="0"/>
            </w:tcBorders>
            <w:shd w:val="clear" w:color="auto" w:fill="auto"/>
            <w:vAlign w:val="bottom"/>
            <w:hideMark/>
          </w:tcPr>
          <w:p w:rsidRPr="00495053" w:rsidR="00F8382D" w:rsidP="00F8382D" w:rsidRDefault="00F8382D" w14:paraId="123188AB" w14:textId="77777777">
            <w:pPr>
              <w:jc w:val="right"/>
              <w:rPr>
                <w:rFonts w:ascii="Calibri" w:hAnsi="Calibri" w:cs="Calibri"/>
                <w:sz w:val="16"/>
                <w:szCs w:val="16"/>
              </w:rPr>
            </w:pPr>
            <w:r w:rsidRPr="00495053">
              <w:rPr>
                <w:rFonts w:ascii="Calibri" w:hAnsi="Calibri" w:cs="Calibri"/>
                <w:sz w:val="16"/>
                <w:szCs w:val="16"/>
              </w:rPr>
              <w:t>1</w:t>
            </w:r>
          </w:p>
        </w:tc>
        <w:tc>
          <w:tcPr>
            <w:tcW w:w="917" w:type="dxa"/>
            <w:tcBorders>
              <w:top w:val="nil"/>
              <w:left w:val="nil"/>
              <w:bottom w:val="single" w:color="auto" w:sz="4" w:space="0"/>
              <w:right w:val="single" w:color="auto" w:sz="4" w:space="0"/>
            </w:tcBorders>
            <w:shd w:val="clear" w:color="auto" w:fill="auto"/>
            <w:vAlign w:val="bottom"/>
            <w:hideMark/>
          </w:tcPr>
          <w:p w:rsidRPr="00495053" w:rsidR="00F8382D" w:rsidP="00F8382D" w:rsidRDefault="00F8382D" w14:paraId="1154C052" w14:textId="77777777">
            <w:pPr>
              <w:jc w:val="right"/>
              <w:rPr>
                <w:rFonts w:ascii="Calibri" w:hAnsi="Calibri" w:cs="Calibri"/>
                <w:sz w:val="16"/>
                <w:szCs w:val="16"/>
              </w:rPr>
            </w:pPr>
            <w:r>
              <w:rPr>
                <w:rFonts w:ascii="Calibri" w:hAnsi="Calibri" w:cs="Calibri"/>
                <w:sz w:val="16"/>
                <w:szCs w:val="16"/>
              </w:rPr>
              <w:t>3</w:t>
            </w:r>
            <w:r w:rsidRPr="00495053">
              <w:rPr>
                <w:rFonts w:ascii="Calibri" w:hAnsi="Calibri" w:cs="Calibri"/>
                <w:sz w:val="16"/>
                <w:szCs w:val="16"/>
              </w:rPr>
              <w:t>00</w:t>
            </w:r>
          </w:p>
        </w:tc>
        <w:tc>
          <w:tcPr>
            <w:tcW w:w="853" w:type="dxa"/>
            <w:tcBorders>
              <w:top w:val="nil"/>
              <w:left w:val="nil"/>
              <w:bottom w:val="single" w:color="auto" w:sz="4" w:space="0"/>
              <w:right w:val="single" w:color="auto" w:sz="4" w:space="0"/>
            </w:tcBorders>
            <w:shd w:val="clear" w:color="auto" w:fill="auto"/>
            <w:vAlign w:val="bottom"/>
            <w:hideMark/>
          </w:tcPr>
          <w:p w:rsidRPr="00495053" w:rsidR="00F8382D" w:rsidP="00F8382D" w:rsidRDefault="00F8382D" w14:paraId="7B62C61A" w14:textId="77777777">
            <w:pPr>
              <w:jc w:val="right"/>
              <w:rPr>
                <w:rFonts w:ascii="Calibri" w:hAnsi="Calibri" w:cs="Calibri"/>
                <w:sz w:val="16"/>
                <w:szCs w:val="16"/>
              </w:rPr>
            </w:pPr>
            <w:r>
              <w:rPr>
                <w:rFonts w:ascii="Calibri" w:hAnsi="Calibri" w:cs="Calibri"/>
                <w:sz w:val="16"/>
                <w:szCs w:val="16"/>
              </w:rPr>
              <w:t>0.17</w:t>
            </w:r>
          </w:p>
        </w:tc>
        <w:tc>
          <w:tcPr>
            <w:tcW w:w="925" w:type="dxa"/>
            <w:tcBorders>
              <w:top w:val="nil"/>
              <w:left w:val="nil"/>
              <w:bottom w:val="single" w:color="auto" w:sz="4" w:space="0"/>
              <w:right w:val="single" w:color="auto" w:sz="4" w:space="0"/>
            </w:tcBorders>
            <w:shd w:val="clear" w:color="auto" w:fill="auto"/>
            <w:vAlign w:val="bottom"/>
            <w:hideMark/>
          </w:tcPr>
          <w:p w:rsidRPr="00495053" w:rsidR="00F8382D" w:rsidP="00F8382D" w:rsidRDefault="00F8382D" w14:paraId="1756DC1E" w14:textId="77777777">
            <w:pPr>
              <w:jc w:val="right"/>
              <w:rPr>
                <w:rFonts w:ascii="Calibri" w:hAnsi="Calibri" w:cs="Calibri"/>
                <w:sz w:val="16"/>
                <w:szCs w:val="16"/>
              </w:rPr>
            </w:pPr>
            <w:r>
              <w:rPr>
                <w:rFonts w:ascii="Calibri" w:hAnsi="Calibri" w:cs="Calibri"/>
                <w:sz w:val="16"/>
                <w:szCs w:val="16"/>
              </w:rPr>
              <w:t>50</w:t>
            </w:r>
          </w:p>
        </w:tc>
        <w:tc>
          <w:tcPr>
            <w:tcW w:w="1079" w:type="dxa"/>
            <w:tcBorders>
              <w:top w:val="nil"/>
              <w:left w:val="nil"/>
              <w:bottom w:val="single" w:color="auto" w:sz="4" w:space="0"/>
              <w:right w:val="single" w:color="auto" w:sz="4" w:space="0"/>
            </w:tcBorders>
            <w:shd w:val="clear" w:color="auto" w:fill="auto"/>
            <w:noWrap/>
            <w:vAlign w:val="bottom"/>
            <w:hideMark/>
          </w:tcPr>
          <w:p w:rsidRPr="00495053" w:rsidR="00F8382D" w:rsidP="00F8382D" w:rsidRDefault="00F8382D" w14:paraId="7A472A5C" w14:textId="77777777">
            <w:pPr>
              <w:jc w:val="right"/>
              <w:rPr>
                <w:rFonts w:ascii="Calibri" w:hAnsi="Calibri" w:cs="Calibri"/>
                <w:sz w:val="16"/>
                <w:szCs w:val="16"/>
              </w:rPr>
            </w:pPr>
            <w:r>
              <w:rPr>
                <w:rFonts w:ascii="Calibri" w:hAnsi="Calibri" w:cs="Calibri"/>
                <w:sz w:val="16"/>
                <w:szCs w:val="16"/>
              </w:rPr>
              <w:t xml:space="preserve"> $  20.47</w:t>
            </w:r>
            <w:r w:rsidRPr="00495053">
              <w:rPr>
                <w:rFonts w:ascii="Calibri" w:hAnsi="Calibri" w:cs="Calibri"/>
                <w:sz w:val="16"/>
                <w:szCs w:val="16"/>
              </w:rPr>
              <w:t xml:space="preserve"> </w:t>
            </w:r>
          </w:p>
        </w:tc>
        <w:tc>
          <w:tcPr>
            <w:tcW w:w="1493" w:type="dxa"/>
            <w:tcBorders>
              <w:top w:val="nil"/>
              <w:left w:val="nil"/>
              <w:bottom w:val="single" w:color="auto" w:sz="4" w:space="0"/>
              <w:right w:val="single" w:color="auto" w:sz="8" w:space="0"/>
            </w:tcBorders>
            <w:shd w:val="clear" w:color="auto" w:fill="auto"/>
            <w:noWrap/>
            <w:vAlign w:val="bottom"/>
            <w:hideMark/>
          </w:tcPr>
          <w:p w:rsidRPr="00495053" w:rsidR="00F8382D" w:rsidP="00F8382D" w:rsidRDefault="00F8382D" w14:paraId="173105DC" w14:textId="77777777">
            <w:pPr>
              <w:jc w:val="center"/>
              <w:rPr>
                <w:rFonts w:ascii="Calibri" w:hAnsi="Calibri" w:cs="Calibri"/>
                <w:sz w:val="16"/>
                <w:szCs w:val="16"/>
              </w:rPr>
            </w:pPr>
            <w:r>
              <w:rPr>
                <w:rFonts w:ascii="Calibri" w:hAnsi="Calibri" w:cs="Calibri"/>
                <w:sz w:val="16"/>
                <w:szCs w:val="16"/>
              </w:rPr>
              <w:t>$  1,023.50</w:t>
            </w:r>
          </w:p>
        </w:tc>
      </w:tr>
      <w:tr w:rsidRPr="00495053" w:rsidR="00F8382D" w:rsidTr="00F8382D" w14:paraId="21B65E0F" w14:textId="77777777">
        <w:trPr>
          <w:trHeight w:val="507"/>
        </w:trPr>
        <w:tc>
          <w:tcPr>
            <w:tcW w:w="1171" w:type="dxa"/>
            <w:tcBorders>
              <w:top w:val="nil"/>
              <w:left w:val="single" w:color="auto" w:sz="8" w:space="0"/>
              <w:bottom w:val="single" w:color="auto" w:sz="8" w:space="0"/>
              <w:right w:val="single" w:color="auto" w:sz="8" w:space="0"/>
            </w:tcBorders>
            <w:shd w:val="clear" w:color="000000" w:fill="DDEBF7"/>
            <w:noWrap/>
            <w:vAlign w:val="bottom"/>
            <w:hideMark/>
          </w:tcPr>
          <w:p w:rsidRPr="00495053" w:rsidR="00F8382D" w:rsidP="00F8382D" w:rsidRDefault="00F8382D" w14:paraId="6223B3A8" w14:textId="77777777">
            <w:pPr>
              <w:rPr>
                <w:rFonts w:ascii="Calibri" w:hAnsi="Calibri" w:cs="Calibri"/>
                <w:b/>
                <w:bCs/>
                <w:sz w:val="20"/>
                <w:szCs w:val="20"/>
              </w:rPr>
            </w:pPr>
            <w:r w:rsidRPr="00495053">
              <w:rPr>
                <w:rFonts w:ascii="Calibri" w:hAnsi="Calibri" w:cs="Calibri"/>
                <w:b/>
                <w:bCs/>
                <w:sz w:val="20"/>
                <w:szCs w:val="20"/>
              </w:rPr>
              <w:t>Totals</w:t>
            </w:r>
          </w:p>
        </w:tc>
        <w:tc>
          <w:tcPr>
            <w:tcW w:w="1654" w:type="dxa"/>
            <w:tcBorders>
              <w:top w:val="nil"/>
              <w:left w:val="nil"/>
              <w:bottom w:val="single" w:color="auto" w:sz="8" w:space="0"/>
              <w:right w:val="single" w:color="auto" w:sz="8" w:space="0"/>
            </w:tcBorders>
            <w:shd w:val="clear" w:color="auto" w:fill="808080"/>
            <w:noWrap/>
            <w:vAlign w:val="bottom"/>
            <w:hideMark/>
          </w:tcPr>
          <w:p w:rsidRPr="00495053" w:rsidR="00F8382D" w:rsidP="00F8382D" w:rsidRDefault="00F8382D" w14:paraId="0EB029E6" w14:textId="77777777">
            <w:pPr>
              <w:rPr>
                <w:rFonts w:ascii="Calibri" w:hAnsi="Calibri" w:cs="Calibri"/>
                <w:b/>
                <w:bCs/>
              </w:rPr>
            </w:pPr>
            <w:r w:rsidRPr="00495053">
              <w:rPr>
                <w:rFonts w:ascii="Calibri" w:hAnsi="Calibri" w:cs="Calibri"/>
                <w:b/>
                <w:bCs/>
              </w:rPr>
              <w:t> </w:t>
            </w:r>
          </w:p>
        </w:tc>
        <w:tc>
          <w:tcPr>
            <w:tcW w:w="1080" w:type="dxa"/>
            <w:tcBorders>
              <w:top w:val="nil"/>
              <w:left w:val="nil"/>
              <w:bottom w:val="single" w:color="auto" w:sz="8" w:space="0"/>
              <w:right w:val="single" w:color="auto" w:sz="8" w:space="0"/>
            </w:tcBorders>
            <w:shd w:val="clear" w:color="auto" w:fill="808080"/>
            <w:noWrap/>
            <w:vAlign w:val="bottom"/>
            <w:hideMark/>
          </w:tcPr>
          <w:p w:rsidRPr="00495053" w:rsidR="00F8382D" w:rsidP="00F8382D" w:rsidRDefault="00F8382D" w14:paraId="17440552" w14:textId="77777777">
            <w:pPr>
              <w:rPr>
                <w:rFonts w:ascii="Calibri" w:hAnsi="Calibri" w:cs="Calibri"/>
                <w:b/>
                <w:bCs/>
              </w:rPr>
            </w:pPr>
            <w:r w:rsidRPr="00495053">
              <w:rPr>
                <w:rFonts w:ascii="Calibri" w:hAnsi="Calibri" w:cs="Calibri"/>
                <w:b/>
                <w:bCs/>
              </w:rPr>
              <w:t> </w:t>
            </w:r>
          </w:p>
        </w:tc>
        <w:tc>
          <w:tcPr>
            <w:tcW w:w="1016" w:type="dxa"/>
            <w:tcBorders>
              <w:top w:val="nil"/>
              <w:left w:val="nil"/>
              <w:bottom w:val="single" w:color="auto" w:sz="8" w:space="0"/>
              <w:right w:val="single" w:color="auto" w:sz="8" w:space="0"/>
            </w:tcBorders>
            <w:shd w:val="clear" w:color="auto" w:fill="808080"/>
            <w:noWrap/>
            <w:vAlign w:val="bottom"/>
            <w:hideMark/>
          </w:tcPr>
          <w:p w:rsidRPr="00495053" w:rsidR="00F8382D" w:rsidP="00F8382D" w:rsidRDefault="00F8382D" w14:paraId="278CC713" w14:textId="77777777">
            <w:pPr>
              <w:rPr>
                <w:rFonts w:ascii="Calibri" w:hAnsi="Calibri" w:cs="Calibri"/>
                <w:b/>
                <w:bCs/>
              </w:rPr>
            </w:pPr>
            <w:r w:rsidRPr="00495053">
              <w:rPr>
                <w:rFonts w:ascii="Calibri" w:hAnsi="Calibri" w:cs="Calibri"/>
                <w:b/>
                <w:bCs/>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495053" w:rsidR="00F8382D" w:rsidP="00F8382D" w:rsidRDefault="00F8382D" w14:paraId="5EBDE4CA" w14:textId="77777777">
            <w:pPr>
              <w:jc w:val="right"/>
              <w:rPr>
                <w:rFonts w:ascii="Calibri" w:hAnsi="Calibri" w:cs="Calibri"/>
                <w:b/>
                <w:bCs/>
                <w:sz w:val="20"/>
                <w:szCs w:val="20"/>
              </w:rPr>
            </w:pPr>
            <w:r>
              <w:rPr>
                <w:rFonts w:ascii="Calibri" w:hAnsi="Calibri" w:cs="Calibri"/>
                <w:b/>
                <w:bCs/>
                <w:sz w:val="20"/>
                <w:szCs w:val="20"/>
              </w:rPr>
              <w:t>300</w:t>
            </w:r>
          </w:p>
        </w:tc>
        <w:tc>
          <w:tcPr>
            <w:tcW w:w="853" w:type="dxa"/>
            <w:tcBorders>
              <w:top w:val="nil"/>
              <w:left w:val="nil"/>
              <w:bottom w:val="single" w:color="auto" w:sz="8" w:space="0"/>
              <w:right w:val="single" w:color="auto" w:sz="8" w:space="0"/>
            </w:tcBorders>
            <w:shd w:val="clear" w:color="auto" w:fill="808080"/>
            <w:noWrap/>
            <w:vAlign w:val="bottom"/>
            <w:hideMark/>
          </w:tcPr>
          <w:p w:rsidRPr="00495053" w:rsidR="00F8382D" w:rsidP="00F8382D" w:rsidRDefault="00F8382D" w14:paraId="35FEFEC3" w14:textId="77777777">
            <w:pPr>
              <w:rPr>
                <w:rFonts w:ascii="Calibri" w:hAnsi="Calibri" w:cs="Calibri"/>
                <w:b/>
                <w:bCs/>
                <w:sz w:val="20"/>
                <w:szCs w:val="20"/>
              </w:rPr>
            </w:pPr>
            <w:r w:rsidRPr="00495053">
              <w:rPr>
                <w:rFonts w:ascii="Calibri" w:hAnsi="Calibri" w:cs="Calibri"/>
                <w:b/>
                <w:bCs/>
                <w:sz w:val="20"/>
                <w:szCs w:val="20"/>
              </w:rPr>
              <w:t> </w:t>
            </w:r>
          </w:p>
        </w:tc>
        <w:tc>
          <w:tcPr>
            <w:tcW w:w="925" w:type="dxa"/>
            <w:tcBorders>
              <w:top w:val="nil"/>
              <w:left w:val="nil"/>
              <w:bottom w:val="single" w:color="auto" w:sz="8" w:space="0"/>
              <w:right w:val="single" w:color="auto" w:sz="8" w:space="0"/>
            </w:tcBorders>
            <w:shd w:val="clear" w:color="000000" w:fill="DDEBF7"/>
            <w:noWrap/>
            <w:vAlign w:val="bottom"/>
            <w:hideMark/>
          </w:tcPr>
          <w:p w:rsidRPr="00495053" w:rsidR="00F8382D" w:rsidP="00F8382D" w:rsidRDefault="00F8382D" w14:paraId="12804F77" w14:textId="77777777">
            <w:pPr>
              <w:jc w:val="right"/>
              <w:rPr>
                <w:rFonts w:ascii="Calibri" w:hAnsi="Calibri" w:cs="Calibri"/>
                <w:b/>
                <w:bCs/>
                <w:sz w:val="20"/>
                <w:szCs w:val="20"/>
              </w:rPr>
            </w:pPr>
            <w:r>
              <w:rPr>
                <w:rFonts w:ascii="Calibri" w:hAnsi="Calibri" w:cs="Calibri"/>
                <w:b/>
                <w:bCs/>
                <w:sz w:val="20"/>
                <w:szCs w:val="20"/>
              </w:rPr>
              <w:t>50</w:t>
            </w:r>
          </w:p>
        </w:tc>
        <w:tc>
          <w:tcPr>
            <w:tcW w:w="1079" w:type="dxa"/>
            <w:tcBorders>
              <w:top w:val="nil"/>
              <w:left w:val="nil"/>
              <w:bottom w:val="single" w:color="auto" w:sz="8" w:space="0"/>
              <w:right w:val="single" w:color="auto" w:sz="8" w:space="0"/>
            </w:tcBorders>
            <w:shd w:val="clear" w:color="auto" w:fill="808080"/>
            <w:noWrap/>
            <w:vAlign w:val="bottom"/>
            <w:hideMark/>
          </w:tcPr>
          <w:p w:rsidRPr="00495053" w:rsidR="00F8382D" w:rsidP="00F8382D" w:rsidRDefault="00F8382D" w14:paraId="5F754CCA" w14:textId="77777777">
            <w:pPr>
              <w:rPr>
                <w:rFonts w:ascii="Calibri" w:hAnsi="Calibri" w:cs="Calibri"/>
                <w:b/>
                <w:bCs/>
                <w:sz w:val="20"/>
                <w:szCs w:val="20"/>
              </w:rPr>
            </w:pPr>
            <w:r w:rsidRPr="00495053">
              <w:rPr>
                <w:rFonts w:ascii="Calibri" w:hAnsi="Calibri" w:cs="Calibri"/>
                <w:b/>
                <w:bCs/>
                <w:sz w:val="20"/>
                <w:szCs w:val="20"/>
              </w:rPr>
              <w:t> </w:t>
            </w:r>
          </w:p>
        </w:tc>
        <w:tc>
          <w:tcPr>
            <w:tcW w:w="1493" w:type="dxa"/>
            <w:tcBorders>
              <w:top w:val="nil"/>
              <w:left w:val="nil"/>
              <w:bottom w:val="single" w:color="auto" w:sz="8" w:space="0"/>
              <w:right w:val="single" w:color="auto" w:sz="8" w:space="0"/>
            </w:tcBorders>
            <w:shd w:val="clear" w:color="000000" w:fill="DDEBF7"/>
            <w:noWrap/>
            <w:vAlign w:val="bottom"/>
            <w:hideMark/>
          </w:tcPr>
          <w:p w:rsidRPr="00495053" w:rsidR="00F8382D" w:rsidP="00F8382D" w:rsidRDefault="00F8382D" w14:paraId="320FC2F1" w14:textId="77777777">
            <w:pPr>
              <w:rPr>
                <w:rFonts w:ascii="Calibri" w:hAnsi="Calibri" w:cs="Calibri"/>
                <w:b/>
                <w:bCs/>
                <w:sz w:val="20"/>
                <w:szCs w:val="20"/>
              </w:rPr>
            </w:pPr>
            <w:r>
              <w:rPr>
                <w:rFonts w:ascii="Calibri" w:hAnsi="Calibri" w:cs="Calibri"/>
                <w:b/>
                <w:bCs/>
                <w:sz w:val="20"/>
                <w:szCs w:val="20"/>
              </w:rPr>
              <w:t xml:space="preserve"> $  1,023.50*</w:t>
            </w:r>
            <w:r w:rsidRPr="00495053">
              <w:rPr>
                <w:rFonts w:ascii="Calibri" w:hAnsi="Calibri" w:cs="Calibri"/>
                <w:b/>
                <w:bCs/>
                <w:sz w:val="20"/>
                <w:szCs w:val="20"/>
              </w:rPr>
              <w:t xml:space="preserve"> </w:t>
            </w:r>
          </w:p>
        </w:tc>
      </w:tr>
    </w:tbl>
    <w:p w:rsidR="003E551B" w:rsidP="003E551B" w:rsidRDefault="003E551B" w14:paraId="5D0168FF" w14:textId="23E71DEB">
      <w:r w:rsidRPr="009D161C">
        <w:t>The following table summariz</w:t>
      </w:r>
      <w:r>
        <w:t>es the time burden estimates for this information collection should the proposed rule change (</w:t>
      </w:r>
      <w:proofErr w:type="spellStart"/>
      <w:r>
        <w:t>eNOAD</w:t>
      </w:r>
      <w:proofErr w:type="spellEnd"/>
      <w:r>
        <w:t xml:space="preserve"> reporting of PSMA Annex </w:t>
      </w:r>
      <w:proofErr w:type="spellStart"/>
      <w:proofErr w:type="gramStart"/>
      <w:r>
        <w:t>A</w:t>
      </w:r>
      <w:proofErr w:type="spellEnd"/>
      <w:proofErr w:type="gramEnd"/>
      <w:r>
        <w:t xml:space="preserve"> information) be implemented:</w:t>
      </w:r>
      <w:r w:rsidRPr="009D161C">
        <w:t xml:space="preserve"> </w:t>
      </w:r>
    </w:p>
    <w:p w:rsidR="003E551B" w:rsidP="003E551B" w:rsidRDefault="003E551B" w14:paraId="1A25F540" w14:textId="77777777"/>
    <w:p w:rsidR="003E551B" w:rsidP="003E551B" w:rsidRDefault="003E551B" w14:paraId="7CD34EE0" w14:textId="6F9C5EF2"/>
    <w:p w:rsidR="003242EE" w:rsidP="003E551B" w:rsidRDefault="003242EE" w14:paraId="5CF3506A" w14:textId="566F7EB7"/>
    <w:p w:rsidRPr="00BF6042" w:rsidR="003E551B" w:rsidP="003E551B" w:rsidRDefault="003E551B" w14:paraId="5185D884" w14:textId="753A11E4">
      <w:r>
        <w:t>* PSMA Annex A reporting labor cost of time burden</w:t>
      </w:r>
    </w:p>
    <w:p w:rsidRPr="0003030E" w:rsidR="003E551B" w:rsidP="00BC041A" w:rsidRDefault="003E551B" w14:paraId="4CDA20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Pr="003F292B" w:rsidR="0003030E" w:rsidP="00BC041A" w:rsidRDefault="0003030E" w14:paraId="0142B79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rsidRPr="00866375" w:rsidR="0003030E" w:rsidP="00866375" w:rsidRDefault="00094069" w14:paraId="778A6B8E" w14:textId="3D3A2FBB">
      <w:pPr>
        <w:pStyle w:val="ListParagraph"/>
        <w:widowControl w:val="0"/>
        <w:tabs>
          <w:tab w:val="left" w:pos="360"/>
        </w:tabs>
        <w:autoSpaceDE w:val="0"/>
        <w:autoSpaceDN w:val="0"/>
        <w:spacing w:before="80"/>
        <w:ind w:left="0"/>
        <w:contextualSpacing w:val="0"/>
        <w:rPr>
          <w:b/>
        </w:rPr>
      </w:pPr>
      <w:r w:rsidRPr="009D161C">
        <w:rPr>
          <w:b/>
          <w:bCs/>
        </w:rPr>
        <w:lastRenderedPageBreak/>
        <w:t xml:space="preserve">13. </w:t>
      </w:r>
      <w:r w:rsidRPr="00BD7237" w:rsidR="00866375">
        <w:rPr>
          <w:b/>
        </w:rPr>
        <w:t>Provide an estimate for the total annual cost burden to respondents or record keepers resulting from the collection of information. (Do not include the cost of any hour burden already reflected on the burden worksheet).</w:t>
      </w:r>
    </w:p>
    <w:p w:rsidR="00BC041A" w:rsidP="00BC041A" w:rsidRDefault="00BC041A" w14:paraId="144D1F69" w14:textId="77777777">
      <w:pPr>
        <w:rPr>
          <w:b/>
          <w:bCs/>
        </w:rPr>
      </w:pPr>
    </w:p>
    <w:p w:rsidR="003242EE" w:rsidP="00BC041A" w:rsidRDefault="003276D4" w14:paraId="7C49712C" w14:textId="545AFF50">
      <w:pPr>
        <w:rPr>
          <w:b/>
          <w:bCs/>
        </w:rPr>
      </w:pPr>
      <w:r w:rsidRPr="003276D4">
        <w:rPr>
          <w:bCs/>
        </w:rPr>
        <w:t>Given that</w:t>
      </w:r>
      <w:r>
        <w:rPr>
          <w:b/>
          <w:bCs/>
        </w:rPr>
        <w:t xml:space="preserve"> </w:t>
      </w:r>
      <w:r w:rsidRPr="00A4601D">
        <w:rPr>
          <w:iCs/>
        </w:rPr>
        <w:t xml:space="preserve">Coast Guard regulations </w:t>
      </w:r>
      <w:r>
        <w:rPr>
          <w:iCs/>
        </w:rPr>
        <w:t xml:space="preserve">already </w:t>
      </w:r>
      <w:r w:rsidRPr="00A4601D">
        <w:rPr>
          <w:iCs/>
        </w:rPr>
        <w:t>require</w:t>
      </w:r>
      <w:r>
        <w:rPr>
          <w:iCs/>
        </w:rPr>
        <w:t xml:space="preserve"> all</w:t>
      </w:r>
      <w:r w:rsidRPr="00A4601D">
        <w:rPr>
          <w:iCs/>
        </w:rPr>
        <w:t xml:space="preserve"> foreign vessels to give advance notice prior to arrival at a U.S. port or</w:t>
      </w:r>
      <w:r>
        <w:rPr>
          <w:iCs/>
        </w:rPr>
        <w:t xml:space="preserve"> place of destination, all foreign vessels will already have the required equipment and software required. As a result, the total cost burden </w:t>
      </w:r>
      <w:r w:rsidR="00C046A1">
        <w:rPr>
          <w:iCs/>
        </w:rPr>
        <w:t xml:space="preserve">to report the supplementary information required under Annex A of the PSMA </w:t>
      </w:r>
      <w:r>
        <w:rPr>
          <w:iCs/>
        </w:rPr>
        <w:t xml:space="preserve">is negligible. </w:t>
      </w:r>
    </w:p>
    <w:p w:rsidRPr="0003030E" w:rsidR="003242EE" w:rsidP="00BC041A" w:rsidRDefault="003242EE" w14:paraId="4DA0C7B9" w14:textId="77777777">
      <w:pPr>
        <w:rPr>
          <w:b/>
          <w:bCs/>
        </w:rPr>
      </w:pPr>
    </w:p>
    <w:p w:rsidRPr="00866375" w:rsidR="003276D4" w:rsidP="00866375" w:rsidRDefault="00094069" w14:paraId="2C711B5C" w14:textId="6C388D50">
      <w:pPr>
        <w:pStyle w:val="ListParagraph"/>
        <w:widowControl w:val="0"/>
        <w:tabs>
          <w:tab w:val="left" w:pos="360"/>
        </w:tabs>
        <w:autoSpaceDE w:val="0"/>
        <w:autoSpaceDN w:val="0"/>
        <w:spacing w:before="80"/>
        <w:ind w:left="0"/>
        <w:contextualSpacing w:val="0"/>
        <w:rPr>
          <w:b/>
        </w:rPr>
      </w:pPr>
      <w:r w:rsidRPr="009D161C">
        <w:rPr>
          <w:b/>
          <w:bCs/>
        </w:rPr>
        <w:t xml:space="preserve">14. </w:t>
      </w:r>
      <w:r w:rsidRPr="00BD7237" w:rsidR="00866375">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242EE" w:rsidP="003276D4" w:rsidRDefault="003242EE" w14:paraId="1DE51C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p>
    <w:p w:rsidR="003242EE" w:rsidP="003276D4" w:rsidRDefault="003242EE" w14:paraId="094AC897" w14:textId="4412A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r>
        <w:rPr>
          <w:iCs/>
        </w:rPr>
        <w:t xml:space="preserve">Federal costs for maintaining the electronic system for advance notice of arrival and departure of vessels </w:t>
      </w:r>
      <w:proofErr w:type="gramStart"/>
      <w:r>
        <w:rPr>
          <w:iCs/>
        </w:rPr>
        <w:t>are already accounted for and included in the Coast Guard operating budget</w:t>
      </w:r>
      <w:proofErr w:type="gramEnd"/>
      <w:r>
        <w:rPr>
          <w:iCs/>
        </w:rPr>
        <w:t xml:space="preserve">.  The cost estimate </w:t>
      </w:r>
      <w:proofErr w:type="gramStart"/>
      <w:r>
        <w:rPr>
          <w:iCs/>
        </w:rPr>
        <w:t>is provided</w:t>
      </w:r>
      <w:proofErr w:type="gramEnd"/>
      <w:r>
        <w:rPr>
          <w:iCs/>
        </w:rPr>
        <w:t xml:space="preserve"> in the supporting statement for approved information collection 1625-0100.</w:t>
      </w:r>
    </w:p>
    <w:p w:rsidR="003242EE" w:rsidP="003276D4" w:rsidRDefault="003242EE" w14:paraId="318C4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p>
    <w:p w:rsidRPr="007B5374" w:rsidR="007B5374" w:rsidP="003276D4" w:rsidRDefault="007B5374" w14:paraId="0A3370EA" w14:textId="7B95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iCs/>
        </w:rPr>
        <w:t xml:space="preserve">To incorporate the additional </w:t>
      </w:r>
      <w:r w:rsidR="003242EE">
        <w:rPr>
          <w:iCs/>
        </w:rPr>
        <w:t xml:space="preserve">PSMA Annex </w:t>
      </w:r>
      <w:proofErr w:type="gramStart"/>
      <w:r w:rsidR="003242EE">
        <w:rPr>
          <w:iCs/>
        </w:rPr>
        <w:t>A</w:t>
      </w:r>
      <w:proofErr w:type="gramEnd"/>
      <w:r w:rsidR="003242EE">
        <w:rPr>
          <w:iCs/>
        </w:rPr>
        <w:t xml:space="preserve"> </w:t>
      </w:r>
      <w:r>
        <w:rPr>
          <w:iCs/>
        </w:rPr>
        <w:t xml:space="preserve">data requirements in the existing </w:t>
      </w:r>
      <w:proofErr w:type="spellStart"/>
      <w:r>
        <w:rPr>
          <w:iCs/>
        </w:rPr>
        <w:t>eNOAD</w:t>
      </w:r>
      <w:proofErr w:type="spellEnd"/>
      <w:r>
        <w:rPr>
          <w:iCs/>
        </w:rPr>
        <w:t xml:space="preserve"> data collection system, an ini</w:t>
      </w:r>
      <w:bookmarkStart w:name="_GoBack" w:id="0"/>
      <w:bookmarkEnd w:id="0"/>
      <w:r>
        <w:rPr>
          <w:iCs/>
        </w:rPr>
        <w:t xml:space="preserve">tial </w:t>
      </w:r>
      <w:r w:rsidR="00C046A1">
        <w:rPr>
          <w:iCs/>
        </w:rPr>
        <w:t xml:space="preserve">software development </w:t>
      </w:r>
      <w:r w:rsidRPr="00AF52C3" w:rsidR="0065126E">
        <w:rPr>
          <w:iCs/>
        </w:rPr>
        <w:t>cost</w:t>
      </w:r>
      <w:r w:rsidRPr="00AF52C3">
        <w:rPr>
          <w:iCs/>
        </w:rPr>
        <w:t xml:space="preserve"> of </w:t>
      </w:r>
      <w:r w:rsidRPr="00AF52C3" w:rsidR="00C046A1">
        <w:rPr>
          <w:iCs/>
        </w:rPr>
        <w:t>$</w:t>
      </w:r>
      <w:r w:rsidRPr="00AF52C3">
        <w:rPr>
          <w:iCs/>
        </w:rPr>
        <w:t>454,080</w:t>
      </w:r>
      <w:r w:rsidRPr="00AF52C3" w:rsidR="00C046A1">
        <w:rPr>
          <w:iCs/>
        </w:rPr>
        <w:t>.00</w:t>
      </w:r>
      <w:r>
        <w:rPr>
          <w:iCs/>
        </w:rPr>
        <w:t xml:space="preserve"> is expected. As estimated by the U.S. Coast Guard, </w:t>
      </w:r>
      <w:r w:rsidR="00C046A1">
        <w:rPr>
          <w:iCs/>
        </w:rPr>
        <w:t>this represents the incremental cost</w:t>
      </w:r>
      <w:r>
        <w:rPr>
          <w:iCs/>
        </w:rPr>
        <w:t xml:space="preserve"> required to update and build out the existing </w:t>
      </w:r>
      <w:proofErr w:type="spellStart"/>
      <w:r>
        <w:rPr>
          <w:iCs/>
        </w:rPr>
        <w:t>eNOAD</w:t>
      </w:r>
      <w:proofErr w:type="spellEnd"/>
      <w:r>
        <w:rPr>
          <w:iCs/>
        </w:rPr>
        <w:t xml:space="preserve"> system</w:t>
      </w:r>
      <w:r w:rsidR="007A3397">
        <w:rPr>
          <w:iCs/>
        </w:rPr>
        <w:t xml:space="preserve"> to incorporate the new data requirements</w:t>
      </w:r>
      <w:r>
        <w:rPr>
          <w:iCs/>
        </w:rPr>
        <w:t>, as well as</w:t>
      </w:r>
      <w:r w:rsidR="007A3397">
        <w:rPr>
          <w:iCs/>
        </w:rPr>
        <w:t xml:space="preserve"> to</w:t>
      </w:r>
      <w:r>
        <w:rPr>
          <w:iCs/>
        </w:rPr>
        <w:t xml:space="preserve"> </w:t>
      </w:r>
      <w:r w:rsidR="00F869D2">
        <w:rPr>
          <w:iCs/>
        </w:rPr>
        <w:t>verify</w:t>
      </w:r>
      <w:r>
        <w:rPr>
          <w:iCs/>
        </w:rPr>
        <w:t xml:space="preserve"> </w:t>
      </w:r>
      <w:r w:rsidR="00F869D2">
        <w:rPr>
          <w:iCs/>
        </w:rPr>
        <w:t>the schema and refine it through testing, as needed</w:t>
      </w:r>
      <w:r>
        <w:rPr>
          <w:iCs/>
        </w:rPr>
        <w:t>.</w:t>
      </w:r>
      <w:r w:rsidRPr="007B5374">
        <w:t xml:space="preserve"> </w:t>
      </w:r>
      <w:r w:rsidR="00C046A1">
        <w:t>There are</w:t>
      </w:r>
      <w:r w:rsidR="00F869D2">
        <w:t xml:space="preserve"> no projected </w:t>
      </w:r>
      <w:r w:rsidR="00C046A1">
        <w:t xml:space="preserve">additional </w:t>
      </w:r>
      <w:r w:rsidR="00F869D2">
        <w:t>hardware or s</w:t>
      </w:r>
      <w:r w:rsidRPr="00F869D2" w:rsidR="00F869D2">
        <w:t xml:space="preserve">oftware </w:t>
      </w:r>
      <w:r w:rsidR="00AF52C3">
        <w:t xml:space="preserve">purchases </w:t>
      </w:r>
      <w:r w:rsidRPr="00F869D2" w:rsidR="00AF52C3">
        <w:t>associated</w:t>
      </w:r>
      <w:r w:rsidRPr="00F869D2" w:rsidR="00F869D2">
        <w:t xml:space="preserve"> with this project. </w:t>
      </w:r>
      <w:r>
        <w:t xml:space="preserve">Additionally, </w:t>
      </w:r>
      <w:r w:rsidR="00C046A1">
        <w:t>an annual system maintenance cost</w:t>
      </w:r>
      <w:r>
        <w:t xml:space="preserve"> of </w:t>
      </w:r>
      <w:r w:rsidRPr="00AF52C3">
        <w:t xml:space="preserve">approximately </w:t>
      </w:r>
      <w:r w:rsidRPr="00AF52C3" w:rsidR="00C046A1">
        <w:t>$</w:t>
      </w:r>
      <w:r w:rsidRPr="00AF52C3">
        <w:t>5,000</w:t>
      </w:r>
      <w:r w:rsidRPr="00AF52C3" w:rsidR="00AF52C3">
        <w:t>.00</w:t>
      </w:r>
      <w:r w:rsidRPr="00AF52C3">
        <w:t xml:space="preserve"> </w:t>
      </w:r>
      <w:proofErr w:type="gramStart"/>
      <w:r w:rsidRPr="00AF52C3">
        <w:t>i</w:t>
      </w:r>
      <w:r>
        <w:t>s expected</w:t>
      </w:r>
      <w:proofErr w:type="gramEnd"/>
      <w:r>
        <w:t xml:space="preserve"> for the first five years of implementation.</w:t>
      </w:r>
      <w:r w:rsidR="00C046A1">
        <w:t xml:space="preserve"> These </w:t>
      </w:r>
      <w:r w:rsidR="00AF52C3">
        <w:t xml:space="preserve">incremental operations and maintenance </w:t>
      </w:r>
      <w:r w:rsidR="00C046A1">
        <w:t>costs would cover data storage</w:t>
      </w:r>
      <w:r w:rsidR="00AF52C3">
        <w:t xml:space="preserve"> in the U.S. Coast Guard system and</w:t>
      </w:r>
      <w:r w:rsidR="00C046A1">
        <w:t xml:space="preserve"> transmission</w:t>
      </w:r>
      <w:r w:rsidR="00AF52C3">
        <w:t xml:space="preserve"> of necessary data to NMFS.</w:t>
      </w:r>
      <w:r w:rsidR="00C046A1">
        <w:t xml:space="preserve"> </w:t>
      </w:r>
    </w:p>
    <w:p w:rsidR="007B5374" w:rsidP="003276D4" w:rsidRDefault="007B5374" w14:paraId="727F88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p>
    <w:p w:rsidR="003276D4" w:rsidP="003276D4" w:rsidRDefault="00F869D2" w14:paraId="219E4873" w14:textId="07DBF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iCs/>
        </w:rPr>
        <w:t xml:space="preserve">There will be a mandatory socialization period to </w:t>
      </w:r>
      <w:r w:rsidRPr="00F869D2">
        <w:rPr>
          <w:iCs/>
        </w:rPr>
        <w:t xml:space="preserve">alert </w:t>
      </w:r>
      <w:r>
        <w:rPr>
          <w:iCs/>
        </w:rPr>
        <w:t>i</w:t>
      </w:r>
      <w:r w:rsidRPr="00F869D2">
        <w:rPr>
          <w:iCs/>
        </w:rPr>
        <w:t>ndustry</w:t>
      </w:r>
      <w:r>
        <w:rPr>
          <w:iCs/>
        </w:rPr>
        <w:t xml:space="preserve"> users of the new data requirements, but o</w:t>
      </w:r>
      <w:r w:rsidR="003276D4">
        <w:rPr>
          <w:iCs/>
        </w:rPr>
        <w:t>nce the</w:t>
      </w:r>
      <w:r>
        <w:rPr>
          <w:iCs/>
        </w:rPr>
        <w:t xml:space="preserve"> revised </w:t>
      </w:r>
      <w:proofErr w:type="spellStart"/>
      <w:r>
        <w:rPr>
          <w:iCs/>
        </w:rPr>
        <w:t>eNOAD</w:t>
      </w:r>
      <w:proofErr w:type="spellEnd"/>
      <w:r>
        <w:rPr>
          <w:iCs/>
        </w:rPr>
        <w:t xml:space="preserve"> system </w:t>
      </w:r>
      <w:proofErr w:type="gramStart"/>
      <w:r>
        <w:rPr>
          <w:iCs/>
        </w:rPr>
        <w:t>is deployed</w:t>
      </w:r>
      <w:proofErr w:type="gramEnd"/>
      <w:r>
        <w:rPr>
          <w:iCs/>
        </w:rPr>
        <w:t xml:space="preserve"> and </w:t>
      </w:r>
      <w:r w:rsidR="003276D4">
        <w:rPr>
          <w:iCs/>
        </w:rPr>
        <w:t xml:space="preserve">users begin submitting data, </w:t>
      </w:r>
      <w:r w:rsidR="003276D4">
        <w:t>processing the information received</w:t>
      </w:r>
      <w:r w:rsidRPr="009D161C" w:rsidR="003276D4">
        <w:t xml:space="preserve"> </w:t>
      </w:r>
      <w:r w:rsidR="003276D4">
        <w:t>will</w:t>
      </w:r>
      <w:r w:rsidRPr="009D161C" w:rsidR="003276D4">
        <w:t xml:space="preserve"> not add costs to the Federal government. </w:t>
      </w:r>
      <w:r w:rsidR="003276D4">
        <w:t xml:space="preserve">A process for sharing relevant </w:t>
      </w:r>
      <w:proofErr w:type="spellStart"/>
      <w:r w:rsidR="003276D4">
        <w:t>eNOAD</w:t>
      </w:r>
      <w:proofErr w:type="spellEnd"/>
      <w:r w:rsidR="003276D4">
        <w:t xml:space="preserve"> information </w:t>
      </w:r>
      <w:proofErr w:type="gramStart"/>
      <w:r w:rsidR="003276D4">
        <w:t>is already established</w:t>
      </w:r>
      <w:proofErr w:type="gramEnd"/>
      <w:r w:rsidR="003276D4">
        <w:t xml:space="preserve"> and neither NOAA nor U.S. Coast Guard will require any additional funding to continue this information sharing process.</w:t>
      </w:r>
    </w:p>
    <w:p w:rsidR="00B05241" w:rsidP="003276D4" w:rsidRDefault="00B05241" w14:paraId="1C5E95AB" w14:textId="5D3C0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B05241" w:rsidR="00B05241" w:rsidP="003276D4" w:rsidRDefault="00B05241" w14:paraId="6289F7F0" w14:textId="70706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A3397">
        <w:rPr>
          <w:b/>
        </w:rPr>
        <w:t>Total annualized costs for new requirements</w:t>
      </w:r>
      <w:r>
        <w:rPr>
          <w:b/>
        </w:rPr>
        <w:t xml:space="preserve"> for the first five years of implementation,</w:t>
      </w:r>
      <w:r w:rsidRPr="007A3397">
        <w:rPr>
          <w:b/>
        </w:rPr>
        <w:t xml:space="preserve"> including </w:t>
      </w:r>
      <w:r>
        <w:rPr>
          <w:b/>
        </w:rPr>
        <w:t xml:space="preserve">averaging </w:t>
      </w:r>
      <w:r w:rsidRPr="007A3397">
        <w:rPr>
          <w:b/>
        </w:rPr>
        <w:t>th</w:t>
      </w:r>
      <w:r>
        <w:rPr>
          <w:b/>
        </w:rPr>
        <w:t>e initial system development expenses is $95,816</w:t>
      </w:r>
      <w:r w:rsidRPr="007A3397">
        <w:rPr>
          <w:b/>
        </w:rPr>
        <w:t xml:space="preserve">. </w:t>
      </w:r>
    </w:p>
    <w:p w:rsidR="003276D4" w:rsidP="003276D4" w:rsidRDefault="003276D4" w14:paraId="504E2B55" w14:textId="406F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tbl>
      <w:tblPr>
        <w:tblW w:w="8892" w:type="dxa"/>
        <w:tblLook w:val="04A0" w:firstRow="1" w:lastRow="0" w:firstColumn="1" w:lastColumn="0" w:noHBand="0" w:noVBand="1"/>
      </w:tblPr>
      <w:tblGrid>
        <w:gridCol w:w="2406"/>
        <w:gridCol w:w="1448"/>
        <w:gridCol w:w="1115"/>
        <w:gridCol w:w="909"/>
        <w:gridCol w:w="1467"/>
        <w:gridCol w:w="1547"/>
      </w:tblGrid>
      <w:tr w:rsidRPr="00B05241" w:rsidR="00B05241" w:rsidTr="00B05241" w14:paraId="7B5EEF89" w14:textId="77777777">
        <w:trPr>
          <w:trHeight w:val="501"/>
        </w:trPr>
        <w:tc>
          <w:tcPr>
            <w:tcW w:w="2406" w:type="dxa"/>
            <w:tcBorders>
              <w:top w:val="single" w:color="auto" w:sz="8" w:space="0"/>
              <w:left w:val="single" w:color="auto" w:sz="8" w:space="0"/>
              <w:bottom w:val="nil"/>
              <w:right w:val="single" w:color="auto" w:sz="8" w:space="0"/>
            </w:tcBorders>
            <w:shd w:val="clear" w:color="000000" w:fill="BDD7EE"/>
            <w:vAlign w:val="center"/>
            <w:hideMark/>
          </w:tcPr>
          <w:p w:rsidRPr="00B05241" w:rsidR="00B05241" w:rsidP="00B05241" w:rsidRDefault="00B05241" w14:paraId="557E9EFA" w14:textId="77777777">
            <w:pPr>
              <w:jc w:val="center"/>
              <w:rPr>
                <w:rFonts w:ascii="Calibri" w:hAnsi="Calibri" w:cs="Calibri"/>
                <w:b/>
                <w:bCs/>
                <w:sz w:val="16"/>
                <w:szCs w:val="16"/>
              </w:rPr>
            </w:pPr>
            <w:r w:rsidRPr="00B05241">
              <w:rPr>
                <w:rFonts w:ascii="Calibri" w:hAnsi="Calibri" w:cs="Calibri"/>
                <w:b/>
                <w:bCs/>
                <w:sz w:val="16"/>
                <w:szCs w:val="16"/>
              </w:rPr>
              <w:t>Cost Descriptions</w:t>
            </w:r>
          </w:p>
        </w:tc>
        <w:tc>
          <w:tcPr>
            <w:tcW w:w="1448" w:type="dxa"/>
            <w:tcBorders>
              <w:top w:val="single" w:color="auto" w:sz="8" w:space="0"/>
              <w:left w:val="nil"/>
              <w:bottom w:val="nil"/>
              <w:right w:val="single" w:color="auto" w:sz="8" w:space="0"/>
            </w:tcBorders>
            <w:shd w:val="clear" w:color="000000" w:fill="BDD7EE"/>
            <w:vAlign w:val="center"/>
            <w:hideMark/>
          </w:tcPr>
          <w:p w:rsidRPr="00B05241" w:rsidR="00B05241" w:rsidP="00B05241" w:rsidRDefault="00B05241" w14:paraId="75A5C20C" w14:textId="77777777">
            <w:pPr>
              <w:jc w:val="center"/>
              <w:rPr>
                <w:rFonts w:ascii="Calibri" w:hAnsi="Calibri" w:cs="Calibri"/>
                <w:b/>
                <w:bCs/>
                <w:sz w:val="16"/>
                <w:szCs w:val="16"/>
              </w:rPr>
            </w:pPr>
            <w:r w:rsidRPr="00B05241">
              <w:rPr>
                <w:rFonts w:ascii="Calibri" w:hAnsi="Calibri" w:cs="Calibri"/>
                <w:b/>
                <w:bCs/>
                <w:sz w:val="16"/>
                <w:szCs w:val="16"/>
              </w:rPr>
              <w:t>Grade/Step</w:t>
            </w:r>
          </w:p>
        </w:tc>
        <w:tc>
          <w:tcPr>
            <w:tcW w:w="1115" w:type="dxa"/>
            <w:tcBorders>
              <w:top w:val="single" w:color="auto" w:sz="8" w:space="0"/>
              <w:left w:val="nil"/>
              <w:bottom w:val="nil"/>
              <w:right w:val="single" w:color="auto" w:sz="8" w:space="0"/>
            </w:tcBorders>
            <w:shd w:val="clear" w:color="000000" w:fill="BDD7EE"/>
            <w:vAlign w:val="center"/>
            <w:hideMark/>
          </w:tcPr>
          <w:p w:rsidRPr="00B05241" w:rsidR="00B05241" w:rsidP="00B05241" w:rsidRDefault="00B05241" w14:paraId="73122F68" w14:textId="77777777">
            <w:pPr>
              <w:jc w:val="center"/>
              <w:rPr>
                <w:rFonts w:ascii="Calibri" w:hAnsi="Calibri" w:cs="Calibri"/>
                <w:b/>
                <w:bCs/>
                <w:sz w:val="16"/>
                <w:szCs w:val="16"/>
              </w:rPr>
            </w:pPr>
            <w:r w:rsidRPr="00B05241">
              <w:rPr>
                <w:rFonts w:ascii="Calibri" w:hAnsi="Calibri" w:cs="Calibri"/>
                <w:b/>
                <w:bCs/>
                <w:sz w:val="16"/>
                <w:szCs w:val="16"/>
              </w:rPr>
              <w:t>Loaded Salary /Cost</w:t>
            </w:r>
          </w:p>
        </w:tc>
        <w:tc>
          <w:tcPr>
            <w:tcW w:w="909" w:type="dxa"/>
            <w:tcBorders>
              <w:top w:val="single" w:color="auto" w:sz="8" w:space="0"/>
              <w:left w:val="nil"/>
              <w:bottom w:val="nil"/>
              <w:right w:val="single" w:color="auto" w:sz="8" w:space="0"/>
            </w:tcBorders>
            <w:shd w:val="clear" w:color="000000" w:fill="BDD7EE"/>
            <w:vAlign w:val="center"/>
            <w:hideMark/>
          </w:tcPr>
          <w:p w:rsidRPr="00B05241" w:rsidR="00B05241" w:rsidP="00B05241" w:rsidRDefault="00B05241" w14:paraId="1BB19C19" w14:textId="77777777">
            <w:pPr>
              <w:jc w:val="center"/>
              <w:rPr>
                <w:rFonts w:ascii="Calibri" w:hAnsi="Calibri" w:cs="Calibri"/>
                <w:b/>
                <w:bCs/>
                <w:sz w:val="16"/>
                <w:szCs w:val="16"/>
              </w:rPr>
            </w:pPr>
            <w:r w:rsidRPr="00B05241">
              <w:rPr>
                <w:rFonts w:ascii="Calibri" w:hAnsi="Calibri" w:cs="Calibri"/>
                <w:b/>
                <w:bCs/>
                <w:sz w:val="16"/>
                <w:szCs w:val="16"/>
              </w:rPr>
              <w:t>% of Effort</w:t>
            </w:r>
          </w:p>
        </w:tc>
        <w:tc>
          <w:tcPr>
            <w:tcW w:w="1467" w:type="dxa"/>
            <w:tcBorders>
              <w:top w:val="single" w:color="auto" w:sz="8" w:space="0"/>
              <w:left w:val="nil"/>
              <w:bottom w:val="nil"/>
              <w:right w:val="single" w:color="auto" w:sz="8" w:space="0"/>
            </w:tcBorders>
            <w:shd w:val="clear" w:color="000000" w:fill="BDD7EE"/>
            <w:vAlign w:val="center"/>
            <w:hideMark/>
          </w:tcPr>
          <w:p w:rsidRPr="00B05241" w:rsidR="00B05241" w:rsidP="00B05241" w:rsidRDefault="00B05241" w14:paraId="07BE338B" w14:textId="77777777">
            <w:pPr>
              <w:jc w:val="center"/>
              <w:rPr>
                <w:rFonts w:ascii="Calibri" w:hAnsi="Calibri" w:cs="Calibri"/>
                <w:b/>
                <w:bCs/>
                <w:sz w:val="16"/>
                <w:szCs w:val="16"/>
              </w:rPr>
            </w:pPr>
            <w:r w:rsidRPr="00B05241">
              <w:rPr>
                <w:rFonts w:ascii="Calibri" w:hAnsi="Calibri" w:cs="Calibri"/>
                <w:b/>
                <w:bCs/>
                <w:sz w:val="16"/>
                <w:szCs w:val="16"/>
              </w:rPr>
              <w:t>Fringe (if Applicable)</w:t>
            </w:r>
          </w:p>
        </w:tc>
        <w:tc>
          <w:tcPr>
            <w:tcW w:w="1547" w:type="dxa"/>
            <w:tcBorders>
              <w:top w:val="single" w:color="auto" w:sz="8" w:space="0"/>
              <w:left w:val="nil"/>
              <w:bottom w:val="nil"/>
              <w:right w:val="single" w:color="auto" w:sz="8" w:space="0"/>
            </w:tcBorders>
            <w:shd w:val="clear" w:color="000000" w:fill="BDD7EE"/>
            <w:vAlign w:val="center"/>
            <w:hideMark/>
          </w:tcPr>
          <w:p w:rsidRPr="00B05241" w:rsidR="00B05241" w:rsidP="00B05241" w:rsidRDefault="00B05241" w14:paraId="26CC0169" w14:textId="77777777">
            <w:pPr>
              <w:jc w:val="center"/>
              <w:rPr>
                <w:rFonts w:ascii="Calibri" w:hAnsi="Calibri" w:cs="Calibri"/>
                <w:b/>
                <w:bCs/>
                <w:sz w:val="16"/>
                <w:szCs w:val="16"/>
              </w:rPr>
            </w:pPr>
            <w:r w:rsidRPr="00B05241">
              <w:rPr>
                <w:rFonts w:ascii="Calibri" w:hAnsi="Calibri" w:cs="Calibri"/>
                <w:b/>
                <w:bCs/>
                <w:sz w:val="16"/>
                <w:szCs w:val="16"/>
              </w:rPr>
              <w:t>Total Cost to Government</w:t>
            </w:r>
          </w:p>
        </w:tc>
      </w:tr>
      <w:tr w:rsidRPr="00B05241" w:rsidR="00B05241" w:rsidTr="00B05241" w14:paraId="112B3782" w14:textId="77777777">
        <w:trPr>
          <w:trHeight w:val="354"/>
        </w:trPr>
        <w:tc>
          <w:tcPr>
            <w:tcW w:w="2406"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B05241" w:rsidR="00B05241" w:rsidP="00B05241" w:rsidRDefault="00B05241" w14:paraId="0418452C" w14:textId="77777777">
            <w:pPr>
              <w:rPr>
                <w:rFonts w:ascii="Calibri" w:hAnsi="Calibri" w:cs="Calibri"/>
                <w:b/>
                <w:bCs/>
                <w:sz w:val="16"/>
                <w:szCs w:val="16"/>
              </w:rPr>
            </w:pPr>
            <w:r w:rsidRPr="00B05241">
              <w:rPr>
                <w:rFonts w:ascii="Calibri" w:hAnsi="Calibri" w:cs="Calibri"/>
                <w:b/>
                <w:bCs/>
                <w:sz w:val="16"/>
                <w:szCs w:val="16"/>
              </w:rPr>
              <w:t>Federal Oversight</w:t>
            </w:r>
          </w:p>
        </w:tc>
        <w:tc>
          <w:tcPr>
            <w:tcW w:w="1448" w:type="dxa"/>
            <w:tcBorders>
              <w:top w:val="single" w:color="auto" w:sz="4" w:space="0"/>
              <w:left w:val="nil"/>
              <w:bottom w:val="single" w:color="auto" w:sz="4" w:space="0"/>
              <w:right w:val="single" w:color="auto" w:sz="4" w:space="0"/>
            </w:tcBorders>
            <w:shd w:val="clear" w:color="auto" w:fill="auto"/>
            <w:noWrap/>
            <w:vAlign w:val="bottom"/>
            <w:hideMark/>
          </w:tcPr>
          <w:p w:rsidRPr="00B05241" w:rsidR="00B05241" w:rsidP="00B05241" w:rsidRDefault="00B05241" w14:paraId="322259C4" w14:textId="77777777">
            <w:pPr>
              <w:rPr>
                <w:rFonts w:ascii="Calibri" w:hAnsi="Calibri" w:cs="Calibri"/>
                <w:sz w:val="16"/>
                <w:szCs w:val="16"/>
              </w:rPr>
            </w:pPr>
            <w:r w:rsidRPr="00B05241">
              <w:rPr>
                <w:rFonts w:ascii="Calibri" w:hAnsi="Calibri" w:cs="Calibri"/>
                <w:sz w:val="16"/>
                <w:szCs w:val="16"/>
              </w:rPr>
              <w:t> </w:t>
            </w:r>
          </w:p>
        </w:tc>
        <w:tc>
          <w:tcPr>
            <w:tcW w:w="1115" w:type="dxa"/>
            <w:tcBorders>
              <w:top w:val="single" w:color="auto" w:sz="4" w:space="0"/>
              <w:left w:val="nil"/>
              <w:bottom w:val="single" w:color="auto" w:sz="4" w:space="0"/>
              <w:right w:val="single" w:color="auto" w:sz="4" w:space="0"/>
            </w:tcBorders>
            <w:shd w:val="clear" w:color="auto" w:fill="auto"/>
            <w:noWrap/>
            <w:vAlign w:val="bottom"/>
            <w:hideMark/>
          </w:tcPr>
          <w:p w:rsidRPr="00B05241" w:rsidR="00B05241" w:rsidP="00B05241" w:rsidRDefault="00B05241" w14:paraId="6ADA7131" w14:textId="77777777">
            <w:pPr>
              <w:rPr>
                <w:rFonts w:ascii="Calibri" w:hAnsi="Calibri" w:cs="Calibri"/>
                <w:sz w:val="16"/>
                <w:szCs w:val="16"/>
              </w:rPr>
            </w:pPr>
            <w:r w:rsidRPr="00B05241">
              <w:rPr>
                <w:rFonts w:ascii="Calibri" w:hAnsi="Calibri" w:cs="Calibri"/>
                <w:sz w:val="16"/>
                <w:szCs w:val="16"/>
              </w:rPr>
              <w:t> </w:t>
            </w:r>
          </w:p>
        </w:tc>
        <w:tc>
          <w:tcPr>
            <w:tcW w:w="909" w:type="dxa"/>
            <w:tcBorders>
              <w:top w:val="single" w:color="auto" w:sz="4" w:space="0"/>
              <w:left w:val="nil"/>
              <w:bottom w:val="single" w:color="auto" w:sz="4" w:space="0"/>
              <w:right w:val="single" w:color="auto" w:sz="4" w:space="0"/>
            </w:tcBorders>
            <w:shd w:val="clear" w:color="auto" w:fill="auto"/>
            <w:noWrap/>
            <w:vAlign w:val="bottom"/>
            <w:hideMark/>
          </w:tcPr>
          <w:p w:rsidRPr="00B05241" w:rsidR="00B05241" w:rsidP="00B05241" w:rsidRDefault="00B05241" w14:paraId="59355F75" w14:textId="77777777">
            <w:pPr>
              <w:rPr>
                <w:rFonts w:ascii="Calibri" w:hAnsi="Calibri" w:cs="Calibri"/>
                <w:sz w:val="16"/>
                <w:szCs w:val="16"/>
              </w:rPr>
            </w:pPr>
            <w:r w:rsidRPr="00B05241">
              <w:rPr>
                <w:rFonts w:ascii="Calibri" w:hAnsi="Calibri" w:cs="Calibri"/>
                <w:sz w:val="16"/>
                <w:szCs w:val="16"/>
              </w:rPr>
              <w:t> </w:t>
            </w:r>
          </w:p>
        </w:tc>
        <w:tc>
          <w:tcPr>
            <w:tcW w:w="1467" w:type="dxa"/>
            <w:tcBorders>
              <w:top w:val="single" w:color="auto" w:sz="4" w:space="0"/>
              <w:left w:val="nil"/>
              <w:bottom w:val="single" w:color="auto" w:sz="4" w:space="0"/>
              <w:right w:val="single" w:color="auto" w:sz="4" w:space="0"/>
            </w:tcBorders>
            <w:shd w:val="clear" w:color="000000" w:fill="808080"/>
            <w:noWrap/>
            <w:vAlign w:val="bottom"/>
            <w:hideMark/>
          </w:tcPr>
          <w:p w:rsidRPr="00B05241" w:rsidR="00B05241" w:rsidP="00B05241" w:rsidRDefault="00B05241" w14:paraId="6F9BF2AD" w14:textId="77777777">
            <w:pPr>
              <w:rPr>
                <w:rFonts w:ascii="Calibri" w:hAnsi="Calibri" w:cs="Calibri"/>
                <w:sz w:val="16"/>
                <w:szCs w:val="16"/>
              </w:rPr>
            </w:pPr>
            <w:r w:rsidRPr="00B05241">
              <w:rPr>
                <w:rFonts w:ascii="Calibri" w:hAnsi="Calibri" w:cs="Calibri"/>
                <w:sz w:val="16"/>
                <w:szCs w:val="16"/>
              </w:rPr>
              <w:t> </w:t>
            </w:r>
          </w:p>
        </w:tc>
        <w:tc>
          <w:tcPr>
            <w:tcW w:w="1547" w:type="dxa"/>
            <w:tcBorders>
              <w:top w:val="single" w:color="auto" w:sz="4" w:space="0"/>
              <w:left w:val="nil"/>
              <w:bottom w:val="single" w:color="auto" w:sz="4" w:space="0"/>
              <w:right w:val="single" w:color="auto" w:sz="8" w:space="0"/>
            </w:tcBorders>
            <w:shd w:val="clear" w:color="auto" w:fill="auto"/>
            <w:noWrap/>
            <w:vAlign w:val="bottom"/>
            <w:hideMark/>
          </w:tcPr>
          <w:p w:rsidRPr="00B05241" w:rsidR="00B05241" w:rsidP="00B05241" w:rsidRDefault="00B05241" w14:paraId="4CB9DB9F" w14:textId="377BA861">
            <w:pPr>
              <w:rPr>
                <w:rFonts w:ascii="Calibri" w:hAnsi="Calibri" w:cs="Calibri"/>
                <w:sz w:val="16"/>
                <w:szCs w:val="16"/>
              </w:rPr>
            </w:pPr>
            <w:r w:rsidRPr="00B05241">
              <w:rPr>
                <w:rFonts w:ascii="Calibri" w:hAnsi="Calibri" w:cs="Calibri"/>
                <w:sz w:val="16"/>
                <w:szCs w:val="16"/>
              </w:rPr>
              <w:t> </w:t>
            </w:r>
            <w:r>
              <w:rPr>
                <w:rFonts w:ascii="Calibri" w:hAnsi="Calibri" w:cs="Calibri"/>
                <w:sz w:val="16"/>
                <w:szCs w:val="16"/>
              </w:rPr>
              <w:t>Accounted for in Coast Guard IC 1625-0100</w:t>
            </w:r>
          </w:p>
        </w:tc>
      </w:tr>
      <w:tr w:rsidRPr="00B05241" w:rsidR="00B05241" w:rsidTr="00B05241" w14:paraId="17A32CC4" w14:textId="77777777">
        <w:trPr>
          <w:trHeight w:val="645"/>
        </w:trPr>
        <w:tc>
          <w:tcPr>
            <w:tcW w:w="2406" w:type="dxa"/>
            <w:tcBorders>
              <w:top w:val="nil"/>
              <w:left w:val="single" w:color="auto" w:sz="8" w:space="0"/>
              <w:bottom w:val="nil"/>
              <w:right w:val="single" w:color="auto" w:sz="8" w:space="0"/>
            </w:tcBorders>
            <w:shd w:val="clear" w:color="auto" w:fill="auto"/>
            <w:vAlign w:val="center"/>
            <w:hideMark/>
          </w:tcPr>
          <w:p w:rsidRPr="00B05241" w:rsidR="00B05241" w:rsidP="00B05241" w:rsidRDefault="00B05241" w14:paraId="25523912" w14:textId="77777777">
            <w:pPr>
              <w:rPr>
                <w:rFonts w:ascii="Calibri" w:hAnsi="Calibri" w:cs="Calibri"/>
                <w:b/>
                <w:bCs/>
                <w:sz w:val="16"/>
                <w:szCs w:val="16"/>
              </w:rPr>
            </w:pPr>
            <w:r w:rsidRPr="00B05241">
              <w:rPr>
                <w:rFonts w:ascii="Calibri" w:hAnsi="Calibri" w:cs="Calibri"/>
                <w:b/>
                <w:bCs/>
                <w:sz w:val="16"/>
                <w:szCs w:val="16"/>
              </w:rPr>
              <w:t xml:space="preserve">Other Costs: </w:t>
            </w:r>
          </w:p>
        </w:tc>
        <w:tc>
          <w:tcPr>
            <w:tcW w:w="1448" w:type="dxa"/>
            <w:tcBorders>
              <w:top w:val="nil"/>
              <w:left w:val="nil"/>
              <w:bottom w:val="single" w:color="auto" w:sz="4" w:space="0"/>
              <w:right w:val="single" w:color="auto" w:sz="4" w:space="0"/>
            </w:tcBorders>
            <w:shd w:val="clear" w:color="000000" w:fill="808080"/>
            <w:noWrap/>
            <w:vAlign w:val="bottom"/>
            <w:hideMark/>
          </w:tcPr>
          <w:p w:rsidRPr="00B05241" w:rsidR="00B05241" w:rsidP="00B05241" w:rsidRDefault="00B05241" w14:paraId="5E643098" w14:textId="77777777">
            <w:pPr>
              <w:rPr>
                <w:rFonts w:ascii="Calibri" w:hAnsi="Calibri" w:cs="Calibri"/>
                <w:sz w:val="16"/>
                <w:szCs w:val="16"/>
              </w:rPr>
            </w:pPr>
            <w:r w:rsidRPr="00B05241">
              <w:rPr>
                <w:rFonts w:ascii="Calibri" w:hAnsi="Calibri" w:cs="Calibri"/>
                <w:sz w:val="16"/>
                <w:szCs w:val="16"/>
              </w:rPr>
              <w:t> </w:t>
            </w:r>
          </w:p>
        </w:tc>
        <w:tc>
          <w:tcPr>
            <w:tcW w:w="1115" w:type="dxa"/>
            <w:tcBorders>
              <w:top w:val="nil"/>
              <w:left w:val="nil"/>
              <w:bottom w:val="single" w:color="auto" w:sz="4" w:space="0"/>
              <w:right w:val="single" w:color="auto" w:sz="4" w:space="0"/>
            </w:tcBorders>
            <w:shd w:val="clear" w:color="000000" w:fill="808080"/>
            <w:noWrap/>
            <w:vAlign w:val="bottom"/>
            <w:hideMark/>
          </w:tcPr>
          <w:p w:rsidRPr="00B05241" w:rsidR="00B05241" w:rsidP="00B05241" w:rsidRDefault="00B05241" w14:paraId="44A914E1" w14:textId="77777777">
            <w:pPr>
              <w:rPr>
                <w:rFonts w:ascii="Calibri" w:hAnsi="Calibri" w:cs="Calibri"/>
                <w:sz w:val="16"/>
                <w:szCs w:val="16"/>
              </w:rPr>
            </w:pPr>
            <w:r w:rsidRPr="00B05241">
              <w:rPr>
                <w:rFonts w:ascii="Calibri" w:hAnsi="Calibri" w:cs="Calibri"/>
                <w:sz w:val="16"/>
                <w:szCs w:val="16"/>
              </w:rPr>
              <w:t> </w:t>
            </w:r>
          </w:p>
        </w:tc>
        <w:tc>
          <w:tcPr>
            <w:tcW w:w="909" w:type="dxa"/>
            <w:tcBorders>
              <w:top w:val="nil"/>
              <w:left w:val="nil"/>
              <w:bottom w:val="single" w:color="auto" w:sz="4" w:space="0"/>
              <w:right w:val="single" w:color="auto" w:sz="4" w:space="0"/>
            </w:tcBorders>
            <w:shd w:val="clear" w:color="000000" w:fill="808080"/>
            <w:noWrap/>
            <w:vAlign w:val="bottom"/>
            <w:hideMark/>
          </w:tcPr>
          <w:p w:rsidRPr="00B05241" w:rsidR="00B05241" w:rsidP="00B05241" w:rsidRDefault="00B05241" w14:paraId="2592D787" w14:textId="77777777">
            <w:pPr>
              <w:rPr>
                <w:rFonts w:ascii="Calibri" w:hAnsi="Calibri" w:cs="Calibri"/>
                <w:sz w:val="16"/>
                <w:szCs w:val="16"/>
              </w:rPr>
            </w:pPr>
            <w:r w:rsidRPr="00B05241">
              <w:rPr>
                <w:rFonts w:ascii="Calibri" w:hAnsi="Calibri" w:cs="Calibri"/>
                <w:sz w:val="16"/>
                <w:szCs w:val="16"/>
              </w:rPr>
              <w:t> </w:t>
            </w:r>
          </w:p>
        </w:tc>
        <w:tc>
          <w:tcPr>
            <w:tcW w:w="1467" w:type="dxa"/>
            <w:tcBorders>
              <w:top w:val="nil"/>
              <w:left w:val="nil"/>
              <w:bottom w:val="single" w:color="auto" w:sz="4" w:space="0"/>
              <w:right w:val="single" w:color="auto" w:sz="4" w:space="0"/>
            </w:tcBorders>
            <w:shd w:val="clear" w:color="000000" w:fill="808080"/>
            <w:noWrap/>
            <w:vAlign w:val="bottom"/>
            <w:hideMark/>
          </w:tcPr>
          <w:p w:rsidRPr="00B05241" w:rsidR="00B05241" w:rsidP="00B05241" w:rsidRDefault="00B05241" w14:paraId="0D631D14" w14:textId="77777777">
            <w:pPr>
              <w:rPr>
                <w:rFonts w:ascii="Calibri" w:hAnsi="Calibri" w:cs="Calibri"/>
                <w:sz w:val="16"/>
                <w:szCs w:val="16"/>
              </w:rPr>
            </w:pPr>
            <w:r w:rsidRPr="00B05241">
              <w:rPr>
                <w:rFonts w:ascii="Calibri" w:hAnsi="Calibri" w:cs="Calibri"/>
                <w:sz w:val="16"/>
                <w:szCs w:val="16"/>
              </w:rPr>
              <w:t> </w:t>
            </w:r>
          </w:p>
        </w:tc>
        <w:tc>
          <w:tcPr>
            <w:tcW w:w="1547" w:type="dxa"/>
            <w:tcBorders>
              <w:top w:val="nil"/>
              <w:left w:val="nil"/>
              <w:bottom w:val="single" w:color="auto" w:sz="4" w:space="0"/>
              <w:right w:val="single" w:color="auto" w:sz="8" w:space="0"/>
            </w:tcBorders>
            <w:shd w:val="clear" w:color="auto" w:fill="auto"/>
            <w:noWrap/>
            <w:vAlign w:val="bottom"/>
            <w:hideMark/>
          </w:tcPr>
          <w:p w:rsidRPr="00B05241" w:rsidR="00B05241" w:rsidP="00B05241" w:rsidRDefault="00B05241" w14:paraId="2E5F433C" w14:textId="435C90F4">
            <w:pPr>
              <w:rPr>
                <w:rFonts w:ascii="Calibri" w:hAnsi="Calibri" w:cs="Calibri"/>
                <w:sz w:val="16"/>
                <w:szCs w:val="16"/>
              </w:rPr>
            </w:pPr>
            <w:r w:rsidRPr="00B05241">
              <w:rPr>
                <w:rFonts w:ascii="Calibri" w:hAnsi="Calibri" w:cs="Calibri"/>
                <w:sz w:val="16"/>
                <w:szCs w:val="16"/>
              </w:rPr>
              <w:t> </w:t>
            </w:r>
            <w:r>
              <w:rPr>
                <w:rFonts w:ascii="Calibri" w:hAnsi="Calibri" w:cs="Calibri"/>
                <w:sz w:val="16"/>
                <w:szCs w:val="16"/>
              </w:rPr>
              <w:t>$95,816</w:t>
            </w:r>
          </w:p>
        </w:tc>
      </w:tr>
      <w:tr w:rsidRPr="00B05241" w:rsidR="00B05241" w:rsidTr="00B05241" w14:paraId="3DAF6AB3" w14:textId="77777777">
        <w:trPr>
          <w:trHeight w:val="369"/>
        </w:trPr>
        <w:tc>
          <w:tcPr>
            <w:tcW w:w="2406"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05241" w:rsidR="00B05241" w:rsidP="00B05241" w:rsidRDefault="00B05241" w14:paraId="69F9181E" w14:textId="77777777">
            <w:pPr>
              <w:rPr>
                <w:rFonts w:ascii="Calibri" w:hAnsi="Calibri" w:cs="Calibri"/>
                <w:b/>
                <w:bCs/>
                <w:sz w:val="16"/>
                <w:szCs w:val="16"/>
              </w:rPr>
            </w:pPr>
            <w:r w:rsidRPr="00B05241">
              <w:rPr>
                <w:rFonts w:ascii="Calibri" w:hAnsi="Calibri" w:cs="Calibri"/>
                <w:b/>
                <w:bCs/>
                <w:sz w:val="16"/>
                <w:szCs w:val="16"/>
              </w:rPr>
              <w:t>TOTAL</w:t>
            </w:r>
          </w:p>
        </w:tc>
        <w:tc>
          <w:tcPr>
            <w:tcW w:w="1448" w:type="dxa"/>
            <w:tcBorders>
              <w:top w:val="single" w:color="auto" w:sz="8" w:space="0"/>
              <w:left w:val="nil"/>
              <w:bottom w:val="single" w:color="auto" w:sz="8" w:space="0"/>
              <w:right w:val="single" w:color="auto" w:sz="8" w:space="0"/>
            </w:tcBorders>
            <w:shd w:val="clear" w:color="000000" w:fill="808080"/>
            <w:noWrap/>
            <w:vAlign w:val="bottom"/>
            <w:hideMark/>
          </w:tcPr>
          <w:p w:rsidRPr="00B05241" w:rsidR="00B05241" w:rsidP="00B05241" w:rsidRDefault="00B05241" w14:paraId="141F2A97" w14:textId="77777777">
            <w:pPr>
              <w:rPr>
                <w:rFonts w:ascii="Calibri" w:hAnsi="Calibri" w:cs="Calibri"/>
                <w:sz w:val="16"/>
                <w:szCs w:val="16"/>
              </w:rPr>
            </w:pPr>
            <w:r w:rsidRPr="00B05241">
              <w:rPr>
                <w:rFonts w:ascii="Calibri" w:hAnsi="Calibri" w:cs="Calibri"/>
                <w:sz w:val="16"/>
                <w:szCs w:val="16"/>
              </w:rPr>
              <w:t> </w:t>
            </w:r>
          </w:p>
        </w:tc>
        <w:tc>
          <w:tcPr>
            <w:tcW w:w="1115" w:type="dxa"/>
            <w:tcBorders>
              <w:top w:val="single" w:color="auto" w:sz="8" w:space="0"/>
              <w:left w:val="nil"/>
              <w:bottom w:val="single" w:color="auto" w:sz="8" w:space="0"/>
              <w:right w:val="single" w:color="auto" w:sz="8" w:space="0"/>
            </w:tcBorders>
            <w:shd w:val="clear" w:color="000000" w:fill="DDEBF7"/>
            <w:noWrap/>
            <w:vAlign w:val="bottom"/>
            <w:hideMark/>
          </w:tcPr>
          <w:p w:rsidRPr="00B05241" w:rsidR="00B05241" w:rsidP="00B05241" w:rsidRDefault="00B05241" w14:paraId="0AB1A7B8" w14:textId="77777777">
            <w:pPr>
              <w:rPr>
                <w:rFonts w:ascii="Calibri" w:hAnsi="Calibri" w:cs="Calibri"/>
                <w:sz w:val="16"/>
                <w:szCs w:val="16"/>
              </w:rPr>
            </w:pPr>
            <w:r w:rsidRPr="00B05241">
              <w:rPr>
                <w:rFonts w:ascii="Calibri" w:hAnsi="Calibri" w:cs="Calibri"/>
                <w:sz w:val="16"/>
                <w:szCs w:val="16"/>
              </w:rPr>
              <w:t> </w:t>
            </w:r>
          </w:p>
        </w:tc>
        <w:tc>
          <w:tcPr>
            <w:tcW w:w="909" w:type="dxa"/>
            <w:tcBorders>
              <w:top w:val="single" w:color="auto" w:sz="8" w:space="0"/>
              <w:left w:val="nil"/>
              <w:bottom w:val="single" w:color="auto" w:sz="8" w:space="0"/>
              <w:right w:val="single" w:color="auto" w:sz="8" w:space="0"/>
            </w:tcBorders>
            <w:shd w:val="clear" w:color="000000" w:fill="757171"/>
            <w:noWrap/>
            <w:vAlign w:val="bottom"/>
            <w:hideMark/>
          </w:tcPr>
          <w:p w:rsidRPr="00B05241" w:rsidR="00B05241" w:rsidP="00B05241" w:rsidRDefault="00B05241" w14:paraId="5C7BEE8C" w14:textId="77777777">
            <w:pPr>
              <w:rPr>
                <w:rFonts w:ascii="Calibri" w:hAnsi="Calibri" w:cs="Calibri"/>
                <w:sz w:val="16"/>
                <w:szCs w:val="16"/>
              </w:rPr>
            </w:pPr>
            <w:r w:rsidRPr="00B05241">
              <w:rPr>
                <w:rFonts w:ascii="Calibri" w:hAnsi="Calibri" w:cs="Calibri"/>
                <w:sz w:val="16"/>
                <w:szCs w:val="16"/>
              </w:rPr>
              <w:t> </w:t>
            </w:r>
          </w:p>
        </w:tc>
        <w:tc>
          <w:tcPr>
            <w:tcW w:w="1467" w:type="dxa"/>
            <w:tcBorders>
              <w:top w:val="single" w:color="auto" w:sz="8" w:space="0"/>
              <w:left w:val="nil"/>
              <w:bottom w:val="single" w:color="auto" w:sz="8" w:space="0"/>
              <w:right w:val="single" w:color="auto" w:sz="8" w:space="0"/>
            </w:tcBorders>
            <w:shd w:val="clear" w:color="000000" w:fill="DDEBF7"/>
            <w:noWrap/>
            <w:vAlign w:val="bottom"/>
            <w:hideMark/>
          </w:tcPr>
          <w:p w:rsidRPr="00B05241" w:rsidR="00B05241" w:rsidP="00B05241" w:rsidRDefault="00B05241" w14:paraId="197B4D40" w14:textId="77777777">
            <w:pPr>
              <w:rPr>
                <w:rFonts w:ascii="Calibri" w:hAnsi="Calibri" w:cs="Calibri"/>
                <w:sz w:val="16"/>
                <w:szCs w:val="16"/>
              </w:rPr>
            </w:pPr>
            <w:r w:rsidRPr="00B05241">
              <w:rPr>
                <w:rFonts w:ascii="Calibri" w:hAnsi="Calibri" w:cs="Calibri"/>
                <w:sz w:val="16"/>
                <w:szCs w:val="16"/>
              </w:rPr>
              <w:t> </w:t>
            </w:r>
          </w:p>
        </w:tc>
        <w:tc>
          <w:tcPr>
            <w:tcW w:w="1547" w:type="dxa"/>
            <w:tcBorders>
              <w:top w:val="single" w:color="auto" w:sz="8" w:space="0"/>
              <w:left w:val="nil"/>
              <w:bottom w:val="single" w:color="auto" w:sz="8" w:space="0"/>
              <w:right w:val="single" w:color="auto" w:sz="8" w:space="0"/>
            </w:tcBorders>
            <w:shd w:val="clear" w:color="000000" w:fill="DDEBF7"/>
            <w:noWrap/>
            <w:vAlign w:val="bottom"/>
            <w:hideMark/>
          </w:tcPr>
          <w:p w:rsidRPr="00B05241" w:rsidR="00B05241" w:rsidP="00B05241" w:rsidRDefault="00B05241" w14:paraId="2A4F424E" w14:textId="1FE82F8C">
            <w:pPr>
              <w:rPr>
                <w:rFonts w:ascii="Calibri" w:hAnsi="Calibri" w:cs="Calibri"/>
                <w:b/>
                <w:sz w:val="16"/>
                <w:szCs w:val="16"/>
              </w:rPr>
            </w:pPr>
            <w:r w:rsidRPr="00B05241">
              <w:rPr>
                <w:rFonts w:ascii="Calibri" w:hAnsi="Calibri" w:cs="Calibri"/>
                <w:b/>
                <w:sz w:val="16"/>
                <w:szCs w:val="16"/>
              </w:rPr>
              <w:t> $95,816</w:t>
            </w:r>
          </w:p>
        </w:tc>
      </w:tr>
    </w:tbl>
    <w:p w:rsidR="00B05241" w:rsidP="003276D4" w:rsidRDefault="00B05241" w14:paraId="0C1AF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D161C" w:rsidR="00BC041A" w:rsidP="00BC041A" w:rsidRDefault="00BC041A" w14:paraId="1A85A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BD7237" w:rsidR="00866375" w:rsidP="00866375" w:rsidRDefault="00094069" w14:paraId="0F0A9E59" w14:textId="77777777">
      <w:pPr>
        <w:pStyle w:val="ListParagraph"/>
        <w:widowControl w:val="0"/>
        <w:tabs>
          <w:tab w:val="left" w:pos="360"/>
        </w:tabs>
        <w:autoSpaceDE w:val="0"/>
        <w:autoSpaceDN w:val="0"/>
        <w:spacing w:before="80"/>
        <w:ind w:left="0"/>
        <w:contextualSpacing w:val="0"/>
        <w:rPr>
          <w:b/>
        </w:rPr>
      </w:pPr>
      <w:r w:rsidRPr="009D161C">
        <w:rPr>
          <w:b/>
          <w:bCs/>
        </w:rPr>
        <w:t xml:space="preserve">15. </w:t>
      </w:r>
      <w:r w:rsidRPr="00BD7237" w:rsidR="00866375">
        <w:rPr>
          <w:b/>
        </w:rPr>
        <w:t>Explain the reasons for any program changes or adjustments reported in ROCIS.</w:t>
      </w:r>
    </w:p>
    <w:p w:rsidR="00BC041A" w:rsidP="00BC041A" w:rsidRDefault="00BC041A" w14:paraId="2C71E8A8" w14:textId="608422C4">
      <w:pPr>
        <w:ind w:right="473"/>
        <w:rPr>
          <w:b/>
          <w:bCs/>
        </w:rPr>
      </w:pPr>
    </w:p>
    <w:p w:rsidRPr="00004A6F" w:rsidR="00BC041A" w:rsidP="00BC041A" w:rsidRDefault="00004A6F" w14:paraId="28F7431C" w14:textId="4CD49F35">
      <w:pPr>
        <w:ind w:right="473"/>
        <w:rPr>
          <w:bCs/>
        </w:rPr>
      </w:pPr>
      <w:proofErr w:type="gramStart"/>
      <w:r w:rsidRPr="00004A6F">
        <w:rPr>
          <w:bCs/>
        </w:rPr>
        <w:t>Thi</w:t>
      </w:r>
      <w:r w:rsidR="00B93FF9">
        <w:rPr>
          <w:bCs/>
        </w:rPr>
        <w:t>s is new information collection to require additional data elements for certain foreign vessels that are otherwise reporting under an existing collection approved under OMB Control Number 1625-0100.</w:t>
      </w:r>
      <w:proofErr w:type="gramEnd"/>
    </w:p>
    <w:p w:rsidRPr="00866375" w:rsidR="00094069" w:rsidP="00866375" w:rsidRDefault="00094069" w14:paraId="30D646FD" w14:textId="6DD0744A">
      <w:pPr>
        <w:pStyle w:val="ListParagraph"/>
        <w:widowControl w:val="0"/>
        <w:tabs>
          <w:tab w:val="left" w:pos="360"/>
        </w:tabs>
        <w:autoSpaceDE w:val="0"/>
        <w:autoSpaceDN w:val="0"/>
        <w:spacing w:before="80"/>
        <w:ind w:left="0"/>
        <w:contextualSpacing w:val="0"/>
        <w:rPr>
          <w:b/>
        </w:rPr>
      </w:pPr>
      <w:r w:rsidRPr="009D161C">
        <w:rPr>
          <w:b/>
          <w:bCs/>
        </w:rPr>
        <w:br/>
        <w:t xml:space="preserve">16. </w:t>
      </w:r>
      <w:r w:rsidRPr="00BD7237" w:rsidR="00866375">
        <w:rPr>
          <w:b/>
        </w:rPr>
        <w:t xml:space="preserve">For collections of information whose results </w:t>
      </w:r>
      <w:proofErr w:type="gramStart"/>
      <w:r w:rsidRPr="00BD7237" w:rsidR="00866375">
        <w:rPr>
          <w:b/>
        </w:rPr>
        <w:t>will be published</w:t>
      </w:r>
      <w:proofErr w:type="gramEnd"/>
      <w:r w:rsidRPr="00BD7237" w:rsidR="00866375">
        <w:rPr>
          <w:b/>
        </w:rPr>
        <w:t xml:space="preserve">, outline plans for tabulation and publication. Address any complex analytical techniques that </w:t>
      </w:r>
      <w:proofErr w:type="gramStart"/>
      <w:r w:rsidRPr="00BD7237" w:rsidR="00866375">
        <w:rPr>
          <w:b/>
        </w:rPr>
        <w:t>will be used</w:t>
      </w:r>
      <w:proofErr w:type="gramEnd"/>
      <w:r w:rsidRPr="00BD7237" w:rsidR="00866375">
        <w:rPr>
          <w:b/>
        </w:rPr>
        <w:t>. Provide the time schedule for the entire project, including beginning and ending dates of the collection of information, completion of report, publication dates, and other actions.</w:t>
      </w:r>
    </w:p>
    <w:p w:rsidRPr="009D161C" w:rsidR="00BC041A" w:rsidP="00BC041A" w:rsidRDefault="00BC041A" w14:paraId="276E2C22" w14:textId="77777777">
      <w:pPr>
        <w:ind w:right="473"/>
        <w:rPr>
          <w:b/>
          <w:bCs/>
        </w:rPr>
      </w:pPr>
    </w:p>
    <w:p w:rsidR="00B93FF9" w:rsidP="00BC041A" w:rsidRDefault="00094069" w14:paraId="08A132C1" w14:textId="005EAF98">
      <w:r w:rsidRPr="009D161C">
        <w:t xml:space="preserve">The results </w:t>
      </w:r>
      <w:proofErr w:type="gramStart"/>
      <w:r w:rsidRPr="009D161C">
        <w:t>will not be published</w:t>
      </w:r>
      <w:proofErr w:type="gramEnd"/>
      <w:r w:rsidRPr="009D161C">
        <w:t xml:space="preserve">. </w:t>
      </w:r>
      <w:r w:rsidR="00B93FF9">
        <w:t xml:space="preserve">However, for implementation reports as a signatory of the PSMA, NMFS may provide aggregated statistics on the number </w:t>
      </w:r>
      <w:proofErr w:type="gramStart"/>
      <w:r w:rsidR="00B93FF9">
        <w:t>of  foreign</w:t>
      </w:r>
      <w:proofErr w:type="gramEnd"/>
      <w:r w:rsidR="00B93FF9">
        <w:t xml:space="preserve"> vessels screened for port access determinations.</w:t>
      </w:r>
    </w:p>
    <w:p w:rsidRPr="009D161C" w:rsidR="00BC041A" w:rsidP="00BC041A" w:rsidRDefault="00B93FF9" w14:paraId="35B356D3" w14:textId="334F69F9">
      <w:r w:rsidRPr="009D161C">
        <w:t xml:space="preserve"> </w:t>
      </w:r>
    </w:p>
    <w:p w:rsidRPr="00866375" w:rsidR="00094069" w:rsidP="00866375" w:rsidRDefault="00094069" w14:paraId="3C16B525" w14:textId="69A4E525">
      <w:pPr>
        <w:pStyle w:val="ListParagraph"/>
        <w:widowControl w:val="0"/>
        <w:tabs>
          <w:tab w:val="left" w:pos="360"/>
        </w:tabs>
        <w:autoSpaceDE w:val="0"/>
        <w:autoSpaceDN w:val="0"/>
        <w:spacing w:before="80"/>
        <w:ind w:left="0"/>
        <w:contextualSpacing w:val="0"/>
        <w:rPr>
          <w:b/>
        </w:rPr>
      </w:pPr>
      <w:r w:rsidRPr="009D161C">
        <w:rPr>
          <w:b/>
          <w:bCs/>
        </w:rPr>
        <w:t xml:space="preserve">17. </w:t>
      </w:r>
      <w:r w:rsidRPr="00BD7237" w:rsidR="00866375">
        <w:rPr>
          <w:b/>
        </w:rPr>
        <w:t xml:space="preserve">If seeking approval </w:t>
      </w:r>
      <w:proofErr w:type="gramStart"/>
      <w:r w:rsidRPr="00BD7237" w:rsidR="00866375">
        <w:rPr>
          <w:b/>
        </w:rPr>
        <w:t>to not display</w:t>
      </w:r>
      <w:proofErr w:type="gramEnd"/>
      <w:r w:rsidRPr="00BD7237" w:rsidR="00866375">
        <w:rPr>
          <w:b/>
        </w:rPr>
        <w:t xml:space="preserve"> the expiration date for OMB approval of the information collection, explain the reasons that display would be inappropriate.</w:t>
      </w:r>
    </w:p>
    <w:p w:rsidRPr="009D161C" w:rsidR="00094069" w:rsidP="00BC041A" w:rsidRDefault="00094069" w14:paraId="4E3013C6" w14:textId="77777777">
      <w:pPr>
        <w:rPr>
          <w:b/>
          <w:bCs/>
        </w:rPr>
      </w:pPr>
    </w:p>
    <w:p w:rsidRPr="009D161C" w:rsidR="00094069" w:rsidP="00BC041A" w:rsidRDefault="00B05241" w14:paraId="257369C6" w14:textId="7B500F51">
      <w:r>
        <w:t xml:space="preserve">The expiration date for this collection </w:t>
      </w:r>
      <w:proofErr w:type="gramStart"/>
      <w:r>
        <w:t>will not be displayed</w:t>
      </w:r>
      <w:proofErr w:type="gramEnd"/>
      <w:r>
        <w:t xml:space="preserve"> on the </w:t>
      </w:r>
      <w:r>
        <w:rPr>
          <w:iCs/>
        </w:rPr>
        <w:t>U.S. Coast Guard’s electronic Notice of Arrival and Departure (</w:t>
      </w:r>
      <w:proofErr w:type="spellStart"/>
      <w:r>
        <w:rPr>
          <w:iCs/>
        </w:rPr>
        <w:t>eNOAD</w:t>
      </w:r>
      <w:proofErr w:type="spellEnd"/>
      <w:r>
        <w:rPr>
          <w:iCs/>
        </w:rPr>
        <w:t xml:space="preserve">) system as that system belongs to an existing collection approved under OMB Control Number 1625-0100. </w:t>
      </w:r>
    </w:p>
    <w:p w:rsidRPr="009D161C" w:rsidR="00094069" w:rsidP="00BC041A" w:rsidRDefault="00094069" w14:paraId="57AD9869" w14:textId="77777777"/>
    <w:p w:rsidRPr="00866375" w:rsidR="00094069" w:rsidP="00866375" w:rsidRDefault="00094069" w14:paraId="1CDABB57" w14:textId="753169A5">
      <w:pPr>
        <w:pStyle w:val="ListParagraph"/>
        <w:widowControl w:val="0"/>
        <w:tabs>
          <w:tab w:val="left" w:pos="360"/>
        </w:tabs>
        <w:autoSpaceDE w:val="0"/>
        <w:autoSpaceDN w:val="0"/>
        <w:spacing w:before="80"/>
        <w:ind w:left="0"/>
        <w:contextualSpacing w:val="0"/>
        <w:rPr>
          <w:b/>
        </w:rPr>
      </w:pPr>
      <w:r w:rsidRPr="009D161C">
        <w:rPr>
          <w:b/>
          <w:bCs/>
        </w:rPr>
        <w:t xml:space="preserve">18. </w:t>
      </w:r>
      <w:r w:rsidRPr="00BD7237" w:rsidR="00866375">
        <w:rPr>
          <w:b/>
        </w:rPr>
        <w:t>Explain each exception to the certification statement identified in “Certification for Paperwork Reduction Act Submissions."</w:t>
      </w:r>
    </w:p>
    <w:p w:rsidRPr="00866375" w:rsidR="00866375" w:rsidP="00866375" w:rsidRDefault="00866375" w14:paraId="63C580DA" w14:textId="6B248751">
      <w:pPr>
        <w:spacing w:before="221" w:line="259" w:lineRule="auto"/>
        <w:jc w:val="both"/>
      </w:pPr>
      <w:r w:rsidRPr="00866375">
        <w:t xml:space="preserve">The agency certifies compliance with </w:t>
      </w:r>
      <w:hyperlink r:id="rId10">
        <w:r w:rsidRPr="00866375">
          <w:rPr>
            <w:color w:val="0563C1"/>
            <w:u w:val="thick" w:color="0563C1"/>
          </w:rPr>
          <w:t>5 CFR 1320.9</w:t>
        </w:r>
        <w:r w:rsidRPr="00866375">
          <w:rPr>
            <w:color w:val="0563C1"/>
          </w:rPr>
          <w:t xml:space="preserve"> </w:t>
        </w:r>
      </w:hyperlink>
      <w:r w:rsidRPr="00866375">
        <w:t xml:space="preserve">and the related provisions of </w:t>
      </w:r>
      <w:hyperlink r:id="rId11">
        <w:r w:rsidRPr="00866375">
          <w:rPr>
            <w:color w:val="0563C1"/>
            <w:u w:val="thick" w:color="0563C1"/>
          </w:rPr>
          <w:t>5</w:t>
        </w:r>
        <w:r w:rsidRPr="00866375">
          <w:rPr>
            <w:color w:val="0563C1"/>
            <w:spacing w:val="-42"/>
            <w:u w:val="thick" w:color="0563C1"/>
          </w:rPr>
          <w:t xml:space="preserve"> </w:t>
        </w:r>
        <w:r w:rsidRPr="00866375">
          <w:rPr>
            <w:color w:val="0563C1"/>
            <w:u w:val="thick" w:color="0563C1"/>
          </w:rPr>
          <w:t>CFR</w:t>
        </w:r>
      </w:hyperlink>
      <w:r w:rsidRPr="00866375">
        <w:rPr>
          <w:color w:val="0563C1"/>
        </w:rPr>
        <w:t xml:space="preserve"> </w:t>
      </w:r>
      <w:hyperlink r:id="rId12">
        <w:r w:rsidRPr="00866375">
          <w:rPr>
            <w:color w:val="0563C1"/>
            <w:u w:val="thick" w:color="0563C1"/>
          </w:rPr>
          <w:t>1320.8(b</w:t>
        </w:r>
        <w:proofErr w:type="gramStart"/>
        <w:r w:rsidRPr="00866375">
          <w:rPr>
            <w:color w:val="0563C1"/>
            <w:u w:val="thick" w:color="0563C1"/>
          </w:rPr>
          <w:t>)(</w:t>
        </w:r>
        <w:proofErr w:type="gramEnd"/>
        <w:r w:rsidRPr="00866375">
          <w:rPr>
            <w:color w:val="0563C1"/>
            <w:u w:val="thick" w:color="0563C1"/>
          </w:rPr>
          <w:t>3)</w:t>
        </w:r>
      </w:hyperlink>
      <w:r w:rsidRPr="00866375">
        <w:t>.</w:t>
      </w:r>
    </w:p>
    <w:p w:rsidRPr="008D57C6" w:rsidR="00094069" w:rsidP="00BC041A" w:rsidRDefault="00094069" w14:paraId="3C645C47" w14:textId="2E450337">
      <w:pPr>
        <w:jc w:val="both"/>
      </w:pPr>
      <w:r w:rsidRPr="008D57C6">
        <w:t xml:space="preserve"> </w:t>
      </w:r>
    </w:p>
    <w:sectPr w:rsidRPr="008D57C6" w:rsidR="0009406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E9CB7" w14:textId="77777777" w:rsidR="00C942D6" w:rsidRDefault="00C942D6" w:rsidP="00094069">
      <w:r>
        <w:separator/>
      </w:r>
    </w:p>
  </w:endnote>
  <w:endnote w:type="continuationSeparator" w:id="0">
    <w:p w14:paraId="44E01B30" w14:textId="77777777" w:rsidR="00C942D6" w:rsidRDefault="00C942D6" w:rsidP="0009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F154" w14:textId="01B2D93E" w:rsidR="007E3344" w:rsidRDefault="002F1BEE">
    <w:pPr>
      <w:jc w:val="center"/>
    </w:pPr>
    <w:r>
      <w:fldChar w:fldCharType="begin"/>
    </w:r>
    <w:r>
      <w:instrText>PAGE</w:instrText>
    </w:r>
    <w:r>
      <w:fldChar w:fldCharType="separate"/>
    </w:r>
    <w:r w:rsidR="00F8382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CEF6" w14:textId="77777777" w:rsidR="00C942D6" w:rsidRDefault="00C942D6" w:rsidP="00094069">
      <w:r>
        <w:separator/>
      </w:r>
    </w:p>
  </w:footnote>
  <w:footnote w:type="continuationSeparator" w:id="0">
    <w:p w14:paraId="26D3819E" w14:textId="77777777" w:rsidR="00C942D6" w:rsidRDefault="00C942D6" w:rsidP="0009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22B817C0"/>
    <w:multiLevelType w:val="hybridMultilevel"/>
    <w:tmpl w:val="C46AA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D4AC4"/>
    <w:multiLevelType w:val="hybridMultilevel"/>
    <w:tmpl w:val="22AEC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74174C"/>
    <w:multiLevelType w:val="hybridMultilevel"/>
    <w:tmpl w:val="E5C4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69"/>
    <w:rsid w:val="00004A6F"/>
    <w:rsid w:val="0003030E"/>
    <w:rsid w:val="00053C01"/>
    <w:rsid w:val="00094069"/>
    <w:rsid w:val="000A484E"/>
    <w:rsid w:val="000B1ECD"/>
    <w:rsid w:val="000C52A0"/>
    <w:rsid w:val="000E19A4"/>
    <w:rsid w:val="000F2298"/>
    <w:rsid w:val="000F2E6B"/>
    <w:rsid w:val="00104257"/>
    <w:rsid w:val="001941D8"/>
    <w:rsid w:val="001B5C76"/>
    <w:rsid w:val="001D7213"/>
    <w:rsid w:val="002B5A42"/>
    <w:rsid w:val="002C4C24"/>
    <w:rsid w:val="002F1BEE"/>
    <w:rsid w:val="002F5056"/>
    <w:rsid w:val="003242EE"/>
    <w:rsid w:val="003276D4"/>
    <w:rsid w:val="003A2547"/>
    <w:rsid w:val="003C01D5"/>
    <w:rsid w:val="003D6E27"/>
    <w:rsid w:val="003E551B"/>
    <w:rsid w:val="004558EC"/>
    <w:rsid w:val="0048476A"/>
    <w:rsid w:val="004B30C9"/>
    <w:rsid w:val="004D428D"/>
    <w:rsid w:val="00510C17"/>
    <w:rsid w:val="00621F31"/>
    <w:rsid w:val="00623FB5"/>
    <w:rsid w:val="00632672"/>
    <w:rsid w:val="0065126E"/>
    <w:rsid w:val="00746E75"/>
    <w:rsid w:val="007A3397"/>
    <w:rsid w:val="007B5374"/>
    <w:rsid w:val="00815434"/>
    <w:rsid w:val="00856A49"/>
    <w:rsid w:val="00866375"/>
    <w:rsid w:val="008747C8"/>
    <w:rsid w:val="009141CB"/>
    <w:rsid w:val="00946016"/>
    <w:rsid w:val="00977543"/>
    <w:rsid w:val="0099709A"/>
    <w:rsid w:val="009F44A2"/>
    <w:rsid w:val="00A12E98"/>
    <w:rsid w:val="00A207DC"/>
    <w:rsid w:val="00A22C14"/>
    <w:rsid w:val="00A4601D"/>
    <w:rsid w:val="00AB65EB"/>
    <w:rsid w:val="00AC41A6"/>
    <w:rsid w:val="00AD3DA1"/>
    <w:rsid w:val="00AF0CC3"/>
    <w:rsid w:val="00AF52C3"/>
    <w:rsid w:val="00B05241"/>
    <w:rsid w:val="00B31A12"/>
    <w:rsid w:val="00B928CD"/>
    <w:rsid w:val="00B93FF9"/>
    <w:rsid w:val="00BC041A"/>
    <w:rsid w:val="00BE0D20"/>
    <w:rsid w:val="00BF2EFD"/>
    <w:rsid w:val="00C0382F"/>
    <w:rsid w:val="00C046A1"/>
    <w:rsid w:val="00C62640"/>
    <w:rsid w:val="00C63148"/>
    <w:rsid w:val="00C74288"/>
    <w:rsid w:val="00C87C00"/>
    <w:rsid w:val="00C942D6"/>
    <w:rsid w:val="00CC0082"/>
    <w:rsid w:val="00CD7ADB"/>
    <w:rsid w:val="00D73839"/>
    <w:rsid w:val="00DD5E18"/>
    <w:rsid w:val="00E276C5"/>
    <w:rsid w:val="00E6495D"/>
    <w:rsid w:val="00E848B7"/>
    <w:rsid w:val="00F644A8"/>
    <w:rsid w:val="00F67563"/>
    <w:rsid w:val="00F75106"/>
    <w:rsid w:val="00F8382D"/>
    <w:rsid w:val="00F869D2"/>
    <w:rsid w:val="00FC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693B"/>
  <w15:docId w15:val="{43838469-4211-4D14-AEC9-0EB751E7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069"/>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link w:val="Heading1Char"/>
    <w:uiPriority w:val="1"/>
    <w:qFormat/>
    <w:rsid w:val="00866375"/>
    <w:pPr>
      <w:widowControl w:val="0"/>
      <w:autoSpaceDE w:val="0"/>
      <w:autoSpaceDN w:val="0"/>
      <w:spacing w:before="80"/>
      <w:ind w:left="400"/>
      <w:outlineLvl w:val="0"/>
    </w:pPr>
    <w:rPr>
      <w:rFonts w:ascii="Arial" w:eastAsia="Arial" w:hAnsi="Arial" w:cs="Arial"/>
      <w:b/>
      <w:bCs/>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094069"/>
    <w:rPr>
      <w:sz w:val="20"/>
      <w:szCs w:val="20"/>
      <w:lang w:val="x-none" w:eastAsia="x-none"/>
    </w:rPr>
  </w:style>
  <w:style w:type="character" w:customStyle="1" w:styleId="CommentTextChar">
    <w:name w:val="Comment Text Char"/>
    <w:basedOn w:val="DefaultParagraphFont"/>
    <w:link w:val="CommentText"/>
    <w:rsid w:val="00094069"/>
    <w:rPr>
      <w:rFonts w:ascii="Times New Roman" w:eastAsia="Times New Roman" w:hAnsi="Times New Roman" w:cs="Times New Roman"/>
      <w:color w:val="000000"/>
      <w:sz w:val="20"/>
      <w:szCs w:val="20"/>
      <w:lang w:val="x-none" w:eastAsia="x-none"/>
    </w:rPr>
  </w:style>
  <w:style w:type="paragraph" w:customStyle="1" w:styleId="CM9">
    <w:name w:val="CM9"/>
    <w:basedOn w:val="Normal"/>
    <w:next w:val="Normal"/>
    <w:rsid w:val="00094069"/>
    <w:pPr>
      <w:widowControl w:val="0"/>
      <w:autoSpaceDE w:val="0"/>
      <w:autoSpaceDN w:val="0"/>
      <w:adjustRightInd w:val="0"/>
      <w:spacing w:after="280"/>
    </w:pPr>
    <w:rPr>
      <w:color w:val="auto"/>
    </w:rPr>
  </w:style>
  <w:style w:type="character" w:styleId="Hyperlink">
    <w:name w:val="Hyperlink"/>
    <w:rsid w:val="00094069"/>
    <w:rPr>
      <w:color w:val="0000FF"/>
      <w:u w:val="single"/>
    </w:rPr>
  </w:style>
  <w:style w:type="paragraph" w:styleId="FootnoteText">
    <w:name w:val="footnote text"/>
    <w:basedOn w:val="Normal"/>
    <w:link w:val="FootnoteTextChar"/>
    <w:rsid w:val="00094069"/>
    <w:rPr>
      <w:sz w:val="20"/>
      <w:szCs w:val="20"/>
    </w:rPr>
  </w:style>
  <w:style w:type="character" w:customStyle="1" w:styleId="FootnoteTextChar">
    <w:name w:val="Footnote Text Char"/>
    <w:basedOn w:val="DefaultParagraphFont"/>
    <w:link w:val="FootnoteText"/>
    <w:rsid w:val="00094069"/>
    <w:rPr>
      <w:rFonts w:ascii="Times New Roman" w:eastAsia="Times New Roman" w:hAnsi="Times New Roman" w:cs="Times New Roman"/>
      <w:color w:val="000000"/>
      <w:sz w:val="20"/>
      <w:szCs w:val="20"/>
    </w:rPr>
  </w:style>
  <w:style w:type="character" w:styleId="FootnoteReference">
    <w:name w:val="footnote reference"/>
    <w:rsid w:val="00094069"/>
    <w:rPr>
      <w:vertAlign w:val="superscript"/>
    </w:rPr>
  </w:style>
  <w:style w:type="paragraph" w:customStyle="1" w:styleId="Default">
    <w:name w:val="Default"/>
    <w:rsid w:val="000940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7">
    <w:name w:val="CM7"/>
    <w:basedOn w:val="Default"/>
    <w:next w:val="Default"/>
    <w:rsid w:val="00094069"/>
    <w:pPr>
      <w:spacing w:line="280" w:lineRule="atLeast"/>
    </w:pPr>
    <w:rPr>
      <w:color w:val="auto"/>
    </w:rPr>
  </w:style>
  <w:style w:type="paragraph" w:customStyle="1" w:styleId="CM11">
    <w:name w:val="CM11"/>
    <w:basedOn w:val="Default"/>
    <w:next w:val="Default"/>
    <w:rsid w:val="00094069"/>
    <w:pPr>
      <w:spacing w:after="280"/>
    </w:pPr>
    <w:rPr>
      <w:color w:val="auto"/>
    </w:rPr>
  </w:style>
  <w:style w:type="paragraph" w:customStyle="1" w:styleId="CM10">
    <w:name w:val="CM10"/>
    <w:basedOn w:val="Default"/>
    <w:next w:val="Default"/>
    <w:rsid w:val="00094069"/>
    <w:pPr>
      <w:spacing w:line="280" w:lineRule="atLeast"/>
    </w:pPr>
    <w:rPr>
      <w:color w:val="auto"/>
    </w:rPr>
  </w:style>
  <w:style w:type="paragraph" w:styleId="ListParagraph">
    <w:name w:val="List Paragraph"/>
    <w:basedOn w:val="Normal"/>
    <w:uiPriority w:val="1"/>
    <w:qFormat/>
    <w:rsid w:val="004558EC"/>
    <w:pPr>
      <w:ind w:left="720"/>
      <w:contextualSpacing/>
    </w:pPr>
  </w:style>
  <w:style w:type="table" w:styleId="TableGrid">
    <w:name w:val="Table Grid"/>
    <w:basedOn w:val="TableNormal"/>
    <w:uiPriority w:val="59"/>
    <w:rsid w:val="00B9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19A4"/>
    <w:rPr>
      <w:sz w:val="16"/>
      <w:szCs w:val="16"/>
    </w:rPr>
  </w:style>
  <w:style w:type="paragraph" w:styleId="CommentSubject">
    <w:name w:val="annotation subject"/>
    <w:basedOn w:val="CommentText"/>
    <w:next w:val="CommentText"/>
    <w:link w:val="CommentSubjectChar"/>
    <w:uiPriority w:val="99"/>
    <w:semiHidden/>
    <w:unhideWhenUsed/>
    <w:rsid w:val="000E19A4"/>
    <w:rPr>
      <w:b/>
      <w:bCs/>
      <w:lang w:val="en-US" w:eastAsia="en-US"/>
    </w:rPr>
  </w:style>
  <w:style w:type="character" w:customStyle="1" w:styleId="CommentSubjectChar">
    <w:name w:val="Comment Subject Char"/>
    <w:basedOn w:val="CommentTextChar"/>
    <w:link w:val="CommentSubject"/>
    <w:uiPriority w:val="99"/>
    <w:semiHidden/>
    <w:rsid w:val="000E19A4"/>
    <w:rPr>
      <w:rFonts w:ascii="Times New Roman" w:eastAsia="Times New Roman" w:hAnsi="Times New Roman" w:cs="Times New Roman"/>
      <w:b/>
      <w:bCs/>
      <w:color w:val="000000"/>
      <w:sz w:val="20"/>
      <w:szCs w:val="20"/>
      <w:lang w:val="x-none" w:eastAsia="x-none"/>
    </w:rPr>
  </w:style>
  <w:style w:type="paragraph" w:styleId="BalloonText">
    <w:name w:val="Balloon Text"/>
    <w:basedOn w:val="Normal"/>
    <w:link w:val="BalloonTextChar"/>
    <w:uiPriority w:val="99"/>
    <w:semiHidden/>
    <w:unhideWhenUsed/>
    <w:rsid w:val="000E1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9A4"/>
    <w:rPr>
      <w:rFonts w:ascii="Segoe UI" w:eastAsia="Times New Roman" w:hAnsi="Segoe UI" w:cs="Segoe UI"/>
      <w:color w:val="000000"/>
      <w:sz w:val="18"/>
      <w:szCs w:val="18"/>
    </w:rPr>
  </w:style>
  <w:style w:type="character" w:customStyle="1" w:styleId="Heading1Char">
    <w:name w:val="Heading 1 Char"/>
    <w:basedOn w:val="DefaultParagraphFont"/>
    <w:link w:val="Heading1"/>
    <w:uiPriority w:val="1"/>
    <w:rsid w:val="00866375"/>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9219">
      <w:bodyDiv w:val="1"/>
      <w:marLeft w:val="0"/>
      <w:marRight w:val="0"/>
      <w:marTop w:val="0"/>
      <w:marBottom w:val="0"/>
      <w:divBdr>
        <w:top w:val="none" w:sz="0" w:space="0" w:color="auto"/>
        <w:left w:val="none" w:sz="0" w:space="0" w:color="auto"/>
        <w:bottom w:val="none" w:sz="0" w:space="0" w:color="auto"/>
        <w:right w:val="none" w:sz="0" w:space="0" w:color="auto"/>
      </w:divBdr>
    </w:div>
    <w:div w:id="5203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i5469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corporateservices.noaa.gov/ames/administrative_orders/chapter_216/216-1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AC79-43B8-4132-B66B-EC491E75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Doherty</dc:creator>
  <cp:keywords/>
  <dc:description/>
  <cp:lastModifiedBy>Janet.Peery</cp:lastModifiedBy>
  <cp:revision>6</cp:revision>
  <dcterms:created xsi:type="dcterms:W3CDTF">2022-04-12T02:00:00Z</dcterms:created>
  <dcterms:modified xsi:type="dcterms:W3CDTF">2022-05-11T18:26:00Z</dcterms:modified>
</cp:coreProperties>
</file>