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E66BD" w:rsidR="00713FAF" w:rsidP="00713FAF" w:rsidRDefault="00713FAF">
      <w:pPr>
        <w:pStyle w:val="NoSpacing"/>
        <w:jc w:val="center"/>
        <w:rPr>
          <w:rFonts w:cstheme="minorHAnsi"/>
          <w:b/>
        </w:rPr>
      </w:pPr>
      <w:r w:rsidRPr="00FE66BD">
        <w:rPr>
          <w:rFonts w:cstheme="minorHAnsi"/>
          <w:b/>
        </w:rPr>
        <w:t>JUSTIFI</w:t>
      </w:r>
      <w:r w:rsidRPr="00FE66BD" w:rsidR="005A797D">
        <w:rPr>
          <w:rFonts w:cstheme="minorHAnsi"/>
          <w:b/>
        </w:rPr>
        <w:t>C</w:t>
      </w:r>
      <w:r w:rsidRPr="00FE66BD">
        <w:rPr>
          <w:rFonts w:cstheme="minorHAnsi"/>
          <w:b/>
        </w:rPr>
        <w:t>ATION FOR NONMATERIAL/NONSUBSTANTIVE CHANGE</w:t>
      </w:r>
    </w:p>
    <w:p w:rsidRPr="00FE66BD" w:rsidR="00713FAF" w:rsidP="00713FAF" w:rsidRDefault="00713FAF">
      <w:pPr>
        <w:pStyle w:val="NoSpacing"/>
        <w:jc w:val="center"/>
        <w:rPr>
          <w:rFonts w:cstheme="minorHAnsi"/>
          <w:b/>
        </w:rPr>
      </w:pPr>
      <w:r w:rsidRPr="00FE66BD">
        <w:rPr>
          <w:rFonts w:cstheme="minorHAnsi"/>
          <w:b/>
        </w:rPr>
        <w:t>(</w:t>
      </w:r>
      <w:r w:rsidRPr="00613BE7" w:rsidR="00613BE7">
        <w:rPr>
          <w:rFonts w:cstheme="minorHAnsi"/>
          <w:b/>
        </w:rPr>
        <w:t>Requirements for Patent Applications Containing Nucleotide Sequence and/or Amino Acid Sequence Disclosures</w:t>
      </w:r>
      <w:r w:rsidRPr="00FE66BD" w:rsidR="005A797D">
        <w:rPr>
          <w:rFonts w:cstheme="minorHAnsi"/>
          <w:b/>
        </w:rPr>
        <w:t>)</w:t>
      </w:r>
    </w:p>
    <w:p w:rsidRPr="00FE66BD" w:rsidR="00713FAF" w:rsidP="00713FAF" w:rsidRDefault="00713FAF">
      <w:pPr>
        <w:pStyle w:val="NoSpacing"/>
        <w:jc w:val="center"/>
        <w:rPr>
          <w:rFonts w:cstheme="minorHAnsi"/>
        </w:rPr>
      </w:pPr>
      <w:r w:rsidRPr="00FE66BD">
        <w:rPr>
          <w:rFonts w:cstheme="minorHAnsi"/>
          <w:b/>
        </w:rPr>
        <w:t>OMB Control Number 0651-00</w:t>
      </w:r>
      <w:r w:rsidR="00BA1051">
        <w:rPr>
          <w:rFonts w:cstheme="minorHAnsi"/>
          <w:b/>
        </w:rPr>
        <w:t>24</w:t>
      </w:r>
    </w:p>
    <w:p w:rsidRPr="00FE66BD" w:rsidR="00713FAF" w:rsidP="00713FAF" w:rsidRDefault="00713FAF">
      <w:pPr>
        <w:pStyle w:val="NoSpacing"/>
        <w:jc w:val="both"/>
        <w:rPr>
          <w:rFonts w:cstheme="minorHAnsi"/>
        </w:rPr>
      </w:pPr>
    </w:p>
    <w:p w:rsidRPr="00FE66BD" w:rsidR="00713FAF" w:rsidP="00EC48F5" w:rsidRDefault="00713FAF">
      <w:pPr>
        <w:pStyle w:val="NoSpacing"/>
        <w:spacing w:after="240"/>
        <w:jc w:val="both"/>
        <w:rPr>
          <w:rFonts w:cstheme="minorHAnsi"/>
        </w:rPr>
      </w:pPr>
      <w:r w:rsidRPr="00FE66BD">
        <w:rPr>
          <w:rFonts w:cstheme="minorHAnsi"/>
          <w:u w:val="single"/>
        </w:rPr>
        <w:t>Background</w:t>
      </w:r>
    </w:p>
    <w:p w:rsidR="00EB7661" w:rsidP="00EB7661" w:rsidRDefault="00EB7661">
      <w:pPr>
        <w:pStyle w:val="NoSpacing"/>
        <w:spacing w:after="240"/>
        <w:jc w:val="both"/>
      </w:pPr>
      <w:r>
        <w:t>Patent applications that contain nucleotide and/or amino acid sequence disclosures must include a copy of the sequence listing in accordance with the requirements in 37 CFR 1.821-1.825. Applicants submit copies of sequence listings for both U.S. and international biotechnology patent applications. The USPTO uses the sequence listings during the examination process to determine the patentability of the associated patent application. The USPTO also uses the sequence listings to support publication of patent applications and issued patents. Sequence listings are searchable after publication.</w:t>
      </w:r>
    </w:p>
    <w:p w:rsidR="00EB7661" w:rsidP="00EB7661" w:rsidRDefault="00EB7661">
      <w:pPr>
        <w:pStyle w:val="NoSpacing"/>
        <w:spacing w:after="240"/>
        <w:jc w:val="both"/>
      </w:pPr>
      <w:r>
        <w:t>This information collection covers the submission of the sequence listing information itself. Information pertaining to the filing of the initial U.S. patent application is collected under OMB Control Number 0651-0032, and information pertaining to the filing of the initial international application is collected under OMB Control Number 0651-0021.</w:t>
      </w:r>
    </w:p>
    <w:p w:rsidRPr="0067614D" w:rsidR="00EB7661" w:rsidP="00EB7661" w:rsidRDefault="00EB7661">
      <w:pPr>
        <w:pStyle w:val="NoSpacing"/>
        <w:spacing w:after="240"/>
        <w:jc w:val="both"/>
      </w:pPr>
      <w:r>
        <w:t xml:space="preserve">In particular, this information collection accounts for sequence listings submitted on paper, compact disc (CD), or through EFS-Web, the USPTO’s online filing system. Sequence listings may be submitted via EFS-Web as an ASCII text file or in Portable Document Format (PDF). For U.S. applications, § 1.821(c) permits all modes of submission:  paper, CD, or EFS-Web. Sequence listings for international applications may be </w:t>
      </w:r>
      <w:r w:rsidRPr="0067614D">
        <w:t>submitted on paper or through EFS-Web only, though sequence listings that are too large to be filed electronically though EFS-Web may be submitted on CD.</w:t>
      </w:r>
    </w:p>
    <w:p w:rsidRPr="00C561DE" w:rsidR="0028218F" w:rsidP="00EB7661" w:rsidRDefault="00B533F3">
      <w:pPr>
        <w:pStyle w:val="NoSpacing"/>
        <w:spacing w:after="240"/>
        <w:jc w:val="both"/>
        <w:rPr>
          <w:rFonts w:cstheme="minorHAnsi"/>
        </w:rPr>
      </w:pPr>
      <w:r w:rsidRPr="0067614D">
        <w:rPr>
          <w:rFonts w:cstheme="minorHAnsi"/>
        </w:rPr>
        <w:t>This request is to</w:t>
      </w:r>
      <w:r w:rsidRPr="0067614D" w:rsidR="00EB7661">
        <w:rPr>
          <w:rFonts w:cstheme="minorHAnsi"/>
        </w:rPr>
        <w:t xml:space="preserve"> remove the paper-based Sequence Listing in Application (IC No. 1) in response to rulemaking 0651-AD53 (Standard for Presentation of Nucleotide and Amino Acid Sequence Listings Using </w:t>
      </w:r>
      <w:proofErr w:type="spellStart"/>
      <w:r w:rsidRPr="0067614D" w:rsidR="00EB7661">
        <w:rPr>
          <w:rFonts w:cstheme="minorHAnsi"/>
        </w:rPr>
        <w:t>eXtensible</w:t>
      </w:r>
      <w:proofErr w:type="spellEnd"/>
      <w:r w:rsidRPr="0067614D" w:rsidR="00EB7661">
        <w:rPr>
          <w:rFonts w:cstheme="minorHAnsi"/>
        </w:rPr>
        <w:t xml:space="preserve"> Markup Language (XML) in Patent Applications to Implement WIPO Standard ST.26; Incorporation by Reference), because the </w:t>
      </w:r>
      <w:r w:rsidRPr="0067614D" w:rsidR="0067614D">
        <w:rPr>
          <w:rFonts w:cstheme="minorHAnsi"/>
        </w:rPr>
        <w:t>R</w:t>
      </w:r>
      <w:r w:rsidRPr="0067614D" w:rsidR="00EB7661">
        <w:rPr>
          <w:rFonts w:cstheme="minorHAnsi"/>
        </w:rPr>
        <w:t xml:space="preserve">ule </w:t>
      </w:r>
      <w:r w:rsidRPr="0067614D" w:rsidR="0067614D">
        <w:rPr>
          <w:rFonts w:cstheme="minorHAnsi"/>
        </w:rPr>
        <w:t xml:space="preserve">amends the rules of practice for these submissions by incorporating by reference certain provisions of World Intellectual Property Office Standard ST.26 (WIPO Standard ST.26) into the USPTO rules of practice. Other conforming changes to accommodate the new rules of practice based on the new standard are also included. In addition to simplifying the process for applicants filing in multiple countries, the requirement to submit a single sequence listing in </w:t>
      </w:r>
      <w:proofErr w:type="spellStart"/>
      <w:r w:rsidRPr="0067614D" w:rsidR="0067614D">
        <w:rPr>
          <w:rFonts w:cstheme="minorHAnsi"/>
        </w:rPr>
        <w:t>eXtensible</w:t>
      </w:r>
      <w:proofErr w:type="spellEnd"/>
      <w:r w:rsidRPr="0067614D" w:rsidR="0067614D">
        <w:rPr>
          <w:rFonts w:cstheme="minorHAnsi"/>
        </w:rPr>
        <w:t xml:space="preserve"> Markup Language (XML) format, or “Sequence Listing XML,” will result in better preservation, accessibility, </w:t>
      </w:r>
      <w:r w:rsidRPr="00C561DE" w:rsidR="0067614D">
        <w:rPr>
          <w:rFonts w:cstheme="minorHAnsi"/>
        </w:rPr>
        <w:t>and sorting of the submitted sequence data for the public.</w:t>
      </w:r>
    </w:p>
    <w:p w:rsidRPr="00C561DE" w:rsidR="0067614D" w:rsidP="0067614D" w:rsidRDefault="0067614D">
      <w:pPr>
        <w:pStyle w:val="NoSpacing"/>
        <w:spacing w:after="240"/>
        <w:jc w:val="both"/>
        <w:rPr>
          <w:rFonts w:cstheme="minorHAnsi"/>
        </w:rPr>
      </w:pPr>
      <w:r w:rsidRPr="00C561DE">
        <w:rPr>
          <w:rFonts w:cstheme="minorHAnsi"/>
        </w:rPr>
        <w:t>The removal of the paper-based Sequence Listing in Application will result in a reduction of burden, outlined in the table below.</w:t>
      </w:r>
    </w:p>
    <w:tbl>
      <w:tblPr>
        <w:tblStyle w:val="TableGrid"/>
        <w:tblW w:w="0" w:type="auto"/>
        <w:tblInd w:w="715" w:type="dxa"/>
        <w:tblLook w:val="04A0" w:firstRow="1" w:lastRow="0" w:firstColumn="1" w:lastColumn="0" w:noHBand="0" w:noVBand="1"/>
      </w:tblPr>
      <w:tblGrid>
        <w:gridCol w:w="2902"/>
        <w:gridCol w:w="1967"/>
        <w:gridCol w:w="2271"/>
      </w:tblGrid>
      <w:tr w:rsidRPr="00C561DE" w:rsidR="00C561DE" w:rsidTr="005633E7">
        <w:tc>
          <w:tcPr>
            <w:tcW w:w="2902" w:type="dxa"/>
          </w:tcPr>
          <w:p w:rsidRPr="00C561DE" w:rsidR="0067614D" w:rsidP="005633E7" w:rsidRDefault="0067614D">
            <w:pPr>
              <w:pStyle w:val="NoSpacing"/>
              <w:spacing w:after="240"/>
              <w:jc w:val="center"/>
              <w:rPr>
                <w:rFonts w:cstheme="minorHAnsi"/>
                <w:b/>
              </w:rPr>
            </w:pPr>
            <w:r w:rsidRPr="00C561DE">
              <w:rPr>
                <w:rFonts w:cstheme="minorHAnsi"/>
                <w:b/>
              </w:rPr>
              <w:t>Responses (Year)</w:t>
            </w:r>
          </w:p>
        </w:tc>
        <w:tc>
          <w:tcPr>
            <w:tcW w:w="1967" w:type="dxa"/>
          </w:tcPr>
          <w:p w:rsidRPr="00C561DE" w:rsidR="0067614D" w:rsidP="005633E7" w:rsidRDefault="002808C1">
            <w:pPr>
              <w:pStyle w:val="NoSpacing"/>
              <w:spacing w:after="240"/>
              <w:jc w:val="center"/>
              <w:rPr>
                <w:rFonts w:cstheme="minorHAnsi"/>
                <w:b/>
              </w:rPr>
            </w:pPr>
            <w:r w:rsidRPr="00C561DE">
              <w:rPr>
                <w:rFonts w:cstheme="minorHAnsi"/>
                <w:b/>
              </w:rPr>
              <w:t>Annual Burden (Year)</w:t>
            </w:r>
          </w:p>
        </w:tc>
        <w:tc>
          <w:tcPr>
            <w:tcW w:w="2271" w:type="dxa"/>
          </w:tcPr>
          <w:p w:rsidRPr="00C561DE" w:rsidR="0067614D" w:rsidP="005633E7" w:rsidRDefault="002808C1">
            <w:pPr>
              <w:pStyle w:val="NoSpacing"/>
              <w:spacing w:after="240"/>
              <w:jc w:val="center"/>
              <w:rPr>
                <w:rFonts w:cstheme="minorHAnsi"/>
                <w:b/>
              </w:rPr>
            </w:pPr>
            <w:r w:rsidRPr="00C561DE">
              <w:rPr>
                <w:rFonts w:cstheme="minorHAnsi"/>
                <w:b/>
              </w:rPr>
              <w:t>Annual</w:t>
            </w:r>
            <w:r w:rsidRPr="00C561DE" w:rsidR="0067614D">
              <w:rPr>
                <w:rFonts w:cstheme="minorHAnsi"/>
                <w:b/>
              </w:rPr>
              <w:t xml:space="preserve"> Non-Hourly/Fee Respondent Cost Burden</w:t>
            </w:r>
          </w:p>
        </w:tc>
      </w:tr>
      <w:tr w:rsidRPr="00C561DE" w:rsidR="00C561DE" w:rsidTr="005633E7">
        <w:tc>
          <w:tcPr>
            <w:tcW w:w="2902" w:type="dxa"/>
          </w:tcPr>
          <w:p w:rsidRPr="00C561DE" w:rsidR="0067614D" w:rsidP="005633E7" w:rsidRDefault="002808C1">
            <w:pPr>
              <w:pStyle w:val="NoSpacing"/>
              <w:spacing w:after="240"/>
              <w:jc w:val="both"/>
              <w:rPr>
                <w:rFonts w:cstheme="minorHAnsi"/>
              </w:rPr>
            </w:pPr>
            <w:r w:rsidRPr="00C561DE">
              <w:rPr>
                <w:rFonts w:cstheme="minorHAnsi"/>
              </w:rPr>
              <w:t>-5,000</w:t>
            </w:r>
          </w:p>
        </w:tc>
        <w:tc>
          <w:tcPr>
            <w:tcW w:w="1967" w:type="dxa"/>
          </w:tcPr>
          <w:p w:rsidRPr="00C561DE" w:rsidR="0067614D" w:rsidP="005633E7" w:rsidRDefault="002808C1">
            <w:pPr>
              <w:pStyle w:val="NoSpacing"/>
              <w:spacing w:after="240"/>
              <w:jc w:val="both"/>
              <w:rPr>
                <w:rFonts w:cstheme="minorHAnsi"/>
              </w:rPr>
            </w:pPr>
            <w:r w:rsidRPr="00C561DE">
              <w:rPr>
                <w:rFonts w:cstheme="minorHAnsi"/>
              </w:rPr>
              <w:t>-30,000</w:t>
            </w:r>
          </w:p>
        </w:tc>
        <w:tc>
          <w:tcPr>
            <w:tcW w:w="2271" w:type="dxa"/>
          </w:tcPr>
          <w:p w:rsidRPr="00C561DE" w:rsidR="0067614D" w:rsidP="005633E7" w:rsidRDefault="002808C1">
            <w:pPr>
              <w:pStyle w:val="NoSpacing"/>
              <w:spacing w:after="240"/>
              <w:jc w:val="both"/>
              <w:rPr>
                <w:rFonts w:cstheme="minorHAnsi"/>
              </w:rPr>
            </w:pPr>
            <w:r w:rsidRPr="00C561DE">
              <w:rPr>
                <w:rFonts w:cstheme="minorHAnsi"/>
              </w:rPr>
              <w:t>-</w:t>
            </w:r>
            <w:r w:rsidRPr="00C561DE" w:rsidR="0067614D">
              <w:rPr>
                <w:rFonts w:cstheme="minorHAnsi"/>
              </w:rPr>
              <w:t>$</w:t>
            </w:r>
            <w:r w:rsidRPr="00C561DE">
              <w:rPr>
                <w:rFonts w:cstheme="minorHAnsi"/>
              </w:rPr>
              <w:t>309,667</w:t>
            </w:r>
          </w:p>
        </w:tc>
      </w:tr>
    </w:tbl>
    <w:p w:rsidRPr="00C561DE" w:rsidR="0067614D" w:rsidP="00EB7661" w:rsidRDefault="0067614D">
      <w:pPr>
        <w:pStyle w:val="NoSpacing"/>
        <w:spacing w:after="240"/>
        <w:jc w:val="both"/>
        <w:rPr>
          <w:rFonts w:cstheme="minorHAnsi"/>
        </w:rPr>
      </w:pPr>
    </w:p>
    <w:p w:rsidRPr="00C561DE" w:rsidR="00713FAF" w:rsidP="006C43FA" w:rsidRDefault="00713FAF">
      <w:pPr>
        <w:pStyle w:val="NoSpacing"/>
        <w:spacing w:after="240"/>
        <w:jc w:val="both"/>
        <w:rPr>
          <w:rFonts w:cstheme="minorHAnsi"/>
        </w:rPr>
      </w:pPr>
      <w:r w:rsidRPr="00C561DE">
        <w:rPr>
          <w:rFonts w:cstheme="minorHAnsi"/>
          <w:u w:val="single"/>
        </w:rPr>
        <w:lastRenderedPageBreak/>
        <w:t>Summary of Changes</w:t>
      </w:r>
    </w:p>
    <w:p w:rsidRPr="00C561DE" w:rsidR="00784842" w:rsidP="001E675E" w:rsidRDefault="00713FAF">
      <w:pPr>
        <w:pStyle w:val="NoSpacing"/>
        <w:jc w:val="both"/>
        <w:rPr>
          <w:rFonts w:cstheme="minorHAnsi"/>
        </w:rPr>
      </w:pPr>
      <w:r w:rsidRPr="00C561DE">
        <w:rPr>
          <w:rFonts w:cstheme="minorHAnsi"/>
        </w:rPr>
        <w:t>The annual number of responses</w:t>
      </w:r>
      <w:r w:rsidRPr="00C561DE" w:rsidR="00F333DA">
        <w:rPr>
          <w:rFonts w:cstheme="minorHAnsi"/>
        </w:rPr>
        <w:t xml:space="preserve"> will decrease</w:t>
      </w:r>
      <w:r w:rsidRPr="00C561DE" w:rsidR="00C561DE">
        <w:rPr>
          <w:rFonts w:cstheme="minorHAnsi"/>
        </w:rPr>
        <w:t xml:space="preserve"> by </w:t>
      </w:r>
      <w:r w:rsidRPr="00C561DE" w:rsidR="00F333DA">
        <w:rPr>
          <w:rFonts w:cstheme="minorHAnsi"/>
        </w:rPr>
        <w:t xml:space="preserve">5,000 </w:t>
      </w:r>
      <w:r w:rsidRPr="00C561DE" w:rsidR="00134EB0">
        <w:rPr>
          <w:rFonts w:cstheme="minorHAnsi"/>
        </w:rPr>
        <w:t>and</w:t>
      </w:r>
      <w:r w:rsidRPr="00C561DE">
        <w:rPr>
          <w:rFonts w:cstheme="minorHAnsi"/>
        </w:rPr>
        <w:t xml:space="preserve"> </w:t>
      </w:r>
      <w:r w:rsidRPr="00C561DE" w:rsidR="00C561DE">
        <w:rPr>
          <w:rFonts w:cstheme="minorHAnsi"/>
        </w:rPr>
        <w:t xml:space="preserve">the </w:t>
      </w:r>
      <w:r w:rsidRPr="00C561DE">
        <w:rPr>
          <w:rFonts w:cstheme="minorHAnsi"/>
        </w:rPr>
        <w:t>annual time burden</w:t>
      </w:r>
      <w:r w:rsidRPr="00C561DE" w:rsidR="00134EB0">
        <w:rPr>
          <w:rFonts w:cstheme="minorHAnsi"/>
        </w:rPr>
        <w:t xml:space="preserve"> </w:t>
      </w:r>
      <w:r w:rsidRPr="00C561DE" w:rsidR="00C561DE">
        <w:rPr>
          <w:rFonts w:cstheme="minorHAnsi"/>
        </w:rPr>
        <w:t>will decrease</w:t>
      </w:r>
      <w:r w:rsidRPr="00C561DE">
        <w:rPr>
          <w:rFonts w:cstheme="minorHAnsi"/>
        </w:rPr>
        <w:t xml:space="preserve"> by</w:t>
      </w:r>
      <w:r w:rsidRPr="00C561DE" w:rsidR="00C561DE">
        <w:rPr>
          <w:rFonts w:cstheme="minorHAnsi"/>
        </w:rPr>
        <w:t xml:space="preserve"> 30,000 in</w:t>
      </w:r>
      <w:r w:rsidRPr="00C561DE">
        <w:rPr>
          <w:rFonts w:cstheme="minorHAnsi"/>
        </w:rPr>
        <w:t xml:space="preserve"> this reque</w:t>
      </w:r>
      <w:bookmarkStart w:name="_GoBack" w:id="0"/>
      <w:bookmarkEnd w:id="0"/>
      <w:r w:rsidRPr="00C561DE">
        <w:rPr>
          <w:rFonts w:cstheme="minorHAnsi"/>
        </w:rPr>
        <w:t xml:space="preserve">st. </w:t>
      </w:r>
      <w:r w:rsidRPr="00C561DE" w:rsidR="009E209B">
        <w:rPr>
          <w:rFonts w:cstheme="minorHAnsi"/>
        </w:rPr>
        <w:t xml:space="preserve"> </w:t>
      </w:r>
      <w:r w:rsidRPr="00C561DE" w:rsidR="00134EB0">
        <w:rPr>
          <w:rFonts w:cstheme="minorHAnsi"/>
        </w:rPr>
        <w:t xml:space="preserve">The annual non-hour cost burden will </w:t>
      </w:r>
      <w:r w:rsidRPr="00C561DE" w:rsidR="002375AE">
        <w:rPr>
          <w:rFonts w:cstheme="minorHAnsi"/>
        </w:rPr>
        <w:t xml:space="preserve">decrease </w:t>
      </w:r>
      <w:r w:rsidRPr="00C561DE" w:rsidR="00134EB0">
        <w:rPr>
          <w:rFonts w:cstheme="minorHAnsi"/>
        </w:rPr>
        <w:t xml:space="preserve">by </w:t>
      </w:r>
      <w:r w:rsidRPr="00C561DE" w:rsidR="00314F7C">
        <w:rPr>
          <w:rFonts w:cstheme="minorHAnsi"/>
        </w:rPr>
        <w:t>$</w:t>
      </w:r>
      <w:r w:rsidRPr="00C561DE" w:rsidR="00C561DE">
        <w:rPr>
          <w:rFonts w:cstheme="minorHAnsi"/>
        </w:rPr>
        <w:t>309,667</w:t>
      </w:r>
      <w:r w:rsidRPr="00C561DE" w:rsidR="00314F7C">
        <w:rPr>
          <w:rFonts w:cstheme="minorHAnsi"/>
        </w:rPr>
        <w:t xml:space="preserve"> because</w:t>
      </w:r>
      <w:r w:rsidRPr="00C561DE" w:rsidR="00134EB0">
        <w:rPr>
          <w:rFonts w:cstheme="minorHAnsi"/>
        </w:rPr>
        <w:t xml:space="preserve"> of the </w:t>
      </w:r>
      <w:r w:rsidRPr="00C561DE" w:rsidR="00C561DE">
        <w:rPr>
          <w:rFonts w:cstheme="minorHAnsi"/>
        </w:rPr>
        <w:t xml:space="preserve">removal of fees and postage associated with the </w:t>
      </w:r>
      <w:r w:rsidR="00BA1051">
        <w:rPr>
          <w:rFonts w:cstheme="minorHAnsi"/>
        </w:rPr>
        <w:t>removed item</w:t>
      </w:r>
      <w:r w:rsidRPr="00C561DE" w:rsidR="00134EB0">
        <w:rPr>
          <w:rFonts w:cstheme="minorHAnsi"/>
        </w:rPr>
        <w:t xml:space="preserve">. </w:t>
      </w:r>
    </w:p>
    <w:sectPr w:rsidRPr="00C561DE" w:rsidR="007848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438A" w:rsidRDefault="00A2438A" w:rsidP="00394BBA">
      <w:r>
        <w:separator/>
      </w:r>
    </w:p>
  </w:endnote>
  <w:endnote w:type="continuationSeparator" w:id="0">
    <w:p w:rsidR="00A2438A" w:rsidRDefault="00A2438A" w:rsidP="00394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438A" w:rsidRDefault="00A2438A" w:rsidP="00394BBA">
      <w:r>
        <w:separator/>
      </w:r>
    </w:p>
  </w:footnote>
  <w:footnote w:type="continuationSeparator" w:id="0">
    <w:p w:rsidR="00A2438A" w:rsidRDefault="00A2438A" w:rsidP="00394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EB7ABA"/>
    <w:multiLevelType w:val="hybridMultilevel"/>
    <w:tmpl w:val="4DAE73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FAF"/>
    <w:rsid w:val="00004C8F"/>
    <w:rsid w:val="00016A41"/>
    <w:rsid w:val="00042C50"/>
    <w:rsid w:val="0006095B"/>
    <w:rsid w:val="000A3B40"/>
    <w:rsid w:val="000B047D"/>
    <w:rsid w:val="000C3047"/>
    <w:rsid w:val="000F6182"/>
    <w:rsid w:val="00134EB0"/>
    <w:rsid w:val="001A3E7D"/>
    <w:rsid w:val="001C305B"/>
    <w:rsid w:val="001C3786"/>
    <w:rsid w:val="001E675E"/>
    <w:rsid w:val="0021154B"/>
    <w:rsid w:val="0023467C"/>
    <w:rsid w:val="002375AE"/>
    <w:rsid w:val="002808C1"/>
    <w:rsid w:val="00282022"/>
    <w:rsid w:val="0028218F"/>
    <w:rsid w:val="00300DBF"/>
    <w:rsid w:val="00310BA5"/>
    <w:rsid w:val="00314F7C"/>
    <w:rsid w:val="00390E75"/>
    <w:rsid w:val="00394BBA"/>
    <w:rsid w:val="00466299"/>
    <w:rsid w:val="004E3F0B"/>
    <w:rsid w:val="005A797D"/>
    <w:rsid w:val="005E0711"/>
    <w:rsid w:val="005E0A2F"/>
    <w:rsid w:val="00613BE7"/>
    <w:rsid w:val="0067307F"/>
    <w:rsid w:val="0067614D"/>
    <w:rsid w:val="006A1F32"/>
    <w:rsid w:val="006A2532"/>
    <w:rsid w:val="006C43FA"/>
    <w:rsid w:val="006F2D06"/>
    <w:rsid w:val="00713FAF"/>
    <w:rsid w:val="007340D3"/>
    <w:rsid w:val="00752808"/>
    <w:rsid w:val="0076034A"/>
    <w:rsid w:val="00784842"/>
    <w:rsid w:val="007A13B0"/>
    <w:rsid w:val="007A500D"/>
    <w:rsid w:val="007B070D"/>
    <w:rsid w:val="0080171F"/>
    <w:rsid w:val="00834380"/>
    <w:rsid w:val="008418DC"/>
    <w:rsid w:val="00864BD6"/>
    <w:rsid w:val="009E209B"/>
    <w:rsid w:val="00A128A9"/>
    <w:rsid w:val="00A2438A"/>
    <w:rsid w:val="00A67099"/>
    <w:rsid w:val="00A67F5C"/>
    <w:rsid w:val="00AC46F2"/>
    <w:rsid w:val="00B27538"/>
    <w:rsid w:val="00B533F3"/>
    <w:rsid w:val="00BA1051"/>
    <w:rsid w:val="00BC1776"/>
    <w:rsid w:val="00BC306F"/>
    <w:rsid w:val="00BF49B1"/>
    <w:rsid w:val="00C561DE"/>
    <w:rsid w:val="00C62325"/>
    <w:rsid w:val="00C8232B"/>
    <w:rsid w:val="00C90042"/>
    <w:rsid w:val="00CB1141"/>
    <w:rsid w:val="00CC0117"/>
    <w:rsid w:val="00CE6779"/>
    <w:rsid w:val="00D404A3"/>
    <w:rsid w:val="00D540DA"/>
    <w:rsid w:val="00D75E25"/>
    <w:rsid w:val="00D933FF"/>
    <w:rsid w:val="00DB17F9"/>
    <w:rsid w:val="00E54B69"/>
    <w:rsid w:val="00E7698E"/>
    <w:rsid w:val="00E93539"/>
    <w:rsid w:val="00E96B1E"/>
    <w:rsid w:val="00EB7661"/>
    <w:rsid w:val="00EC48F5"/>
    <w:rsid w:val="00EC6F67"/>
    <w:rsid w:val="00ED2008"/>
    <w:rsid w:val="00ED7DBC"/>
    <w:rsid w:val="00EE1B30"/>
    <w:rsid w:val="00F333DA"/>
    <w:rsid w:val="00F65DA8"/>
    <w:rsid w:val="00F91B93"/>
    <w:rsid w:val="00FC30EB"/>
    <w:rsid w:val="00FC60B5"/>
    <w:rsid w:val="00FD4975"/>
    <w:rsid w:val="00FE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D2BBC"/>
  <w15:chartTrackingRefBased/>
  <w15:docId w15:val="{2B732993-DF2C-476E-91FA-A85013812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3B4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3FAF"/>
    <w:pPr>
      <w:spacing w:after="0" w:line="240" w:lineRule="auto"/>
    </w:pPr>
  </w:style>
  <w:style w:type="table" w:styleId="TableGrid">
    <w:name w:val="Table Grid"/>
    <w:basedOn w:val="TableNormal"/>
    <w:uiPriority w:val="39"/>
    <w:rsid w:val="00713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33F3"/>
    <w:rPr>
      <w:sz w:val="16"/>
      <w:szCs w:val="16"/>
    </w:rPr>
  </w:style>
  <w:style w:type="paragraph" w:styleId="CommentText">
    <w:name w:val="annotation text"/>
    <w:basedOn w:val="Normal"/>
    <w:link w:val="CommentTextChar"/>
    <w:uiPriority w:val="99"/>
    <w:semiHidden/>
    <w:unhideWhenUsed/>
    <w:rsid w:val="00B533F3"/>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B533F3"/>
    <w:rPr>
      <w:sz w:val="20"/>
      <w:szCs w:val="20"/>
    </w:rPr>
  </w:style>
  <w:style w:type="paragraph" w:styleId="CommentSubject">
    <w:name w:val="annotation subject"/>
    <w:basedOn w:val="CommentText"/>
    <w:next w:val="CommentText"/>
    <w:link w:val="CommentSubjectChar"/>
    <w:uiPriority w:val="99"/>
    <w:semiHidden/>
    <w:unhideWhenUsed/>
    <w:rsid w:val="00B533F3"/>
    <w:rPr>
      <w:b/>
      <w:bCs/>
    </w:rPr>
  </w:style>
  <w:style w:type="character" w:customStyle="1" w:styleId="CommentSubjectChar">
    <w:name w:val="Comment Subject Char"/>
    <w:basedOn w:val="CommentTextChar"/>
    <w:link w:val="CommentSubject"/>
    <w:uiPriority w:val="99"/>
    <w:semiHidden/>
    <w:rsid w:val="00B533F3"/>
    <w:rPr>
      <w:b/>
      <w:bCs/>
      <w:sz w:val="20"/>
      <w:szCs w:val="20"/>
    </w:rPr>
  </w:style>
  <w:style w:type="paragraph" w:styleId="BalloonText">
    <w:name w:val="Balloon Text"/>
    <w:basedOn w:val="Normal"/>
    <w:link w:val="BalloonTextChar"/>
    <w:uiPriority w:val="99"/>
    <w:semiHidden/>
    <w:unhideWhenUsed/>
    <w:rsid w:val="00B533F3"/>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B533F3"/>
    <w:rPr>
      <w:rFonts w:ascii="Segoe UI" w:hAnsi="Segoe UI" w:cs="Segoe UI"/>
      <w:sz w:val="18"/>
      <w:szCs w:val="18"/>
    </w:rPr>
  </w:style>
  <w:style w:type="paragraph" w:styleId="FootnoteText">
    <w:name w:val="footnote text"/>
    <w:basedOn w:val="Normal"/>
    <w:link w:val="FootnoteTextChar"/>
    <w:uiPriority w:val="99"/>
    <w:semiHidden/>
    <w:unhideWhenUsed/>
    <w:rsid w:val="00394BBA"/>
  </w:style>
  <w:style w:type="character" w:customStyle="1" w:styleId="FootnoteTextChar">
    <w:name w:val="Footnote Text Char"/>
    <w:basedOn w:val="DefaultParagraphFont"/>
    <w:link w:val="FootnoteText"/>
    <w:uiPriority w:val="99"/>
    <w:semiHidden/>
    <w:rsid w:val="00394BB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94B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82768">
      <w:bodyDiv w:val="1"/>
      <w:marLeft w:val="0"/>
      <w:marRight w:val="0"/>
      <w:marTop w:val="0"/>
      <w:marBottom w:val="0"/>
      <w:divBdr>
        <w:top w:val="none" w:sz="0" w:space="0" w:color="auto"/>
        <w:left w:val="none" w:sz="0" w:space="0" w:color="auto"/>
        <w:bottom w:val="none" w:sz="0" w:space="0" w:color="auto"/>
        <w:right w:val="none" w:sz="0" w:space="0" w:color="auto"/>
      </w:divBdr>
    </w:div>
    <w:div w:id="226380144">
      <w:bodyDiv w:val="1"/>
      <w:marLeft w:val="0"/>
      <w:marRight w:val="0"/>
      <w:marTop w:val="0"/>
      <w:marBottom w:val="0"/>
      <w:divBdr>
        <w:top w:val="none" w:sz="0" w:space="0" w:color="auto"/>
        <w:left w:val="none" w:sz="0" w:space="0" w:color="auto"/>
        <w:bottom w:val="none" w:sz="0" w:space="0" w:color="auto"/>
        <w:right w:val="none" w:sz="0" w:space="0" w:color="auto"/>
      </w:divBdr>
    </w:div>
    <w:div w:id="355733364">
      <w:bodyDiv w:val="1"/>
      <w:marLeft w:val="0"/>
      <w:marRight w:val="0"/>
      <w:marTop w:val="0"/>
      <w:marBottom w:val="0"/>
      <w:divBdr>
        <w:top w:val="none" w:sz="0" w:space="0" w:color="auto"/>
        <w:left w:val="none" w:sz="0" w:space="0" w:color="auto"/>
        <w:bottom w:val="none" w:sz="0" w:space="0" w:color="auto"/>
        <w:right w:val="none" w:sz="0" w:space="0" w:color="auto"/>
      </w:divBdr>
    </w:div>
    <w:div w:id="863858083">
      <w:bodyDiv w:val="1"/>
      <w:marLeft w:val="0"/>
      <w:marRight w:val="0"/>
      <w:marTop w:val="0"/>
      <w:marBottom w:val="0"/>
      <w:divBdr>
        <w:top w:val="none" w:sz="0" w:space="0" w:color="auto"/>
        <w:left w:val="none" w:sz="0" w:space="0" w:color="auto"/>
        <w:bottom w:val="none" w:sz="0" w:space="0" w:color="auto"/>
        <w:right w:val="none" w:sz="0" w:space="0" w:color="auto"/>
      </w:divBdr>
    </w:div>
    <w:div w:id="898827686">
      <w:bodyDiv w:val="1"/>
      <w:marLeft w:val="0"/>
      <w:marRight w:val="0"/>
      <w:marTop w:val="0"/>
      <w:marBottom w:val="0"/>
      <w:divBdr>
        <w:top w:val="none" w:sz="0" w:space="0" w:color="auto"/>
        <w:left w:val="none" w:sz="0" w:space="0" w:color="auto"/>
        <w:bottom w:val="none" w:sz="0" w:space="0" w:color="auto"/>
        <w:right w:val="none" w:sz="0" w:space="0" w:color="auto"/>
      </w:divBdr>
    </w:div>
    <w:div w:id="913272646">
      <w:bodyDiv w:val="1"/>
      <w:marLeft w:val="0"/>
      <w:marRight w:val="0"/>
      <w:marTop w:val="0"/>
      <w:marBottom w:val="0"/>
      <w:divBdr>
        <w:top w:val="none" w:sz="0" w:space="0" w:color="auto"/>
        <w:left w:val="none" w:sz="0" w:space="0" w:color="auto"/>
        <w:bottom w:val="none" w:sz="0" w:space="0" w:color="auto"/>
        <w:right w:val="none" w:sz="0" w:space="0" w:color="auto"/>
      </w:divBdr>
    </w:div>
    <w:div w:id="1030684965">
      <w:bodyDiv w:val="1"/>
      <w:marLeft w:val="0"/>
      <w:marRight w:val="0"/>
      <w:marTop w:val="0"/>
      <w:marBottom w:val="0"/>
      <w:divBdr>
        <w:top w:val="none" w:sz="0" w:space="0" w:color="auto"/>
        <w:left w:val="none" w:sz="0" w:space="0" w:color="auto"/>
        <w:bottom w:val="none" w:sz="0" w:space="0" w:color="auto"/>
        <w:right w:val="none" w:sz="0" w:space="0" w:color="auto"/>
      </w:divBdr>
    </w:div>
    <w:div w:id="1052118328">
      <w:bodyDiv w:val="1"/>
      <w:marLeft w:val="0"/>
      <w:marRight w:val="0"/>
      <w:marTop w:val="0"/>
      <w:marBottom w:val="0"/>
      <w:divBdr>
        <w:top w:val="none" w:sz="0" w:space="0" w:color="auto"/>
        <w:left w:val="none" w:sz="0" w:space="0" w:color="auto"/>
        <w:bottom w:val="none" w:sz="0" w:space="0" w:color="auto"/>
        <w:right w:val="none" w:sz="0" w:space="0" w:color="auto"/>
      </w:divBdr>
    </w:div>
    <w:div w:id="1078987605">
      <w:bodyDiv w:val="1"/>
      <w:marLeft w:val="0"/>
      <w:marRight w:val="0"/>
      <w:marTop w:val="0"/>
      <w:marBottom w:val="0"/>
      <w:divBdr>
        <w:top w:val="none" w:sz="0" w:space="0" w:color="auto"/>
        <w:left w:val="none" w:sz="0" w:space="0" w:color="auto"/>
        <w:bottom w:val="none" w:sz="0" w:space="0" w:color="auto"/>
        <w:right w:val="none" w:sz="0" w:space="0" w:color="auto"/>
      </w:divBdr>
    </w:div>
    <w:div w:id="1112866851">
      <w:bodyDiv w:val="1"/>
      <w:marLeft w:val="0"/>
      <w:marRight w:val="0"/>
      <w:marTop w:val="0"/>
      <w:marBottom w:val="0"/>
      <w:divBdr>
        <w:top w:val="none" w:sz="0" w:space="0" w:color="auto"/>
        <w:left w:val="none" w:sz="0" w:space="0" w:color="auto"/>
        <w:bottom w:val="none" w:sz="0" w:space="0" w:color="auto"/>
        <w:right w:val="none" w:sz="0" w:space="0" w:color="auto"/>
      </w:divBdr>
    </w:div>
    <w:div w:id="1286737266">
      <w:bodyDiv w:val="1"/>
      <w:marLeft w:val="0"/>
      <w:marRight w:val="0"/>
      <w:marTop w:val="0"/>
      <w:marBottom w:val="0"/>
      <w:divBdr>
        <w:top w:val="none" w:sz="0" w:space="0" w:color="auto"/>
        <w:left w:val="none" w:sz="0" w:space="0" w:color="auto"/>
        <w:bottom w:val="none" w:sz="0" w:space="0" w:color="auto"/>
        <w:right w:val="none" w:sz="0" w:space="0" w:color="auto"/>
      </w:divBdr>
    </w:div>
    <w:div w:id="1344241537">
      <w:bodyDiv w:val="1"/>
      <w:marLeft w:val="0"/>
      <w:marRight w:val="0"/>
      <w:marTop w:val="0"/>
      <w:marBottom w:val="0"/>
      <w:divBdr>
        <w:top w:val="none" w:sz="0" w:space="0" w:color="auto"/>
        <w:left w:val="none" w:sz="0" w:space="0" w:color="auto"/>
        <w:bottom w:val="none" w:sz="0" w:space="0" w:color="auto"/>
        <w:right w:val="none" w:sz="0" w:space="0" w:color="auto"/>
      </w:divBdr>
    </w:div>
    <w:div w:id="1494835550">
      <w:bodyDiv w:val="1"/>
      <w:marLeft w:val="0"/>
      <w:marRight w:val="0"/>
      <w:marTop w:val="0"/>
      <w:marBottom w:val="0"/>
      <w:divBdr>
        <w:top w:val="none" w:sz="0" w:space="0" w:color="auto"/>
        <w:left w:val="none" w:sz="0" w:space="0" w:color="auto"/>
        <w:bottom w:val="none" w:sz="0" w:space="0" w:color="auto"/>
        <w:right w:val="none" w:sz="0" w:space="0" w:color="auto"/>
      </w:divBdr>
    </w:div>
    <w:div w:id="1909339344">
      <w:bodyDiv w:val="1"/>
      <w:marLeft w:val="0"/>
      <w:marRight w:val="0"/>
      <w:marTop w:val="0"/>
      <w:marBottom w:val="0"/>
      <w:divBdr>
        <w:top w:val="none" w:sz="0" w:space="0" w:color="auto"/>
        <w:left w:val="none" w:sz="0" w:space="0" w:color="auto"/>
        <w:bottom w:val="none" w:sz="0" w:space="0" w:color="auto"/>
        <w:right w:val="none" w:sz="0" w:space="0" w:color="auto"/>
      </w:divBdr>
    </w:div>
    <w:div w:id="213374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7e566b99e8bb0b2a179c2bff7ea7118b">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5e0d94d18c194bab902702e1eaa90dd9"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2" nillable="true" ma:displayName="ICR ID" ma:hidden="true" ma:internalName="ICR_x0020_ID" ma:readOnly="false">
      <xsd:simpleType>
        <xsd:restriction base="dms:Text">
          <xsd:maxLength value="255"/>
        </xsd:restriction>
      </xsd:simpleType>
    </xsd:element>
    <xsd:element name="Level" ma:index="26"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28"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1" nillable="true" ma:displayName="ICR Submission (Start)" ma:format="DateOnly" ma:hidden="true" ma:internalName="ICR_x0020_Submission_x0020__x0028_Start_x0029_" ma:readOnly="false">
      <xsd:simpleType>
        <xsd:restriction base="dms:DateTime"/>
      </xsd:simpleType>
    </xsd:element>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E85DE8A9-5CD3-41FE-A1A0-70BC17107555" xsi:nil="true"/>
    <Collection_x0020_Number xmlns="E85DE8A9-5CD3-41FE-A1A0-70BC17107555" xsi:nil="true"/>
    <Document_x0020_State xmlns="E85DE8A9-5CD3-41FE-A1A0-70BC17107555" xsi:nil="true"/>
    <Owner xmlns="5DFC53CF-7C17-4489-98AB-5F87C96333B9">
      <UserInfo>
        <DisplayName/>
        <AccountId xsi:nil="true"/>
        <AccountType/>
      </UserInfo>
    </Owner>
    <Initiation_x0020__x0028_Start_x0029_ xmlns="e85de8a9-5cd3-41fe-a1a0-70bc17107555" xsi:nil="true"/>
    <IC_x0020_Category xmlns="E85DE8A9-5CD3-41FE-A1A0-70BC17107555" xsi:nil="true"/>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 xsi:nil="true"/>
    <Business_x0020_Unit xmlns="e85de8a9-5cd3-41fe-a1a0-70bc17107555" xsi:nil="true"/>
    <Expiration_x0020_Date0 xmlns="e85de8a9-5cd3-41fe-a1a0-70bc17107555" xsi:nil="true"/>
    <Approved_x0020_by_x0020_PTO xmlns="E85DE8A9-5CD3-41FE-A1A0-70BC17107555">No</Approved_x0020_by_x0020_PTO>
    <Level xmlns="e85de8a9-5cd3-41fe-a1a0-70bc17107555" xsi:nil="true"/>
    <SharedWithUsers xmlns="5dfc53cf-7c17-4489-98ab-5f87c96333b9">
      <UserInfo>
        <DisplayName>Isaac, Justin (AMBIT)</DisplayName>
        <AccountId>115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FE60C-D95A-4AD5-B5A9-4A4A52AA8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FBC9D6-2EC1-47B8-B01E-952217F590D6}">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 ds:uri="5dfc53cf-7c17-4489-98ab-5f87c96333b9"/>
  </ds:schemaRefs>
</ds:datastoreItem>
</file>

<file path=customXml/itemProps3.xml><?xml version="1.0" encoding="utf-8"?>
<ds:datastoreItem xmlns:ds="http://schemas.openxmlformats.org/officeDocument/2006/customXml" ds:itemID="{DD2D8F99-7223-41F2-B0B9-3B3B7A66234A}">
  <ds:schemaRefs>
    <ds:schemaRef ds:uri="http://schemas.microsoft.com/sharepoint/v3/contenttype/forms"/>
  </ds:schemaRefs>
</ds:datastoreItem>
</file>

<file path=customXml/itemProps4.xml><?xml version="1.0" encoding="utf-8"?>
<ds:datastoreItem xmlns:ds="http://schemas.openxmlformats.org/officeDocument/2006/customXml" ds:itemID="{F91BC87A-705A-4934-8E09-FCD7291DF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Maryam (AMBIT)</dc:creator>
  <cp:keywords/>
  <dc:description/>
  <cp:lastModifiedBy>Isaac, Justin</cp:lastModifiedBy>
  <cp:revision>2</cp:revision>
  <dcterms:created xsi:type="dcterms:W3CDTF">2022-05-20T14:07:00Z</dcterms:created>
  <dcterms:modified xsi:type="dcterms:W3CDTF">2022-05-20T14:07:00Z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