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E30" w:rsidP="00FA0E30" w:rsidRDefault="00FA0E30" w14:paraId="113BF7FB" w14:textId="77777777">
      <w:pPr>
        <w:pStyle w:val="Title"/>
      </w:pPr>
      <w:r>
        <w:t>SUPPORTING STATEMENT</w:t>
      </w:r>
    </w:p>
    <w:p w:rsidR="00FA0E30" w:rsidP="00FA0E30" w:rsidRDefault="00FA0E30" w14:paraId="44A519D2" w14:textId="77777777">
      <w:pPr>
        <w:pStyle w:val="Title"/>
      </w:pPr>
      <w:r>
        <w:t>U</w:t>
      </w:r>
      <w:r w:rsidR="00DC1732">
        <w:t xml:space="preserve">nited </w:t>
      </w:r>
      <w:r>
        <w:t>S</w:t>
      </w:r>
      <w:r w:rsidR="00DC1732">
        <w:t xml:space="preserve">tates </w:t>
      </w:r>
      <w:r>
        <w:t>P</w:t>
      </w:r>
      <w:r w:rsidR="00DC1732">
        <w:t xml:space="preserve">atent and </w:t>
      </w:r>
      <w:r>
        <w:t>T</w:t>
      </w:r>
      <w:r w:rsidR="00DC1732">
        <w:t xml:space="preserve">rademark </w:t>
      </w:r>
      <w:r>
        <w:t>O</w:t>
      </w:r>
      <w:r w:rsidR="00DC1732">
        <w:t>ffice</w:t>
      </w:r>
    </w:p>
    <w:p w:rsidR="00FA0E30" w:rsidP="00FA0E30" w:rsidRDefault="00DC1732" w14:paraId="0CDC6BA1" w14:textId="77777777">
      <w:pPr>
        <w:pStyle w:val="Title"/>
      </w:pPr>
      <w:r>
        <w:t>Patents External Quality Survey</w:t>
      </w:r>
      <w:r w:rsidR="00FA0E30">
        <w:t xml:space="preserve"> </w:t>
      </w:r>
    </w:p>
    <w:p w:rsidR="00FA0E30" w:rsidP="00FA0E30" w:rsidRDefault="00FA0E30" w14:paraId="7F19A6E6" w14:textId="77777777">
      <w:pPr>
        <w:pStyle w:val="Title"/>
      </w:pPr>
      <w:r>
        <w:t>OMB Control Number 0651-0057</w:t>
      </w:r>
    </w:p>
    <w:p w:rsidR="00DC1732" w:rsidP="00FA0E30" w:rsidRDefault="00481DF4" w14:paraId="1624B43A" w14:textId="5E9704B6">
      <w:pPr>
        <w:pStyle w:val="Title"/>
      </w:pPr>
      <w:r>
        <w:t>202</w:t>
      </w:r>
      <w:r w:rsidR="004A597B">
        <w:t>2</w:t>
      </w:r>
    </w:p>
    <w:p w:rsidR="005823F2" w:rsidRDefault="005823F2" w14:paraId="1922D37D" w14:textId="77777777">
      <w:pPr>
        <w:jc w:val="both"/>
        <w:rPr>
          <w:rFonts w:ascii="Arial" w:hAnsi="Arial"/>
          <w:sz w:val="24"/>
        </w:rPr>
      </w:pPr>
    </w:p>
    <w:p w:rsidR="00433CFB" w:rsidRDefault="00433CFB" w14:paraId="681821A6" w14:textId="77777777">
      <w:pPr>
        <w:jc w:val="both"/>
        <w:rPr>
          <w:rFonts w:ascii="Arial" w:hAnsi="Arial"/>
          <w:sz w:val="24"/>
        </w:rPr>
      </w:pPr>
    </w:p>
    <w:p w:rsidR="000A20E1" w:rsidRDefault="000A20E1" w14:paraId="00CFC2D6" w14:textId="77777777">
      <w:pPr>
        <w:jc w:val="both"/>
        <w:rPr>
          <w:rFonts w:ascii="Arial" w:hAnsi="Arial"/>
          <w:sz w:val="24"/>
        </w:rPr>
      </w:pPr>
    </w:p>
    <w:p w:rsidR="005823F2" w:rsidRDefault="005823F2" w14:paraId="3D7243F0" w14:textId="77777777">
      <w:pPr>
        <w:pStyle w:val="Heading1"/>
        <w:tabs>
          <w:tab w:val="clear" w:pos="720"/>
        </w:tabs>
      </w:pPr>
      <w:r>
        <w:t>B.</w:t>
      </w:r>
      <w:r>
        <w:tab/>
        <w:t>COLLECTIONS OF INFORMATION EMPLOYING STATISTICAL METHODS</w:t>
      </w:r>
    </w:p>
    <w:p w:rsidR="005823F2" w:rsidRDefault="005823F2" w14:paraId="63A530DE" w14:textId="77777777">
      <w:pPr>
        <w:jc w:val="both"/>
        <w:rPr>
          <w:rFonts w:ascii="Arial" w:hAnsi="Arial"/>
          <w:sz w:val="24"/>
        </w:rPr>
      </w:pPr>
    </w:p>
    <w:p w:rsidRPr="00D323D9" w:rsidR="00E64A44" w:rsidP="00224E00" w:rsidRDefault="00224E00" w14:paraId="5773C0AE" w14:textId="376FB939">
      <w:pPr>
        <w:pStyle w:val="ListParagraph"/>
        <w:numPr>
          <w:ilvl w:val="0"/>
          <w:numId w:val="24"/>
        </w:numPr>
        <w:jc w:val="both"/>
        <w:rPr>
          <w:rFonts w:ascii="Arial" w:hAnsi="Arial" w:cs="Arial"/>
          <w:b/>
          <w:color w:val="000000"/>
          <w:sz w:val="24"/>
          <w:szCs w:val="24"/>
        </w:rPr>
      </w:pPr>
      <w:r w:rsidRPr="00D323D9">
        <w:rPr>
          <w:rFonts w:ascii="Arial" w:hAnsi="Arial" w:cs="Arial"/>
          <w:b/>
          <w:color w:val="000000"/>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w:t>
      </w:r>
      <w:r w:rsidRPr="00D323D9" w:rsidR="00D323D9">
        <w:rPr>
          <w:rFonts w:ascii="Arial" w:hAnsi="Arial" w:cs="Arial"/>
          <w:b/>
          <w:color w:val="000000"/>
          <w:sz w:val="24"/>
          <w:szCs w:val="24"/>
        </w:rPr>
        <w:t xml:space="preserve"> information</w:t>
      </w:r>
      <w:r w:rsidRPr="00D323D9">
        <w:rPr>
          <w:rFonts w:ascii="Arial" w:hAnsi="Arial" w:cs="Arial"/>
          <w:b/>
          <w:color w:val="000000"/>
          <w:sz w:val="24"/>
          <w:szCs w:val="24"/>
        </w:rPr>
        <w:t xml:space="preserve"> collection and in the corresponding sample are to be provided in tabular form for the universe as a whole and for each of the strata in the proposed sample. Indicate expected response rates for the </w:t>
      </w:r>
      <w:r w:rsidRPr="00D323D9" w:rsidR="00D323D9">
        <w:rPr>
          <w:rFonts w:ascii="Arial" w:hAnsi="Arial" w:cs="Arial"/>
          <w:b/>
          <w:color w:val="000000"/>
          <w:sz w:val="24"/>
          <w:szCs w:val="24"/>
        </w:rPr>
        <w:t xml:space="preserve">information </w:t>
      </w:r>
      <w:r w:rsidRPr="00D323D9">
        <w:rPr>
          <w:rFonts w:ascii="Arial" w:hAnsi="Arial" w:cs="Arial"/>
          <w:b/>
          <w:color w:val="000000"/>
          <w:sz w:val="24"/>
          <w:szCs w:val="24"/>
        </w:rPr>
        <w:t xml:space="preserve">collection as a whole. If the </w:t>
      </w:r>
      <w:r w:rsidRPr="00D323D9">
        <w:rPr>
          <w:rFonts w:ascii="Arial" w:hAnsi="Arial" w:cs="Arial"/>
          <w:b/>
          <w:color w:val="000000"/>
          <w:sz w:val="24"/>
          <w:szCs w:val="24"/>
        </w:rPr>
        <w:t xml:space="preserve">information </w:t>
      </w:r>
      <w:r w:rsidRPr="00D323D9">
        <w:rPr>
          <w:rFonts w:ascii="Arial" w:hAnsi="Arial" w:cs="Arial"/>
          <w:b/>
          <w:color w:val="000000"/>
          <w:sz w:val="24"/>
          <w:szCs w:val="24"/>
        </w:rPr>
        <w:t xml:space="preserve">collection has been conducted previously, include the actual response rate achieved during the last </w:t>
      </w:r>
      <w:r w:rsidRPr="00D323D9">
        <w:rPr>
          <w:rFonts w:ascii="Arial" w:hAnsi="Arial" w:cs="Arial"/>
          <w:b/>
          <w:color w:val="000000"/>
          <w:sz w:val="24"/>
          <w:szCs w:val="24"/>
        </w:rPr>
        <w:t xml:space="preserve">information </w:t>
      </w:r>
      <w:r w:rsidRPr="00D323D9">
        <w:rPr>
          <w:rFonts w:ascii="Arial" w:hAnsi="Arial" w:cs="Arial"/>
          <w:b/>
          <w:color w:val="000000"/>
          <w:sz w:val="24"/>
          <w:szCs w:val="24"/>
        </w:rPr>
        <w:t>collection.</w:t>
      </w:r>
    </w:p>
    <w:p w:rsidR="00224E00" w:rsidP="00E64A44" w:rsidRDefault="00224E00" w14:paraId="29021611" w14:textId="77777777">
      <w:pPr>
        <w:jc w:val="both"/>
        <w:rPr>
          <w:rFonts w:ascii="Arial" w:hAnsi="Arial"/>
          <w:b/>
          <w:sz w:val="24"/>
        </w:rPr>
      </w:pPr>
    </w:p>
    <w:p w:rsidR="00E64A44" w:rsidP="00E64A44" w:rsidRDefault="00E64A44" w14:paraId="0EB3BCF0" w14:textId="77777777">
      <w:pPr>
        <w:jc w:val="both"/>
        <w:rPr>
          <w:rFonts w:ascii="Arial" w:hAnsi="Arial"/>
          <w:sz w:val="24"/>
        </w:rPr>
      </w:pPr>
      <w:r>
        <w:rPr>
          <w:rFonts w:ascii="Arial" w:hAnsi="Arial"/>
          <w:sz w:val="24"/>
        </w:rPr>
        <w:t>The respondent pool for this survey is made up of the businesses, organizations, and individuals who frequently file patent applications.  The USPTO plans to survey large, medium, and small-sized domestic corporations, universities and other non-profit research organizations, and independent inventors</w:t>
      </w:r>
      <w:bookmarkStart w:name="_GoBack" w:id="0"/>
      <w:bookmarkEnd w:id="0"/>
      <w:r>
        <w:rPr>
          <w:rFonts w:ascii="Arial" w:hAnsi="Arial"/>
          <w:sz w:val="24"/>
        </w:rPr>
        <w:t>.  Foreign entities will not be included in the sample frame.</w:t>
      </w:r>
    </w:p>
    <w:p w:rsidR="00E64A44" w:rsidP="00E64A44" w:rsidRDefault="00E64A44" w14:paraId="206401FB" w14:textId="77777777">
      <w:pPr>
        <w:jc w:val="both"/>
        <w:rPr>
          <w:rFonts w:ascii="Arial" w:hAnsi="Arial"/>
          <w:sz w:val="24"/>
        </w:rPr>
      </w:pPr>
    </w:p>
    <w:p w:rsidR="00E64A44" w:rsidP="00E64A44" w:rsidRDefault="00E64A44" w14:paraId="37ACB5E7" w14:textId="185C41D4">
      <w:pPr>
        <w:jc w:val="both"/>
        <w:rPr>
          <w:rFonts w:ascii="Arial" w:hAnsi="Arial"/>
          <w:sz w:val="24"/>
        </w:rPr>
      </w:pPr>
      <w:r>
        <w:rPr>
          <w:rFonts w:ascii="Arial" w:hAnsi="Arial"/>
          <w:sz w:val="24"/>
        </w:rPr>
        <w:t xml:space="preserve">The target population consists of individuals associated with USPTO top filers (e.g., firms at a given address who have filed </w:t>
      </w:r>
      <w:r w:rsidR="004A597B">
        <w:rPr>
          <w:rFonts w:ascii="Arial" w:hAnsi="Arial"/>
          <w:sz w:val="24"/>
        </w:rPr>
        <w:t xml:space="preserve">five </w:t>
      </w:r>
      <w:r>
        <w:rPr>
          <w:rFonts w:ascii="Arial" w:hAnsi="Arial"/>
          <w:sz w:val="24"/>
        </w:rPr>
        <w:t>or more patent applications in the past year).  The sample unit will be the USPTO-registered agents/attorneys associated wit</w:t>
      </w:r>
      <w:r w:rsidR="00A54B70">
        <w:rPr>
          <w:rFonts w:ascii="Arial" w:hAnsi="Arial"/>
          <w:sz w:val="24"/>
        </w:rPr>
        <w:t>h</w:t>
      </w:r>
      <w:r>
        <w:rPr>
          <w:rFonts w:ascii="Arial" w:hAnsi="Arial"/>
          <w:sz w:val="24"/>
        </w:rPr>
        <w:t xml:space="preserve"> the top filers and also independent inventors that filed six or more patents in the past 12 months.  The target population typically accounts for over </w:t>
      </w:r>
      <w:r w:rsidR="004A597B">
        <w:rPr>
          <w:rFonts w:ascii="Arial" w:hAnsi="Arial"/>
          <w:sz w:val="24"/>
        </w:rPr>
        <w:t>97</w:t>
      </w:r>
      <w:r>
        <w:rPr>
          <w:rFonts w:ascii="Arial" w:hAnsi="Arial"/>
          <w:sz w:val="24"/>
        </w:rPr>
        <w:t xml:space="preserve">% of all </w:t>
      </w:r>
      <w:r w:rsidR="004A597B">
        <w:rPr>
          <w:rFonts w:ascii="Arial" w:hAnsi="Arial"/>
          <w:sz w:val="24"/>
        </w:rPr>
        <w:t xml:space="preserve">domestic </w:t>
      </w:r>
      <w:r>
        <w:rPr>
          <w:rFonts w:ascii="Arial" w:hAnsi="Arial"/>
          <w:sz w:val="24"/>
        </w:rPr>
        <w:t>patent applications filed in a given fiscal year.</w:t>
      </w:r>
    </w:p>
    <w:p w:rsidR="00D323D9" w:rsidP="00E64A44" w:rsidRDefault="00D323D9" w14:paraId="26561126" w14:textId="4EDC9BF2">
      <w:pPr>
        <w:jc w:val="both"/>
        <w:rPr>
          <w:rFonts w:ascii="Arial" w:hAnsi="Arial"/>
          <w:sz w:val="24"/>
        </w:rPr>
      </w:pPr>
    </w:p>
    <w:p w:rsidR="00D323D9" w:rsidP="00D323D9" w:rsidRDefault="00D323D9" w14:paraId="3635EB4D" w14:textId="77777777">
      <w:pPr>
        <w:jc w:val="both"/>
        <w:rPr>
          <w:rFonts w:ascii="Arial" w:hAnsi="Arial"/>
          <w:sz w:val="24"/>
        </w:rPr>
      </w:pPr>
      <w:r>
        <w:rPr>
          <w:rFonts w:ascii="Arial" w:hAnsi="Arial"/>
          <w:sz w:val="24"/>
        </w:rPr>
        <w:t xml:space="preserve">Historic response rates for the Patents External Quality Survey are shown below.  </w:t>
      </w:r>
    </w:p>
    <w:p w:rsidR="00D323D9" w:rsidP="00D323D9" w:rsidRDefault="00D323D9" w14:paraId="4D90C12A" w14:textId="77777777">
      <w:pPr>
        <w:jc w:val="both"/>
        <w:rPr>
          <w:rFonts w:ascii="Arial" w:hAnsi="Arial"/>
          <w:sz w:val="24"/>
        </w:rPr>
      </w:pPr>
    </w:p>
    <w:tbl>
      <w:tblPr>
        <w:tblW w:w="8820" w:type="dxa"/>
        <w:tblInd w:w="234" w:type="dxa"/>
        <w:tblCellMar>
          <w:left w:w="0" w:type="dxa"/>
          <w:right w:w="0" w:type="dxa"/>
        </w:tblCellMar>
        <w:tblLook w:val="0600" w:firstRow="0" w:lastRow="0" w:firstColumn="0" w:lastColumn="0" w:noHBand="1" w:noVBand="1"/>
      </w:tblPr>
      <w:tblGrid>
        <w:gridCol w:w="2062"/>
        <w:gridCol w:w="4771"/>
        <w:gridCol w:w="1987"/>
      </w:tblGrid>
      <w:tr w:rsidRPr="00EB4D44" w:rsidR="00D323D9" w:rsidTr="006527A6" w14:paraId="74A8D678" w14:textId="77777777">
        <w:trPr>
          <w:trHeight w:val="558"/>
        </w:trPr>
        <w:tc>
          <w:tcPr>
            <w:tcW w:w="2062" w:type="dxa"/>
            <w:tcBorders>
              <w:top w:val="single" w:color="000000" w:sz="1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E1549C" w:rsidR="00D323D9" w:rsidP="006527A6" w:rsidRDefault="00D323D9" w14:paraId="454F4877" w14:textId="77777777">
            <w:pPr>
              <w:jc w:val="center"/>
              <w:textAlignment w:val="baseline"/>
              <w:rPr>
                <w:rFonts w:ascii="Arial" w:hAnsi="Arial" w:cs="Arial"/>
              </w:rPr>
            </w:pPr>
            <w:r w:rsidRPr="00E1549C">
              <w:rPr>
                <w:rFonts w:ascii="Arial" w:hAnsi="Arial"/>
                <w:b/>
                <w:bCs/>
                <w:color w:val="000000"/>
                <w:kern w:val="24"/>
              </w:rPr>
              <w:t>Wave Name</w:t>
            </w:r>
          </w:p>
        </w:tc>
        <w:tc>
          <w:tcPr>
            <w:tcW w:w="4771" w:type="dxa"/>
            <w:tcBorders>
              <w:top w:val="single" w:color="000000" w:sz="1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E1549C" w:rsidR="00D323D9" w:rsidP="006527A6" w:rsidRDefault="00D323D9" w14:paraId="0D9BDFC4" w14:textId="77777777">
            <w:pPr>
              <w:jc w:val="center"/>
              <w:textAlignment w:val="baseline"/>
              <w:rPr>
                <w:rFonts w:ascii="Arial" w:hAnsi="Arial" w:cs="Arial"/>
              </w:rPr>
            </w:pPr>
            <w:r w:rsidRPr="00E1549C">
              <w:rPr>
                <w:rFonts w:ascii="Arial" w:hAnsi="Arial"/>
                <w:b/>
                <w:bCs/>
                <w:color w:val="000000"/>
                <w:kern w:val="24"/>
              </w:rPr>
              <w:t>Survey Reference Period</w:t>
            </w:r>
          </w:p>
        </w:tc>
        <w:tc>
          <w:tcPr>
            <w:tcW w:w="1987" w:type="dxa"/>
            <w:tcBorders>
              <w:top w:val="single" w:color="000000" w:sz="1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E1549C" w:rsidR="00D323D9" w:rsidP="006527A6" w:rsidRDefault="00D323D9" w14:paraId="2FE41036" w14:textId="77777777">
            <w:pPr>
              <w:jc w:val="center"/>
              <w:textAlignment w:val="baseline"/>
              <w:rPr>
                <w:rFonts w:ascii="Arial" w:hAnsi="Arial" w:cs="Arial"/>
              </w:rPr>
            </w:pPr>
            <w:r w:rsidRPr="00E1549C">
              <w:rPr>
                <w:rFonts w:ascii="Arial" w:hAnsi="Arial"/>
                <w:b/>
                <w:bCs/>
                <w:color w:val="000000"/>
                <w:kern w:val="24"/>
              </w:rPr>
              <w:t>Response Rate</w:t>
            </w:r>
          </w:p>
          <w:p w:rsidRPr="00E1549C" w:rsidR="00D323D9" w:rsidP="006527A6" w:rsidRDefault="00D323D9" w14:paraId="5B4EAF52" w14:textId="77777777">
            <w:pPr>
              <w:kinsoku w:val="0"/>
              <w:overflowPunct w:val="0"/>
              <w:jc w:val="center"/>
              <w:textAlignment w:val="baseline"/>
              <w:rPr>
                <w:rFonts w:ascii="Arial" w:hAnsi="Arial" w:cs="Arial"/>
              </w:rPr>
            </w:pPr>
            <w:r w:rsidRPr="00E1549C">
              <w:rPr>
                <w:rFonts w:ascii="Arial" w:hAnsi="Arial"/>
                <w:b/>
                <w:bCs/>
                <w:color w:val="000000"/>
                <w:kern w:val="24"/>
              </w:rPr>
              <w:t>(weighted)</w:t>
            </w:r>
          </w:p>
        </w:tc>
      </w:tr>
      <w:tr w:rsidRPr="00EB4D44" w:rsidR="00D323D9" w:rsidTr="006527A6" w14:paraId="6B782500" w14:textId="77777777">
        <w:trPr>
          <w:trHeight w:val="20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E1549C" w:rsidR="00D323D9" w:rsidP="006527A6" w:rsidRDefault="00D323D9" w14:paraId="0C38B933" w14:textId="77777777">
            <w:pPr>
              <w:jc w:val="center"/>
              <w:textAlignment w:val="baseline"/>
              <w:rPr>
                <w:rFonts w:ascii="Arial" w:hAnsi="Arial" w:cs="Arial"/>
              </w:rPr>
            </w:pPr>
            <w:r w:rsidRPr="00E1549C">
              <w:rPr>
                <w:rFonts w:ascii="Arial" w:hAnsi="Arial" w:cs="Arial"/>
                <w:color w:val="000000"/>
                <w:kern w:val="24"/>
              </w:rPr>
              <w:t>FY10-Q1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E1549C" w:rsidR="00D323D9" w:rsidP="006527A6" w:rsidRDefault="00D323D9" w14:paraId="772599E3" w14:textId="77777777">
            <w:pPr>
              <w:jc w:val="center"/>
              <w:textAlignment w:val="baseline"/>
              <w:rPr>
                <w:rFonts w:ascii="Arial" w:hAnsi="Arial" w:cs="Arial"/>
              </w:rPr>
            </w:pPr>
            <w:r w:rsidRPr="00E1549C">
              <w:rPr>
                <w:rFonts w:ascii="Arial" w:hAnsi="Arial"/>
                <w:color w:val="000000"/>
                <w:kern w:val="24"/>
              </w:rPr>
              <w:t>October 2009 – December 2009</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E1549C" w:rsidR="00D323D9" w:rsidP="006527A6" w:rsidRDefault="00D323D9" w14:paraId="788D9ACA" w14:textId="77777777">
            <w:pPr>
              <w:jc w:val="center"/>
              <w:textAlignment w:val="baseline"/>
              <w:rPr>
                <w:rFonts w:ascii="Arial" w:hAnsi="Arial" w:cs="Arial"/>
              </w:rPr>
            </w:pPr>
            <w:r w:rsidRPr="00E1549C">
              <w:rPr>
                <w:rFonts w:ascii="Arial" w:hAnsi="Arial" w:cs="Arial"/>
                <w:color w:val="000000"/>
                <w:kern w:val="24"/>
              </w:rPr>
              <w:t>54%</w:t>
            </w:r>
          </w:p>
        </w:tc>
      </w:tr>
      <w:tr w:rsidRPr="00EB4D44" w:rsidR="00D323D9" w:rsidTr="006527A6" w14:paraId="0F5C009E" w14:textId="77777777">
        <w:trPr>
          <w:trHeight w:val="340"/>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7B30674F" w14:textId="77777777">
            <w:pPr>
              <w:jc w:val="center"/>
              <w:textAlignment w:val="baseline"/>
              <w:rPr>
                <w:rFonts w:ascii="Arial" w:hAnsi="Arial" w:cs="Arial"/>
              </w:rPr>
            </w:pPr>
            <w:r w:rsidRPr="000E6B83">
              <w:rPr>
                <w:rFonts w:ascii="Arial" w:hAnsi="Arial" w:cs="Arial"/>
                <w:color w:val="000000"/>
                <w:kern w:val="24"/>
              </w:rPr>
              <w:t>FY10-Q3</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0AF83AB6" w14:textId="77777777">
            <w:pPr>
              <w:jc w:val="center"/>
              <w:textAlignment w:val="baseline"/>
              <w:rPr>
                <w:rFonts w:ascii="Arial" w:hAnsi="Arial" w:cs="Arial"/>
              </w:rPr>
            </w:pPr>
            <w:r w:rsidRPr="000E6B83">
              <w:rPr>
                <w:rFonts w:ascii="Arial" w:hAnsi="Arial" w:cs="Arial"/>
                <w:color w:val="000000"/>
                <w:kern w:val="24"/>
              </w:rPr>
              <w:t>April 2010 – June 2010</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6FF11914" w14:textId="77777777">
            <w:pPr>
              <w:jc w:val="center"/>
              <w:textAlignment w:val="baseline"/>
              <w:rPr>
                <w:rFonts w:ascii="Arial" w:hAnsi="Arial" w:cs="Arial"/>
              </w:rPr>
            </w:pPr>
            <w:r w:rsidRPr="000E6B83">
              <w:rPr>
                <w:rFonts w:ascii="Arial" w:hAnsi="Arial" w:cs="Arial"/>
                <w:color w:val="000000"/>
                <w:kern w:val="24"/>
              </w:rPr>
              <w:t>52%</w:t>
            </w:r>
          </w:p>
        </w:tc>
      </w:tr>
      <w:tr w:rsidRPr="00EB4D44" w:rsidR="00D323D9" w:rsidTr="006527A6" w14:paraId="6BD6FC49"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579053B0" w14:textId="77777777">
            <w:pPr>
              <w:jc w:val="center"/>
              <w:textAlignment w:val="baseline"/>
              <w:rPr>
                <w:rFonts w:ascii="Arial" w:hAnsi="Arial" w:cs="Arial"/>
              </w:rPr>
            </w:pPr>
            <w:r w:rsidRPr="000E6B83">
              <w:rPr>
                <w:rFonts w:ascii="Arial" w:hAnsi="Arial" w:cs="Arial"/>
                <w:color w:val="000000"/>
                <w:kern w:val="24"/>
              </w:rPr>
              <w:t>FY11-Q1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56E759CF" w14:textId="77777777">
            <w:pPr>
              <w:jc w:val="center"/>
              <w:textAlignment w:val="baseline"/>
              <w:rPr>
                <w:rFonts w:ascii="Arial" w:hAnsi="Arial" w:cs="Arial"/>
              </w:rPr>
            </w:pPr>
            <w:r w:rsidRPr="000E6B83">
              <w:rPr>
                <w:rFonts w:ascii="Arial" w:hAnsi="Arial"/>
                <w:color w:val="000000"/>
                <w:kern w:val="24"/>
              </w:rPr>
              <w:t>October 2010 – December 2010</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046D2FFF" w14:textId="77777777">
            <w:pPr>
              <w:jc w:val="center"/>
              <w:textAlignment w:val="baseline"/>
              <w:rPr>
                <w:rFonts w:ascii="Arial" w:hAnsi="Arial" w:cs="Arial"/>
              </w:rPr>
            </w:pPr>
            <w:r w:rsidRPr="000E6B83">
              <w:rPr>
                <w:rFonts w:ascii="Arial" w:hAnsi="Arial" w:cs="Arial"/>
                <w:color w:val="000000"/>
                <w:kern w:val="24"/>
              </w:rPr>
              <w:t>48%</w:t>
            </w:r>
          </w:p>
        </w:tc>
      </w:tr>
      <w:tr w:rsidRPr="00EB4D44" w:rsidR="00D323D9" w:rsidTr="006527A6" w14:paraId="3A2CC735" w14:textId="77777777">
        <w:trPr>
          <w:trHeight w:val="286"/>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319974A1" w14:textId="77777777">
            <w:pPr>
              <w:jc w:val="center"/>
              <w:textAlignment w:val="baseline"/>
              <w:rPr>
                <w:rFonts w:ascii="Arial" w:hAnsi="Arial" w:cs="Arial"/>
              </w:rPr>
            </w:pPr>
            <w:r w:rsidRPr="000E6B83">
              <w:rPr>
                <w:rFonts w:ascii="Arial" w:hAnsi="Arial" w:cs="Arial"/>
                <w:color w:val="000000"/>
                <w:kern w:val="24"/>
              </w:rPr>
              <w:t>FY11-Q3</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671C24EB" w14:textId="77777777">
            <w:pPr>
              <w:jc w:val="center"/>
              <w:textAlignment w:val="baseline"/>
              <w:rPr>
                <w:rFonts w:ascii="Arial" w:hAnsi="Arial" w:cs="Arial"/>
              </w:rPr>
            </w:pPr>
            <w:r w:rsidRPr="000E6B83">
              <w:rPr>
                <w:rFonts w:ascii="Arial" w:hAnsi="Arial" w:cs="Arial"/>
                <w:color w:val="000000"/>
                <w:kern w:val="24"/>
              </w:rPr>
              <w:t>April 2011 – June 2011</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3DC142CF" w14:textId="77777777">
            <w:pPr>
              <w:jc w:val="center"/>
              <w:textAlignment w:val="baseline"/>
              <w:rPr>
                <w:rFonts w:ascii="Arial" w:hAnsi="Arial" w:cs="Arial"/>
              </w:rPr>
            </w:pPr>
            <w:r w:rsidRPr="000E6B83">
              <w:rPr>
                <w:rFonts w:ascii="Arial" w:hAnsi="Arial" w:cs="Arial"/>
                <w:color w:val="000000"/>
                <w:kern w:val="24"/>
              </w:rPr>
              <w:t>46%</w:t>
            </w:r>
          </w:p>
        </w:tc>
      </w:tr>
      <w:tr w:rsidRPr="00EB4D44" w:rsidR="00D323D9" w:rsidTr="006527A6" w14:paraId="16FC4C0B" w14:textId="77777777">
        <w:trPr>
          <w:trHeight w:val="286"/>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62E30515" w14:textId="77777777">
            <w:pPr>
              <w:jc w:val="center"/>
              <w:textAlignment w:val="baseline"/>
              <w:rPr>
                <w:rFonts w:ascii="Arial" w:hAnsi="Arial" w:cs="Arial"/>
              </w:rPr>
            </w:pPr>
            <w:r w:rsidRPr="000E6B83">
              <w:rPr>
                <w:rFonts w:ascii="Arial" w:hAnsi="Arial" w:cs="Arial"/>
                <w:color w:val="000000"/>
                <w:kern w:val="24"/>
              </w:rPr>
              <w:t>FY12-Q1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3A46E5C0" w14:textId="77777777">
            <w:pPr>
              <w:jc w:val="center"/>
              <w:textAlignment w:val="baseline"/>
              <w:rPr>
                <w:rFonts w:ascii="Arial" w:hAnsi="Arial" w:cs="Arial"/>
              </w:rPr>
            </w:pPr>
            <w:r w:rsidRPr="000E6B83">
              <w:rPr>
                <w:rFonts w:ascii="Arial" w:hAnsi="Arial"/>
                <w:color w:val="000000"/>
                <w:kern w:val="24"/>
              </w:rPr>
              <w:t>October 2011 – December 2011</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4CE8B889" w14:textId="77777777">
            <w:pPr>
              <w:jc w:val="center"/>
              <w:textAlignment w:val="baseline"/>
              <w:rPr>
                <w:rFonts w:ascii="Arial" w:hAnsi="Arial" w:cs="Arial"/>
              </w:rPr>
            </w:pPr>
            <w:r w:rsidRPr="000E6B83">
              <w:rPr>
                <w:rFonts w:ascii="Arial" w:hAnsi="Arial" w:cs="Arial"/>
                <w:color w:val="000000"/>
                <w:kern w:val="24"/>
              </w:rPr>
              <w:t>50%</w:t>
            </w:r>
          </w:p>
        </w:tc>
      </w:tr>
      <w:tr w:rsidRPr="00EB4D44" w:rsidR="00D323D9" w:rsidTr="006527A6" w14:paraId="5F7C0FD4" w14:textId="77777777">
        <w:trPr>
          <w:trHeight w:val="196"/>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67FE0787" w14:textId="77777777">
            <w:pPr>
              <w:jc w:val="center"/>
              <w:textAlignment w:val="baseline"/>
              <w:rPr>
                <w:rFonts w:ascii="Arial" w:hAnsi="Arial" w:cs="Arial"/>
              </w:rPr>
            </w:pPr>
            <w:r w:rsidRPr="000E6B83">
              <w:rPr>
                <w:rFonts w:ascii="Arial" w:hAnsi="Arial" w:cs="Arial"/>
                <w:color w:val="000000"/>
                <w:kern w:val="24"/>
              </w:rPr>
              <w:lastRenderedPageBreak/>
              <w:t>FY12-Q3</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1773B577" w14:textId="77777777">
            <w:pPr>
              <w:jc w:val="center"/>
              <w:textAlignment w:val="baseline"/>
              <w:rPr>
                <w:rFonts w:ascii="Arial" w:hAnsi="Arial" w:cs="Arial"/>
              </w:rPr>
            </w:pPr>
            <w:r w:rsidRPr="000E6B83">
              <w:rPr>
                <w:rFonts w:ascii="Arial" w:hAnsi="Arial"/>
                <w:color w:val="000000"/>
                <w:kern w:val="24"/>
              </w:rPr>
              <w:t>April 2012 – June 2012</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4D054D87" w14:textId="77777777">
            <w:pPr>
              <w:jc w:val="center"/>
              <w:textAlignment w:val="baseline"/>
              <w:rPr>
                <w:rFonts w:ascii="Arial" w:hAnsi="Arial" w:cs="Arial"/>
              </w:rPr>
            </w:pPr>
            <w:r w:rsidRPr="000E6B83">
              <w:rPr>
                <w:rFonts w:ascii="Arial" w:hAnsi="Arial" w:cs="Arial"/>
                <w:color w:val="000000"/>
                <w:kern w:val="24"/>
              </w:rPr>
              <w:t>54%</w:t>
            </w:r>
          </w:p>
        </w:tc>
      </w:tr>
      <w:tr w:rsidRPr="00EB4D44" w:rsidR="00D323D9" w:rsidTr="006527A6" w14:paraId="07C771CE" w14:textId="77777777">
        <w:trPr>
          <w:trHeight w:val="340"/>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35782569" w14:textId="77777777">
            <w:pPr>
              <w:jc w:val="center"/>
              <w:textAlignment w:val="baseline"/>
              <w:rPr>
                <w:rFonts w:ascii="Arial" w:hAnsi="Arial" w:cs="Arial"/>
              </w:rPr>
            </w:pPr>
            <w:r w:rsidRPr="000E6B83">
              <w:rPr>
                <w:rFonts w:ascii="Arial" w:hAnsi="Arial" w:cs="Arial"/>
                <w:color w:val="000000"/>
                <w:kern w:val="24"/>
              </w:rPr>
              <w:t>FY13-Q1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5D400E7A" w14:textId="77777777">
            <w:pPr>
              <w:jc w:val="center"/>
              <w:textAlignment w:val="baseline"/>
              <w:rPr>
                <w:rFonts w:ascii="Arial" w:hAnsi="Arial" w:cs="Arial"/>
              </w:rPr>
            </w:pPr>
            <w:r w:rsidRPr="000E6B83">
              <w:rPr>
                <w:rFonts w:ascii="Arial" w:hAnsi="Arial"/>
                <w:color w:val="000000"/>
                <w:kern w:val="24"/>
              </w:rPr>
              <w:t>October 2012 – December 2012</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7D783648" w14:textId="77777777">
            <w:pPr>
              <w:jc w:val="center"/>
              <w:textAlignment w:val="baseline"/>
              <w:rPr>
                <w:rFonts w:ascii="Arial" w:hAnsi="Arial" w:cs="Arial"/>
              </w:rPr>
            </w:pPr>
            <w:r w:rsidRPr="000E6B83">
              <w:rPr>
                <w:rFonts w:ascii="Arial" w:hAnsi="Arial" w:cs="Arial"/>
                <w:color w:val="000000"/>
                <w:kern w:val="24"/>
              </w:rPr>
              <w:t>54%</w:t>
            </w:r>
          </w:p>
        </w:tc>
      </w:tr>
      <w:tr w:rsidRPr="00EB4D44" w:rsidR="00D323D9" w:rsidTr="006527A6" w14:paraId="5513D681" w14:textId="77777777">
        <w:trPr>
          <w:trHeight w:val="286"/>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096592E1" w14:textId="77777777">
            <w:pPr>
              <w:jc w:val="center"/>
              <w:textAlignment w:val="baseline"/>
              <w:rPr>
                <w:rFonts w:ascii="Arial" w:hAnsi="Arial" w:cs="Arial"/>
              </w:rPr>
            </w:pPr>
            <w:r w:rsidRPr="000E6B83">
              <w:rPr>
                <w:rFonts w:ascii="Arial" w:hAnsi="Arial" w:cs="Arial"/>
                <w:color w:val="000000"/>
                <w:kern w:val="24"/>
              </w:rPr>
              <w:t>FY13-Q3</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18C06735" w14:textId="77777777">
            <w:pPr>
              <w:jc w:val="center"/>
              <w:textAlignment w:val="baseline"/>
              <w:rPr>
                <w:rFonts w:ascii="Arial" w:hAnsi="Arial" w:cs="Arial"/>
              </w:rPr>
            </w:pPr>
            <w:r w:rsidRPr="000E6B83">
              <w:rPr>
                <w:rFonts w:ascii="Arial" w:hAnsi="Arial"/>
                <w:color w:val="000000"/>
                <w:kern w:val="24"/>
              </w:rPr>
              <w:t>April 2013 – June 2013</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284408D7" w14:textId="77777777">
            <w:pPr>
              <w:jc w:val="center"/>
              <w:textAlignment w:val="baseline"/>
              <w:rPr>
                <w:rFonts w:ascii="Arial" w:hAnsi="Arial" w:cs="Arial"/>
              </w:rPr>
            </w:pPr>
            <w:r w:rsidRPr="000E6B83">
              <w:rPr>
                <w:rFonts w:ascii="Arial" w:hAnsi="Arial" w:cs="Arial"/>
                <w:color w:val="000000"/>
                <w:kern w:val="24"/>
              </w:rPr>
              <w:t>55%</w:t>
            </w:r>
          </w:p>
        </w:tc>
      </w:tr>
      <w:tr w:rsidRPr="00EB4D44" w:rsidR="00D323D9" w:rsidTr="006527A6" w14:paraId="4745CDBC" w14:textId="77777777">
        <w:trPr>
          <w:trHeight w:val="196"/>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7518E7C1" w14:textId="77777777">
            <w:pPr>
              <w:jc w:val="center"/>
              <w:textAlignment w:val="baseline"/>
              <w:rPr>
                <w:rFonts w:ascii="Arial" w:hAnsi="Arial" w:cs="Arial"/>
              </w:rPr>
            </w:pPr>
            <w:r w:rsidRPr="000E6B83">
              <w:rPr>
                <w:rFonts w:ascii="Arial" w:hAnsi="Arial" w:cs="Arial"/>
                <w:color w:val="000000"/>
                <w:kern w:val="24"/>
              </w:rPr>
              <w:t>FY14-Q1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577FCF99" w14:textId="77777777">
            <w:pPr>
              <w:jc w:val="center"/>
              <w:textAlignment w:val="baseline"/>
              <w:rPr>
                <w:rFonts w:ascii="Arial" w:hAnsi="Arial" w:cs="Arial"/>
              </w:rPr>
            </w:pPr>
            <w:r w:rsidRPr="000E6B83">
              <w:rPr>
                <w:rFonts w:ascii="Arial" w:hAnsi="Arial"/>
                <w:color w:val="000000"/>
                <w:kern w:val="24"/>
              </w:rPr>
              <w:t>October 2013 – December 2013</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5D4BFD6B" w14:textId="77777777">
            <w:pPr>
              <w:jc w:val="center"/>
              <w:textAlignment w:val="baseline"/>
              <w:rPr>
                <w:rFonts w:ascii="Arial" w:hAnsi="Arial" w:cs="Arial"/>
              </w:rPr>
            </w:pPr>
            <w:r w:rsidRPr="000E6B83">
              <w:rPr>
                <w:rFonts w:ascii="Arial" w:hAnsi="Arial" w:cs="Arial"/>
                <w:color w:val="000000"/>
                <w:kern w:val="24"/>
              </w:rPr>
              <w:t>53%</w:t>
            </w:r>
          </w:p>
        </w:tc>
      </w:tr>
      <w:tr w:rsidRPr="00EB4D44" w:rsidR="00D323D9" w:rsidTr="006527A6" w14:paraId="79FC8F51" w14:textId="77777777">
        <w:trPr>
          <w:trHeight w:val="259"/>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5BF2734C" w14:textId="77777777">
            <w:pPr>
              <w:jc w:val="center"/>
              <w:textAlignment w:val="baseline"/>
              <w:rPr>
                <w:rFonts w:ascii="Arial" w:hAnsi="Arial" w:cs="Arial"/>
              </w:rPr>
            </w:pPr>
            <w:r w:rsidRPr="000E6B83">
              <w:rPr>
                <w:rFonts w:ascii="Arial" w:hAnsi="Arial" w:cs="Arial"/>
                <w:color w:val="000000"/>
                <w:kern w:val="24"/>
              </w:rPr>
              <w:t>FY14-Q3</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7F3E07D1" w14:textId="77777777">
            <w:pPr>
              <w:jc w:val="center"/>
              <w:textAlignment w:val="baseline"/>
              <w:rPr>
                <w:rFonts w:ascii="Arial" w:hAnsi="Arial" w:cs="Arial"/>
              </w:rPr>
            </w:pPr>
            <w:r w:rsidRPr="000E6B83">
              <w:rPr>
                <w:rFonts w:ascii="Arial" w:hAnsi="Arial"/>
                <w:color w:val="000000"/>
                <w:kern w:val="24"/>
              </w:rPr>
              <w:t>April 2014 – June 2014</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09BEDBA2" w14:textId="77777777">
            <w:pPr>
              <w:jc w:val="center"/>
              <w:textAlignment w:val="baseline"/>
              <w:rPr>
                <w:rFonts w:ascii="Arial" w:hAnsi="Arial" w:cs="Arial"/>
              </w:rPr>
            </w:pPr>
            <w:r w:rsidRPr="000E6B83">
              <w:rPr>
                <w:rFonts w:ascii="Arial" w:hAnsi="Arial" w:cs="Arial"/>
                <w:color w:val="000000"/>
                <w:kern w:val="24"/>
              </w:rPr>
              <w:t>54%</w:t>
            </w:r>
          </w:p>
        </w:tc>
      </w:tr>
      <w:tr w:rsidRPr="00EB4D44" w:rsidR="00D323D9" w:rsidTr="006527A6" w14:paraId="76115993" w14:textId="77777777">
        <w:trPr>
          <w:trHeight w:val="277"/>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691322D7" w14:textId="77777777">
            <w:pPr>
              <w:jc w:val="center"/>
              <w:textAlignment w:val="baseline"/>
              <w:rPr>
                <w:rFonts w:ascii="Arial" w:hAnsi="Arial" w:cs="Arial"/>
              </w:rPr>
            </w:pPr>
            <w:r w:rsidRPr="000E6B83">
              <w:rPr>
                <w:rFonts w:ascii="Arial" w:hAnsi="Arial" w:cs="Arial"/>
                <w:color w:val="000000"/>
                <w:kern w:val="24"/>
              </w:rPr>
              <w:t>FY15-Q1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1E2C7B3B" w14:textId="77777777">
            <w:pPr>
              <w:jc w:val="center"/>
              <w:textAlignment w:val="baseline"/>
              <w:rPr>
                <w:rFonts w:ascii="Arial" w:hAnsi="Arial" w:cs="Arial"/>
              </w:rPr>
            </w:pPr>
            <w:r w:rsidRPr="000E6B83">
              <w:rPr>
                <w:rFonts w:ascii="Arial" w:hAnsi="Arial"/>
                <w:color w:val="000000"/>
                <w:kern w:val="24"/>
              </w:rPr>
              <w:t>October 2014 – December 2014</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2B805A34" w14:textId="77777777">
            <w:pPr>
              <w:jc w:val="center"/>
              <w:textAlignment w:val="baseline"/>
              <w:rPr>
                <w:rFonts w:ascii="Arial" w:hAnsi="Arial" w:cs="Arial"/>
              </w:rPr>
            </w:pPr>
            <w:r w:rsidRPr="000E6B83">
              <w:rPr>
                <w:rFonts w:ascii="Arial" w:hAnsi="Arial" w:cs="Arial"/>
                <w:color w:val="000000"/>
                <w:kern w:val="24"/>
              </w:rPr>
              <w:t>55%</w:t>
            </w:r>
          </w:p>
        </w:tc>
      </w:tr>
      <w:tr w:rsidRPr="00EB4D44" w:rsidR="00D323D9" w:rsidTr="006527A6" w14:paraId="37215263"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12A650B2" w14:textId="77777777">
            <w:pPr>
              <w:jc w:val="center"/>
              <w:textAlignment w:val="baseline"/>
              <w:rPr>
                <w:rFonts w:ascii="Arial" w:hAnsi="Arial" w:cs="Arial"/>
              </w:rPr>
            </w:pPr>
            <w:r w:rsidRPr="000E6B83">
              <w:rPr>
                <w:rFonts w:ascii="Arial" w:hAnsi="Arial" w:cs="Arial"/>
                <w:color w:val="000000"/>
                <w:kern w:val="24"/>
              </w:rPr>
              <w:t>FY15-Q3</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E6B83" w:rsidR="00D323D9" w:rsidP="006527A6" w:rsidRDefault="00D323D9" w14:paraId="11726C8C" w14:textId="77777777">
            <w:pPr>
              <w:jc w:val="center"/>
              <w:textAlignment w:val="baseline"/>
              <w:rPr>
                <w:rFonts w:ascii="Arial" w:hAnsi="Arial" w:cs="Arial"/>
              </w:rPr>
            </w:pPr>
            <w:r w:rsidRPr="000E6B83">
              <w:rPr>
                <w:rFonts w:ascii="Arial" w:hAnsi="Arial"/>
                <w:color w:val="000000"/>
                <w:kern w:val="24"/>
              </w:rPr>
              <w:t>April 2015 – June</w:t>
            </w:r>
            <w:r>
              <w:rPr>
                <w:rFonts w:ascii="Arial" w:hAnsi="Arial"/>
                <w:color w:val="000000"/>
                <w:kern w:val="24"/>
              </w:rPr>
              <w:t xml:space="preserve"> </w:t>
            </w:r>
            <w:r w:rsidRPr="000E6B83">
              <w:rPr>
                <w:rFonts w:ascii="Arial" w:hAnsi="Arial"/>
                <w:color w:val="000000"/>
                <w:kern w:val="24"/>
              </w:rPr>
              <w:t>2015</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hideMark/>
          </w:tcPr>
          <w:p w:rsidRPr="000E6B83" w:rsidR="00D323D9" w:rsidP="006527A6" w:rsidRDefault="00D323D9" w14:paraId="6DBAECF5" w14:textId="77777777">
            <w:pPr>
              <w:jc w:val="center"/>
              <w:textAlignment w:val="baseline"/>
              <w:rPr>
                <w:rFonts w:ascii="Arial" w:hAnsi="Arial" w:cs="Arial"/>
              </w:rPr>
            </w:pPr>
            <w:r w:rsidRPr="000E6B83">
              <w:rPr>
                <w:rFonts w:ascii="Arial" w:hAnsi="Arial" w:cs="Arial"/>
                <w:color w:val="000000"/>
                <w:kern w:val="24"/>
              </w:rPr>
              <w:t>47%</w:t>
            </w:r>
          </w:p>
        </w:tc>
      </w:tr>
      <w:tr w:rsidRPr="00EB4D44" w:rsidR="00D323D9" w:rsidTr="006527A6" w14:paraId="3D39848D"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0E6B83" w:rsidR="00D323D9" w:rsidP="006527A6" w:rsidRDefault="00D323D9" w14:paraId="146282A6" w14:textId="77777777">
            <w:pPr>
              <w:jc w:val="center"/>
              <w:textAlignment w:val="baseline"/>
              <w:rPr>
                <w:rFonts w:ascii="Arial" w:hAnsi="Arial" w:cs="Arial"/>
                <w:color w:val="000000"/>
                <w:kern w:val="24"/>
              </w:rPr>
            </w:pPr>
            <w:r>
              <w:rPr>
                <w:rFonts w:ascii="Arial" w:hAnsi="Arial" w:cs="Arial"/>
                <w:color w:val="000000"/>
                <w:kern w:val="24"/>
              </w:rPr>
              <w:t>FY16-Q1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0E6B83" w:rsidR="00D323D9" w:rsidP="006527A6" w:rsidRDefault="00D323D9" w14:paraId="223AD640" w14:textId="77777777">
            <w:pPr>
              <w:jc w:val="center"/>
              <w:textAlignment w:val="baseline"/>
              <w:rPr>
                <w:rFonts w:ascii="Arial" w:hAnsi="Arial"/>
                <w:color w:val="000000"/>
                <w:kern w:val="24"/>
              </w:rPr>
            </w:pPr>
            <w:r w:rsidRPr="000B4162">
              <w:rPr>
                <w:rFonts w:ascii="Arial" w:hAnsi="Arial"/>
                <w:color w:val="000000"/>
                <w:kern w:val="24"/>
              </w:rPr>
              <w:t>October 2015 – December 2015</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tcPr>
          <w:p w:rsidRPr="000E6B83" w:rsidR="00D323D9" w:rsidP="006527A6" w:rsidRDefault="00D323D9" w14:paraId="463A14B7" w14:textId="77777777">
            <w:pPr>
              <w:jc w:val="center"/>
              <w:textAlignment w:val="baseline"/>
              <w:rPr>
                <w:rFonts w:ascii="Arial" w:hAnsi="Arial" w:cs="Arial"/>
                <w:color w:val="000000"/>
                <w:kern w:val="24"/>
              </w:rPr>
            </w:pPr>
            <w:r>
              <w:rPr>
                <w:rFonts w:ascii="Arial" w:hAnsi="Arial" w:cs="Arial"/>
                <w:color w:val="000000"/>
                <w:kern w:val="24"/>
              </w:rPr>
              <w:t>47%</w:t>
            </w:r>
          </w:p>
        </w:tc>
      </w:tr>
      <w:tr w:rsidRPr="00EB4D44" w:rsidR="00D323D9" w:rsidTr="006527A6" w14:paraId="5C2F1B1F"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629EE76B" w14:textId="77777777">
            <w:pPr>
              <w:jc w:val="center"/>
              <w:textAlignment w:val="baseline"/>
              <w:rPr>
                <w:rFonts w:ascii="Arial" w:hAnsi="Arial" w:cs="Arial"/>
                <w:color w:val="000000"/>
                <w:kern w:val="24"/>
              </w:rPr>
            </w:pPr>
            <w:r w:rsidRPr="000B4162">
              <w:rPr>
                <w:rFonts w:ascii="Arial" w:hAnsi="Arial" w:cs="Arial"/>
                <w:color w:val="000000"/>
                <w:kern w:val="24"/>
              </w:rPr>
              <w:t>FY16-Q3</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0B4162" w:rsidR="00D323D9" w:rsidP="006527A6" w:rsidRDefault="00D323D9" w14:paraId="0520D7AE" w14:textId="77777777">
            <w:pPr>
              <w:jc w:val="center"/>
              <w:textAlignment w:val="baseline"/>
              <w:rPr>
                <w:rFonts w:ascii="Arial" w:hAnsi="Arial"/>
                <w:color w:val="000000"/>
                <w:kern w:val="24"/>
              </w:rPr>
            </w:pPr>
            <w:r w:rsidRPr="000B4162">
              <w:rPr>
                <w:rFonts w:ascii="Arial" w:hAnsi="Arial"/>
                <w:color w:val="000000"/>
                <w:kern w:val="24"/>
              </w:rPr>
              <w:t>May 2016 – July 2016</w:t>
            </w:r>
          </w:p>
          <w:p w:rsidRPr="000B4162" w:rsidR="00D323D9" w:rsidP="006527A6" w:rsidRDefault="00D323D9" w14:paraId="57FEDF96" w14:textId="77777777">
            <w:pPr>
              <w:jc w:val="center"/>
              <w:textAlignment w:val="baseline"/>
              <w:rPr>
                <w:rFonts w:ascii="Arial" w:hAnsi="Arial"/>
                <w:color w:val="000000"/>
                <w:kern w:val="24"/>
              </w:rPr>
            </w:pP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tcPr>
          <w:p w:rsidR="00D323D9" w:rsidP="006527A6" w:rsidRDefault="00D323D9" w14:paraId="67D4723A" w14:textId="77777777">
            <w:pPr>
              <w:jc w:val="center"/>
              <w:textAlignment w:val="baseline"/>
              <w:rPr>
                <w:rFonts w:ascii="Arial" w:hAnsi="Arial" w:cs="Arial"/>
                <w:color w:val="000000"/>
                <w:kern w:val="24"/>
              </w:rPr>
            </w:pPr>
            <w:r>
              <w:rPr>
                <w:rFonts w:ascii="Arial" w:hAnsi="Arial" w:cs="Arial"/>
                <w:color w:val="000000"/>
                <w:kern w:val="24"/>
              </w:rPr>
              <w:t>43%</w:t>
            </w:r>
          </w:p>
        </w:tc>
      </w:tr>
      <w:tr w:rsidRPr="00EB4D44" w:rsidR="00D323D9" w:rsidTr="006527A6" w14:paraId="0BC71700"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16305E5D" w14:textId="77777777">
            <w:pPr>
              <w:jc w:val="center"/>
              <w:textAlignment w:val="baseline"/>
              <w:rPr>
                <w:rFonts w:ascii="Arial" w:hAnsi="Arial" w:cs="Arial"/>
                <w:color w:val="000000"/>
                <w:kern w:val="24"/>
              </w:rPr>
            </w:pPr>
            <w:r>
              <w:rPr>
                <w:rFonts w:ascii="Arial" w:hAnsi="Arial" w:cs="Arial"/>
                <w:color w:val="000000"/>
                <w:kern w:val="24"/>
              </w:rPr>
              <w:t>FY17-Q1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397177" w:rsidR="00D323D9" w:rsidP="006527A6" w:rsidRDefault="00D323D9" w14:paraId="58A0D10D" w14:textId="77777777">
            <w:pPr>
              <w:jc w:val="center"/>
              <w:textAlignment w:val="baseline"/>
              <w:rPr>
                <w:rFonts w:ascii="Arial" w:hAnsi="Arial"/>
                <w:color w:val="000000"/>
                <w:kern w:val="24"/>
              </w:rPr>
            </w:pPr>
            <w:r w:rsidRPr="00397177">
              <w:rPr>
                <w:rFonts w:ascii="Arial" w:hAnsi="Arial"/>
                <w:color w:val="000000"/>
                <w:kern w:val="24"/>
              </w:rPr>
              <w:t>November 2016 – January 2017</w:t>
            </w:r>
          </w:p>
          <w:p w:rsidRPr="000B4162" w:rsidR="00D323D9" w:rsidP="006527A6" w:rsidRDefault="00D323D9" w14:paraId="2C80D390" w14:textId="77777777">
            <w:pPr>
              <w:jc w:val="center"/>
              <w:textAlignment w:val="baseline"/>
              <w:rPr>
                <w:rFonts w:ascii="Arial" w:hAnsi="Arial"/>
                <w:color w:val="000000"/>
                <w:kern w:val="24"/>
              </w:rPr>
            </w:pP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tcPr>
          <w:p w:rsidR="00D323D9" w:rsidP="006527A6" w:rsidRDefault="00D323D9" w14:paraId="65410E1B" w14:textId="77777777">
            <w:pPr>
              <w:jc w:val="center"/>
              <w:textAlignment w:val="baseline"/>
              <w:rPr>
                <w:rFonts w:ascii="Arial" w:hAnsi="Arial" w:cs="Arial"/>
                <w:color w:val="000000"/>
                <w:kern w:val="24"/>
              </w:rPr>
            </w:pPr>
            <w:r>
              <w:rPr>
                <w:rFonts w:ascii="Arial" w:hAnsi="Arial" w:cs="Arial"/>
                <w:color w:val="000000"/>
                <w:kern w:val="24"/>
              </w:rPr>
              <w:t>38%</w:t>
            </w:r>
          </w:p>
        </w:tc>
      </w:tr>
      <w:tr w:rsidRPr="00EB4D44" w:rsidR="00D323D9" w:rsidTr="006527A6" w14:paraId="18205CA6"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6FCA11C5" w14:textId="77777777">
            <w:pPr>
              <w:jc w:val="center"/>
              <w:textAlignment w:val="baseline"/>
              <w:rPr>
                <w:rFonts w:ascii="Arial" w:hAnsi="Arial" w:cs="Arial"/>
                <w:color w:val="000000"/>
                <w:kern w:val="24"/>
              </w:rPr>
            </w:pPr>
            <w:r w:rsidRPr="00397177">
              <w:rPr>
                <w:rFonts w:ascii="Arial" w:hAnsi="Arial" w:cs="Arial"/>
                <w:color w:val="000000"/>
                <w:kern w:val="24"/>
              </w:rPr>
              <w:t>FY18-Q1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0B4162" w:rsidR="00D323D9" w:rsidP="006527A6" w:rsidRDefault="00D323D9" w14:paraId="3618AA4E" w14:textId="77777777">
            <w:pPr>
              <w:jc w:val="center"/>
              <w:textAlignment w:val="baseline"/>
              <w:rPr>
                <w:rFonts w:ascii="Arial" w:hAnsi="Arial"/>
                <w:color w:val="000000"/>
                <w:kern w:val="24"/>
              </w:rPr>
            </w:pPr>
            <w:r w:rsidRPr="00397177">
              <w:rPr>
                <w:rFonts w:ascii="Arial" w:hAnsi="Arial"/>
                <w:color w:val="000000"/>
                <w:kern w:val="24"/>
              </w:rPr>
              <w:t>October 2017 – December 2017</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tcPr>
          <w:p w:rsidR="00D323D9" w:rsidP="006527A6" w:rsidRDefault="00D323D9" w14:paraId="6B4A3000" w14:textId="77777777">
            <w:pPr>
              <w:jc w:val="center"/>
              <w:textAlignment w:val="baseline"/>
              <w:rPr>
                <w:rFonts w:ascii="Arial" w:hAnsi="Arial" w:cs="Arial"/>
                <w:color w:val="000000"/>
                <w:kern w:val="24"/>
              </w:rPr>
            </w:pPr>
            <w:r>
              <w:rPr>
                <w:rFonts w:ascii="Arial" w:hAnsi="Arial" w:cs="Arial"/>
                <w:color w:val="000000"/>
                <w:kern w:val="24"/>
              </w:rPr>
              <w:t>35%</w:t>
            </w:r>
          </w:p>
        </w:tc>
      </w:tr>
      <w:tr w:rsidRPr="00EB4D44" w:rsidR="00D323D9" w:rsidTr="006527A6" w14:paraId="3A217D4E"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2C8F0E78" w14:textId="77777777">
            <w:pPr>
              <w:jc w:val="center"/>
              <w:textAlignment w:val="baseline"/>
              <w:rPr>
                <w:rFonts w:ascii="Arial" w:hAnsi="Arial" w:cs="Arial"/>
                <w:color w:val="000000"/>
                <w:kern w:val="24"/>
              </w:rPr>
            </w:pPr>
            <w:r>
              <w:rPr>
                <w:rFonts w:ascii="Arial" w:hAnsi="Arial" w:cs="Arial"/>
                <w:color w:val="000000"/>
                <w:kern w:val="24"/>
              </w:rPr>
              <w:t>FY18-Q3</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EA4743" w:rsidR="00D323D9" w:rsidP="006527A6" w:rsidRDefault="00D323D9" w14:paraId="072AD3FC" w14:textId="77777777">
            <w:pPr>
              <w:jc w:val="center"/>
              <w:textAlignment w:val="baseline"/>
              <w:rPr>
                <w:rFonts w:ascii="Arial" w:hAnsi="Arial"/>
                <w:color w:val="000000"/>
                <w:kern w:val="24"/>
              </w:rPr>
            </w:pPr>
            <w:r w:rsidRPr="00EA4743">
              <w:rPr>
                <w:rFonts w:ascii="Arial" w:hAnsi="Arial"/>
                <w:color w:val="000000"/>
                <w:kern w:val="24"/>
              </w:rPr>
              <w:t>May 2018 – July 2018</w:t>
            </w:r>
          </w:p>
          <w:p w:rsidRPr="000B4162" w:rsidR="00D323D9" w:rsidP="006527A6" w:rsidRDefault="00D323D9" w14:paraId="11131B7A" w14:textId="77777777">
            <w:pPr>
              <w:jc w:val="center"/>
              <w:textAlignment w:val="baseline"/>
              <w:rPr>
                <w:rFonts w:ascii="Arial" w:hAnsi="Arial"/>
                <w:color w:val="000000"/>
                <w:kern w:val="24"/>
              </w:rPr>
            </w:pP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tcPr>
          <w:p w:rsidR="00D323D9" w:rsidP="006527A6" w:rsidRDefault="00D323D9" w14:paraId="2511E240" w14:textId="77777777">
            <w:pPr>
              <w:jc w:val="center"/>
              <w:textAlignment w:val="baseline"/>
              <w:rPr>
                <w:rFonts w:ascii="Arial" w:hAnsi="Arial" w:cs="Arial"/>
                <w:color w:val="000000"/>
                <w:kern w:val="24"/>
              </w:rPr>
            </w:pPr>
            <w:r>
              <w:rPr>
                <w:rFonts w:ascii="Arial" w:hAnsi="Arial" w:cs="Arial"/>
                <w:color w:val="000000"/>
                <w:kern w:val="24"/>
              </w:rPr>
              <w:t>33%</w:t>
            </w:r>
          </w:p>
        </w:tc>
      </w:tr>
      <w:tr w:rsidRPr="00EB4D44" w:rsidR="00D323D9" w:rsidTr="006527A6" w14:paraId="27B08684"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31D0DAD3" w14:textId="77777777">
            <w:pPr>
              <w:jc w:val="center"/>
              <w:textAlignment w:val="baseline"/>
              <w:rPr>
                <w:rFonts w:ascii="Arial" w:hAnsi="Arial" w:cs="Arial"/>
                <w:color w:val="000000"/>
                <w:kern w:val="24"/>
              </w:rPr>
            </w:pPr>
            <w:r>
              <w:rPr>
                <w:rFonts w:ascii="Arial" w:hAnsi="Arial" w:cs="Arial"/>
                <w:color w:val="000000"/>
                <w:kern w:val="24"/>
              </w:rPr>
              <w:t>FY19-Q1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EA4743" w:rsidR="00D323D9" w:rsidP="006527A6" w:rsidRDefault="00D323D9" w14:paraId="3467A10D" w14:textId="77777777">
            <w:pPr>
              <w:jc w:val="center"/>
              <w:textAlignment w:val="baseline"/>
              <w:rPr>
                <w:rFonts w:ascii="Arial" w:hAnsi="Arial"/>
                <w:color w:val="000000"/>
                <w:kern w:val="24"/>
              </w:rPr>
            </w:pPr>
            <w:r w:rsidRPr="00EA4743">
              <w:rPr>
                <w:rFonts w:ascii="Arial" w:hAnsi="Arial"/>
                <w:color w:val="000000"/>
                <w:kern w:val="24"/>
              </w:rPr>
              <w:t>October 2018 – December 2018</w:t>
            </w:r>
          </w:p>
          <w:p w:rsidRPr="00EA4743" w:rsidR="00D323D9" w:rsidP="006527A6" w:rsidRDefault="00D323D9" w14:paraId="069A45BF" w14:textId="77777777">
            <w:pPr>
              <w:jc w:val="center"/>
              <w:textAlignment w:val="baseline"/>
              <w:rPr>
                <w:rFonts w:ascii="Arial" w:hAnsi="Arial"/>
                <w:color w:val="000000"/>
                <w:kern w:val="24"/>
              </w:rPr>
            </w:pP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tcPr>
          <w:p w:rsidR="00D323D9" w:rsidP="006527A6" w:rsidRDefault="00D323D9" w14:paraId="67725194" w14:textId="77777777">
            <w:pPr>
              <w:jc w:val="center"/>
              <w:textAlignment w:val="baseline"/>
              <w:rPr>
                <w:rFonts w:ascii="Arial" w:hAnsi="Arial" w:cs="Arial"/>
                <w:color w:val="000000"/>
                <w:kern w:val="24"/>
              </w:rPr>
            </w:pPr>
            <w:r>
              <w:rPr>
                <w:rFonts w:ascii="Arial" w:hAnsi="Arial" w:cs="Arial"/>
                <w:color w:val="000000"/>
                <w:kern w:val="24"/>
              </w:rPr>
              <w:t>36%</w:t>
            </w:r>
          </w:p>
        </w:tc>
      </w:tr>
      <w:tr w:rsidRPr="00EB4D44" w:rsidR="00D323D9" w:rsidTr="006527A6" w14:paraId="1F56EF6F"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3A253112" w14:textId="77777777">
            <w:pPr>
              <w:jc w:val="center"/>
              <w:textAlignment w:val="baseline"/>
              <w:rPr>
                <w:rFonts w:ascii="Arial" w:hAnsi="Arial" w:cs="Arial"/>
                <w:color w:val="000000"/>
                <w:kern w:val="24"/>
              </w:rPr>
            </w:pPr>
            <w:r>
              <w:rPr>
                <w:rFonts w:ascii="Arial" w:hAnsi="Arial" w:cs="Arial"/>
                <w:color w:val="000000"/>
                <w:kern w:val="24"/>
              </w:rPr>
              <w:t>FY19-Q3</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EA4743" w:rsidR="00D323D9" w:rsidP="006527A6" w:rsidRDefault="00D323D9" w14:paraId="3FD86571" w14:textId="77777777">
            <w:pPr>
              <w:jc w:val="center"/>
              <w:textAlignment w:val="baseline"/>
              <w:rPr>
                <w:rFonts w:ascii="Arial" w:hAnsi="Arial"/>
                <w:color w:val="000000"/>
                <w:kern w:val="24"/>
              </w:rPr>
            </w:pPr>
            <w:r>
              <w:rPr>
                <w:rFonts w:ascii="Arial" w:hAnsi="Arial"/>
                <w:color w:val="000000"/>
                <w:kern w:val="24"/>
              </w:rPr>
              <w:t>May 2019 – July 2019</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tcPr>
          <w:p w:rsidR="00D323D9" w:rsidP="006527A6" w:rsidRDefault="00D323D9" w14:paraId="6BB87B16" w14:textId="77777777">
            <w:pPr>
              <w:jc w:val="center"/>
              <w:textAlignment w:val="baseline"/>
              <w:rPr>
                <w:rFonts w:ascii="Arial" w:hAnsi="Arial" w:cs="Arial"/>
                <w:color w:val="000000"/>
                <w:kern w:val="24"/>
              </w:rPr>
            </w:pPr>
            <w:r>
              <w:rPr>
                <w:rFonts w:ascii="Arial" w:hAnsi="Arial" w:cs="Arial"/>
                <w:color w:val="000000"/>
                <w:kern w:val="24"/>
              </w:rPr>
              <w:t>33%</w:t>
            </w:r>
          </w:p>
        </w:tc>
      </w:tr>
      <w:tr w:rsidRPr="00EB4D44" w:rsidR="00D323D9" w:rsidTr="006527A6" w14:paraId="5A9D0C11"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652C334A" w14:textId="77777777">
            <w:pPr>
              <w:jc w:val="center"/>
              <w:textAlignment w:val="baseline"/>
              <w:rPr>
                <w:rFonts w:ascii="Arial" w:hAnsi="Arial" w:cs="Arial"/>
                <w:color w:val="000000"/>
                <w:kern w:val="24"/>
              </w:rPr>
            </w:pPr>
            <w:r>
              <w:rPr>
                <w:rFonts w:ascii="Arial" w:hAnsi="Arial" w:cs="Arial"/>
                <w:color w:val="000000"/>
                <w:kern w:val="24"/>
              </w:rPr>
              <w:t>FY20-Q1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EA4743" w:rsidR="00D323D9" w:rsidP="006527A6" w:rsidRDefault="00D323D9" w14:paraId="6BB88009" w14:textId="77777777">
            <w:pPr>
              <w:jc w:val="center"/>
              <w:textAlignment w:val="baseline"/>
              <w:rPr>
                <w:rFonts w:ascii="Arial" w:hAnsi="Arial"/>
                <w:color w:val="000000"/>
                <w:kern w:val="24"/>
              </w:rPr>
            </w:pPr>
            <w:r>
              <w:rPr>
                <w:rFonts w:ascii="Arial" w:hAnsi="Arial"/>
                <w:color w:val="000000"/>
                <w:kern w:val="24"/>
              </w:rPr>
              <w:t>October 2019 – December 2019</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tcPr>
          <w:p w:rsidR="00D323D9" w:rsidP="006527A6" w:rsidRDefault="00D323D9" w14:paraId="2014D787" w14:textId="77777777">
            <w:pPr>
              <w:jc w:val="center"/>
              <w:textAlignment w:val="baseline"/>
              <w:rPr>
                <w:rFonts w:ascii="Arial" w:hAnsi="Arial" w:cs="Arial"/>
                <w:color w:val="000000"/>
                <w:kern w:val="24"/>
              </w:rPr>
            </w:pPr>
            <w:r>
              <w:rPr>
                <w:rFonts w:ascii="Arial" w:hAnsi="Arial" w:cs="Arial"/>
                <w:color w:val="000000"/>
                <w:kern w:val="24"/>
              </w:rPr>
              <w:t>37%</w:t>
            </w:r>
          </w:p>
        </w:tc>
      </w:tr>
      <w:tr w:rsidRPr="00EB4D44" w:rsidR="00D323D9" w:rsidTr="006527A6" w14:paraId="15DA31D4"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55E4C097" w14:textId="77777777">
            <w:pPr>
              <w:jc w:val="center"/>
              <w:textAlignment w:val="baseline"/>
              <w:rPr>
                <w:rFonts w:ascii="Arial" w:hAnsi="Arial" w:cs="Arial"/>
                <w:color w:val="000000"/>
                <w:kern w:val="24"/>
              </w:rPr>
            </w:pPr>
            <w:r>
              <w:rPr>
                <w:rFonts w:ascii="Arial" w:hAnsi="Arial" w:cs="Arial"/>
                <w:color w:val="000000"/>
                <w:kern w:val="24"/>
              </w:rPr>
              <w:t>FY20-Q3</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43BD4795" w14:textId="77777777">
            <w:pPr>
              <w:jc w:val="center"/>
              <w:textAlignment w:val="baseline"/>
              <w:rPr>
                <w:rFonts w:ascii="Arial" w:hAnsi="Arial"/>
                <w:color w:val="000000"/>
                <w:kern w:val="24"/>
              </w:rPr>
            </w:pPr>
            <w:r>
              <w:rPr>
                <w:rFonts w:ascii="Arial" w:hAnsi="Arial"/>
                <w:color w:val="000000"/>
                <w:kern w:val="24"/>
              </w:rPr>
              <w:t>May 2020 – July 2020</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tcPr>
          <w:p w:rsidR="00D323D9" w:rsidP="006527A6" w:rsidRDefault="00D323D9" w14:paraId="4F6FFA17" w14:textId="77777777">
            <w:pPr>
              <w:jc w:val="center"/>
              <w:textAlignment w:val="baseline"/>
              <w:rPr>
                <w:rFonts w:ascii="Arial" w:hAnsi="Arial" w:cs="Arial"/>
                <w:color w:val="000000"/>
                <w:kern w:val="24"/>
              </w:rPr>
            </w:pPr>
            <w:r>
              <w:rPr>
                <w:rFonts w:ascii="Arial" w:hAnsi="Arial" w:cs="Arial"/>
                <w:color w:val="000000"/>
                <w:kern w:val="24"/>
              </w:rPr>
              <w:t>28%</w:t>
            </w:r>
          </w:p>
        </w:tc>
      </w:tr>
      <w:tr w:rsidRPr="00EB4D44" w:rsidR="00D323D9" w:rsidTr="006527A6" w14:paraId="116C5E12" w14:textId="77777777">
        <w:trPr>
          <w:trHeight w:val="295"/>
        </w:trPr>
        <w:tc>
          <w:tcPr>
            <w:tcW w:w="206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6EB653F3" w14:textId="77777777">
            <w:pPr>
              <w:jc w:val="center"/>
              <w:textAlignment w:val="baseline"/>
              <w:rPr>
                <w:rFonts w:ascii="Arial" w:hAnsi="Arial" w:cs="Arial"/>
                <w:color w:val="000000"/>
                <w:kern w:val="24"/>
              </w:rPr>
            </w:pPr>
            <w:r>
              <w:rPr>
                <w:rFonts w:ascii="Arial" w:hAnsi="Arial" w:cs="Arial"/>
                <w:color w:val="000000"/>
                <w:kern w:val="24"/>
              </w:rPr>
              <w:t>FY21-Q1</w:t>
            </w:r>
          </w:p>
        </w:tc>
        <w:tc>
          <w:tcPr>
            <w:tcW w:w="4771"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63BF8B7C" w14:textId="77777777">
            <w:pPr>
              <w:jc w:val="center"/>
              <w:textAlignment w:val="baseline"/>
              <w:rPr>
                <w:rFonts w:ascii="Arial" w:hAnsi="Arial"/>
                <w:color w:val="000000"/>
                <w:kern w:val="24"/>
              </w:rPr>
            </w:pPr>
            <w:r>
              <w:rPr>
                <w:rFonts w:ascii="Arial" w:hAnsi="Arial"/>
                <w:color w:val="000000"/>
                <w:kern w:val="24"/>
              </w:rPr>
              <w:t>October 2020 – December 2020</w:t>
            </w:r>
          </w:p>
        </w:tc>
        <w:tc>
          <w:tcPr>
            <w:tcW w:w="1987" w:type="dxa"/>
            <w:tcBorders>
              <w:top w:val="single" w:color="000000" w:sz="8" w:space="0"/>
              <w:left w:val="single" w:color="000000" w:sz="8" w:space="0"/>
              <w:bottom w:val="single" w:color="000000" w:sz="8" w:space="0"/>
              <w:right w:val="single" w:color="000000" w:sz="18" w:space="0"/>
            </w:tcBorders>
            <w:shd w:val="clear" w:color="auto" w:fill="auto"/>
            <w:tcMar>
              <w:top w:w="72" w:type="dxa"/>
              <w:left w:w="144" w:type="dxa"/>
              <w:bottom w:w="72" w:type="dxa"/>
              <w:right w:w="144" w:type="dxa"/>
            </w:tcMar>
            <w:vAlign w:val="center"/>
          </w:tcPr>
          <w:p w:rsidR="00D323D9" w:rsidP="006527A6" w:rsidRDefault="00D323D9" w14:paraId="4656F7C7" w14:textId="77777777">
            <w:pPr>
              <w:jc w:val="center"/>
              <w:textAlignment w:val="baseline"/>
              <w:rPr>
                <w:rFonts w:ascii="Arial" w:hAnsi="Arial" w:cs="Arial"/>
                <w:color w:val="000000"/>
                <w:kern w:val="24"/>
              </w:rPr>
            </w:pPr>
            <w:r>
              <w:rPr>
                <w:rFonts w:ascii="Arial" w:hAnsi="Arial" w:cs="Arial"/>
                <w:color w:val="000000"/>
                <w:kern w:val="24"/>
              </w:rPr>
              <w:t>29%</w:t>
            </w:r>
          </w:p>
        </w:tc>
      </w:tr>
      <w:tr w:rsidRPr="00EB4D44" w:rsidR="00D323D9" w:rsidTr="006527A6" w14:paraId="7A8D63CE" w14:textId="77777777">
        <w:trPr>
          <w:trHeight w:val="295"/>
        </w:trPr>
        <w:tc>
          <w:tcPr>
            <w:tcW w:w="2062" w:type="dxa"/>
            <w:tcBorders>
              <w:top w:val="single" w:color="000000" w:sz="8" w:space="0"/>
              <w:left w:val="single" w:color="000000" w:sz="8" w:space="0"/>
              <w:bottom w:val="single" w:color="000000" w:sz="1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056184AD" w14:textId="77777777">
            <w:pPr>
              <w:jc w:val="center"/>
              <w:textAlignment w:val="baseline"/>
              <w:rPr>
                <w:rFonts w:ascii="Arial" w:hAnsi="Arial" w:cs="Arial"/>
                <w:color w:val="000000"/>
                <w:kern w:val="24"/>
              </w:rPr>
            </w:pPr>
            <w:r>
              <w:rPr>
                <w:rFonts w:ascii="Arial" w:hAnsi="Arial" w:cs="Arial"/>
                <w:color w:val="000000"/>
                <w:kern w:val="24"/>
              </w:rPr>
              <w:t>FY21-Q3</w:t>
            </w:r>
          </w:p>
        </w:tc>
        <w:tc>
          <w:tcPr>
            <w:tcW w:w="4771" w:type="dxa"/>
            <w:tcBorders>
              <w:top w:val="single" w:color="000000" w:sz="8" w:space="0"/>
              <w:left w:val="single" w:color="000000" w:sz="8" w:space="0"/>
              <w:bottom w:val="single" w:color="000000" w:sz="18" w:space="0"/>
              <w:right w:val="single" w:color="000000" w:sz="8" w:space="0"/>
            </w:tcBorders>
            <w:shd w:val="clear" w:color="auto" w:fill="auto"/>
            <w:tcMar>
              <w:top w:w="72" w:type="dxa"/>
              <w:left w:w="144" w:type="dxa"/>
              <w:bottom w:w="72" w:type="dxa"/>
              <w:right w:w="144" w:type="dxa"/>
            </w:tcMar>
            <w:vAlign w:val="center"/>
          </w:tcPr>
          <w:p w:rsidR="00D323D9" w:rsidP="006527A6" w:rsidRDefault="00D323D9" w14:paraId="092B93CD" w14:textId="77777777">
            <w:pPr>
              <w:jc w:val="center"/>
              <w:textAlignment w:val="baseline"/>
              <w:rPr>
                <w:rFonts w:ascii="Arial" w:hAnsi="Arial"/>
                <w:color w:val="000000"/>
                <w:kern w:val="24"/>
              </w:rPr>
            </w:pPr>
            <w:r>
              <w:rPr>
                <w:rFonts w:ascii="Arial" w:hAnsi="Arial"/>
                <w:color w:val="000000"/>
                <w:kern w:val="24"/>
              </w:rPr>
              <w:t>May 2021 – July 2021</w:t>
            </w:r>
          </w:p>
        </w:tc>
        <w:tc>
          <w:tcPr>
            <w:tcW w:w="1987" w:type="dxa"/>
            <w:tcBorders>
              <w:top w:val="single" w:color="000000" w:sz="8" w:space="0"/>
              <w:left w:val="single" w:color="000000" w:sz="8" w:space="0"/>
              <w:bottom w:val="single" w:color="000000" w:sz="18" w:space="0"/>
              <w:right w:val="single" w:color="000000" w:sz="18" w:space="0"/>
            </w:tcBorders>
            <w:shd w:val="clear" w:color="auto" w:fill="auto"/>
            <w:tcMar>
              <w:top w:w="72" w:type="dxa"/>
              <w:left w:w="144" w:type="dxa"/>
              <w:bottom w:w="72" w:type="dxa"/>
              <w:right w:w="144" w:type="dxa"/>
            </w:tcMar>
            <w:vAlign w:val="center"/>
          </w:tcPr>
          <w:p w:rsidR="00D323D9" w:rsidP="006527A6" w:rsidRDefault="00D323D9" w14:paraId="67D1E6BA" w14:textId="77777777">
            <w:pPr>
              <w:jc w:val="center"/>
              <w:textAlignment w:val="baseline"/>
              <w:rPr>
                <w:rFonts w:ascii="Arial" w:hAnsi="Arial" w:cs="Arial"/>
                <w:color w:val="000000"/>
                <w:kern w:val="24"/>
              </w:rPr>
            </w:pPr>
            <w:r>
              <w:rPr>
                <w:rFonts w:ascii="Arial" w:hAnsi="Arial" w:cs="Arial"/>
                <w:color w:val="000000"/>
                <w:kern w:val="24"/>
              </w:rPr>
              <w:t>25%</w:t>
            </w:r>
          </w:p>
        </w:tc>
      </w:tr>
    </w:tbl>
    <w:p w:rsidR="00D323D9" w:rsidP="00D323D9" w:rsidRDefault="00D323D9" w14:paraId="1D3AC7CE" w14:textId="77777777">
      <w:pPr>
        <w:jc w:val="both"/>
        <w:rPr>
          <w:rFonts w:ascii="Arial" w:hAnsi="Arial"/>
          <w:sz w:val="24"/>
        </w:rPr>
      </w:pPr>
    </w:p>
    <w:p w:rsidR="00D323D9" w:rsidP="00E64A44" w:rsidRDefault="00D323D9" w14:paraId="00577526" w14:textId="77777777">
      <w:pPr>
        <w:jc w:val="both"/>
        <w:rPr>
          <w:rFonts w:ascii="Arial" w:hAnsi="Arial"/>
          <w:sz w:val="24"/>
        </w:rPr>
      </w:pPr>
    </w:p>
    <w:p w:rsidRPr="00D323D9" w:rsidR="00E64A44" w:rsidP="00E64A44" w:rsidRDefault="00E64A44" w14:paraId="77CB2FD6" w14:textId="77777777">
      <w:pPr>
        <w:jc w:val="both"/>
        <w:rPr>
          <w:rFonts w:ascii="Arial" w:hAnsi="Arial"/>
          <w:sz w:val="24"/>
          <w:szCs w:val="24"/>
        </w:rPr>
      </w:pPr>
    </w:p>
    <w:p w:rsidRPr="00D323D9" w:rsidR="00D323D9" w:rsidP="00D323D9" w:rsidRDefault="00D323D9" w14:paraId="433DC7FD" w14:textId="25FBF1EF">
      <w:pPr>
        <w:pStyle w:val="ListParagraph"/>
        <w:numPr>
          <w:ilvl w:val="0"/>
          <w:numId w:val="24"/>
        </w:numPr>
        <w:rPr>
          <w:rFonts w:ascii="Arial" w:hAnsi="Arial" w:cs="Arial"/>
          <w:b/>
          <w:sz w:val="24"/>
          <w:szCs w:val="24"/>
        </w:rPr>
      </w:pPr>
      <w:r w:rsidRPr="00D323D9">
        <w:rPr>
          <w:rFonts w:ascii="Arial" w:hAnsi="Arial" w:cs="Arial"/>
          <w:b/>
          <w:sz w:val="24"/>
          <w:szCs w:val="24"/>
        </w:rPr>
        <w:t>Describe the procedures for the collection of information including:</w:t>
      </w:r>
    </w:p>
    <w:p w:rsidRPr="00D323D9" w:rsidR="00D323D9" w:rsidP="00D323D9" w:rsidRDefault="00D323D9" w14:paraId="342E1F89" w14:textId="77777777">
      <w:pPr>
        <w:ind w:left="1440" w:hanging="1440"/>
        <w:rPr>
          <w:rFonts w:ascii="Arial" w:hAnsi="Arial" w:cs="Arial"/>
          <w:b/>
          <w:sz w:val="24"/>
          <w:szCs w:val="24"/>
        </w:rPr>
      </w:pPr>
      <w:r w:rsidRPr="00D323D9">
        <w:rPr>
          <w:rFonts w:ascii="Arial" w:hAnsi="Arial" w:cs="Arial"/>
          <w:b/>
          <w:sz w:val="24"/>
          <w:szCs w:val="24"/>
        </w:rPr>
        <w:tab/>
        <w:t>•</w:t>
      </w:r>
      <w:r w:rsidRPr="00D323D9">
        <w:rPr>
          <w:rFonts w:ascii="Arial" w:hAnsi="Arial" w:cs="Arial"/>
          <w:b/>
          <w:sz w:val="24"/>
          <w:szCs w:val="24"/>
        </w:rPr>
        <w:tab/>
        <w:t>statistical methodology for stratification and sample selection,</w:t>
      </w:r>
    </w:p>
    <w:p w:rsidRPr="00D323D9" w:rsidR="00D323D9" w:rsidP="00D323D9" w:rsidRDefault="00D323D9" w14:paraId="687C9073" w14:textId="77777777">
      <w:pPr>
        <w:ind w:left="1440" w:hanging="1440"/>
        <w:rPr>
          <w:rFonts w:ascii="Arial" w:hAnsi="Arial" w:cs="Arial"/>
          <w:b/>
          <w:sz w:val="24"/>
          <w:szCs w:val="24"/>
        </w:rPr>
      </w:pPr>
      <w:r w:rsidRPr="00D323D9">
        <w:rPr>
          <w:rFonts w:ascii="Arial" w:hAnsi="Arial" w:cs="Arial"/>
          <w:b/>
          <w:sz w:val="24"/>
          <w:szCs w:val="24"/>
        </w:rPr>
        <w:tab/>
        <w:t>•</w:t>
      </w:r>
      <w:r w:rsidRPr="00D323D9">
        <w:rPr>
          <w:rFonts w:ascii="Arial" w:hAnsi="Arial" w:cs="Arial"/>
          <w:b/>
          <w:sz w:val="24"/>
          <w:szCs w:val="24"/>
        </w:rPr>
        <w:tab/>
        <w:t>estimation procedure,</w:t>
      </w:r>
    </w:p>
    <w:p w:rsidRPr="00D323D9" w:rsidR="00D323D9" w:rsidP="00D323D9" w:rsidRDefault="00D323D9" w14:paraId="0DBE8923" w14:textId="532E1122">
      <w:pPr>
        <w:ind w:left="2160" w:hanging="720"/>
        <w:rPr>
          <w:rFonts w:ascii="Arial" w:hAnsi="Arial" w:cs="Arial"/>
          <w:b/>
          <w:sz w:val="24"/>
          <w:szCs w:val="24"/>
        </w:rPr>
      </w:pPr>
      <w:r w:rsidRPr="00D323D9">
        <w:rPr>
          <w:rFonts w:ascii="Arial" w:hAnsi="Arial" w:cs="Arial"/>
          <w:b/>
          <w:sz w:val="24"/>
          <w:szCs w:val="24"/>
        </w:rPr>
        <w:t>•</w:t>
      </w:r>
      <w:r w:rsidRPr="00D323D9">
        <w:rPr>
          <w:rFonts w:ascii="Arial" w:hAnsi="Arial" w:cs="Arial"/>
          <w:b/>
          <w:sz w:val="24"/>
          <w:szCs w:val="24"/>
        </w:rPr>
        <w:tab/>
        <w:t>degree of accuracy needed for the purpose described in the justification,</w:t>
      </w:r>
      <w:r w:rsidRPr="00D323D9">
        <w:rPr>
          <w:rFonts w:ascii="Arial" w:hAnsi="Arial" w:cs="Arial"/>
          <w:b/>
          <w:sz w:val="24"/>
          <w:szCs w:val="24"/>
        </w:rPr>
        <w:t xml:space="preserve"> and</w:t>
      </w:r>
    </w:p>
    <w:p w:rsidRPr="00D323D9" w:rsidR="00D323D9" w:rsidP="00D323D9" w:rsidRDefault="00D323D9" w14:paraId="619FB2C5" w14:textId="295438AB">
      <w:pPr>
        <w:ind w:left="1440" w:hanging="1440"/>
        <w:rPr>
          <w:rFonts w:ascii="Arial" w:hAnsi="Arial" w:cs="Arial"/>
          <w:sz w:val="24"/>
          <w:szCs w:val="24"/>
        </w:rPr>
      </w:pPr>
      <w:r w:rsidRPr="00D323D9">
        <w:rPr>
          <w:rFonts w:ascii="Arial" w:hAnsi="Arial" w:cs="Arial"/>
          <w:b/>
          <w:sz w:val="24"/>
          <w:szCs w:val="24"/>
        </w:rPr>
        <w:tab/>
        <w:t>•</w:t>
      </w:r>
      <w:r w:rsidRPr="00D323D9">
        <w:rPr>
          <w:rFonts w:ascii="Arial" w:hAnsi="Arial" w:cs="Arial"/>
          <w:b/>
          <w:sz w:val="24"/>
          <w:szCs w:val="24"/>
        </w:rPr>
        <w:tab/>
        <w:t>unusual problems requiring specialized sampling procedures</w:t>
      </w:r>
      <w:r w:rsidRPr="00D323D9">
        <w:rPr>
          <w:rFonts w:ascii="Arial" w:hAnsi="Arial" w:cs="Arial"/>
          <w:b/>
          <w:sz w:val="24"/>
          <w:szCs w:val="24"/>
        </w:rPr>
        <w:t>.</w:t>
      </w:r>
    </w:p>
    <w:p w:rsidR="00E64A44" w:rsidP="00E64A44" w:rsidRDefault="00E64A44" w14:paraId="4D4E1E48" w14:textId="77777777">
      <w:pPr>
        <w:jc w:val="both"/>
        <w:rPr>
          <w:rFonts w:ascii="Arial" w:hAnsi="Arial"/>
          <w:sz w:val="24"/>
        </w:rPr>
      </w:pPr>
    </w:p>
    <w:p w:rsidR="00E64A44" w:rsidP="00E64A44" w:rsidRDefault="00E64A44" w14:paraId="48EC7F21" w14:textId="77777777">
      <w:pPr>
        <w:jc w:val="both"/>
        <w:rPr>
          <w:rFonts w:ascii="Arial" w:hAnsi="Arial"/>
          <w:sz w:val="24"/>
        </w:rPr>
      </w:pPr>
      <w:r>
        <w:rPr>
          <w:rFonts w:ascii="Arial" w:hAnsi="Arial"/>
          <w:sz w:val="24"/>
        </w:rPr>
        <w:t xml:space="preserve">The </w:t>
      </w:r>
      <w:r w:rsidR="007D0BA7">
        <w:rPr>
          <w:rFonts w:ascii="Arial" w:hAnsi="Arial"/>
          <w:sz w:val="24"/>
        </w:rPr>
        <w:t>Patents External</w:t>
      </w:r>
      <w:r>
        <w:rPr>
          <w:rFonts w:ascii="Arial" w:hAnsi="Arial"/>
          <w:sz w:val="24"/>
        </w:rPr>
        <w:t xml:space="preserve"> Quality Survey will use a longitudinal, rotating panel design.</w:t>
      </w:r>
      <w:r w:rsidR="00DC1732">
        <w:rPr>
          <w:rFonts w:ascii="Arial" w:hAnsi="Arial"/>
          <w:sz w:val="24"/>
        </w:rPr>
        <w:t xml:space="preserve">  The USPTO has developed a sampling plan which is included in this submission.  </w:t>
      </w:r>
      <w:r>
        <w:rPr>
          <w:rFonts w:ascii="Arial" w:hAnsi="Arial"/>
          <w:sz w:val="24"/>
        </w:rPr>
        <w:t>The sampling plan also contains information about the respondent pool and the response rate.</w:t>
      </w:r>
    </w:p>
    <w:p w:rsidR="00E64A44" w:rsidP="00E64A44" w:rsidRDefault="00E64A44" w14:paraId="33D60010" w14:textId="77777777">
      <w:pPr>
        <w:jc w:val="both"/>
        <w:rPr>
          <w:rFonts w:ascii="Arial" w:hAnsi="Arial"/>
          <w:sz w:val="24"/>
        </w:rPr>
      </w:pPr>
    </w:p>
    <w:p w:rsidRPr="002A2983" w:rsidR="007D0BA7" w:rsidP="002A2983" w:rsidRDefault="007D0BA7" w14:paraId="33CD2EF2" w14:textId="77777777">
      <w:pPr>
        <w:spacing w:line="240" w:lineRule="exact"/>
        <w:jc w:val="both"/>
        <w:rPr>
          <w:rFonts w:ascii="Arial" w:hAnsi="Arial" w:cs="Arial"/>
          <w:sz w:val="24"/>
          <w:szCs w:val="24"/>
        </w:rPr>
      </w:pPr>
      <w:r w:rsidRPr="002A2983">
        <w:rPr>
          <w:rFonts w:ascii="Arial" w:hAnsi="Arial" w:cs="Arial"/>
          <w:sz w:val="24"/>
          <w:szCs w:val="24"/>
        </w:rPr>
        <w:lastRenderedPageBreak/>
        <w:t>The sample is drawn from a frame of USPTO customers, all of whom are either associated with a particular firm or are considered independent.  There are six sampling domains for which different sampling rates are used.  One of these six sampling domains is identified for each customer on the frame, using counts of the number of applications within each firm in conjunction with a count of agents associated with that firm.  Then a sampling rate is computed for each domain.</w:t>
      </w:r>
    </w:p>
    <w:p w:rsidRPr="002A2983" w:rsidR="007D0BA7" w:rsidP="007D0BA7" w:rsidRDefault="007D0BA7" w14:paraId="618EB82E" w14:textId="77777777">
      <w:pPr>
        <w:spacing w:line="240" w:lineRule="exact"/>
        <w:ind w:firstLine="720"/>
        <w:rPr>
          <w:rFonts w:ascii="Arial" w:hAnsi="Arial" w:cs="Arial"/>
          <w:sz w:val="24"/>
          <w:szCs w:val="24"/>
        </w:rPr>
      </w:pPr>
    </w:p>
    <w:p w:rsidRPr="002A2983" w:rsidR="007D0BA7" w:rsidP="002A2983" w:rsidRDefault="007D0BA7" w14:paraId="3B3C9461" w14:textId="77777777">
      <w:pPr>
        <w:spacing w:line="240" w:lineRule="exact"/>
        <w:jc w:val="both"/>
        <w:rPr>
          <w:rFonts w:ascii="Arial" w:hAnsi="Arial" w:cs="Arial"/>
          <w:sz w:val="24"/>
          <w:szCs w:val="24"/>
        </w:rPr>
      </w:pPr>
      <w:r w:rsidRPr="002A2983">
        <w:rPr>
          <w:rFonts w:ascii="Arial" w:hAnsi="Arial" w:cs="Arial"/>
          <w:sz w:val="24"/>
          <w:szCs w:val="24"/>
        </w:rPr>
        <w:t xml:space="preserve">The USPTO uses a rotating panel design for the sample, such that </w:t>
      </w:r>
      <w:r w:rsidRPr="002A2983" w:rsidR="00243B5C">
        <w:rPr>
          <w:rFonts w:ascii="Arial" w:hAnsi="Arial" w:cs="Arial"/>
          <w:sz w:val="24"/>
          <w:szCs w:val="24"/>
        </w:rPr>
        <w:t>customers</w:t>
      </w:r>
      <w:r w:rsidRPr="002A2983">
        <w:rPr>
          <w:rFonts w:ascii="Arial" w:hAnsi="Arial" w:cs="Arial"/>
          <w:sz w:val="24"/>
          <w:szCs w:val="24"/>
        </w:rPr>
        <w:t xml:space="preserve"> are assigned to waves </w:t>
      </w:r>
      <w:r w:rsidRPr="002A2983" w:rsidR="00243B5C">
        <w:rPr>
          <w:rFonts w:ascii="Arial" w:hAnsi="Arial" w:cs="Arial"/>
          <w:sz w:val="24"/>
          <w:szCs w:val="24"/>
        </w:rPr>
        <w:t xml:space="preserve">(survey period) </w:t>
      </w:r>
      <w:r w:rsidRPr="002A2983">
        <w:rPr>
          <w:rFonts w:ascii="Arial" w:hAnsi="Arial" w:cs="Arial"/>
          <w:sz w:val="24"/>
          <w:szCs w:val="24"/>
        </w:rPr>
        <w:t xml:space="preserve">and then to </w:t>
      </w:r>
      <w:r w:rsidRPr="002A2983" w:rsidR="00243B5C">
        <w:rPr>
          <w:rFonts w:ascii="Arial" w:hAnsi="Arial" w:cs="Arial"/>
          <w:sz w:val="24"/>
          <w:szCs w:val="24"/>
        </w:rPr>
        <w:t xml:space="preserve">one of </w:t>
      </w:r>
      <w:r w:rsidRPr="002A2983">
        <w:rPr>
          <w:rFonts w:ascii="Arial" w:hAnsi="Arial" w:cs="Arial"/>
          <w:sz w:val="24"/>
          <w:szCs w:val="24"/>
        </w:rPr>
        <w:t>two panels within each wave.  The second panel from each wave is fielded in the subsequent wave, in addition to a new panel.</w:t>
      </w:r>
    </w:p>
    <w:p w:rsidRPr="002A2983" w:rsidR="007D0BA7" w:rsidP="007D0BA7" w:rsidRDefault="007D0BA7" w14:paraId="1E1514A6" w14:textId="77777777">
      <w:pPr>
        <w:spacing w:line="240" w:lineRule="exact"/>
        <w:ind w:firstLine="720"/>
        <w:rPr>
          <w:rFonts w:ascii="Arial" w:hAnsi="Arial" w:cs="Arial"/>
          <w:sz w:val="24"/>
          <w:szCs w:val="24"/>
        </w:rPr>
      </w:pPr>
    </w:p>
    <w:p w:rsidRPr="002A2983" w:rsidR="007D0BA7" w:rsidP="002A2983" w:rsidRDefault="00243B5C" w14:paraId="29C5DBC1" w14:textId="4442455F">
      <w:pPr>
        <w:spacing w:line="240" w:lineRule="exact"/>
        <w:jc w:val="both"/>
        <w:rPr>
          <w:rFonts w:ascii="Arial" w:hAnsi="Arial" w:cs="Arial"/>
          <w:sz w:val="24"/>
          <w:szCs w:val="24"/>
        </w:rPr>
      </w:pPr>
      <w:r w:rsidRPr="002A2983">
        <w:rPr>
          <w:rFonts w:ascii="Arial" w:hAnsi="Arial" w:cs="Arial"/>
          <w:sz w:val="24"/>
          <w:szCs w:val="24"/>
        </w:rPr>
        <w:t>After being selected for two consecutive waves, c</w:t>
      </w:r>
      <w:r w:rsidRPr="002A2983" w:rsidR="007D0BA7">
        <w:rPr>
          <w:rFonts w:ascii="Arial" w:hAnsi="Arial" w:cs="Arial"/>
          <w:sz w:val="24"/>
          <w:szCs w:val="24"/>
        </w:rPr>
        <w:t>ustomers must stay out of the sample for at least 18 months.  Because of this 18</w:t>
      </w:r>
      <w:r w:rsidR="00D323D9">
        <w:rPr>
          <w:rFonts w:ascii="Arial" w:hAnsi="Arial" w:cs="Arial"/>
          <w:sz w:val="24"/>
          <w:szCs w:val="24"/>
        </w:rPr>
        <w:t>-</w:t>
      </w:r>
      <w:r w:rsidRPr="002A2983" w:rsidR="007D0BA7">
        <w:rPr>
          <w:rFonts w:ascii="Arial" w:hAnsi="Arial" w:cs="Arial"/>
          <w:sz w:val="24"/>
          <w:szCs w:val="24"/>
        </w:rPr>
        <w:t>month leave of absence from the sample, it is necessary to control for when the old sample can rotate back into the sample. A complication is that there is some potential for panel conditioning effects from being in the old cycle. Therefore, to reduce the impact from the distributional differences between frames, newly sampled cases from old panels are spread out evenly across the new panels.</w:t>
      </w:r>
    </w:p>
    <w:p w:rsidR="007D0BA7" w:rsidP="00E64A44" w:rsidRDefault="007D0BA7" w14:paraId="268C3E7A" w14:textId="77777777">
      <w:pPr>
        <w:jc w:val="both"/>
        <w:rPr>
          <w:rFonts w:ascii="Arial" w:hAnsi="Arial"/>
          <w:sz w:val="24"/>
        </w:rPr>
      </w:pPr>
    </w:p>
    <w:p w:rsidR="00E64A44" w:rsidP="00E64A44" w:rsidRDefault="003740AC" w14:paraId="6D458D1C" w14:textId="77777777">
      <w:pPr>
        <w:jc w:val="both"/>
        <w:rPr>
          <w:rFonts w:ascii="Arial" w:hAnsi="Arial"/>
          <w:sz w:val="24"/>
        </w:rPr>
      </w:pPr>
      <w:r>
        <w:rPr>
          <w:rFonts w:ascii="Arial" w:hAnsi="Arial"/>
          <w:sz w:val="24"/>
        </w:rPr>
        <w:t xml:space="preserve">Following a pre-notification letter that is sent to all potential respondents informing them of the purpose of the survey and including instructions for completing the survey online, the </w:t>
      </w:r>
      <w:r w:rsidR="00E64A44">
        <w:rPr>
          <w:rFonts w:ascii="Arial" w:hAnsi="Arial"/>
          <w:sz w:val="24"/>
        </w:rPr>
        <w:t xml:space="preserve">USPTO’s survey contractor, </w:t>
      </w:r>
      <w:proofErr w:type="spellStart"/>
      <w:r w:rsidR="00E64A44">
        <w:rPr>
          <w:rFonts w:ascii="Arial" w:hAnsi="Arial"/>
          <w:sz w:val="24"/>
        </w:rPr>
        <w:t>Westat</w:t>
      </w:r>
      <w:proofErr w:type="spellEnd"/>
      <w:r w:rsidR="00E64A44">
        <w:rPr>
          <w:rFonts w:ascii="Arial" w:hAnsi="Arial"/>
          <w:sz w:val="24"/>
        </w:rPr>
        <w:t>, will mail the survey to all of the sampled respondents.  A personalized label will be inserted on the survey packet envelope in order to reach the specified respondent.  The survey packet will contain the paper version of the questionnair</w:t>
      </w:r>
      <w:r w:rsidR="00D0690E">
        <w:rPr>
          <w:rFonts w:ascii="Arial" w:hAnsi="Arial"/>
          <w:sz w:val="24"/>
        </w:rPr>
        <w:t>e and a cover letter explaining that the USPTO is sponsoring the survey</w:t>
      </w:r>
      <w:r w:rsidR="004B698F">
        <w:rPr>
          <w:rFonts w:ascii="Arial" w:hAnsi="Arial"/>
          <w:sz w:val="24"/>
        </w:rPr>
        <w:t xml:space="preserve">, </w:t>
      </w:r>
      <w:r w:rsidR="00D0690E">
        <w:rPr>
          <w:rFonts w:ascii="Arial" w:hAnsi="Arial"/>
          <w:sz w:val="24"/>
        </w:rPr>
        <w:t>that all responses</w:t>
      </w:r>
      <w:r w:rsidR="004B698F">
        <w:rPr>
          <w:rFonts w:ascii="Arial" w:hAnsi="Arial"/>
          <w:sz w:val="24"/>
        </w:rPr>
        <w:t xml:space="preserve"> will only be used for internal analysis, and that no identifying information will be linked to the results.  </w:t>
      </w:r>
      <w:r w:rsidR="00D0690E">
        <w:rPr>
          <w:rFonts w:ascii="Arial" w:hAnsi="Arial"/>
          <w:sz w:val="24"/>
        </w:rPr>
        <w:t>The cover letter will also contain the username, password, and the 5-digit survey ID number.  The electronic and paper surveys will mirror each other.</w:t>
      </w:r>
    </w:p>
    <w:p w:rsidR="00D0690E" w:rsidP="00E64A44" w:rsidRDefault="00D0690E" w14:paraId="20434D41" w14:textId="77777777">
      <w:pPr>
        <w:jc w:val="both"/>
        <w:rPr>
          <w:rFonts w:ascii="Arial" w:hAnsi="Arial"/>
          <w:sz w:val="24"/>
        </w:rPr>
      </w:pPr>
    </w:p>
    <w:p w:rsidR="00D0690E" w:rsidP="00E64A44" w:rsidRDefault="00D0690E" w14:paraId="50F7879C" w14:textId="77777777">
      <w:pPr>
        <w:jc w:val="both"/>
        <w:rPr>
          <w:rFonts w:ascii="Arial" w:hAnsi="Arial"/>
          <w:sz w:val="24"/>
        </w:rPr>
      </w:pPr>
      <w:r>
        <w:rPr>
          <w:rFonts w:ascii="Arial" w:hAnsi="Arial"/>
          <w:sz w:val="24"/>
        </w:rPr>
        <w:t xml:space="preserve">During the follow-up non-response prompting calls, </w:t>
      </w:r>
      <w:proofErr w:type="spellStart"/>
      <w:r>
        <w:rPr>
          <w:rFonts w:ascii="Arial" w:hAnsi="Arial"/>
          <w:sz w:val="24"/>
        </w:rPr>
        <w:t>Westat</w:t>
      </w:r>
      <w:proofErr w:type="spellEnd"/>
      <w:r>
        <w:rPr>
          <w:rFonts w:ascii="Arial" w:hAnsi="Arial"/>
          <w:sz w:val="24"/>
        </w:rPr>
        <w:t xml:space="preserve"> employees will use a script developed in collaboration with the USPTO.  For all non</w:t>
      </w:r>
      <w:r w:rsidR="00CF7CC6">
        <w:rPr>
          <w:rFonts w:ascii="Arial" w:hAnsi="Arial"/>
          <w:sz w:val="24"/>
        </w:rPr>
        <w:t>-</w:t>
      </w:r>
      <w:r>
        <w:rPr>
          <w:rFonts w:ascii="Arial" w:hAnsi="Arial"/>
          <w:sz w:val="24"/>
        </w:rPr>
        <w:t>respondents a reminder postcard will be sent to encourage survey participation.</w:t>
      </w:r>
    </w:p>
    <w:p w:rsidR="00D0690E" w:rsidP="00E64A44" w:rsidRDefault="00D0690E" w14:paraId="431A5313" w14:textId="77777777">
      <w:pPr>
        <w:jc w:val="both"/>
        <w:rPr>
          <w:rFonts w:ascii="Arial" w:hAnsi="Arial"/>
          <w:sz w:val="24"/>
        </w:rPr>
      </w:pPr>
    </w:p>
    <w:p w:rsidR="00D0690E" w:rsidP="00E64A44" w:rsidRDefault="00D0690E" w14:paraId="63F1CCDA" w14:textId="77777777">
      <w:pPr>
        <w:jc w:val="both"/>
        <w:rPr>
          <w:rFonts w:ascii="Arial" w:hAnsi="Arial"/>
          <w:sz w:val="24"/>
        </w:rPr>
      </w:pPr>
      <w:r>
        <w:rPr>
          <w:rFonts w:ascii="Arial" w:hAnsi="Arial"/>
          <w:sz w:val="24"/>
        </w:rPr>
        <w:t>The survey packet will include the three-page questionnaire and a postage-paid pre-addressed return envelope.  The cover letter will be printed on USPTO letterhead and signed by the Commissioner of Patents.</w:t>
      </w:r>
    </w:p>
    <w:p w:rsidR="00D0690E" w:rsidP="00E64A44" w:rsidRDefault="00D0690E" w14:paraId="4E4CB5F0" w14:textId="77777777">
      <w:pPr>
        <w:jc w:val="both"/>
        <w:rPr>
          <w:rFonts w:ascii="Arial" w:hAnsi="Arial"/>
          <w:sz w:val="24"/>
        </w:rPr>
      </w:pPr>
    </w:p>
    <w:p w:rsidRPr="00D323D9" w:rsidR="00D0690E" w:rsidP="00D323D9" w:rsidRDefault="00D323D9" w14:paraId="6FECA3DB" w14:textId="5C0A3CFF">
      <w:pPr>
        <w:pStyle w:val="ListParagraph"/>
        <w:numPr>
          <w:ilvl w:val="0"/>
          <w:numId w:val="24"/>
        </w:numPr>
        <w:jc w:val="both"/>
        <w:rPr>
          <w:rFonts w:ascii="Arial" w:hAnsi="Arial"/>
          <w:sz w:val="24"/>
          <w:szCs w:val="24"/>
        </w:rPr>
      </w:pPr>
      <w:r w:rsidRPr="00D323D9">
        <w:rPr>
          <w:rFonts w:ascii="Arial" w:hAnsi="Arial" w:cs="Arial"/>
          <w:b/>
          <w:sz w:val="24"/>
          <w:szCs w:val="24"/>
        </w:rPr>
        <w:t>Describe methods to maximize respon</w:t>
      </w:r>
      <w:r w:rsidRPr="00D323D9">
        <w:rPr>
          <w:rFonts w:ascii="Arial" w:hAnsi="Arial" w:cs="Arial"/>
          <w:b/>
          <w:color w:val="000000"/>
          <w:sz w:val="24"/>
          <w:szCs w:val="24"/>
        </w:rPr>
        <w:t xml:space="preserve">se rates and to deal with issues of non-response. The accuracy and reliability of information collected must be shown to be adequate for intended uses. For </w:t>
      </w:r>
      <w:r w:rsidRPr="00D323D9">
        <w:rPr>
          <w:rFonts w:ascii="Arial" w:hAnsi="Arial" w:cs="Arial"/>
          <w:b/>
          <w:color w:val="000000"/>
          <w:sz w:val="24"/>
          <w:szCs w:val="24"/>
        </w:rPr>
        <w:t xml:space="preserve">information </w:t>
      </w:r>
      <w:r w:rsidRPr="00D323D9">
        <w:rPr>
          <w:rFonts w:ascii="Arial" w:hAnsi="Arial" w:cs="Arial"/>
          <w:b/>
          <w:color w:val="000000"/>
          <w:sz w:val="24"/>
          <w:szCs w:val="24"/>
        </w:rPr>
        <w:t xml:space="preserve">collections based on sampling a special justification must be provided for any </w:t>
      </w:r>
      <w:r w:rsidRPr="00D323D9">
        <w:rPr>
          <w:rFonts w:ascii="Arial" w:hAnsi="Arial" w:cs="Arial"/>
          <w:b/>
          <w:color w:val="000000"/>
          <w:sz w:val="24"/>
          <w:szCs w:val="24"/>
        </w:rPr>
        <w:t xml:space="preserve">information </w:t>
      </w:r>
      <w:r w:rsidRPr="00D323D9">
        <w:rPr>
          <w:rFonts w:ascii="Arial" w:hAnsi="Arial" w:cs="Arial"/>
          <w:b/>
          <w:color w:val="000000"/>
          <w:sz w:val="24"/>
          <w:szCs w:val="24"/>
        </w:rPr>
        <w:t>collection that will not yield "reliable" data that can be generalized to the universe studied.</w:t>
      </w:r>
    </w:p>
    <w:p w:rsidR="00D0690E" w:rsidP="00D0690E" w:rsidRDefault="00D0690E" w14:paraId="6457096F" w14:textId="77777777">
      <w:pPr>
        <w:jc w:val="both"/>
        <w:rPr>
          <w:rFonts w:ascii="Arial" w:hAnsi="Arial"/>
          <w:sz w:val="24"/>
        </w:rPr>
      </w:pPr>
    </w:p>
    <w:p w:rsidR="00D0690E" w:rsidP="00D0690E" w:rsidRDefault="00D0690E" w14:paraId="7A11D158" w14:textId="77777777">
      <w:pPr>
        <w:jc w:val="both"/>
        <w:rPr>
          <w:rFonts w:ascii="Arial" w:hAnsi="Arial"/>
          <w:sz w:val="24"/>
        </w:rPr>
      </w:pPr>
      <w:r>
        <w:rPr>
          <w:rFonts w:ascii="Arial" w:hAnsi="Arial"/>
          <w:sz w:val="24"/>
        </w:rPr>
        <w:t xml:space="preserve">In order to maximize the number of responses received from the survey, the USPTO plans to follow several well-established survey procedures.  First, all sampled respondents will receive a pre-notification letter signed by the </w:t>
      </w:r>
      <w:r w:rsidR="004A597B">
        <w:rPr>
          <w:rFonts w:ascii="Arial" w:hAnsi="Arial"/>
          <w:sz w:val="24"/>
        </w:rPr>
        <w:t xml:space="preserve">Deputy </w:t>
      </w:r>
      <w:r>
        <w:rPr>
          <w:rFonts w:ascii="Arial" w:hAnsi="Arial"/>
          <w:sz w:val="24"/>
        </w:rPr>
        <w:t xml:space="preserve">Commissioner.  The letter will explain the importance of the study and encourage respondent cooperation.  </w:t>
      </w:r>
      <w:r>
        <w:rPr>
          <w:rFonts w:ascii="Arial" w:hAnsi="Arial"/>
          <w:sz w:val="24"/>
        </w:rPr>
        <w:lastRenderedPageBreak/>
        <w:t>Next, all sampled respondents will receive the paper survey in the mail.  Follow-up contact will be made aft</w:t>
      </w:r>
      <w:r w:rsidR="001F1358">
        <w:rPr>
          <w:rFonts w:ascii="Arial" w:hAnsi="Arial"/>
          <w:sz w:val="24"/>
        </w:rPr>
        <w:t>er the initial survey is sent.  One week after the initial survey mailing, all non</w:t>
      </w:r>
      <w:r w:rsidR="00CF7CC6">
        <w:rPr>
          <w:rFonts w:ascii="Arial" w:hAnsi="Arial"/>
          <w:sz w:val="24"/>
        </w:rPr>
        <w:t>-</w:t>
      </w:r>
      <w:r w:rsidR="001F1358">
        <w:rPr>
          <w:rFonts w:ascii="Arial" w:hAnsi="Arial"/>
          <w:sz w:val="24"/>
        </w:rPr>
        <w:t>respondents will be sent a thank you/reminder postcard in the mail.  Two weeks after the initial survey is mailed, we will telephone all of the non</w:t>
      </w:r>
      <w:r w:rsidR="00CF7CC6">
        <w:rPr>
          <w:rFonts w:ascii="Arial" w:hAnsi="Arial"/>
          <w:sz w:val="24"/>
        </w:rPr>
        <w:t>-</w:t>
      </w:r>
      <w:r w:rsidR="001F1358">
        <w:rPr>
          <w:rFonts w:ascii="Arial" w:hAnsi="Arial"/>
          <w:sz w:val="24"/>
        </w:rPr>
        <w:t>respondents to prompt them to answer either the paper or internet version of the survey.  A script has been developed for these phone calls so that everyone conducting these interviews asks the same questions, in the same manner.</w:t>
      </w:r>
    </w:p>
    <w:p w:rsidR="00CF1552" w:rsidP="00D0690E" w:rsidRDefault="00CF1552" w14:paraId="18991DFF" w14:textId="77777777">
      <w:pPr>
        <w:jc w:val="both"/>
        <w:rPr>
          <w:rFonts w:ascii="Arial" w:hAnsi="Arial"/>
          <w:sz w:val="24"/>
        </w:rPr>
      </w:pPr>
    </w:p>
    <w:p w:rsidR="000734A3" w:rsidP="00D0690E" w:rsidRDefault="000734A3" w14:paraId="1BE98E33" w14:textId="77777777">
      <w:pPr>
        <w:jc w:val="both"/>
        <w:rPr>
          <w:rFonts w:ascii="Arial" w:hAnsi="Arial"/>
          <w:sz w:val="24"/>
        </w:rPr>
      </w:pPr>
      <w:r>
        <w:rPr>
          <w:rFonts w:ascii="Arial" w:hAnsi="Arial"/>
          <w:sz w:val="24"/>
        </w:rPr>
        <w:t>In order to determine how the non</w:t>
      </w:r>
      <w:r w:rsidR="00CF7CC6">
        <w:rPr>
          <w:rFonts w:ascii="Arial" w:hAnsi="Arial"/>
          <w:sz w:val="24"/>
        </w:rPr>
        <w:t>-</w:t>
      </w:r>
      <w:r>
        <w:rPr>
          <w:rFonts w:ascii="Arial" w:hAnsi="Arial"/>
          <w:sz w:val="24"/>
        </w:rPr>
        <w:t xml:space="preserve">response bias affected the results of the survey, </w:t>
      </w:r>
      <w:proofErr w:type="spellStart"/>
      <w:r>
        <w:rPr>
          <w:rFonts w:ascii="Arial" w:hAnsi="Arial"/>
          <w:sz w:val="24"/>
        </w:rPr>
        <w:t>Westat</w:t>
      </w:r>
      <w:proofErr w:type="spellEnd"/>
      <w:r>
        <w:rPr>
          <w:rFonts w:ascii="Arial" w:hAnsi="Arial"/>
          <w:sz w:val="24"/>
        </w:rPr>
        <w:t xml:space="preserve"> conducted non</w:t>
      </w:r>
      <w:r w:rsidR="00CF7CC6">
        <w:rPr>
          <w:rFonts w:ascii="Arial" w:hAnsi="Arial"/>
          <w:sz w:val="24"/>
        </w:rPr>
        <w:t>-</w:t>
      </w:r>
      <w:r>
        <w:rPr>
          <w:rFonts w:ascii="Arial" w:hAnsi="Arial"/>
          <w:sz w:val="24"/>
        </w:rPr>
        <w:t xml:space="preserve">response follow-up </w:t>
      </w:r>
      <w:r w:rsidR="00E1549C">
        <w:rPr>
          <w:rFonts w:ascii="Arial" w:hAnsi="Arial"/>
          <w:sz w:val="24"/>
        </w:rPr>
        <w:t xml:space="preserve">studies </w:t>
      </w:r>
      <w:r>
        <w:rPr>
          <w:rFonts w:ascii="Arial" w:hAnsi="Arial"/>
          <w:sz w:val="24"/>
        </w:rPr>
        <w:t>during Waves 6 and 7</w:t>
      </w:r>
      <w:r w:rsidR="00E1549C">
        <w:rPr>
          <w:rFonts w:ascii="Arial" w:hAnsi="Arial"/>
          <w:sz w:val="24"/>
        </w:rPr>
        <w:t>,</w:t>
      </w:r>
      <w:r>
        <w:rPr>
          <w:rFonts w:ascii="Arial" w:hAnsi="Arial"/>
          <w:sz w:val="24"/>
        </w:rPr>
        <w:t xml:space="preserve"> </w:t>
      </w:r>
      <w:r w:rsidR="00B47241">
        <w:rPr>
          <w:rFonts w:ascii="Arial" w:hAnsi="Arial"/>
          <w:sz w:val="24"/>
        </w:rPr>
        <w:t xml:space="preserve">and Waves 19 and 20 </w:t>
      </w:r>
      <w:r>
        <w:rPr>
          <w:rFonts w:ascii="Arial" w:hAnsi="Arial"/>
          <w:sz w:val="24"/>
        </w:rPr>
        <w:t>for the survey.  The USPTO was provided with the analysis of the findings.  The objective of the study was to try to get a picture of how the non</w:t>
      </w:r>
      <w:r w:rsidR="00CF7CC6">
        <w:rPr>
          <w:rFonts w:ascii="Arial" w:hAnsi="Arial"/>
          <w:sz w:val="24"/>
        </w:rPr>
        <w:t>-</w:t>
      </w:r>
      <w:r>
        <w:rPr>
          <w:rFonts w:ascii="Arial" w:hAnsi="Arial"/>
          <w:sz w:val="24"/>
        </w:rPr>
        <w:t>respondents would have responded to the main survey if they had a</w:t>
      </w:r>
      <w:r w:rsidR="00176F36">
        <w:rPr>
          <w:rFonts w:ascii="Arial" w:hAnsi="Arial"/>
          <w:sz w:val="24"/>
        </w:rPr>
        <w:t xml:space="preserve">ctually responded to the survey.  The study was conducted because </w:t>
      </w:r>
      <w:r w:rsidR="00532FFC">
        <w:rPr>
          <w:rFonts w:ascii="Arial" w:hAnsi="Arial"/>
          <w:sz w:val="24"/>
        </w:rPr>
        <w:t>the non</w:t>
      </w:r>
      <w:r w:rsidR="00CF7CC6">
        <w:rPr>
          <w:rFonts w:ascii="Arial" w:hAnsi="Arial"/>
          <w:sz w:val="24"/>
        </w:rPr>
        <w:t>-</w:t>
      </w:r>
      <w:r w:rsidR="00532FFC">
        <w:rPr>
          <w:rFonts w:ascii="Arial" w:hAnsi="Arial"/>
          <w:sz w:val="24"/>
        </w:rPr>
        <w:t xml:space="preserve">responses </w:t>
      </w:r>
      <w:r w:rsidR="00176F36">
        <w:rPr>
          <w:rFonts w:ascii="Arial" w:hAnsi="Arial"/>
          <w:sz w:val="24"/>
        </w:rPr>
        <w:t>can cause</w:t>
      </w:r>
      <w:r w:rsidR="009D33EF">
        <w:rPr>
          <w:rFonts w:ascii="Arial" w:hAnsi="Arial"/>
          <w:sz w:val="24"/>
        </w:rPr>
        <w:t xml:space="preserve"> bias in the survey estimates, which is itself affected by the response rate to the survey and the differences between those who responded to the survey and those who did not respond.</w:t>
      </w:r>
    </w:p>
    <w:p w:rsidR="00176F36" w:rsidP="00D0690E" w:rsidRDefault="00176F36" w14:paraId="6A00F2CC" w14:textId="77777777">
      <w:pPr>
        <w:jc w:val="both"/>
        <w:rPr>
          <w:rFonts w:ascii="Arial" w:hAnsi="Arial"/>
          <w:sz w:val="24"/>
        </w:rPr>
      </w:pPr>
    </w:p>
    <w:p w:rsidR="00DE1380" w:rsidP="00D0690E" w:rsidRDefault="009D33EF" w14:paraId="416F65C2" w14:textId="77777777">
      <w:pPr>
        <w:jc w:val="both"/>
        <w:rPr>
          <w:rFonts w:ascii="Arial" w:hAnsi="Arial"/>
          <w:sz w:val="24"/>
        </w:rPr>
      </w:pPr>
      <w:r>
        <w:rPr>
          <w:rFonts w:ascii="Arial" w:hAnsi="Arial"/>
          <w:sz w:val="24"/>
        </w:rPr>
        <w:t xml:space="preserve">As part of the </w:t>
      </w:r>
      <w:r w:rsidR="00B47241">
        <w:rPr>
          <w:rFonts w:ascii="Arial" w:hAnsi="Arial"/>
          <w:sz w:val="24"/>
        </w:rPr>
        <w:t>studies</w:t>
      </w:r>
      <w:r w:rsidR="00176F36">
        <w:rPr>
          <w:rFonts w:ascii="Arial" w:hAnsi="Arial"/>
          <w:sz w:val="24"/>
        </w:rPr>
        <w:t xml:space="preserve">, </w:t>
      </w:r>
      <w:proofErr w:type="spellStart"/>
      <w:r w:rsidR="00176F36">
        <w:rPr>
          <w:rFonts w:ascii="Arial" w:hAnsi="Arial"/>
          <w:sz w:val="24"/>
        </w:rPr>
        <w:t>Westat</w:t>
      </w:r>
      <w:proofErr w:type="spellEnd"/>
      <w:r w:rsidR="00176F36">
        <w:rPr>
          <w:rFonts w:ascii="Arial" w:hAnsi="Arial"/>
          <w:sz w:val="24"/>
        </w:rPr>
        <w:t xml:space="preserve"> sent a postcard to those who did not respond to the original survey and who now were rotating out of the survey sample</w:t>
      </w:r>
      <w:r w:rsidR="009A499D">
        <w:rPr>
          <w:rFonts w:ascii="Arial" w:hAnsi="Arial"/>
          <w:sz w:val="24"/>
        </w:rPr>
        <w:t xml:space="preserve">. </w:t>
      </w:r>
      <w:r w:rsidR="00176F36">
        <w:rPr>
          <w:rFonts w:ascii="Arial" w:hAnsi="Arial"/>
          <w:sz w:val="24"/>
        </w:rPr>
        <w:t>The postcard contained one question concerning overall examination quality that w</w:t>
      </w:r>
      <w:r>
        <w:rPr>
          <w:rFonts w:ascii="Arial" w:hAnsi="Arial"/>
          <w:sz w:val="24"/>
        </w:rPr>
        <w:t>as asked in the original survey.  This question was also asked in the original survey; the only difference between the two was that the follow-up question had an additional answer that was not included in the ori</w:t>
      </w:r>
      <w:r w:rsidR="00781800">
        <w:rPr>
          <w:rFonts w:ascii="Arial" w:hAnsi="Arial"/>
          <w:sz w:val="24"/>
        </w:rPr>
        <w:t xml:space="preserve">ginal survey.  Half of the sample in the study received a white postcard and the other half received a colored postcard to see if the colored card would help increase the response rates. </w:t>
      </w:r>
      <w:r w:rsidR="00532FFC">
        <w:rPr>
          <w:rFonts w:ascii="Arial" w:hAnsi="Arial"/>
          <w:sz w:val="24"/>
        </w:rPr>
        <w:t xml:space="preserve">  </w:t>
      </w:r>
    </w:p>
    <w:p w:rsidR="00DE1380" w:rsidP="00D0690E" w:rsidRDefault="00DE1380" w14:paraId="699FA1A9" w14:textId="77777777">
      <w:pPr>
        <w:jc w:val="both"/>
        <w:rPr>
          <w:rFonts w:ascii="Arial" w:hAnsi="Arial"/>
          <w:sz w:val="24"/>
        </w:rPr>
      </w:pPr>
    </w:p>
    <w:p w:rsidR="00176F36" w:rsidP="00D0690E" w:rsidRDefault="00532FFC" w14:paraId="2C09B699" w14:textId="77777777">
      <w:pPr>
        <w:jc w:val="both"/>
        <w:rPr>
          <w:rFonts w:ascii="Arial" w:hAnsi="Arial"/>
          <w:sz w:val="24"/>
        </w:rPr>
      </w:pPr>
      <w:r>
        <w:rPr>
          <w:rFonts w:ascii="Arial" w:hAnsi="Arial"/>
          <w:sz w:val="24"/>
        </w:rPr>
        <w:t xml:space="preserve">The follow-up </w:t>
      </w:r>
      <w:r w:rsidR="00B47241">
        <w:rPr>
          <w:rFonts w:ascii="Arial" w:hAnsi="Arial"/>
          <w:sz w:val="24"/>
        </w:rPr>
        <w:t xml:space="preserve">studies </w:t>
      </w:r>
      <w:r>
        <w:rPr>
          <w:rFonts w:ascii="Arial" w:hAnsi="Arial"/>
          <w:sz w:val="24"/>
        </w:rPr>
        <w:t xml:space="preserve">compared the responses to the overall examination quality question between those who responded to the question in the original survey in the outgoing panel with those that responded to the follow-up postcard (who were also in the outgoing panel).  In </w:t>
      </w:r>
      <w:r w:rsidR="00B47241">
        <w:rPr>
          <w:rFonts w:ascii="Arial" w:hAnsi="Arial"/>
          <w:sz w:val="24"/>
        </w:rPr>
        <w:t>these studies</w:t>
      </w:r>
      <w:r>
        <w:rPr>
          <w:rFonts w:ascii="Arial" w:hAnsi="Arial"/>
          <w:sz w:val="24"/>
        </w:rPr>
        <w:t>, it is assumed that the respo</w:t>
      </w:r>
      <w:r w:rsidR="00A54B70">
        <w:rPr>
          <w:rFonts w:ascii="Arial" w:hAnsi="Arial"/>
          <w:sz w:val="24"/>
        </w:rPr>
        <w:t xml:space="preserve">ndents to the follow-up survey </w:t>
      </w:r>
      <w:r>
        <w:rPr>
          <w:rFonts w:ascii="Arial" w:hAnsi="Arial"/>
          <w:sz w:val="24"/>
        </w:rPr>
        <w:t>are like the non</w:t>
      </w:r>
      <w:r w:rsidR="00CF7CC6">
        <w:rPr>
          <w:rFonts w:ascii="Arial" w:hAnsi="Arial"/>
          <w:sz w:val="24"/>
        </w:rPr>
        <w:t>-</w:t>
      </w:r>
      <w:r>
        <w:rPr>
          <w:rFonts w:ascii="Arial" w:hAnsi="Arial"/>
          <w:sz w:val="24"/>
        </w:rPr>
        <w:t>respondents to the original survey and that there are indications that the survey non</w:t>
      </w:r>
      <w:r w:rsidR="00CF7CC6">
        <w:rPr>
          <w:rFonts w:ascii="Arial" w:hAnsi="Arial"/>
          <w:sz w:val="24"/>
        </w:rPr>
        <w:t>-</w:t>
      </w:r>
      <w:r>
        <w:rPr>
          <w:rFonts w:ascii="Arial" w:hAnsi="Arial"/>
          <w:sz w:val="24"/>
        </w:rPr>
        <w:t>responses are causing a potential</w:t>
      </w:r>
      <w:r w:rsidR="00DE1380">
        <w:rPr>
          <w:rFonts w:ascii="Arial" w:hAnsi="Arial"/>
          <w:sz w:val="24"/>
        </w:rPr>
        <w:t xml:space="preserve"> bias.  The results of the follow-up </w:t>
      </w:r>
      <w:r w:rsidR="00B47241">
        <w:rPr>
          <w:rFonts w:ascii="Arial" w:hAnsi="Arial"/>
          <w:sz w:val="24"/>
        </w:rPr>
        <w:t xml:space="preserve">studies </w:t>
      </w:r>
      <w:r w:rsidR="00DE1380">
        <w:rPr>
          <w:rFonts w:ascii="Arial" w:hAnsi="Arial"/>
          <w:sz w:val="24"/>
        </w:rPr>
        <w:t>were used to help answer the following questions:</w:t>
      </w:r>
    </w:p>
    <w:p w:rsidR="00DE1380" w:rsidP="00D0690E" w:rsidRDefault="00DE1380" w14:paraId="0BAEDC22" w14:textId="77777777">
      <w:pPr>
        <w:jc w:val="both"/>
        <w:rPr>
          <w:rFonts w:ascii="Arial" w:hAnsi="Arial"/>
          <w:sz w:val="24"/>
        </w:rPr>
      </w:pPr>
    </w:p>
    <w:p w:rsidR="00DE1380" w:rsidP="00DE1380" w:rsidRDefault="00DE1380" w14:paraId="4E3FC1F1" w14:textId="77777777">
      <w:pPr>
        <w:numPr>
          <w:ilvl w:val="0"/>
          <w:numId w:val="22"/>
        </w:numPr>
        <w:jc w:val="both"/>
        <w:rPr>
          <w:rFonts w:ascii="Arial" w:hAnsi="Arial"/>
          <w:sz w:val="24"/>
        </w:rPr>
      </w:pPr>
      <w:r>
        <w:rPr>
          <w:rFonts w:ascii="Arial" w:hAnsi="Arial"/>
          <w:sz w:val="24"/>
        </w:rPr>
        <w:t>How different are the Wave respondents from the follow-up respondents?</w:t>
      </w:r>
    </w:p>
    <w:p w:rsidR="00DE1380" w:rsidP="00DE1380" w:rsidRDefault="00DE1380" w14:paraId="7F00203A" w14:textId="77777777">
      <w:pPr>
        <w:jc w:val="both"/>
        <w:rPr>
          <w:rFonts w:ascii="Arial" w:hAnsi="Arial"/>
          <w:sz w:val="24"/>
        </w:rPr>
      </w:pPr>
    </w:p>
    <w:p w:rsidR="00DE1380" w:rsidP="00DE1380" w:rsidRDefault="00DE1380" w14:paraId="42E13D91" w14:textId="77777777">
      <w:pPr>
        <w:numPr>
          <w:ilvl w:val="0"/>
          <w:numId w:val="22"/>
        </w:numPr>
        <w:jc w:val="both"/>
        <w:rPr>
          <w:rFonts w:ascii="Arial" w:hAnsi="Arial"/>
          <w:sz w:val="24"/>
        </w:rPr>
      </w:pPr>
      <w:r>
        <w:rPr>
          <w:rFonts w:ascii="Arial" w:hAnsi="Arial"/>
          <w:sz w:val="24"/>
        </w:rPr>
        <w:t>How different are the follow-up respondents from the follow-up non</w:t>
      </w:r>
      <w:r w:rsidR="00CF7CC6">
        <w:rPr>
          <w:rFonts w:ascii="Arial" w:hAnsi="Arial"/>
          <w:sz w:val="24"/>
        </w:rPr>
        <w:t>-</w:t>
      </w:r>
      <w:r>
        <w:rPr>
          <w:rFonts w:ascii="Arial" w:hAnsi="Arial"/>
          <w:sz w:val="24"/>
        </w:rPr>
        <w:t>respondents?</w:t>
      </w:r>
    </w:p>
    <w:p w:rsidR="00DE1380" w:rsidP="00DE1380" w:rsidRDefault="00DE1380" w14:paraId="5603BE1D" w14:textId="77777777">
      <w:pPr>
        <w:jc w:val="both"/>
        <w:rPr>
          <w:rFonts w:ascii="Arial" w:hAnsi="Arial"/>
          <w:sz w:val="24"/>
        </w:rPr>
      </w:pPr>
    </w:p>
    <w:p w:rsidR="00DE1380" w:rsidP="00DE1380" w:rsidRDefault="00DE1380" w14:paraId="68A14197" w14:textId="77777777">
      <w:pPr>
        <w:numPr>
          <w:ilvl w:val="0"/>
          <w:numId w:val="22"/>
        </w:numPr>
        <w:jc w:val="both"/>
        <w:rPr>
          <w:rFonts w:ascii="Arial" w:hAnsi="Arial"/>
          <w:sz w:val="24"/>
        </w:rPr>
      </w:pPr>
      <w:r>
        <w:rPr>
          <w:rFonts w:ascii="Arial" w:hAnsi="Arial"/>
          <w:sz w:val="24"/>
        </w:rPr>
        <w:t>Do the results impact what can be done in weighting to reduce the bias due to non</w:t>
      </w:r>
      <w:r w:rsidR="00CF7CC6">
        <w:rPr>
          <w:rFonts w:ascii="Arial" w:hAnsi="Arial"/>
          <w:sz w:val="24"/>
        </w:rPr>
        <w:t>-</w:t>
      </w:r>
      <w:r>
        <w:rPr>
          <w:rFonts w:ascii="Arial" w:hAnsi="Arial"/>
          <w:sz w:val="24"/>
        </w:rPr>
        <w:t>response?</w:t>
      </w:r>
    </w:p>
    <w:p w:rsidR="00DE1380" w:rsidP="00DE1380" w:rsidRDefault="00DE1380" w14:paraId="0D5E1CA5" w14:textId="77777777">
      <w:pPr>
        <w:jc w:val="both"/>
        <w:rPr>
          <w:rFonts w:ascii="Arial" w:hAnsi="Arial"/>
          <w:sz w:val="24"/>
        </w:rPr>
      </w:pPr>
    </w:p>
    <w:p w:rsidR="00DE1380" w:rsidP="00DE1380" w:rsidRDefault="00DE1380" w14:paraId="6E7D90CC" w14:textId="77777777">
      <w:pPr>
        <w:numPr>
          <w:ilvl w:val="0"/>
          <w:numId w:val="22"/>
        </w:numPr>
        <w:jc w:val="both"/>
        <w:rPr>
          <w:rFonts w:ascii="Arial" w:hAnsi="Arial"/>
          <w:sz w:val="24"/>
        </w:rPr>
      </w:pPr>
      <w:r>
        <w:rPr>
          <w:rFonts w:ascii="Arial" w:hAnsi="Arial"/>
          <w:sz w:val="24"/>
        </w:rPr>
        <w:t>What is the impact of the colored postcard on the follow-up response rates?</w:t>
      </w:r>
    </w:p>
    <w:p w:rsidR="00DE1380" w:rsidP="00DE1380" w:rsidRDefault="00DE1380" w14:paraId="54E96F89" w14:textId="77777777">
      <w:pPr>
        <w:jc w:val="both"/>
        <w:rPr>
          <w:rFonts w:ascii="Arial" w:hAnsi="Arial"/>
          <w:sz w:val="24"/>
        </w:rPr>
      </w:pPr>
    </w:p>
    <w:p w:rsidR="00DE1380" w:rsidP="00DE1380" w:rsidRDefault="00DE1380" w14:paraId="1A68AB3F" w14:textId="77777777">
      <w:pPr>
        <w:jc w:val="both"/>
        <w:rPr>
          <w:rFonts w:ascii="Arial" w:hAnsi="Arial"/>
          <w:sz w:val="24"/>
        </w:rPr>
      </w:pPr>
      <w:r>
        <w:rPr>
          <w:rFonts w:ascii="Arial" w:hAnsi="Arial"/>
          <w:sz w:val="24"/>
        </w:rPr>
        <w:t>Non</w:t>
      </w:r>
      <w:r w:rsidR="00CF7CC6">
        <w:rPr>
          <w:rFonts w:ascii="Arial" w:hAnsi="Arial"/>
          <w:sz w:val="24"/>
        </w:rPr>
        <w:t>-</w:t>
      </w:r>
      <w:r>
        <w:rPr>
          <w:rFonts w:ascii="Arial" w:hAnsi="Arial"/>
          <w:sz w:val="24"/>
        </w:rPr>
        <w:t>response bias is affected by two different items:  the non</w:t>
      </w:r>
      <w:r w:rsidR="00CF7CC6">
        <w:rPr>
          <w:rFonts w:ascii="Arial" w:hAnsi="Arial"/>
          <w:sz w:val="24"/>
        </w:rPr>
        <w:t>-</w:t>
      </w:r>
      <w:r>
        <w:rPr>
          <w:rFonts w:ascii="Arial" w:hAnsi="Arial"/>
          <w:sz w:val="24"/>
        </w:rPr>
        <w:t>response rate and the differences between respondents and non</w:t>
      </w:r>
      <w:r w:rsidR="00CF7CC6">
        <w:rPr>
          <w:rFonts w:ascii="Arial" w:hAnsi="Arial"/>
          <w:sz w:val="24"/>
        </w:rPr>
        <w:t>-</w:t>
      </w:r>
      <w:r>
        <w:rPr>
          <w:rFonts w:ascii="Arial" w:hAnsi="Arial"/>
          <w:sz w:val="24"/>
        </w:rPr>
        <w:t>respon</w:t>
      </w:r>
      <w:r w:rsidR="001E77EE">
        <w:rPr>
          <w:rFonts w:ascii="Arial" w:hAnsi="Arial"/>
          <w:sz w:val="24"/>
        </w:rPr>
        <w:t>dents.  While the response/non</w:t>
      </w:r>
      <w:r w:rsidR="00CF7CC6">
        <w:rPr>
          <w:rFonts w:ascii="Arial" w:hAnsi="Arial"/>
          <w:sz w:val="24"/>
        </w:rPr>
        <w:t>-</w:t>
      </w:r>
      <w:r w:rsidR="001E77EE">
        <w:rPr>
          <w:rFonts w:ascii="Arial" w:hAnsi="Arial"/>
          <w:sz w:val="24"/>
        </w:rPr>
        <w:t xml:space="preserve">response rate is known, the differences between those who respond and those who do </w:t>
      </w:r>
      <w:r w:rsidR="001E77EE">
        <w:rPr>
          <w:rFonts w:ascii="Arial" w:hAnsi="Arial"/>
          <w:sz w:val="24"/>
        </w:rPr>
        <w:lastRenderedPageBreak/>
        <w:t>not is unknown.  The follow-up study attempts to measure the difference between the respondents and non</w:t>
      </w:r>
      <w:r w:rsidR="00CF7CC6">
        <w:rPr>
          <w:rFonts w:ascii="Arial" w:hAnsi="Arial"/>
          <w:sz w:val="24"/>
        </w:rPr>
        <w:t>-</w:t>
      </w:r>
      <w:r w:rsidR="001E77EE">
        <w:rPr>
          <w:rFonts w:ascii="Arial" w:hAnsi="Arial"/>
          <w:sz w:val="24"/>
        </w:rPr>
        <w:t>respondents.  The non</w:t>
      </w:r>
      <w:r w:rsidR="00CF7CC6">
        <w:rPr>
          <w:rFonts w:ascii="Arial" w:hAnsi="Arial"/>
          <w:sz w:val="24"/>
        </w:rPr>
        <w:t>-</w:t>
      </w:r>
      <w:r w:rsidR="001E77EE">
        <w:rPr>
          <w:rFonts w:ascii="Arial" w:hAnsi="Arial"/>
          <w:sz w:val="24"/>
        </w:rPr>
        <w:t>response bias is calculated using the following equation for a sample mean:</w:t>
      </w:r>
    </w:p>
    <w:p w:rsidR="008A3C85" w:rsidP="00DE1380" w:rsidRDefault="008A3C85" w14:paraId="3C7E4683" w14:textId="77777777">
      <w:pPr>
        <w:jc w:val="both"/>
        <w:rPr>
          <w:rFonts w:ascii="Arial" w:hAnsi="Arial"/>
          <w:sz w:val="24"/>
        </w:rPr>
      </w:pPr>
    </w:p>
    <w:p w:rsidR="008A3C85" w:rsidP="008A3C85" w:rsidRDefault="008A3C85" w14:paraId="5363D306" w14:textId="77777777">
      <w:pPr>
        <w:ind w:left="2160" w:firstLine="720"/>
        <w:jc w:val="both"/>
        <w:rPr>
          <w:rFonts w:ascii="Arial" w:hAnsi="Arial"/>
          <w:sz w:val="24"/>
        </w:rPr>
      </w:pPr>
      <w:r w:rsidRPr="008A3C85">
        <w:rPr>
          <w:rFonts w:ascii="Arial" w:hAnsi="Arial" w:cs="Arial"/>
          <w:position w:val="-12"/>
          <w:sz w:val="24"/>
          <w:szCs w:val="24"/>
        </w:rPr>
        <w:object w:dxaOrig="2820" w:dyaOrig="380" w14:anchorId="55A911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1pt;height:18.75pt" o:ole="" type="#_x0000_t75">
            <v:imagedata o:title="" r:id="rId11"/>
          </v:shape>
          <o:OLEObject Type="Embed" ProgID="Equation.3" ShapeID="_x0000_i1025" DrawAspect="Content" ObjectID="_1714975003" r:id="rId12"/>
        </w:object>
      </w:r>
    </w:p>
    <w:p w:rsidR="001E77EE" w:rsidP="00DE1380" w:rsidRDefault="001E77EE" w14:paraId="15715CF0" w14:textId="77777777">
      <w:pPr>
        <w:jc w:val="both"/>
        <w:rPr>
          <w:rFonts w:ascii="Arial" w:hAnsi="Arial"/>
          <w:sz w:val="24"/>
        </w:rPr>
      </w:pPr>
    </w:p>
    <w:p w:rsidR="001E77EE" w:rsidP="00DE1380" w:rsidRDefault="008A3C85" w14:paraId="39070E1F" w14:textId="77777777">
      <w:pPr>
        <w:jc w:val="both"/>
        <w:rPr>
          <w:rFonts w:ascii="Arial" w:hAnsi="Arial"/>
          <w:sz w:val="24"/>
        </w:rPr>
      </w:pPr>
      <w:r w:rsidRPr="008A3C85">
        <w:rPr>
          <w:rFonts w:ascii="Arial" w:hAnsi="Arial" w:cs="Arial"/>
          <w:sz w:val="24"/>
          <w:szCs w:val="24"/>
        </w:rPr>
        <w:t xml:space="preserve">where </w:t>
      </w:r>
      <w:r w:rsidRPr="008A3C85">
        <w:rPr>
          <w:rFonts w:ascii="Arial" w:hAnsi="Arial" w:cs="Arial"/>
          <w:position w:val="-10"/>
          <w:sz w:val="24"/>
          <w:szCs w:val="24"/>
        </w:rPr>
        <w:object w:dxaOrig="360" w:dyaOrig="340" w14:anchorId="5223F5EB">
          <v:shape id="_x0000_i1026" style="width:18pt;height:17.25pt" o:ole="" type="#_x0000_t75">
            <v:imagedata o:title="" r:id="rId13"/>
          </v:shape>
          <o:OLEObject Type="Embed" ProgID="Equation.3" ShapeID="_x0000_i1026" DrawAspect="Content" ObjectID="_1714975004" r:id="rId14"/>
        </w:object>
      </w:r>
      <w:r w:rsidRPr="008A3C85">
        <w:rPr>
          <w:rFonts w:ascii="Arial" w:hAnsi="Arial" w:cs="Arial"/>
          <w:sz w:val="24"/>
          <w:szCs w:val="24"/>
        </w:rPr>
        <w:t xml:space="preserve"> is the weighted unit response rate, </w:t>
      </w:r>
      <w:r w:rsidRPr="008A3C85">
        <w:rPr>
          <w:rFonts w:ascii="Arial" w:hAnsi="Arial" w:cs="Arial"/>
          <w:position w:val="-10"/>
          <w:sz w:val="24"/>
          <w:szCs w:val="24"/>
        </w:rPr>
        <w:object w:dxaOrig="280" w:dyaOrig="359" w14:anchorId="489E1E80">
          <v:shape id="_x0000_i1027" style="width:14.25pt;height:18pt" o:ole="" type="#_x0000_t75">
            <v:imagedata o:title="" r:id="rId15"/>
          </v:shape>
          <o:OLEObject Type="Embed" ProgID="Equation.3" ShapeID="_x0000_i1027" DrawAspect="Content" ObjectID="_1714975005" r:id="rId16"/>
        </w:object>
      </w:r>
      <w:r w:rsidRPr="008A3C85">
        <w:rPr>
          <w:rFonts w:ascii="Arial" w:hAnsi="Arial" w:cs="Arial"/>
          <w:sz w:val="24"/>
          <w:szCs w:val="24"/>
        </w:rPr>
        <w:t xml:space="preserve"> is the population mean of the respondent stratum, and </w:t>
      </w:r>
      <w:r w:rsidRPr="008A3C85">
        <w:rPr>
          <w:rFonts w:ascii="Arial" w:hAnsi="Arial" w:cs="Arial"/>
          <w:position w:val="-12"/>
          <w:sz w:val="24"/>
          <w:szCs w:val="24"/>
        </w:rPr>
        <w:object w:dxaOrig="320" w:dyaOrig="380" w14:anchorId="7504DE14">
          <v:shape id="_x0000_i1028" style="width:15.75pt;height:18.75pt" o:ole="" type="#_x0000_t75">
            <v:imagedata o:title="" r:id="rId17"/>
          </v:shape>
          <o:OLEObject Type="Embed" ProgID="Equation.3" ShapeID="_x0000_i1028" DrawAspect="Content" ObjectID="_1714975006" r:id="rId18"/>
        </w:object>
      </w:r>
      <w:r>
        <w:rPr>
          <w:rFonts w:ascii="Arial" w:hAnsi="Arial" w:cs="Arial"/>
          <w:sz w:val="24"/>
          <w:szCs w:val="24"/>
        </w:rPr>
        <w:t xml:space="preserve"> </w:t>
      </w:r>
      <w:r w:rsidR="001E77EE">
        <w:rPr>
          <w:rFonts w:ascii="Arial" w:hAnsi="Arial"/>
          <w:sz w:val="24"/>
        </w:rPr>
        <w:t>is the population mean of the respondent stratum and             is the population mean for the non</w:t>
      </w:r>
      <w:r w:rsidR="00CF7CC6">
        <w:rPr>
          <w:rFonts w:ascii="Arial" w:hAnsi="Arial"/>
          <w:sz w:val="24"/>
        </w:rPr>
        <w:t>-</w:t>
      </w:r>
      <w:r w:rsidR="001E77EE">
        <w:rPr>
          <w:rFonts w:ascii="Arial" w:hAnsi="Arial"/>
          <w:sz w:val="24"/>
        </w:rPr>
        <w:t>respondent stratum.  While the response rate is universally recognized as a measure of survey quality, the difference between the respondents and non</w:t>
      </w:r>
      <w:r w:rsidR="00CF7CC6">
        <w:rPr>
          <w:rFonts w:ascii="Arial" w:hAnsi="Arial"/>
          <w:sz w:val="24"/>
        </w:rPr>
        <w:t>-</w:t>
      </w:r>
      <w:r w:rsidR="001E77EE">
        <w:rPr>
          <w:rFonts w:ascii="Arial" w:hAnsi="Arial"/>
          <w:sz w:val="24"/>
        </w:rPr>
        <w:t>respondents is just as important in determin</w:t>
      </w:r>
      <w:r w:rsidR="007C68FB">
        <w:rPr>
          <w:rFonts w:ascii="Arial" w:hAnsi="Arial"/>
          <w:sz w:val="24"/>
        </w:rPr>
        <w:t>ing the non</w:t>
      </w:r>
      <w:r w:rsidR="00CF7CC6">
        <w:rPr>
          <w:rFonts w:ascii="Arial" w:hAnsi="Arial"/>
          <w:sz w:val="24"/>
        </w:rPr>
        <w:t>-</w:t>
      </w:r>
      <w:r w:rsidR="007C68FB">
        <w:rPr>
          <w:rFonts w:ascii="Arial" w:hAnsi="Arial"/>
          <w:sz w:val="24"/>
        </w:rPr>
        <w:t>response bias.  Weighting adjustments are used to reduce the non</w:t>
      </w:r>
      <w:r w:rsidR="00CF7CC6">
        <w:rPr>
          <w:rFonts w:ascii="Arial" w:hAnsi="Arial"/>
          <w:sz w:val="24"/>
        </w:rPr>
        <w:t>-</w:t>
      </w:r>
      <w:r w:rsidR="007C68FB">
        <w:rPr>
          <w:rFonts w:ascii="Arial" w:hAnsi="Arial"/>
          <w:sz w:val="24"/>
        </w:rPr>
        <w:t>response bias (although some non</w:t>
      </w:r>
      <w:r w:rsidR="00CF7CC6">
        <w:rPr>
          <w:rFonts w:ascii="Arial" w:hAnsi="Arial"/>
          <w:sz w:val="24"/>
        </w:rPr>
        <w:t>-</w:t>
      </w:r>
      <w:r w:rsidR="007C68FB">
        <w:rPr>
          <w:rFonts w:ascii="Arial" w:hAnsi="Arial"/>
          <w:sz w:val="24"/>
        </w:rPr>
        <w:t>response bias will remain in the survey estimates).</w:t>
      </w:r>
    </w:p>
    <w:p w:rsidR="007C68FB" w:rsidP="00DE1380" w:rsidRDefault="007C68FB" w14:paraId="5EB5982C" w14:textId="77777777">
      <w:pPr>
        <w:jc w:val="both"/>
        <w:rPr>
          <w:rFonts w:ascii="Arial" w:hAnsi="Arial"/>
          <w:sz w:val="24"/>
        </w:rPr>
      </w:pPr>
    </w:p>
    <w:p w:rsidRPr="008A3C85" w:rsidR="008A3C85" w:rsidP="008A3C85" w:rsidRDefault="008A3C85" w14:paraId="779BB2D0" w14:textId="77777777">
      <w:pPr>
        <w:pStyle w:val="SL-FlLftSgl"/>
        <w:rPr>
          <w:rFonts w:ascii="Arial" w:hAnsi="Arial" w:cs="Arial"/>
          <w:szCs w:val="24"/>
        </w:rPr>
      </w:pPr>
      <w:r w:rsidRPr="008A3C85">
        <w:rPr>
          <w:rFonts w:ascii="Arial" w:hAnsi="Arial" w:cs="Arial"/>
          <w:szCs w:val="24"/>
        </w:rPr>
        <w:t>However, in the case with the non</w:t>
      </w:r>
      <w:r w:rsidR="00CF7CC6">
        <w:rPr>
          <w:rFonts w:ascii="Arial" w:hAnsi="Arial" w:cs="Arial"/>
          <w:szCs w:val="24"/>
        </w:rPr>
        <w:t>-</w:t>
      </w:r>
      <w:r w:rsidRPr="008A3C85">
        <w:rPr>
          <w:rFonts w:ascii="Arial" w:hAnsi="Arial" w:cs="Arial"/>
          <w:szCs w:val="24"/>
        </w:rPr>
        <w:t>response follow-up sample, the bias can be written as</w:t>
      </w:r>
    </w:p>
    <w:p w:rsidRPr="008A3C85" w:rsidR="008A3C85" w:rsidP="008A3C85" w:rsidRDefault="008A3C85" w14:paraId="2B27C5CF" w14:textId="77777777">
      <w:pPr>
        <w:pStyle w:val="SL-FlLftSgl"/>
        <w:rPr>
          <w:rFonts w:ascii="Arial" w:hAnsi="Arial" w:cs="Arial"/>
          <w:szCs w:val="24"/>
        </w:rPr>
      </w:pPr>
    </w:p>
    <w:p w:rsidRPr="008A3C85" w:rsidR="008A3C85" w:rsidP="008A3C85" w:rsidRDefault="008A3C85" w14:paraId="2FDC4D93" w14:textId="77777777">
      <w:pPr>
        <w:pStyle w:val="SL-FlLftSgl"/>
        <w:jc w:val="center"/>
        <w:rPr>
          <w:rFonts w:ascii="Arial" w:hAnsi="Arial" w:cs="Arial"/>
          <w:szCs w:val="24"/>
        </w:rPr>
      </w:pPr>
      <w:r w:rsidRPr="008A3C85">
        <w:rPr>
          <w:rFonts w:ascii="Arial" w:hAnsi="Arial" w:cs="Arial"/>
          <w:position w:val="-10"/>
          <w:szCs w:val="24"/>
        </w:rPr>
        <w:object w:dxaOrig="3000" w:dyaOrig="320" w14:anchorId="56C88D57">
          <v:shape id="_x0000_i1029" style="width:150pt;height:16.5pt" o:ole="" type="#_x0000_t75">
            <v:imagedata o:title="" r:id="rId19"/>
          </v:shape>
          <o:OLEObject Type="Embed" ProgID="Equation.3" ShapeID="_x0000_i1029" DrawAspect="Content" ObjectID="_1714975007" r:id="rId20"/>
        </w:object>
      </w:r>
    </w:p>
    <w:p w:rsidRPr="008A3C85" w:rsidR="008A3C85" w:rsidP="008A3C85" w:rsidRDefault="008A3C85" w14:paraId="3198BCCC" w14:textId="77777777">
      <w:pPr>
        <w:pStyle w:val="SL-FlLftSgl"/>
        <w:rPr>
          <w:rFonts w:ascii="Arial" w:hAnsi="Arial" w:cs="Arial"/>
          <w:szCs w:val="24"/>
        </w:rPr>
      </w:pPr>
    </w:p>
    <w:p w:rsidRPr="008A3C85" w:rsidR="008A3C85" w:rsidP="008A3C85" w:rsidRDefault="008A3C85" w14:paraId="4B8FA105" w14:textId="77777777">
      <w:pPr>
        <w:pStyle w:val="SL-FlLftSgl"/>
        <w:rPr>
          <w:rFonts w:ascii="Arial" w:hAnsi="Arial" w:cs="Arial"/>
          <w:szCs w:val="24"/>
        </w:rPr>
      </w:pPr>
      <w:r w:rsidRPr="008A3C85">
        <w:rPr>
          <w:rFonts w:ascii="Arial" w:hAnsi="Arial" w:cs="Arial"/>
          <w:szCs w:val="24"/>
        </w:rPr>
        <w:t xml:space="preserve">where </w:t>
      </w:r>
      <w:r w:rsidRPr="008A3C85">
        <w:rPr>
          <w:rFonts w:ascii="Arial" w:hAnsi="Arial" w:cs="Arial"/>
          <w:position w:val="-12"/>
          <w:szCs w:val="24"/>
        </w:rPr>
        <w:object w:dxaOrig="380" w:dyaOrig="380" w14:anchorId="66E327FB">
          <v:shape id="_x0000_i1030" style="width:19.5pt;height:18.75pt" o:ole="" type="#_x0000_t75">
            <v:imagedata o:title="" r:id="rId21"/>
          </v:shape>
          <o:OLEObject Type="Embed" ProgID="Equation.3" ShapeID="_x0000_i1030" DrawAspect="Content" ObjectID="_1714975008" r:id="rId22"/>
        </w:object>
      </w:r>
      <w:r w:rsidRPr="008A3C85">
        <w:rPr>
          <w:rFonts w:ascii="Arial" w:hAnsi="Arial" w:cs="Arial"/>
          <w:szCs w:val="24"/>
        </w:rPr>
        <w:t xml:space="preserve"> is the population mean of the follow-up non</w:t>
      </w:r>
      <w:r w:rsidR="00CF7CC6">
        <w:rPr>
          <w:rFonts w:ascii="Arial" w:hAnsi="Arial" w:cs="Arial"/>
          <w:szCs w:val="24"/>
        </w:rPr>
        <w:t>-</w:t>
      </w:r>
      <w:r w:rsidRPr="008A3C85">
        <w:rPr>
          <w:rFonts w:ascii="Arial" w:hAnsi="Arial" w:cs="Arial"/>
          <w:szCs w:val="24"/>
        </w:rPr>
        <w:t xml:space="preserve">respondent stratum, and </w:t>
      </w:r>
      <w:r w:rsidRPr="008A3C85">
        <w:rPr>
          <w:rFonts w:ascii="Arial" w:hAnsi="Arial" w:cs="Arial"/>
          <w:position w:val="-12"/>
          <w:szCs w:val="24"/>
        </w:rPr>
        <w:object w:dxaOrig="400" w:dyaOrig="380" w14:anchorId="3381BF2C">
          <v:shape id="_x0000_i1031" style="width:19.5pt;height:18.75pt" o:ole="" type="#_x0000_t75">
            <v:imagedata o:title="" r:id="rId23"/>
          </v:shape>
          <o:OLEObject Type="Embed" ProgID="Equation.3" ShapeID="_x0000_i1031" DrawAspect="Content" ObjectID="_1714975009" r:id="rId24"/>
        </w:object>
      </w:r>
      <w:r w:rsidRPr="008A3C85">
        <w:rPr>
          <w:rFonts w:ascii="Arial" w:hAnsi="Arial" w:cs="Arial"/>
          <w:szCs w:val="24"/>
        </w:rPr>
        <w:t xml:space="preserve"> is the population mean for the follow-up respondent stratum.</w:t>
      </w:r>
    </w:p>
    <w:p w:rsidR="007C68FB" w:rsidP="00DE1380" w:rsidRDefault="007C68FB" w14:paraId="60211E85" w14:textId="77777777">
      <w:pPr>
        <w:jc w:val="both"/>
        <w:rPr>
          <w:rFonts w:ascii="Arial" w:hAnsi="Arial"/>
          <w:sz w:val="24"/>
        </w:rPr>
      </w:pPr>
    </w:p>
    <w:p w:rsidR="00CF7CC6" w:rsidP="00DE1380" w:rsidRDefault="007C68FB" w14:paraId="719CCF1F" w14:textId="77777777">
      <w:pPr>
        <w:jc w:val="both"/>
        <w:rPr>
          <w:rFonts w:ascii="Arial" w:hAnsi="Arial"/>
          <w:sz w:val="24"/>
        </w:rPr>
      </w:pPr>
      <w:r>
        <w:rPr>
          <w:rFonts w:ascii="Arial" w:hAnsi="Arial"/>
          <w:sz w:val="24"/>
        </w:rPr>
        <w:t xml:space="preserve">A bivariate analysis (response indicator versus each auxiliary variable) compares the distribution of the participating households to the distribution of the total eligible sample of households for several auxiliary variables.  Survey base weights were used to account for the unequal within-household </w:t>
      </w:r>
      <w:r w:rsidR="00687100">
        <w:rPr>
          <w:rFonts w:ascii="Arial" w:hAnsi="Arial"/>
          <w:sz w:val="24"/>
        </w:rPr>
        <w:t>probabilities</w:t>
      </w:r>
      <w:r>
        <w:rPr>
          <w:rFonts w:ascii="Arial" w:hAnsi="Arial"/>
          <w:sz w:val="24"/>
        </w:rPr>
        <w:t xml:space="preserve"> of selection, and replicate weights were used to adequately reflect the impact of the sample design on variance estimates.  The weights for the follow-up respondents were adjusted to account for non</w:t>
      </w:r>
      <w:r w:rsidR="00CF7CC6">
        <w:rPr>
          <w:rFonts w:ascii="Arial" w:hAnsi="Arial"/>
          <w:sz w:val="24"/>
        </w:rPr>
        <w:t>-</w:t>
      </w:r>
      <w:r>
        <w:rPr>
          <w:rFonts w:ascii="Arial" w:hAnsi="Arial"/>
          <w:sz w:val="24"/>
        </w:rPr>
        <w:t xml:space="preserve">respondents to both the </w:t>
      </w:r>
      <w:r w:rsidR="00FF4DF2">
        <w:rPr>
          <w:rFonts w:ascii="Arial" w:hAnsi="Arial"/>
          <w:sz w:val="24"/>
        </w:rPr>
        <w:t>main survey and the follow-up.  This assumes that non</w:t>
      </w:r>
      <w:r w:rsidR="00CF7CC6">
        <w:rPr>
          <w:rFonts w:ascii="Arial" w:hAnsi="Arial"/>
          <w:sz w:val="24"/>
        </w:rPr>
        <w:t>-</w:t>
      </w:r>
    </w:p>
    <w:p w:rsidR="007C68FB" w:rsidP="00DE1380" w:rsidRDefault="00FF4DF2" w14:paraId="27C2CD4D" w14:textId="77777777">
      <w:pPr>
        <w:jc w:val="both"/>
        <w:rPr>
          <w:rFonts w:ascii="Arial" w:hAnsi="Arial"/>
          <w:sz w:val="24"/>
        </w:rPr>
      </w:pPr>
      <w:r>
        <w:rPr>
          <w:rFonts w:ascii="Arial" w:hAnsi="Arial"/>
          <w:sz w:val="24"/>
        </w:rPr>
        <w:t>respondents were more similar to the follow-up respondents than the original survey respondents.  Together with the main sample respondent, the weights account for the entire eligible population.  Adjustment cells were created using the Search software (</w:t>
      </w:r>
      <w:proofErr w:type="spellStart"/>
      <w:r>
        <w:rPr>
          <w:rFonts w:ascii="Arial" w:hAnsi="Arial"/>
          <w:sz w:val="24"/>
        </w:rPr>
        <w:t>WesSearch</w:t>
      </w:r>
      <w:proofErr w:type="spellEnd"/>
      <w:r>
        <w:rPr>
          <w:rFonts w:ascii="Arial" w:hAnsi="Arial"/>
          <w:sz w:val="24"/>
        </w:rPr>
        <w:t>) using the same approach used in the normal weighting procedure.</w:t>
      </w:r>
    </w:p>
    <w:p w:rsidR="009E647E" w:rsidP="00DE1380" w:rsidRDefault="009E647E" w14:paraId="774AD252" w14:textId="77777777">
      <w:pPr>
        <w:jc w:val="both"/>
        <w:rPr>
          <w:rFonts w:ascii="Arial" w:hAnsi="Arial"/>
          <w:sz w:val="24"/>
        </w:rPr>
      </w:pPr>
      <w:r>
        <w:rPr>
          <w:rFonts w:ascii="Arial" w:hAnsi="Arial"/>
          <w:sz w:val="24"/>
        </w:rPr>
        <w:t>To test for statistical differences, the distribution of the patent examination quality question for the wave respondents was compared with the distribution for follow-up respondents and similarly within the follow-up study for the white and colored postcards.  To test the categorical responses, the hypothesis of independence between the characteristic and participation status was tested using a Rao-Scott modified Chi-square statistic at the 10 percent level.  The average score of the categorical responses was computed as a continuous variable, with the larger average score the more favorable the response.</w:t>
      </w:r>
      <w:r w:rsidR="00620068">
        <w:rPr>
          <w:rFonts w:ascii="Arial" w:hAnsi="Arial"/>
          <w:sz w:val="24"/>
        </w:rPr>
        <w:t xml:space="preserve">  The difference between means was tested using a</w:t>
      </w:r>
      <w:r w:rsidRPr="00620068" w:rsidR="00620068">
        <w:rPr>
          <w:rFonts w:ascii="Arial" w:hAnsi="Arial"/>
          <w:i/>
          <w:sz w:val="24"/>
        </w:rPr>
        <w:t xml:space="preserve"> t</w:t>
      </w:r>
      <w:r w:rsidR="00620068">
        <w:rPr>
          <w:rFonts w:ascii="Arial" w:hAnsi="Arial"/>
          <w:sz w:val="24"/>
        </w:rPr>
        <w:t xml:space="preserve"> test.  The continuous variables were tested using the Benjamin-Hochberg procedure to control the overall false discovery rate for a family of comparisons.</w:t>
      </w:r>
    </w:p>
    <w:p w:rsidR="00620068" w:rsidP="00DE1380" w:rsidRDefault="00620068" w14:paraId="0C737B58" w14:textId="77777777">
      <w:pPr>
        <w:jc w:val="both"/>
        <w:rPr>
          <w:rFonts w:ascii="Arial" w:hAnsi="Arial"/>
          <w:sz w:val="24"/>
        </w:rPr>
      </w:pPr>
    </w:p>
    <w:p w:rsidR="00620068" w:rsidP="00DE1380" w:rsidRDefault="00620068" w14:paraId="454F93A5" w14:textId="77777777">
      <w:pPr>
        <w:jc w:val="both"/>
        <w:rPr>
          <w:rFonts w:ascii="Arial" w:hAnsi="Arial"/>
          <w:sz w:val="24"/>
        </w:rPr>
      </w:pPr>
      <w:proofErr w:type="spellStart"/>
      <w:r>
        <w:rPr>
          <w:rFonts w:ascii="Arial" w:hAnsi="Arial"/>
          <w:sz w:val="24"/>
        </w:rPr>
        <w:lastRenderedPageBreak/>
        <w:t>Westat</w:t>
      </w:r>
      <w:proofErr w:type="spellEnd"/>
      <w:r>
        <w:rPr>
          <w:rFonts w:ascii="Arial" w:hAnsi="Arial"/>
          <w:sz w:val="24"/>
        </w:rPr>
        <w:t xml:space="preserve"> analyzed the results of </w:t>
      </w:r>
      <w:r w:rsidR="00B47241">
        <w:rPr>
          <w:rFonts w:ascii="Arial" w:hAnsi="Arial"/>
          <w:sz w:val="24"/>
        </w:rPr>
        <w:t>these studies</w:t>
      </w:r>
      <w:r>
        <w:rPr>
          <w:rFonts w:ascii="Arial" w:hAnsi="Arial"/>
          <w:sz w:val="24"/>
        </w:rPr>
        <w:t xml:space="preserve"> an</w:t>
      </w:r>
      <w:r w:rsidR="00FD65B0">
        <w:rPr>
          <w:rFonts w:ascii="Arial" w:hAnsi="Arial"/>
          <w:sz w:val="24"/>
        </w:rPr>
        <w:t xml:space="preserve">d submitted </w:t>
      </w:r>
      <w:r w:rsidR="00B47241">
        <w:rPr>
          <w:rFonts w:ascii="Arial" w:hAnsi="Arial"/>
          <w:sz w:val="24"/>
        </w:rPr>
        <w:t xml:space="preserve">reports </w:t>
      </w:r>
      <w:r w:rsidR="00FD65B0">
        <w:rPr>
          <w:rFonts w:ascii="Arial" w:hAnsi="Arial"/>
          <w:sz w:val="24"/>
        </w:rPr>
        <w:t xml:space="preserve">to the USPTO.  </w:t>
      </w:r>
      <w:r>
        <w:rPr>
          <w:rFonts w:ascii="Arial" w:hAnsi="Arial"/>
          <w:sz w:val="24"/>
        </w:rPr>
        <w:t>Some of the conclusions made concerning the survey were:</w:t>
      </w:r>
    </w:p>
    <w:p w:rsidR="00620068" w:rsidP="00DE1380" w:rsidRDefault="00620068" w14:paraId="18DFEF05" w14:textId="77777777">
      <w:pPr>
        <w:jc w:val="both"/>
        <w:rPr>
          <w:rFonts w:ascii="Arial" w:hAnsi="Arial"/>
          <w:sz w:val="24"/>
        </w:rPr>
      </w:pPr>
    </w:p>
    <w:p w:rsidR="00620068" w:rsidP="00620068" w:rsidRDefault="00620068" w14:paraId="61E150A1" w14:textId="77777777">
      <w:pPr>
        <w:numPr>
          <w:ilvl w:val="0"/>
          <w:numId w:val="4"/>
        </w:numPr>
        <w:jc w:val="both"/>
        <w:rPr>
          <w:rFonts w:ascii="Arial" w:hAnsi="Arial"/>
          <w:sz w:val="24"/>
        </w:rPr>
      </w:pPr>
      <w:r>
        <w:rPr>
          <w:rFonts w:ascii="Arial" w:hAnsi="Arial"/>
          <w:sz w:val="24"/>
        </w:rPr>
        <w:t>There are no statistically significant differences detected between the main survey and follow-up respondents in their categorical responses to the patent examination questions.</w:t>
      </w:r>
    </w:p>
    <w:p w:rsidR="00620068" w:rsidP="00620068" w:rsidRDefault="00620068" w14:paraId="1BDF2B13" w14:textId="77777777">
      <w:pPr>
        <w:jc w:val="both"/>
        <w:rPr>
          <w:rFonts w:ascii="Arial" w:hAnsi="Arial"/>
          <w:sz w:val="24"/>
        </w:rPr>
      </w:pPr>
    </w:p>
    <w:p w:rsidR="00620068" w:rsidP="00620068" w:rsidRDefault="00620068" w14:paraId="5B8431AC" w14:textId="77777777">
      <w:pPr>
        <w:numPr>
          <w:ilvl w:val="0"/>
          <w:numId w:val="4"/>
        </w:numPr>
        <w:jc w:val="both"/>
        <w:rPr>
          <w:rFonts w:ascii="Arial" w:hAnsi="Arial"/>
          <w:sz w:val="24"/>
        </w:rPr>
      </w:pPr>
      <w:r>
        <w:rPr>
          <w:rFonts w:ascii="Arial" w:hAnsi="Arial"/>
          <w:sz w:val="24"/>
        </w:rPr>
        <w:t>There are fairly large relative differences in both waves.  These differences are not detectable due to the large standard errors of the estimates from the follow-up study.  The responses were generally more positive for the follow-up.</w:t>
      </w:r>
    </w:p>
    <w:p w:rsidR="00620068" w:rsidP="00620068" w:rsidRDefault="00620068" w14:paraId="79726F0B" w14:textId="77777777">
      <w:pPr>
        <w:jc w:val="both"/>
        <w:rPr>
          <w:rFonts w:ascii="Arial" w:hAnsi="Arial"/>
          <w:sz w:val="24"/>
        </w:rPr>
      </w:pPr>
    </w:p>
    <w:p w:rsidR="00620068" w:rsidP="00620068" w:rsidRDefault="00620068" w14:paraId="361AF7DA" w14:textId="77777777">
      <w:pPr>
        <w:numPr>
          <w:ilvl w:val="0"/>
          <w:numId w:val="4"/>
        </w:numPr>
        <w:jc w:val="both"/>
        <w:rPr>
          <w:rFonts w:ascii="Arial" w:hAnsi="Arial"/>
          <w:sz w:val="24"/>
        </w:rPr>
      </w:pPr>
      <w:r>
        <w:rPr>
          <w:rFonts w:ascii="Arial" w:hAnsi="Arial"/>
          <w:sz w:val="24"/>
        </w:rPr>
        <w:t>For the average responses, the overall averages were not significant.</w:t>
      </w:r>
    </w:p>
    <w:p w:rsidR="00620068" w:rsidP="00620068" w:rsidRDefault="00620068" w14:paraId="43A32D9A" w14:textId="77777777">
      <w:pPr>
        <w:jc w:val="both"/>
        <w:rPr>
          <w:rFonts w:ascii="Arial" w:hAnsi="Arial"/>
          <w:sz w:val="24"/>
        </w:rPr>
      </w:pPr>
    </w:p>
    <w:p w:rsidRPr="00A94EF4" w:rsidR="002A2983" w:rsidP="00D0690E" w:rsidRDefault="00620068" w14:paraId="7355B7D6" w14:textId="01174317">
      <w:pPr>
        <w:numPr>
          <w:ilvl w:val="0"/>
          <w:numId w:val="4"/>
        </w:numPr>
        <w:jc w:val="both"/>
        <w:rPr>
          <w:rFonts w:ascii="Arial" w:hAnsi="Arial"/>
          <w:sz w:val="24"/>
        </w:rPr>
      </w:pPr>
      <w:r>
        <w:rPr>
          <w:rFonts w:ascii="Arial" w:hAnsi="Arial"/>
          <w:sz w:val="24"/>
        </w:rPr>
        <w:t>There are only a few significant differences by characteristic while controlling the overall false discovery rate using the B-H approach.  It is expected that 10% of the difference</w:t>
      </w:r>
      <w:r w:rsidR="00F63E3D">
        <w:rPr>
          <w:rFonts w:ascii="Arial" w:hAnsi="Arial"/>
          <w:sz w:val="24"/>
        </w:rPr>
        <w:t xml:space="preserve"> would be significant by chance.  In Wave 6, only one of the fifteen differences tested (6.7%) was significant, the sample domain for firms with less than 150 applications.  In Wave 7, two of the fifteen differences tested (13.3%) were significant, agents and other registration numbers (those recently registered).</w:t>
      </w:r>
      <w:r w:rsidR="006D29C2">
        <w:rPr>
          <w:rFonts w:ascii="Arial" w:hAnsi="Arial"/>
          <w:sz w:val="24"/>
        </w:rPr>
        <w:t xml:space="preserve">  For the Wave 19 and Wave 20 study, after adjusting for multiple comparisons, there were six significant differences, with all but one of those results (newest registered customers) revealing that follow-up respondents had a more favorable response.</w:t>
      </w:r>
    </w:p>
    <w:p w:rsidRPr="00D323D9" w:rsidR="00744D63" w:rsidP="00D0690E" w:rsidRDefault="00744D63" w14:paraId="3A7A71E5" w14:textId="77777777">
      <w:pPr>
        <w:jc w:val="both"/>
        <w:rPr>
          <w:rFonts w:ascii="Arial" w:hAnsi="Arial"/>
          <w:sz w:val="24"/>
          <w:szCs w:val="24"/>
        </w:rPr>
      </w:pPr>
    </w:p>
    <w:p w:rsidRPr="00D323D9" w:rsidR="00D323D9" w:rsidP="00D323D9" w:rsidRDefault="00D323D9" w14:paraId="4C4E05DC" w14:textId="4AF5CB7E">
      <w:pPr>
        <w:pStyle w:val="ListParagraph"/>
        <w:keepNext/>
        <w:keepLines/>
        <w:numPr>
          <w:ilvl w:val="0"/>
          <w:numId w:val="24"/>
        </w:numPr>
        <w:rPr>
          <w:rFonts w:ascii="Arial" w:hAnsi="Arial" w:cs="Arial"/>
          <w:sz w:val="24"/>
          <w:szCs w:val="24"/>
        </w:rPr>
      </w:pPr>
      <w:r w:rsidRPr="00D323D9">
        <w:rPr>
          <w:rFonts w:ascii="Arial" w:hAnsi="Arial" w:cs="Arial"/>
          <w:b/>
          <w:sz w:val="24"/>
          <w:szCs w:val="24"/>
        </w:rPr>
        <w:t>Describe any tests of procedures or methods to be undertaken.</w:t>
      </w:r>
    </w:p>
    <w:p w:rsidR="00E93379" w:rsidP="00E93379" w:rsidRDefault="00E93379" w14:paraId="1B644E19" w14:textId="77777777">
      <w:pPr>
        <w:jc w:val="both"/>
        <w:rPr>
          <w:rFonts w:ascii="Arial" w:hAnsi="Arial"/>
          <w:sz w:val="24"/>
        </w:rPr>
      </w:pPr>
    </w:p>
    <w:p w:rsidR="00E93379" w:rsidP="00E93379" w:rsidRDefault="00E93379" w14:paraId="7214C6E8" w14:textId="77777777">
      <w:pPr>
        <w:jc w:val="both"/>
        <w:rPr>
          <w:rFonts w:ascii="Arial" w:hAnsi="Arial"/>
          <w:sz w:val="24"/>
        </w:rPr>
      </w:pPr>
      <w:r>
        <w:rPr>
          <w:rFonts w:ascii="Arial" w:hAnsi="Arial"/>
          <w:sz w:val="24"/>
        </w:rPr>
        <w:t xml:space="preserve">To ensure the survey questions are meaningful to respondents and easy to understand, </w:t>
      </w:r>
      <w:proofErr w:type="spellStart"/>
      <w:r>
        <w:rPr>
          <w:rFonts w:ascii="Arial" w:hAnsi="Arial"/>
          <w:sz w:val="24"/>
        </w:rPr>
        <w:t>Westat</w:t>
      </w:r>
      <w:proofErr w:type="spellEnd"/>
      <w:r>
        <w:rPr>
          <w:rFonts w:ascii="Arial" w:hAnsi="Arial"/>
          <w:sz w:val="24"/>
        </w:rPr>
        <w:t xml:space="preserve"> conducted four cognitive interviews with customers identified by the USPTO.  These customers are similar to the sampled respondents for the </w:t>
      </w:r>
      <w:r w:rsidR="002524A3">
        <w:rPr>
          <w:rFonts w:ascii="Arial" w:hAnsi="Arial"/>
          <w:sz w:val="24"/>
        </w:rPr>
        <w:t xml:space="preserve">Patents </w:t>
      </w:r>
      <w:r w:rsidR="000D5B52">
        <w:rPr>
          <w:rFonts w:ascii="Arial" w:hAnsi="Arial"/>
          <w:sz w:val="24"/>
        </w:rPr>
        <w:t>External Quality</w:t>
      </w:r>
      <w:r>
        <w:rPr>
          <w:rFonts w:ascii="Arial" w:hAnsi="Arial"/>
          <w:sz w:val="24"/>
        </w:rPr>
        <w:t xml:space="preserve"> Survey study.  The wording of the survey questions was then revised based on feedback from these customers.</w:t>
      </w:r>
    </w:p>
    <w:p w:rsidR="00E93379" w:rsidP="00E93379" w:rsidRDefault="00E93379" w14:paraId="221FAA78" w14:textId="77777777">
      <w:pPr>
        <w:jc w:val="both"/>
        <w:rPr>
          <w:rFonts w:ascii="Arial" w:hAnsi="Arial"/>
          <w:sz w:val="24"/>
        </w:rPr>
      </w:pPr>
    </w:p>
    <w:p w:rsidR="00551396" w:rsidP="00E93379" w:rsidRDefault="00E93379" w14:paraId="33DB7E8F" w14:textId="77777777">
      <w:pPr>
        <w:jc w:val="both"/>
        <w:rPr>
          <w:rFonts w:ascii="Arial" w:hAnsi="Arial"/>
          <w:sz w:val="24"/>
        </w:rPr>
      </w:pPr>
      <w:r>
        <w:rPr>
          <w:rFonts w:ascii="Arial" w:hAnsi="Arial"/>
          <w:sz w:val="24"/>
        </w:rPr>
        <w:t xml:space="preserve">Low response rates have typically been observed in previous customer surveys administered by the USPTO.  The USPTO believes that offering both a paper and a web response option will enhance response rates for this effort.  The </w:t>
      </w:r>
      <w:r w:rsidR="000D5B52">
        <w:rPr>
          <w:rFonts w:ascii="Arial" w:hAnsi="Arial"/>
          <w:sz w:val="24"/>
        </w:rPr>
        <w:t xml:space="preserve">Patents External </w:t>
      </w:r>
      <w:r>
        <w:rPr>
          <w:rFonts w:ascii="Arial" w:hAnsi="Arial"/>
          <w:sz w:val="24"/>
        </w:rPr>
        <w:t>Quality Survey was designed to focus only on key aspects of examination quality to keep the time burden to a minimum and to help response rates.</w:t>
      </w:r>
    </w:p>
    <w:p w:rsidR="00551396" w:rsidP="00E93379" w:rsidRDefault="00551396" w14:paraId="0692F9F0" w14:textId="77777777">
      <w:pPr>
        <w:jc w:val="both"/>
        <w:rPr>
          <w:rFonts w:ascii="Arial" w:hAnsi="Arial"/>
          <w:sz w:val="24"/>
        </w:rPr>
      </w:pPr>
    </w:p>
    <w:p w:rsidR="00E93379" w:rsidP="00E93379" w:rsidRDefault="00551396" w14:paraId="4F8B1253" w14:textId="77777777">
      <w:pPr>
        <w:jc w:val="both"/>
        <w:rPr>
          <w:rFonts w:ascii="Arial" w:hAnsi="Arial"/>
          <w:b/>
          <w:sz w:val="24"/>
        </w:rPr>
      </w:pPr>
      <w:r>
        <w:rPr>
          <w:rFonts w:ascii="Arial" w:hAnsi="Arial"/>
          <w:sz w:val="24"/>
        </w:rPr>
        <w:t xml:space="preserve">When sending the mail survey out to sampled customers, we will use the well-established procedures documented by </w:t>
      </w:r>
      <w:proofErr w:type="spellStart"/>
      <w:r>
        <w:rPr>
          <w:rFonts w:ascii="Arial" w:hAnsi="Arial"/>
          <w:sz w:val="24"/>
        </w:rPr>
        <w:t>Dillman</w:t>
      </w:r>
      <w:proofErr w:type="spellEnd"/>
      <w:r>
        <w:rPr>
          <w:rFonts w:ascii="Arial" w:hAnsi="Arial"/>
          <w:sz w:val="24"/>
        </w:rPr>
        <w:t xml:space="preserve"> (2002).  After the online version of the survey is programmed, </w:t>
      </w:r>
      <w:proofErr w:type="spellStart"/>
      <w:r>
        <w:rPr>
          <w:rFonts w:ascii="Arial" w:hAnsi="Arial"/>
          <w:sz w:val="24"/>
        </w:rPr>
        <w:t>Westat</w:t>
      </w:r>
      <w:proofErr w:type="spellEnd"/>
      <w:r>
        <w:rPr>
          <w:rFonts w:ascii="Arial" w:hAnsi="Arial"/>
          <w:sz w:val="24"/>
        </w:rPr>
        <w:t xml:space="preserve"> will test the web survey internally to ensure respondents’ answers are properly captured and the survey is easy to navigate online.  </w:t>
      </w:r>
      <w:proofErr w:type="spellStart"/>
      <w:r>
        <w:rPr>
          <w:rFonts w:ascii="Arial" w:hAnsi="Arial"/>
          <w:sz w:val="24"/>
        </w:rPr>
        <w:t>Westat</w:t>
      </w:r>
      <w:proofErr w:type="spellEnd"/>
      <w:r>
        <w:rPr>
          <w:rFonts w:ascii="Arial" w:hAnsi="Arial"/>
          <w:sz w:val="24"/>
        </w:rPr>
        <w:t xml:space="preserve"> will also ensure that all computer security requirements are met.</w:t>
      </w:r>
      <w:r w:rsidRPr="00E93379" w:rsidR="00E93379">
        <w:rPr>
          <w:rFonts w:ascii="Arial" w:hAnsi="Arial"/>
          <w:b/>
          <w:sz w:val="24"/>
        </w:rPr>
        <w:tab/>
      </w:r>
    </w:p>
    <w:p w:rsidR="00051672" w:rsidP="00E93379" w:rsidRDefault="00051672" w14:paraId="254AE574" w14:textId="77777777">
      <w:pPr>
        <w:jc w:val="both"/>
        <w:rPr>
          <w:rFonts w:ascii="Arial" w:hAnsi="Arial"/>
          <w:b/>
          <w:sz w:val="24"/>
        </w:rPr>
      </w:pPr>
    </w:p>
    <w:p w:rsidRPr="00D323D9" w:rsidR="003C778F" w:rsidP="00D323D9" w:rsidRDefault="00D323D9" w14:paraId="5AAFE5D4" w14:textId="29BB89FE">
      <w:pPr>
        <w:pStyle w:val="ListParagraph"/>
        <w:numPr>
          <w:ilvl w:val="0"/>
          <w:numId w:val="24"/>
        </w:numPr>
        <w:jc w:val="both"/>
        <w:rPr>
          <w:rFonts w:ascii="Arial" w:hAnsi="Arial"/>
          <w:sz w:val="24"/>
          <w:szCs w:val="24"/>
        </w:rPr>
      </w:pPr>
      <w:r w:rsidRPr="00D323D9">
        <w:rPr>
          <w:rFonts w:ascii="Arial" w:hAnsi="Arial" w:cs="Arial"/>
          <w:b/>
          <w:sz w:val="24"/>
          <w:szCs w:val="24"/>
        </w:rPr>
        <w:t xml:space="preserve">Provide the name and telephone number of individuals consulted on statistical aspects of the design and the name of the </w:t>
      </w:r>
      <w:r w:rsidRPr="00D323D9">
        <w:rPr>
          <w:rFonts w:ascii="Arial" w:hAnsi="Arial" w:cs="Arial"/>
          <w:b/>
          <w:sz w:val="24"/>
          <w:szCs w:val="24"/>
        </w:rPr>
        <w:t>A</w:t>
      </w:r>
      <w:r w:rsidRPr="00D323D9">
        <w:rPr>
          <w:rFonts w:ascii="Arial" w:hAnsi="Arial" w:cs="Arial"/>
          <w:b/>
          <w:sz w:val="24"/>
          <w:szCs w:val="24"/>
        </w:rPr>
        <w:t xml:space="preserve">gency unit, </w:t>
      </w:r>
      <w:r w:rsidRPr="00D323D9">
        <w:rPr>
          <w:rFonts w:ascii="Arial" w:hAnsi="Arial" w:cs="Arial"/>
          <w:b/>
          <w:sz w:val="24"/>
          <w:szCs w:val="24"/>
        </w:rPr>
        <w:lastRenderedPageBreak/>
        <w:t xml:space="preserve">contractor(s), or other person(s) who will actually collect and/or analyze the information for the </w:t>
      </w:r>
      <w:r w:rsidRPr="00D323D9">
        <w:rPr>
          <w:rFonts w:ascii="Arial" w:hAnsi="Arial" w:cs="Arial"/>
          <w:b/>
          <w:sz w:val="24"/>
          <w:szCs w:val="24"/>
        </w:rPr>
        <w:t>A</w:t>
      </w:r>
      <w:r w:rsidRPr="00D323D9">
        <w:rPr>
          <w:rFonts w:ascii="Arial" w:hAnsi="Arial" w:cs="Arial"/>
          <w:b/>
          <w:sz w:val="24"/>
          <w:szCs w:val="24"/>
        </w:rPr>
        <w:t>gency.</w:t>
      </w:r>
    </w:p>
    <w:p w:rsidRPr="00D323D9" w:rsidR="00D323D9" w:rsidP="00D323D9" w:rsidRDefault="00D323D9" w14:paraId="19AFE2E4" w14:textId="77777777">
      <w:pPr>
        <w:pStyle w:val="ListParagraph"/>
        <w:jc w:val="both"/>
        <w:rPr>
          <w:rFonts w:ascii="Arial" w:hAnsi="Arial"/>
          <w:sz w:val="24"/>
        </w:rPr>
      </w:pPr>
    </w:p>
    <w:p w:rsidR="003C778F" w:rsidP="003C778F" w:rsidRDefault="003C778F" w14:paraId="2910CECF" w14:textId="77777777">
      <w:pPr>
        <w:jc w:val="both"/>
        <w:rPr>
          <w:rFonts w:ascii="Arial" w:hAnsi="Arial"/>
          <w:sz w:val="24"/>
        </w:rPr>
      </w:pPr>
      <w:r>
        <w:rPr>
          <w:rFonts w:ascii="Arial" w:hAnsi="Arial"/>
          <w:sz w:val="24"/>
        </w:rPr>
        <w:t xml:space="preserve">The Office of Patent Quality Assurance of the USPTO is responsible for conducting the </w:t>
      </w:r>
      <w:r w:rsidR="000D5B52">
        <w:rPr>
          <w:rFonts w:ascii="Arial" w:hAnsi="Arial"/>
          <w:sz w:val="24"/>
        </w:rPr>
        <w:t xml:space="preserve">Patents External </w:t>
      </w:r>
      <w:r>
        <w:rPr>
          <w:rFonts w:ascii="Arial" w:hAnsi="Arial"/>
          <w:sz w:val="24"/>
        </w:rPr>
        <w:t xml:space="preserve">Quality Survey.  </w:t>
      </w:r>
      <w:r w:rsidR="00EA4743">
        <w:rPr>
          <w:rFonts w:ascii="Arial" w:hAnsi="Arial"/>
          <w:sz w:val="24"/>
        </w:rPr>
        <w:t>David Fitzpatrick</w:t>
      </w:r>
      <w:r>
        <w:rPr>
          <w:rFonts w:ascii="Arial" w:hAnsi="Arial"/>
          <w:sz w:val="24"/>
        </w:rPr>
        <w:t xml:space="preserve"> is the point of contact for this survey and can be reached by phone at 571-272-</w:t>
      </w:r>
      <w:r w:rsidR="00EA4743">
        <w:rPr>
          <w:rFonts w:ascii="Arial" w:hAnsi="Arial"/>
          <w:sz w:val="24"/>
        </w:rPr>
        <w:t>0525</w:t>
      </w:r>
      <w:r>
        <w:rPr>
          <w:rFonts w:ascii="Arial" w:hAnsi="Arial"/>
          <w:sz w:val="24"/>
        </w:rPr>
        <w:t xml:space="preserve"> or by e-mail at </w:t>
      </w:r>
      <w:hyperlink w:history="1" r:id="rId25">
        <w:r w:rsidRPr="00B9179D" w:rsidR="00EA4743">
          <w:rPr>
            <w:rStyle w:val="Hyperlink"/>
            <w:rFonts w:ascii="Arial" w:hAnsi="Arial"/>
            <w:sz w:val="24"/>
          </w:rPr>
          <w:t>david.fitzpatrick@uspto.gov</w:t>
        </w:r>
      </w:hyperlink>
      <w:r>
        <w:rPr>
          <w:rFonts w:ascii="Arial" w:hAnsi="Arial"/>
          <w:sz w:val="24"/>
        </w:rPr>
        <w:t xml:space="preserve">.  The names and telephone numbers for the individuals from </w:t>
      </w:r>
      <w:proofErr w:type="spellStart"/>
      <w:r>
        <w:rPr>
          <w:rFonts w:ascii="Arial" w:hAnsi="Arial"/>
          <w:sz w:val="24"/>
        </w:rPr>
        <w:t>Westat</w:t>
      </w:r>
      <w:proofErr w:type="spellEnd"/>
      <w:r>
        <w:rPr>
          <w:rFonts w:ascii="Arial" w:hAnsi="Arial"/>
          <w:sz w:val="24"/>
        </w:rPr>
        <w:t xml:space="preserve"> who consulted on the statistical aspects of the survey and who are conducting the survey under the direction of the USPTO are:</w:t>
      </w:r>
    </w:p>
    <w:p w:rsidR="003C778F" w:rsidP="003C778F" w:rsidRDefault="003C778F" w14:paraId="04DA980C" w14:textId="77777777">
      <w:pPr>
        <w:jc w:val="both"/>
        <w:rPr>
          <w:rFonts w:ascii="Arial" w:hAnsi="Arial"/>
          <w:sz w:val="24"/>
        </w:rPr>
      </w:pPr>
    </w:p>
    <w:p w:rsidRPr="002E5007" w:rsidR="002E5007" w:rsidP="002E5007" w:rsidRDefault="002E5007" w14:paraId="5107A45A" w14:textId="77777777">
      <w:pPr>
        <w:jc w:val="both"/>
        <w:rPr>
          <w:rFonts w:ascii="Arial" w:hAnsi="Arial"/>
          <w:sz w:val="24"/>
        </w:rPr>
      </w:pPr>
      <w:r w:rsidRPr="002E5007">
        <w:rPr>
          <w:rFonts w:ascii="Arial" w:hAnsi="Arial"/>
          <w:sz w:val="24"/>
        </w:rPr>
        <w:t xml:space="preserve">Gina </w:t>
      </w:r>
      <w:proofErr w:type="spellStart"/>
      <w:r w:rsidRPr="002E5007">
        <w:rPr>
          <w:rFonts w:ascii="Arial" w:hAnsi="Arial"/>
          <w:sz w:val="24"/>
        </w:rPr>
        <w:t>Shkodriani</w:t>
      </w:r>
      <w:proofErr w:type="spellEnd"/>
    </w:p>
    <w:p w:rsidRPr="002E5007" w:rsidR="002E5007" w:rsidP="002E5007" w:rsidRDefault="002E5007" w14:paraId="2D39000A" w14:textId="77777777">
      <w:pPr>
        <w:jc w:val="both"/>
        <w:rPr>
          <w:rFonts w:ascii="Arial" w:hAnsi="Arial"/>
          <w:sz w:val="24"/>
        </w:rPr>
      </w:pPr>
      <w:r w:rsidRPr="002E5007">
        <w:rPr>
          <w:rFonts w:ascii="Arial" w:hAnsi="Arial"/>
          <w:sz w:val="24"/>
        </w:rPr>
        <w:t>Senior Study Director</w:t>
      </w:r>
    </w:p>
    <w:p w:rsidRPr="002E5007" w:rsidR="002E5007" w:rsidP="002E5007" w:rsidRDefault="002E5007" w14:paraId="7EC35652" w14:textId="77777777">
      <w:pPr>
        <w:jc w:val="both"/>
        <w:rPr>
          <w:rFonts w:ascii="Arial" w:hAnsi="Arial"/>
          <w:sz w:val="24"/>
        </w:rPr>
      </w:pPr>
      <w:proofErr w:type="spellStart"/>
      <w:r w:rsidRPr="002E5007">
        <w:rPr>
          <w:rFonts w:ascii="Arial" w:hAnsi="Arial"/>
          <w:sz w:val="24"/>
        </w:rPr>
        <w:t>Westat</w:t>
      </w:r>
      <w:proofErr w:type="spellEnd"/>
    </w:p>
    <w:p w:rsidRPr="002E5007" w:rsidR="002E5007" w:rsidP="002E5007" w:rsidRDefault="002E5007" w14:paraId="26D38E10" w14:textId="44CD4EDD">
      <w:pPr>
        <w:jc w:val="both"/>
        <w:rPr>
          <w:rFonts w:ascii="Arial" w:hAnsi="Arial"/>
          <w:sz w:val="24"/>
        </w:rPr>
      </w:pPr>
      <w:r w:rsidRPr="002E5007">
        <w:rPr>
          <w:rFonts w:ascii="Arial" w:hAnsi="Arial"/>
          <w:sz w:val="24"/>
        </w:rPr>
        <w:t>240</w:t>
      </w:r>
      <w:r w:rsidR="00224E00">
        <w:rPr>
          <w:rFonts w:ascii="Arial" w:hAnsi="Arial"/>
          <w:sz w:val="24"/>
        </w:rPr>
        <w:t>-</w:t>
      </w:r>
      <w:r w:rsidRPr="002E5007">
        <w:rPr>
          <w:rFonts w:ascii="Arial" w:hAnsi="Arial"/>
          <w:sz w:val="24"/>
        </w:rPr>
        <w:t>453-2904</w:t>
      </w:r>
    </w:p>
    <w:p w:rsidRPr="002E5007" w:rsidR="002E5007" w:rsidP="002E5007" w:rsidRDefault="002E5007" w14:paraId="1CFDC279" w14:textId="77777777">
      <w:pPr>
        <w:jc w:val="both"/>
        <w:rPr>
          <w:rFonts w:ascii="Arial" w:hAnsi="Arial"/>
          <w:sz w:val="24"/>
        </w:rPr>
      </w:pPr>
      <w:r w:rsidRPr="002E5007">
        <w:rPr>
          <w:rFonts w:ascii="Arial" w:hAnsi="Arial"/>
          <w:sz w:val="24"/>
        </w:rPr>
        <w:t>GinaShkodriani@westat.com</w:t>
      </w:r>
    </w:p>
    <w:p w:rsidRPr="002E5007" w:rsidR="002E5007" w:rsidP="002E5007" w:rsidRDefault="002E5007" w14:paraId="4E1A5A72" w14:textId="77777777">
      <w:pPr>
        <w:jc w:val="both"/>
        <w:rPr>
          <w:rFonts w:ascii="Arial" w:hAnsi="Arial"/>
          <w:sz w:val="24"/>
        </w:rPr>
      </w:pPr>
    </w:p>
    <w:p w:rsidRPr="002E5007" w:rsidR="002E5007" w:rsidP="002E5007" w:rsidRDefault="002E5007" w14:paraId="640CB3FC" w14:textId="77777777">
      <w:pPr>
        <w:jc w:val="both"/>
        <w:rPr>
          <w:rFonts w:ascii="Arial" w:hAnsi="Arial"/>
          <w:sz w:val="24"/>
        </w:rPr>
      </w:pPr>
      <w:r w:rsidRPr="002E5007">
        <w:rPr>
          <w:rFonts w:ascii="Arial" w:hAnsi="Arial"/>
          <w:sz w:val="24"/>
        </w:rPr>
        <w:t>Shelley Brock Roth</w:t>
      </w:r>
    </w:p>
    <w:p w:rsidRPr="002E5007" w:rsidR="002E5007" w:rsidP="002E5007" w:rsidRDefault="002E5007" w14:paraId="5661ABF4" w14:textId="77777777">
      <w:pPr>
        <w:jc w:val="both"/>
        <w:rPr>
          <w:rFonts w:ascii="Arial" w:hAnsi="Arial"/>
          <w:sz w:val="24"/>
        </w:rPr>
      </w:pPr>
      <w:r w:rsidRPr="002E5007">
        <w:rPr>
          <w:rFonts w:ascii="Arial" w:hAnsi="Arial"/>
          <w:sz w:val="24"/>
        </w:rPr>
        <w:t>Senior Survey Statistician</w:t>
      </w:r>
    </w:p>
    <w:p w:rsidRPr="002E5007" w:rsidR="002E5007" w:rsidP="002E5007" w:rsidRDefault="002E5007" w14:paraId="7C0E8E92" w14:textId="77777777">
      <w:pPr>
        <w:jc w:val="both"/>
        <w:rPr>
          <w:rFonts w:ascii="Arial" w:hAnsi="Arial"/>
          <w:sz w:val="24"/>
        </w:rPr>
      </w:pPr>
      <w:proofErr w:type="spellStart"/>
      <w:r w:rsidRPr="002E5007">
        <w:rPr>
          <w:rFonts w:ascii="Arial" w:hAnsi="Arial"/>
          <w:sz w:val="24"/>
        </w:rPr>
        <w:t>Westat</w:t>
      </w:r>
      <w:proofErr w:type="spellEnd"/>
    </w:p>
    <w:p w:rsidRPr="002E5007" w:rsidR="002E5007" w:rsidP="002E5007" w:rsidRDefault="002E5007" w14:paraId="55807C8F" w14:textId="4C8972C7">
      <w:pPr>
        <w:jc w:val="both"/>
        <w:rPr>
          <w:rFonts w:ascii="Arial" w:hAnsi="Arial"/>
          <w:sz w:val="24"/>
        </w:rPr>
      </w:pPr>
      <w:r w:rsidRPr="002E5007">
        <w:rPr>
          <w:rFonts w:ascii="Arial" w:hAnsi="Arial"/>
          <w:sz w:val="24"/>
        </w:rPr>
        <w:t>301</w:t>
      </w:r>
      <w:r w:rsidR="00224E00">
        <w:rPr>
          <w:rFonts w:ascii="Arial" w:hAnsi="Arial"/>
          <w:sz w:val="24"/>
        </w:rPr>
        <w:t>-</w:t>
      </w:r>
      <w:r w:rsidRPr="002E5007">
        <w:rPr>
          <w:rFonts w:ascii="Arial" w:hAnsi="Arial"/>
          <w:sz w:val="24"/>
        </w:rPr>
        <w:t>517-8042</w:t>
      </w:r>
    </w:p>
    <w:p w:rsidRPr="003C778F" w:rsidR="003C778F" w:rsidP="003C778F" w:rsidRDefault="002E5007" w14:paraId="3D376E2A" w14:textId="77777777">
      <w:pPr>
        <w:jc w:val="both"/>
        <w:rPr>
          <w:rFonts w:ascii="Arial" w:hAnsi="Arial"/>
          <w:sz w:val="24"/>
        </w:rPr>
      </w:pPr>
      <w:r w:rsidRPr="002E5007">
        <w:rPr>
          <w:rFonts w:ascii="Arial" w:hAnsi="Arial"/>
          <w:sz w:val="24"/>
        </w:rPr>
        <w:t>ShelleyBrock@westat.com</w:t>
      </w:r>
      <w:r w:rsidRPr="002E5007" w:rsidDel="002E5007">
        <w:rPr>
          <w:rFonts w:ascii="Arial" w:hAnsi="Arial"/>
          <w:sz w:val="24"/>
        </w:rPr>
        <w:t xml:space="preserve"> </w:t>
      </w:r>
      <w:r w:rsidR="003C778F">
        <w:rPr>
          <w:rFonts w:ascii="Arial" w:hAnsi="Arial"/>
          <w:sz w:val="24"/>
        </w:rPr>
        <w:br/>
        <w:t xml:space="preserve">  </w:t>
      </w:r>
    </w:p>
    <w:p w:rsidRPr="00D0690E" w:rsidR="003226AE" w:rsidP="00E93379" w:rsidRDefault="00C60A6D" w14:paraId="128A1089" w14:textId="77777777">
      <w:pPr>
        <w:jc w:val="both"/>
        <w:rPr>
          <w:rFonts w:ascii="Arial" w:hAnsi="Arial"/>
          <w:sz w:val="24"/>
        </w:rPr>
      </w:pPr>
      <w:r>
        <w:rPr>
          <w:rFonts w:ascii="Arial" w:hAnsi="Arial"/>
          <w:sz w:val="24"/>
        </w:rPr>
        <w:t xml:space="preserve">  </w:t>
      </w:r>
    </w:p>
    <w:sectPr w:rsidRPr="00D0690E" w:rsidR="003226AE" w:rsidSect="009E242F">
      <w:footerReference w:type="even" r:id="rId26"/>
      <w:footerReference w:type="default" r:id="rId2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DF1CB" w14:textId="77777777" w:rsidR="00E25900" w:rsidRDefault="00E25900">
      <w:r>
        <w:separator/>
      </w:r>
    </w:p>
  </w:endnote>
  <w:endnote w:type="continuationSeparator" w:id="0">
    <w:p w14:paraId="32FA923C" w14:textId="77777777" w:rsidR="00E25900" w:rsidRDefault="00E2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35AA" w14:textId="77777777" w:rsidR="00433CFB" w:rsidRDefault="00433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3B58743" w14:textId="77777777" w:rsidR="00433CFB" w:rsidRDefault="00433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C8D78" w14:textId="2EA3D0D3" w:rsidR="00433CFB" w:rsidRDefault="00433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97B">
      <w:rPr>
        <w:rStyle w:val="PageNumber"/>
        <w:noProof/>
      </w:rPr>
      <w:t>2</w:t>
    </w:r>
    <w:r>
      <w:rPr>
        <w:rStyle w:val="PageNumber"/>
      </w:rPr>
      <w:fldChar w:fldCharType="end"/>
    </w:r>
  </w:p>
  <w:p w14:paraId="6FDBE67E" w14:textId="77777777" w:rsidR="00433CFB" w:rsidRDefault="00433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7B04A" w14:textId="77777777" w:rsidR="00E25900" w:rsidRDefault="00E25900">
      <w:r>
        <w:separator/>
      </w:r>
    </w:p>
  </w:footnote>
  <w:footnote w:type="continuationSeparator" w:id="0">
    <w:p w14:paraId="6F833896" w14:textId="77777777" w:rsidR="00E25900" w:rsidRDefault="00E25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080798"/>
    <w:multiLevelType w:val="hybridMultilevel"/>
    <w:tmpl w:val="E728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FD4218"/>
    <w:multiLevelType w:val="hybridMultilevel"/>
    <w:tmpl w:val="7986B06E"/>
    <w:lvl w:ilvl="0" w:tplc="C31CBB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1"/>
  </w:num>
  <w:num w:numId="2">
    <w:abstractNumId w:val="14"/>
  </w:num>
  <w:num w:numId="3">
    <w:abstractNumId w:val="7"/>
  </w:num>
  <w:num w:numId="4">
    <w:abstractNumId w:val="23"/>
  </w:num>
  <w:num w:numId="5">
    <w:abstractNumId w:val="3"/>
  </w:num>
  <w:num w:numId="6">
    <w:abstractNumId w:val="19"/>
  </w:num>
  <w:num w:numId="7">
    <w:abstractNumId w:val="6"/>
  </w:num>
  <w:num w:numId="8">
    <w:abstractNumId w:val="12"/>
  </w:num>
  <w:num w:numId="9">
    <w:abstractNumId w:val="0"/>
  </w:num>
  <w:num w:numId="10">
    <w:abstractNumId w:val="22"/>
  </w:num>
  <w:num w:numId="11">
    <w:abstractNumId w:val="11"/>
  </w:num>
  <w:num w:numId="12">
    <w:abstractNumId w:val="10"/>
  </w:num>
  <w:num w:numId="13">
    <w:abstractNumId w:val="5"/>
  </w:num>
  <w:num w:numId="14">
    <w:abstractNumId w:val="2"/>
  </w:num>
  <w:num w:numId="15">
    <w:abstractNumId w:val="16"/>
  </w:num>
  <w:num w:numId="16">
    <w:abstractNumId w:val="1"/>
  </w:num>
  <w:num w:numId="17">
    <w:abstractNumId w:val="20"/>
  </w:num>
  <w:num w:numId="18">
    <w:abstractNumId w:val="18"/>
  </w:num>
  <w:num w:numId="19">
    <w:abstractNumId w:val="8"/>
  </w:num>
  <w:num w:numId="20">
    <w:abstractNumId w:val="13"/>
  </w:num>
  <w:num w:numId="21">
    <w:abstractNumId w:val="17"/>
  </w:num>
  <w:num w:numId="22">
    <w:abstractNumId w:val="4"/>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85"/>
    <w:rsid w:val="000061EE"/>
    <w:rsid w:val="0001139A"/>
    <w:rsid w:val="000126F5"/>
    <w:rsid w:val="00013BE9"/>
    <w:rsid w:val="00015E05"/>
    <w:rsid w:val="00016017"/>
    <w:rsid w:val="00021253"/>
    <w:rsid w:val="00022C3D"/>
    <w:rsid w:val="00027904"/>
    <w:rsid w:val="00040006"/>
    <w:rsid w:val="00051672"/>
    <w:rsid w:val="00052E6A"/>
    <w:rsid w:val="00065540"/>
    <w:rsid w:val="00065CBB"/>
    <w:rsid w:val="00067175"/>
    <w:rsid w:val="00071BD6"/>
    <w:rsid w:val="00072F1F"/>
    <w:rsid w:val="000734A3"/>
    <w:rsid w:val="0007354D"/>
    <w:rsid w:val="00074497"/>
    <w:rsid w:val="000754C2"/>
    <w:rsid w:val="00075ADB"/>
    <w:rsid w:val="00082EA6"/>
    <w:rsid w:val="00084766"/>
    <w:rsid w:val="000872F2"/>
    <w:rsid w:val="00091549"/>
    <w:rsid w:val="00094299"/>
    <w:rsid w:val="00094635"/>
    <w:rsid w:val="0009652F"/>
    <w:rsid w:val="00096B82"/>
    <w:rsid w:val="000A20E1"/>
    <w:rsid w:val="000B4162"/>
    <w:rsid w:val="000C10BD"/>
    <w:rsid w:val="000C14D4"/>
    <w:rsid w:val="000C1622"/>
    <w:rsid w:val="000C2C67"/>
    <w:rsid w:val="000C663F"/>
    <w:rsid w:val="000D14A6"/>
    <w:rsid w:val="000D5B52"/>
    <w:rsid w:val="000D6D05"/>
    <w:rsid w:val="000D70E5"/>
    <w:rsid w:val="000E6B83"/>
    <w:rsid w:val="000F1649"/>
    <w:rsid w:val="000F24DE"/>
    <w:rsid w:val="000F638B"/>
    <w:rsid w:val="001022B6"/>
    <w:rsid w:val="001063AF"/>
    <w:rsid w:val="00107177"/>
    <w:rsid w:val="00107288"/>
    <w:rsid w:val="00113829"/>
    <w:rsid w:val="00113D67"/>
    <w:rsid w:val="00113EF1"/>
    <w:rsid w:val="00114635"/>
    <w:rsid w:val="0012436B"/>
    <w:rsid w:val="00124631"/>
    <w:rsid w:val="00124964"/>
    <w:rsid w:val="001269C4"/>
    <w:rsid w:val="001276ED"/>
    <w:rsid w:val="00127F24"/>
    <w:rsid w:val="001335F5"/>
    <w:rsid w:val="00151DA3"/>
    <w:rsid w:val="00155D73"/>
    <w:rsid w:val="001665A8"/>
    <w:rsid w:val="00166ED5"/>
    <w:rsid w:val="00167DA9"/>
    <w:rsid w:val="00172EDB"/>
    <w:rsid w:val="00176F36"/>
    <w:rsid w:val="001806F3"/>
    <w:rsid w:val="00181A4C"/>
    <w:rsid w:val="00183B1E"/>
    <w:rsid w:val="00185E73"/>
    <w:rsid w:val="001866CB"/>
    <w:rsid w:val="00191045"/>
    <w:rsid w:val="00191049"/>
    <w:rsid w:val="001920AB"/>
    <w:rsid w:val="00195BE3"/>
    <w:rsid w:val="0019614F"/>
    <w:rsid w:val="001A07AE"/>
    <w:rsid w:val="001A0EDE"/>
    <w:rsid w:val="001A1734"/>
    <w:rsid w:val="001A4189"/>
    <w:rsid w:val="001C567D"/>
    <w:rsid w:val="001C60B0"/>
    <w:rsid w:val="001C7310"/>
    <w:rsid w:val="001D39EC"/>
    <w:rsid w:val="001D5FF6"/>
    <w:rsid w:val="001D7CC7"/>
    <w:rsid w:val="001E051A"/>
    <w:rsid w:val="001E198B"/>
    <w:rsid w:val="001E5870"/>
    <w:rsid w:val="001E77EE"/>
    <w:rsid w:val="001F1358"/>
    <w:rsid w:val="001F2158"/>
    <w:rsid w:val="001F2437"/>
    <w:rsid w:val="001F3A21"/>
    <w:rsid w:val="001F59D7"/>
    <w:rsid w:val="00200C5C"/>
    <w:rsid w:val="0021342F"/>
    <w:rsid w:val="00213E5B"/>
    <w:rsid w:val="00215B61"/>
    <w:rsid w:val="00215D10"/>
    <w:rsid w:val="00220678"/>
    <w:rsid w:val="00223C13"/>
    <w:rsid w:val="00224E00"/>
    <w:rsid w:val="00232D19"/>
    <w:rsid w:val="00234754"/>
    <w:rsid w:val="002358A2"/>
    <w:rsid w:val="00243B5C"/>
    <w:rsid w:val="00244478"/>
    <w:rsid w:val="002457BF"/>
    <w:rsid w:val="002524A3"/>
    <w:rsid w:val="002570C4"/>
    <w:rsid w:val="00257C44"/>
    <w:rsid w:val="002670E7"/>
    <w:rsid w:val="00267C7D"/>
    <w:rsid w:val="00271292"/>
    <w:rsid w:val="002715B1"/>
    <w:rsid w:val="002753C3"/>
    <w:rsid w:val="002756B0"/>
    <w:rsid w:val="002767D1"/>
    <w:rsid w:val="0028214E"/>
    <w:rsid w:val="00286FCD"/>
    <w:rsid w:val="00287E45"/>
    <w:rsid w:val="00292F4A"/>
    <w:rsid w:val="00293802"/>
    <w:rsid w:val="00293A16"/>
    <w:rsid w:val="00296986"/>
    <w:rsid w:val="00296A0C"/>
    <w:rsid w:val="002A2983"/>
    <w:rsid w:val="002A5462"/>
    <w:rsid w:val="002B2627"/>
    <w:rsid w:val="002B3B15"/>
    <w:rsid w:val="002B6E82"/>
    <w:rsid w:val="002B7578"/>
    <w:rsid w:val="002C7A5F"/>
    <w:rsid w:val="002D27D0"/>
    <w:rsid w:val="002E13E5"/>
    <w:rsid w:val="002E1DBE"/>
    <w:rsid w:val="002E5007"/>
    <w:rsid w:val="002E69CC"/>
    <w:rsid w:val="002F0917"/>
    <w:rsid w:val="002F1185"/>
    <w:rsid w:val="002F2138"/>
    <w:rsid w:val="002F2262"/>
    <w:rsid w:val="00305D9F"/>
    <w:rsid w:val="003114B3"/>
    <w:rsid w:val="00311608"/>
    <w:rsid w:val="00313C58"/>
    <w:rsid w:val="003226AE"/>
    <w:rsid w:val="003265B4"/>
    <w:rsid w:val="00326911"/>
    <w:rsid w:val="00333B58"/>
    <w:rsid w:val="00335BFE"/>
    <w:rsid w:val="0034216D"/>
    <w:rsid w:val="0035330C"/>
    <w:rsid w:val="00370C97"/>
    <w:rsid w:val="00372FBC"/>
    <w:rsid w:val="003740AC"/>
    <w:rsid w:val="00374769"/>
    <w:rsid w:val="00375232"/>
    <w:rsid w:val="00380406"/>
    <w:rsid w:val="00393524"/>
    <w:rsid w:val="00393734"/>
    <w:rsid w:val="003940C1"/>
    <w:rsid w:val="00394479"/>
    <w:rsid w:val="00397177"/>
    <w:rsid w:val="00397BAB"/>
    <w:rsid w:val="003A14A9"/>
    <w:rsid w:val="003A4BA4"/>
    <w:rsid w:val="003A5A52"/>
    <w:rsid w:val="003A65E3"/>
    <w:rsid w:val="003A7763"/>
    <w:rsid w:val="003B3274"/>
    <w:rsid w:val="003B3C91"/>
    <w:rsid w:val="003C4EFB"/>
    <w:rsid w:val="003C6C79"/>
    <w:rsid w:val="003C778F"/>
    <w:rsid w:val="003D2A30"/>
    <w:rsid w:val="003D2DCA"/>
    <w:rsid w:val="003D4C85"/>
    <w:rsid w:val="003D762C"/>
    <w:rsid w:val="003E2B60"/>
    <w:rsid w:val="003E3718"/>
    <w:rsid w:val="003F5B12"/>
    <w:rsid w:val="0040348E"/>
    <w:rsid w:val="004100B7"/>
    <w:rsid w:val="004123B8"/>
    <w:rsid w:val="00416CAD"/>
    <w:rsid w:val="00421C5D"/>
    <w:rsid w:val="00426538"/>
    <w:rsid w:val="00431603"/>
    <w:rsid w:val="00431EFB"/>
    <w:rsid w:val="00433CFB"/>
    <w:rsid w:val="00442B99"/>
    <w:rsid w:val="00443780"/>
    <w:rsid w:val="00452037"/>
    <w:rsid w:val="00452497"/>
    <w:rsid w:val="00456443"/>
    <w:rsid w:val="00460453"/>
    <w:rsid w:val="00461E60"/>
    <w:rsid w:val="0046246F"/>
    <w:rsid w:val="00464F1F"/>
    <w:rsid w:val="00471C29"/>
    <w:rsid w:val="004746B3"/>
    <w:rsid w:val="00476E0B"/>
    <w:rsid w:val="00481DF4"/>
    <w:rsid w:val="004821F0"/>
    <w:rsid w:val="00482FA4"/>
    <w:rsid w:val="00485301"/>
    <w:rsid w:val="00485F98"/>
    <w:rsid w:val="00486D12"/>
    <w:rsid w:val="004977CE"/>
    <w:rsid w:val="004A0A8C"/>
    <w:rsid w:val="004A14AF"/>
    <w:rsid w:val="004A3C42"/>
    <w:rsid w:val="004A597B"/>
    <w:rsid w:val="004A62B4"/>
    <w:rsid w:val="004B1646"/>
    <w:rsid w:val="004B212F"/>
    <w:rsid w:val="004B698F"/>
    <w:rsid w:val="004B7F94"/>
    <w:rsid w:val="004C1E4C"/>
    <w:rsid w:val="004C362F"/>
    <w:rsid w:val="004C4EBC"/>
    <w:rsid w:val="004D6A50"/>
    <w:rsid w:val="004D778E"/>
    <w:rsid w:val="004E06B6"/>
    <w:rsid w:val="004E7394"/>
    <w:rsid w:val="004F68A4"/>
    <w:rsid w:val="00503DCF"/>
    <w:rsid w:val="00514B24"/>
    <w:rsid w:val="00515BFD"/>
    <w:rsid w:val="00531340"/>
    <w:rsid w:val="00531AED"/>
    <w:rsid w:val="00532FFC"/>
    <w:rsid w:val="00533568"/>
    <w:rsid w:val="005354EE"/>
    <w:rsid w:val="00541309"/>
    <w:rsid w:val="00541A39"/>
    <w:rsid w:val="00541A76"/>
    <w:rsid w:val="0054216E"/>
    <w:rsid w:val="00546209"/>
    <w:rsid w:val="00551396"/>
    <w:rsid w:val="0055525C"/>
    <w:rsid w:val="005578B2"/>
    <w:rsid w:val="005578F2"/>
    <w:rsid w:val="005601F3"/>
    <w:rsid w:val="005627BF"/>
    <w:rsid w:val="00572067"/>
    <w:rsid w:val="00573C37"/>
    <w:rsid w:val="005823F2"/>
    <w:rsid w:val="00583435"/>
    <w:rsid w:val="00584297"/>
    <w:rsid w:val="00587F68"/>
    <w:rsid w:val="005942B4"/>
    <w:rsid w:val="005A5D46"/>
    <w:rsid w:val="005B5584"/>
    <w:rsid w:val="005B5A2C"/>
    <w:rsid w:val="005C396C"/>
    <w:rsid w:val="005D37FA"/>
    <w:rsid w:val="005D3C3D"/>
    <w:rsid w:val="005E591E"/>
    <w:rsid w:val="005F30A7"/>
    <w:rsid w:val="005F3E65"/>
    <w:rsid w:val="00610E80"/>
    <w:rsid w:val="00616112"/>
    <w:rsid w:val="00616EC6"/>
    <w:rsid w:val="00620068"/>
    <w:rsid w:val="006206A5"/>
    <w:rsid w:val="006270A9"/>
    <w:rsid w:val="0063287E"/>
    <w:rsid w:val="006338D9"/>
    <w:rsid w:val="00644440"/>
    <w:rsid w:val="006506BA"/>
    <w:rsid w:val="006567AC"/>
    <w:rsid w:val="006569F2"/>
    <w:rsid w:val="006608DB"/>
    <w:rsid w:val="00662D8C"/>
    <w:rsid w:val="00663B88"/>
    <w:rsid w:val="006772D2"/>
    <w:rsid w:val="00681D8C"/>
    <w:rsid w:val="00682A0B"/>
    <w:rsid w:val="00687100"/>
    <w:rsid w:val="00692506"/>
    <w:rsid w:val="0069301A"/>
    <w:rsid w:val="00696931"/>
    <w:rsid w:val="006A0B37"/>
    <w:rsid w:val="006A1F4F"/>
    <w:rsid w:val="006A47E6"/>
    <w:rsid w:val="006A5E31"/>
    <w:rsid w:val="006A6BD2"/>
    <w:rsid w:val="006B2FA3"/>
    <w:rsid w:val="006C345D"/>
    <w:rsid w:val="006C5100"/>
    <w:rsid w:val="006C57E9"/>
    <w:rsid w:val="006D1FCE"/>
    <w:rsid w:val="006D28FB"/>
    <w:rsid w:val="006D29C2"/>
    <w:rsid w:val="006D3DB0"/>
    <w:rsid w:val="006D5CBC"/>
    <w:rsid w:val="006D6C58"/>
    <w:rsid w:val="006F35C1"/>
    <w:rsid w:val="006F4C24"/>
    <w:rsid w:val="006F56B9"/>
    <w:rsid w:val="006F63D5"/>
    <w:rsid w:val="00700C0F"/>
    <w:rsid w:val="00702019"/>
    <w:rsid w:val="00721422"/>
    <w:rsid w:val="00725C07"/>
    <w:rsid w:val="00725CA2"/>
    <w:rsid w:val="00731A50"/>
    <w:rsid w:val="00734A11"/>
    <w:rsid w:val="00736AA0"/>
    <w:rsid w:val="00736FEF"/>
    <w:rsid w:val="00741967"/>
    <w:rsid w:val="00744D63"/>
    <w:rsid w:val="00744F85"/>
    <w:rsid w:val="00751C75"/>
    <w:rsid w:val="00762525"/>
    <w:rsid w:val="007635BA"/>
    <w:rsid w:val="007639F1"/>
    <w:rsid w:val="00766CDA"/>
    <w:rsid w:val="00767529"/>
    <w:rsid w:val="0077637E"/>
    <w:rsid w:val="00781800"/>
    <w:rsid w:val="007819EC"/>
    <w:rsid w:val="00792200"/>
    <w:rsid w:val="007935D3"/>
    <w:rsid w:val="00796853"/>
    <w:rsid w:val="00797019"/>
    <w:rsid w:val="007A110A"/>
    <w:rsid w:val="007A15A7"/>
    <w:rsid w:val="007B0B80"/>
    <w:rsid w:val="007B12BE"/>
    <w:rsid w:val="007B3540"/>
    <w:rsid w:val="007C1C14"/>
    <w:rsid w:val="007C5F1F"/>
    <w:rsid w:val="007C6259"/>
    <w:rsid w:val="007C68FB"/>
    <w:rsid w:val="007D0023"/>
    <w:rsid w:val="007D0BA7"/>
    <w:rsid w:val="007D1A82"/>
    <w:rsid w:val="007D308D"/>
    <w:rsid w:val="007D5B60"/>
    <w:rsid w:val="007E1883"/>
    <w:rsid w:val="007E3251"/>
    <w:rsid w:val="007E3C56"/>
    <w:rsid w:val="007E3E06"/>
    <w:rsid w:val="007F0E9D"/>
    <w:rsid w:val="007F10E5"/>
    <w:rsid w:val="007F1A38"/>
    <w:rsid w:val="0080718B"/>
    <w:rsid w:val="00820020"/>
    <w:rsid w:val="00824283"/>
    <w:rsid w:val="00840A73"/>
    <w:rsid w:val="00853D3F"/>
    <w:rsid w:val="00854ADA"/>
    <w:rsid w:val="00857153"/>
    <w:rsid w:val="00861121"/>
    <w:rsid w:val="00861B98"/>
    <w:rsid w:val="008660F2"/>
    <w:rsid w:val="00880E50"/>
    <w:rsid w:val="008833E0"/>
    <w:rsid w:val="008867D1"/>
    <w:rsid w:val="008875E8"/>
    <w:rsid w:val="00890D22"/>
    <w:rsid w:val="008A2450"/>
    <w:rsid w:val="008A3C85"/>
    <w:rsid w:val="008A4402"/>
    <w:rsid w:val="008B5F88"/>
    <w:rsid w:val="008B66A2"/>
    <w:rsid w:val="008C12B8"/>
    <w:rsid w:val="008C2DEC"/>
    <w:rsid w:val="008C4052"/>
    <w:rsid w:val="008D3D05"/>
    <w:rsid w:val="008D4143"/>
    <w:rsid w:val="008E028B"/>
    <w:rsid w:val="008E5175"/>
    <w:rsid w:val="008F15CC"/>
    <w:rsid w:val="008F448B"/>
    <w:rsid w:val="00900747"/>
    <w:rsid w:val="00900C2C"/>
    <w:rsid w:val="00900ED7"/>
    <w:rsid w:val="009039D0"/>
    <w:rsid w:val="00906BFA"/>
    <w:rsid w:val="009077D2"/>
    <w:rsid w:val="00913CA1"/>
    <w:rsid w:val="009151EA"/>
    <w:rsid w:val="00923AC9"/>
    <w:rsid w:val="009261FF"/>
    <w:rsid w:val="00933485"/>
    <w:rsid w:val="00933761"/>
    <w:rsid w:val="009350E9"/>
    <w:rsid w:val="00947CA9"/>
    <w:rsid w:val="00947CB1"/>
    <w:rsid w:val="00950D54"/>
    <w:rsid w:val="009510AF"/>
    <w:rsid w:val="00951C8E"/>
    <w:rsid w:val="00956E92"/>
    <w:rsid w:val="00957459"/>
    <w:rsid w:val="00960583"/>
    <w:rsid w:val="00960EE4"/>
    <w:rsid w:val="009610EE"/>
    <w:rsid w:val="009613E6"/>
    <w:rsid w:val="009660BE"/>
    <w:rsid w:val="0096748D"/>
    <w:rsid w:val="0096772B"/>
    <w:rsid w:val="00970711"/>
    <w:rsid w:val="00973841"/>
    <w:rsid w:val="00973D76"/>
    <w:rsid w:val="00974C73"/>
    <w:rsid w:val="00974E5D"/>
    <w:rsid w:val="00975CAC"/>
    <w:rsid w:val="00977CF1"/>
    <w:rsid w:val="00982180"/>
    <w:rsid w:val="0099171F"/>
    <w:rsid w:val="00993B3F"/>
    <w:rsid w:val="009961FE"/>
    <w:rsid w:val="0099772F"/>
    <w:rsid w:val="009A499D"/>
    <w:rsid w:val="009A5703"/>
    <w:rsid w:val="009B4C29"/>
    <w:rsid w:val="009C3DFD"/>
    <w:rsid w:val="009C647A"/>
    <w:rsid w:val="009D0209"/>
    <w:rsid w:val="009D19CE"/>
    <w:rsid w:val="009D33EF"/>
    <w:rsid w:val="009E086F"/>
    <w:rsid w:val="009E242F"/>
    <w:rsid w:val="009E322E"/>
    <w:rsid w:val="009E34E4"/>
    <w:rsid w:val="009E4329"/>
    <w:rsid w:val="009E45A8"/>
    <w:rsid w:val="009E647E"/>
    <w:rsid w:val="009E7725"/>
    <w:rsid w:val="009F0309"/>
    <w:rsid w:val="009F4171"/>
    <w:rsid w:val="009F471E"/>
    <w:rsid w:val="009F50DE"/>
    <w:rsid w:val="009F5287"/>
    <w:rsid w:val="00A06147"/>
    <w:rsid w:val="00A141E8"/>
    <w:rsid w:val="00A17596"/>
    <w:rsid w:val="00A177FA"/>
    <w:rsid w:val="00A21544"/>
    <w:rsid w:val="00A21D84"/>
    <w:rsid w:val="00A309D0"/>
    <w:rsid w:val="00A30F03"/>
    <w:rsid w:val="00A348B7"/>
    <w:rsid w:val="00A4018F"/>
    <w:rsid w:val="00A435A2"/>
    <w:rsid w:val="00A466AD"/>
    <w:rsid w:val="00A54B70"/>
    <w:rsid w:val="00A57F37"/>
    <w:rsid w:val="00A65FD0"/>
    <w:rsid w:val="00A7308D"/>
    <w:rsid w:val="00A80133"/>
    <w:rsid w:val="00A81A15"/>
    <w:rsid w:val="00A84CAC"/>
    <w:rsid w:val="00A90C0C"/>
    <w:rsid w:val="00A92E7A"/>
    <w:rsid w:val="00A94EF4"/>
    <w:rsid w:val="00A9770D"/>
    <w:rsid w:val="00AA02A5"/>
    <w:rsid w:val="00AA0C18"/>
    <w:rsid w:val="00AA14BD"/>
    <w:rsid w:val="00AA6E00"/>
    <w:rsid w:val="00AB3CE7"/>
    <w:rsid w:val="00AB4119"/>
    <w:rsid w:val="00AC2B37"/>
    <w:rsid w:val="00AC3651"/>
    <w:rsid w:val="00AC4B83"/>
    <w:rsid w:val="00AC50A3"/>
    <w:rsid w:val="00AC530A"/>
    <w:rsid w:val="00AC7747"/>
    <w:rsid w:val="00AD3419"/>
    <w:rsid w:val="00AD41FA"/>
    <w:rsid w:val="00AE7E8E"/>
    <w:rsid w:val="00AF58FE"/>
    <w:rsid w:val="00B00BEB"/>
    <w:rsid w:val="00B012A8"/>
    <w:rsid w:val="00B03E35"/>
    <w:rsid w:val="00B133E3"/>
    <w:rsid w:val="00B150AD"/>
    <w:rsid w:val="00B1539F"/>
    <w:rsid w:val="00B163F5"/>
    <w:rsid w:val="00B22375"/>
    <w:rsid w:val="00B24211"/>
    <w:rsid w:val="00B24CDA"/>
    <w:rsid w:val="00B2671C"/>
    <w:rsid w:val="00B3096E"/>
    <w:rsid w:val="00B34920"/>
    <w:rsid w:val="00B47241"/>
    <w:rsid w:val="00B52CB2"/>
    <w:rsid w:val="00B558C3"/>
    <w:rsid w:val="00B62AB7"/>
    <w:rsid w:val="00B637BE"/>
    <w:rsid w:val="00B646F1"/>
    <w:rsid w:val="00B71F9A"/>
    <w:rsid w:val="00B758E5"/>
    <w:rsid w:val="00B81D55"/>
    <w:rsid w:val="00B82318"/>
    <w:rsid w:val="00B87070"/>
    <w:rsid w:val="00B90D94"/>
    <w:rsid w:val="00B9179D"/>
    <w:rsid w:val="00BA04D0"/>
    <w:rsid w:val="00BA4EDD"/>
    <w:rsid w:val="00BA6045"/>
    <w:rsid w:val="00BB0B72"/>
    <w:rsid w:val="00BB24F7"/>
    <w:rsid w:val="00BC6101"/>
    <w:rsid w:val="00BD324A"/>
    <w:rsid w:val="00BE1492"/>
    <w:rsid w:val="00BE5CE5"/>
    <w:rsid w:val="00BE7F98"/>
    <w:rsid w:val="00BF1FD1"/>
    <w:rsid w:val="00BF25AB"/>
    <w:rsid w:val="00BF3BD8"/>
    <w:rsid w:val="00BF5B77"/>
    <w:rsid w:val="00C01C4F"/>
    <w:rsid w:val="00C047FE"/>
    <w:rsid w:val="00C13D97"/>
    <w:rsid w:val="00C17D23"/>
    <w:rsid w:val="00C215EE"/>
    <w:rsid w:val="00C21B0F"/>
    <w:rsid w:val="00C23299"/>
    <w:rsid w:val="00C23A25"/>
    <w:rsid w:val="00C2489F"/>
    <w:rsid w:val="00C264DB"/>
    <w:rsid w:val="00C31269"/>
    <w:rsid w:val="00C31FC4"/>
    <w:rsid w:val="00C3207D"/>
    <w:rsid w:val="00C33453"/>
    <w:rsid w:val="00C33546"/>
    <w:rsid w:val="00C35E3F"/>
    <w:rsid w:val="00C60576"/>
    <w:rsid w:val="00C60A6D"/>
    <w:rsid w:val="00C60D2F"/>
    <w:rsid w:val="00C629CC"/>
    <w:rsid w:val="00C67D37"/>
    <w:rsid w:val="00C7208C"/>
    <w:rsid w:val="00C73D98"/>
    <w:rsid w:val="00C94773"/>
    <w:rsid w:val="00C95FB6"/>
    <w:rsid w:val="00C96ACF"/>
    <w:rsid w:val="00CA5299"/>
    <w:rsid w:val="00CA6C61"/>
    <w:rsid w:val="00CA72A3"/>
    <w:rsid w:val="00CB14CA"/>
    <w:rsid w:val="00CB2872"/>
    <w:rsid w:val="00CB4DBA"/>
    <w:rsid w:val="00CC49FB"/>
    <w:rsid w:val="00CD0468"/>
    <w:rsid w:val="00CD2015"/>
    <w:rsid w:val="00CE136A"/>
    <w:rsid w:val="00CE2177"/>
    <w:rsid w:val="00CE4B97"/>
    <w:rsid w:val="00CE60CE"/>
    <w:rsid w:val="00CE7E03"/>
    <w:rsid w:val="00CF03B5"/>
    <w:rsid w:val="00CF1552"/>
    <w:rsid w:val="00CF23C7"/>
    <w:rsid w:val="00CF683F"/>
    <w:rsid w:val="00CF6F1D"/>
    <w:rsid w:val="00CF7CC6"/>
    <w:rsid w:val="00D030F9"/>
    <w:rsid w:val="00D0597E"/>
    <w:rsid w:val="00D0690E"/>
    <w:rsid w:val="00D2004B"/>
    <w:rsid w:val="00D21778"/>
    <w:rsid w:val="00D25D51"/>
    <w:rsid w:val="00D27508"/>
    <w:rsid w:val="00D277FB"/>
    <w:rsid w:val="00D27AD0"/>
    <w:rsid w:val="00D323D9"/>
    <w:rsid w:val="00D47B2E"/>
    <w:rsid w:val="00D52CE5"/>
    <w:rsid w:val="00D531E5"/>
    <w:rsid w:val="00D535E1"/>
    <w:rsid w:val="00D57158"/>
    <w:rsid w:val="00D6115D"/>
    <w:rsid w:val="00D7371C"/>
    <w:rsid w:val="00D76740"/>
    <w:rsid w:val="00D81351"/>
    <w:rsid w:val="00D82199"/>
    <w:rsid w:val="00D87139"/>
    <w:rsid w:val="00D97060"/>
    <w:rsid w:val="00DA62AA"/>
    <w:rsid w:val="00DA6866"/>
    <w:rsid w:val="00DB101B"/>
    <w:rsid w:val="00DB1B56"/>
    <w:rsid w:val="00DC1732"/>
    <w:rsid w:val="00DC4100"/>
    <w:rsid w:val="00DC7FDC"/>
    <w:rsid w:val="00DD00E6"/>
    <w:rsid w:val="00DD367B"/>
    <w:rsid w:val="00DD730E"/>
    <w:rsid w:val="00DE0CA4"/>
    <w:rsid w:val="00DE1380"/>
    <w:rsid w:val="00DE3EA4"/>
    <w:rsid w:val="00DE6CDB"/>
    <w:rsid w:val="00DE7893"/>
    <w:rsid w:val="00DF6034"/>
    <w:rsid w:val="00E01FAB"/>
    <w:rsid w:val="00E068B6"/>
    <w:rsid w:val="00E131D8"/>
    <w:rsid w:val="00E1549C"/>
    <w:rsid w:val="00E15DDA"/>
    <w:rsid w:val="00E176E3"/>
    <w:rsid w:val="00E2218A"/>
    <w:rsid w:val="00E25900"/>
    <w:rsid w:val="00E27291"/>
    <w:rsid w:val="00E30B45"/>
    <w:rsid w:val="00E37F6B"/>
    <w:rsid w:val="00E41E9F"/>
    <w:rsid w:val="00E5005C"/>
    <w:rsid w:val="00E50950"/>
    <w:rsid w:val="00E51D88"/>
    <w:rsid w:val="00E55ED1"/>
    <w:rsid w:val="00E56A53"/>
    <w:rsid w:val="00E57EBC"/>
    <w:rsid w:val="00E61B27"/>
    <w:rsid w:val="00E64A44"/>
    <w:rsid w:val="00E671AE"/>
    <w:rsid w:val="00E72FE2"/>
    <w:rsid w:val="00E82BE6"/>
    <w:rsid w:val="00E86CBA"/>
    <w:rsid w:val="00E870AD"/>
    <w:rsid w:val="00E93379"/>
    <w:rsid w:val="00E93546"/>
    <w:rsid w:val="00E95960"/>
    <w:rsid w:val="00EA0959"/>
    <w:rsid w:val="00EA28C3"/>
    <w:rsid w:val="00EA4743"/>
    <w:rsid w:val="00EA5602"/>
    <w:rsid w:val="00EB3CB2"/>
    <w:rsid w:val="00EB4D44"/>
    <w:rsid w:val="00EB56BA"/>
    <w:rsid w:val="00EB6B15"/>
    <w:rsid w:val="00EB71F8"/>
    <w:rsid w:val="00EB7FFB"/>
    <w:rsid w:val="00EC3DB0"/>
    <w:rsid w:val="00EC3ED9"/>
    <w:rsid w:val="00EC4086"/>
    <w:rsid w:val="00EC4CCC"/>
    <w:rsid w:val="00ED7A81"/>
    <w:rsid w:val="00EE011F"/>
    <w:rsid w:val="00EE1CA7"/>
    <w:rsid w:val="00EE53C9"/>
    <w:rsid w:val="00EF43B9"/>
    <w:rsid w:val="00F037CC"/>
    <w:rsid w:val="00F23A46"/>
    <w:rsid w:val="00F359C0"/>
    <w:rsid w:val="00F42233"/>
    <w:rsid w:val="00F467F1"/>
    <w:rsid w:val="00F47725"/>
    <w:rsid w:val="00F5333F"/>
    <w:rsid w:val="00F57953"/>
    <w:rsid w:val="00F63E3D"/>
    <w:rsid w:val="00F67671"/>
    <w:rsid w:val="00F723D4"/>
    <w:rsid w:val="00F77E3F"/>
    <w:rsid w:val="00F91A1E"/>
    <w:rsid w:val="00F96E51"/>
    <w:rsid w:val="00FA0E30"/>
    <w:rsid w:val="00FA22CA"/>
    <w:rsid w:val="00FA6BEC"/>
    <w:rsid w:val="00FB684A"/>
    <w:rsid w:val="00FC3CF5"/>
    <w:rsid w:val="00FC41CD"/>
    <w:rsid w:val="00FC680F"/>
    <w:rsid w:val="00FC7B50"/>
    <w:rsid w:val="00FD2E2F"/>
    <w:rsid w:val="00FD4018"/>
    <w:rsid w:val="00FD65B0"/>
    <w:rsid w:val="00FD71A3"/>
    <w:rsid w:val="00FF0995"/>
    <w:rsid w:val="00FF4DF2"/>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B90C28A"/>
  <w15:chartTrackingRefBased/>
  <w15:docId w15:val="{8BA46E9E-81A9-4E5A-9D98-7A45A879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semiHidden/>
    <w:rsid w:val="009510AF"/>
    <w:rPr>
      <w:sz w:val="16"/>
      <w:szCs w:val="16"/>
    </w:rPr>
  </w:style>
  <w:style w:type="paragraph" w:styleId="CommentText">
    <w:name w:val="annotation text"/>
    <w:basedOn w:val="Normal"/>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NormalWeb">
    <w:name w:val="Normal (Web)"/>
    <w:basedOn w:val="Normal"/>
    <w:uiPriority w:val="99"/>
    <w:unhideWhenUsed/>
    <w:rsid w:val="00EB4D44"/>
    <w:pPr>
      <w:spacing w:before="100" w:beforeAutospacing="1" w:after="100" w:afterAutospacing="1"/>
    </w:pPr>
    <w:rPr>
      <w:sz w:val="24"/>
      <w:szCs w:val="24"/>
    </w:rPr>
  </w:style>
  <w:style w:type="paragraph" w:styleId="ListParagraph">
    <w:name w:val="List Paragraph"/>
    <w:basedOn w:val="Normal"/>
    <w:uiPriority w:val="34"/>
    <w:qFormat/>
    <w:rsid w:val="00224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268122315">
      <w:bodyDiv w:val="1"/>
      <w:marLeft w:val="0"/>
      <w:marRight w:val="0"/>
      <w:marTop w:val="0"/>
      <w:marBottom w:val="0"/>
      <w:divBdr>
        <w:top w:val="none" w:sz="0" w:space="0" w:color="auto"/>
        <w:left w:val="none" w:sz="0" w:space="0" w:color="auto"/>
        <w:bottom w:val="none" w:sz="0" w:space="0" w:color="auto"/>
        <w:right w:val="none" w:sz="0" w:space="0" w:color="auto"/>
      </w:divBdr>
    </w:div>
    <w:div w:id="473301387">
      <w:bodyDiv w:val="1"/>
      <w:marLeft w:val="0"/>
      <w:marRight w:val="0"/>
      <w:marTop w:val="0"/>
      <w:marBottom w:val="0"/>
      <w:divBdr>
        <w:top w:val="none" w:sz="0" w:space="0" w:color="auto"/>
        <w:left w:val="none" w:sz="0" w:space="0" w:color="auto"/>
        <w:bottom w:val="none" w:sz="0" w:space="0" w:color="auto"/>
        <w:right w:val="none" w:sz="0" w:space="0" w:color="auto"/>
      </w:divBdr>
    </w:div>
    <w:div w:id="618337771">
      <w:bodyDiv w:val="1"/>
      <w:marLeft w:val="0"/>
      <w:marRight w:val="0"/>
      <w:marTop w:val="0"/>
      <w:marBottom w:val="0"/>
      <w:divBdr>
        <w:top w:val="none" w:sz="0" w:space="0" w:color="auto"/>
        <w:left w:val="none" w:sz="0" w:space="0" w:color="auto"/>
        <w:bottom w:val="none" w:sz="0" w:space="0" w:color="auto"/>
        <w:right w:val="none" w:sz="0" w:space="0" w:color="auto"/>
      </w:divBdr>
    </w:div>
    <w:div w:id="630669560">
      <w:bodyDiv w:val="1"/>
      <w:marLeft w:val="0"/>
      <w:marRight w:val="0"/>
      <w:marTop w:val="0"/>
      <w:marBottom w:val="0"/>
      <w:divBdr>
        <w:top w:val="none" w:sz="0" w:space="0" w:color="auto"/>
        <w:left w:val="none" w:sz="0" w:space="0" w:color="auto"/>
        <w:bottom w:val="none" w:sz="0" w:space="0" w:color="auto"/>
        <w:right w:val="none" w:sz="0" w:space="0" w:color="auto"/>
      </w:divBdr>
    </w:div>
    <w:div w:id="680592793">
      <w:bodyDiv w:val="1"/>
      <w:marLeft w:val="0"/>
      <w:marRight w:val="0"/>
      <w:marTop w:val="0"/>
      <w:marBottom w:val="0"/>
      <w:divBdr>
        <w:top w:val="none" w:sz="0" w:space="0" w:color="auto"/>
        <w:left w:val="none" w:sz="0" w:space="0" w:color="auto"/>
        <w:bottom w:val="none" w:sz="0" w:space="0" w:color="auto"/>
        <w:right w:val="none" w:sz="0" w:space="0" w:color="auto"/>
      </w:divBdr>
    </w:div>
    <w:div w:id="688800479">
      <w:bodyDiv w:val="1"/>
      <w:marLeft w:val="0"/>
      <w:marRight w:val="0"/>
      <w:marTop w:val="0"/>
      <w:marBottom w:val="0"/>
      <w:divBdr>
        <w:top w:val="none" w:sz="0" w:space="0" w:color="auto"/>
        <w:left w:val="none" w:sz="0" w:space="0" w:color="auto"/>
        <w:bottom w:val="none" w:sz="0" w:space="0" w:color="auto"/>
        <w:right w:val="none" w:sz="0" w:space="0" w:color="auto"/>
      </w:divBdr>
    </w:div>
    <w:div w:id="942999616">
      <w:bodyDiv w:val="1"/>
      <w:marLeft w:val="0"/>
      <w:marRight w:val="0"/>
      <w:marTop w:val="0"/>
      <w:marBottom w:val="0"/>
      <w:divBdr>
        <w:top w:val="none" w:sz="0" w:space="0" w:color="auto"/>
        <w:left w:val="none" w:sz="0" w:space="0" w:color="auto"/>
        <w:bottom w:val="none" w:sz="0" w:space="0" w:color="auto"/>
        <w:right w:val="none" w:sz="0" w:space="0" w:color="auto"/>
      </w:divBdr>
    </w:div>
    <w:div w:id="958268573">
      <w:bodyDiv w:val="1"/>
      <w:marLeft w:val="0"/>
      <w:marRight w:val="0"/>
      <w:marTop w:val="0"/>
      <w:marBottom w:val="0"/>
      <w:divBdr>
        <w:top w:val="none" w:sz="0" w:space="0" w:color="auto"/>
        <w:left w:val="none" w:sz="0" w:space="0" w:color="auto"/>
        <w:bottom w:val="none" w:sz="0" w:space="0" w:color="auto"/>
        <w:right w:val="none" w:sz="0" w:space="0" w:color="auto"/>
      </w:divBdr>
    </w:div>
    <w:div w:id="1185363593">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459377470">
      <w:bodyDiv w:val="1"/>
      <w:marLeft w:val="0"/>
      <w:marRight w:val="0"/>
      <w:marTop w:val="0"/>
      <w:marBottom w:val="0"/>
      <w:divBdr>
        <w:top w:val="none" w:sz="0" w:space="0" w:color="auto"/>
        <w:left w:val="none" w:sz="0" w:space="0" w:color="auto"/>
        <w:bottom w:val="none" w:sz="0" w:space="0" w:color="auto"/>
        <w:right w:val="none" w:sz="0" w:space="0" w:color="auto"/>
      </w:divBdr>
    </w:div>
    <w:div w:id="1507095743">
      <w:bodyDiv w:val="1"/>
      <w:marLeft w:val="0"/>
      <w:marRight w:val="0"/>
      <w:marTop w:val="0"/>
      <w:marBottom w:val="0"/>
      <w:divBdr>
        <w:top w:val="none" w:sz="0" w:space="0" w:color="auto"/>
        <w:left w:val="none" w:sz="0" w:space="0" w:color="auto"/>
        <w:bottom w:val="none" w:sz="0" w:space="0" w:color="auto"/>
        <w:right w:val="none" w:sz="0" w:space="0" w:color="auto"/>
      </w:divBdr>
    </w:div>
    <w:div w:id="18678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yperlink" Target="mailto:david.fitzpatrick@uspto.gov"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0651-0057</Collection_x0020_Number>
    <Document_x0020_State xmlns="E85DE8A9-5CD3-41FE-A1A0-70BC17107555">Draft</Document_x0020_State>
    <Owner xmlns="5DFC53CF-7C17-4489-98AB-5F87C96333B9">
      <UserInfo>
        <DisplayName/>
        <AccountId>587</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Level xmlns="e85de8a9-5cd3-41fe-a1a0-70bc17107555">Level III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225CD-D752-47D7-B267-527239767057}">
  <ds:schemaRefs>
    <ds:schemaRef ds:uri="http://schemas.microsoft.com/office/2006/metadata/longProperties"/>
  </ds:schemaRefs>
</ds:datastoreItem>
</file>

<file path=customXml/itemProps2.xml><?xml version="1.0" encoding="utf-8"?>
<ds:datastoreItem xmlns:ds="http://schemas.openxmlformats.org/officeDocument/2006/customXml" ds:itemID="{2A137AA7-9520-4333-9992-B9058B491B1B}">
  <ds:schemaRefs>
    <ds:schemaRef ds:uri="e85de8a9-5cd3-41fe-a1a0-70bc17107555"/>
    <ds:schemaRef ds:uri="E85DE8A9-5CD3-41FE-A1A0-70BC17107555"/>
    <ds:schemaRef ds:uri="http://purl.org/dc/elements/1.1/"/>
    <ds:schemaRef ds:uri="http://purl.org/dc/terms/"/>
    <ds:schemaRef ds:uri="5DFC53CF-7C17-4489-98AB-5F87C96333B9"/>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5dfc53cf-7c17-4489-98ab-5f87c96333b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C223FA5-809E-41D9-8BD6-5D43946D8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36EAE-5A94-453E-9649-4BB47B821A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2411</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United States Patent and Trademark Office</Company>
  <LinksUpToDate>false</LinksUpToDate>
  <CharactersWithSpaces>15950</CharactersWithSpaces>
  <SharedDoc>false</SharedDoc>
  <HLinks>
    <vt:vector size="6" baseType="variant">
      <vt:variant>
        <vt:i4>8060937</vt:i4>
      </vt:variant>
      <vt:variant>
        <vt:i4>21</vt:i4>
      </vt:variant>
      <vt:variant>
        <vt:i4>0</vt:i4>
      </vt:variant>
      <vt:variant>
        <vt:i4>5</vt:i4>
      </vt:variant>
      <vt:variant>
        <vt:lpwstr>mailto:david.fitzpatrick@uspto.gov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subject/>
  <dc:creator>United States Patent and Trademark Office</dc:creator>
  <cp:keywords/>
  <cp:lastModifiedBy>Hardy, Kimberly</cp:lastModifiedBy>
  <cp:revision>2</cp:revision>
  <cp:lastPrinted>2012-12-20T17:37:00Z</cp:lastPrinted>
  <dcterms:created xsi:type="dcterms:W3CDTF">2022-05-25T13:10:00Z</dcterms:created>
  <dcterms:modified xsi:type="dcterms:W3CDTF">2022-05-25T13:10:00Z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y fmtid="{D5CDD505-2E9C-101B-9397-08002B2CF9AE}" pid="4" name="Assigned to0">
    <vt:lpwstr>114</vt:lpwstr>
  </property>
  <property fmtid="{D5CDD505-2E9C-101B-9397-08002B2CF9AE}" pid="5" name="display_urn:schemas-microsoft-com:office:office#Assigned_x0020_to0">
    <vt:lpwstr>Hall, Drew (AMBIT)</vt:lpwstr>
  </property>
  <property fmtid="{D5CDD505-2E9C-101B-9397-08002B2CF9AE}" pid="6" name="display_urn:schemas-microsoft-com:office:office#Owner">
    <vt:lpwstr>Fitzpatrick, David</vt:lpwstr>
  </property>
</Properties>
</file>