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467E" w:rsidR="00722BAC" w:rsidP="008042EE" w:rsidRDefault="00722BAC" w14:paraId="74E64A9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p>
    <w:p w:rsidRPr="00DC467E" w:rsidR="00722BAC" w:rsidP="008042EE" w:rsidRDefault="00722BAC" w14:paraId="28FE633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p>
    <w:p w:rsidRPr="00DC467E" w:rsidR="00722BAC" w:rsidP="008042EE" w:rsidRDefault="00722BAC" w14:paraId="0AF3BED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p>
    <w:p w:rsidRPr="00DC467E" w:rsidR="008042EE" w:rsidP="008042EE" w:rsidRDefault="008042EE" w14:paraId="1F75E56C" w14:textId="4231C8D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r w:rsidRPr="00DC467E">
        <w:rPr>
          <w:rFonts w:asciiTheme="minorHAnsi" w:hAnsiTheme="minorHAnsi"/>
          <w:color w:val="000000"/>
          <w:sz w:val="28"/>
          <w:szCs w:val="28"/>
        </w:rPr>
        <w:t>Request for Approval of a Non-Substantive Change to the</w:t>
      </w:r>
    </w:p>
    <w:p w:rsidRPr="00DC467E" w:rsidR="008042EE" w:rsidP="008042EE" w:rsidRDefault="008042EE" w14:paraId="08EF1A02" w14:textId="288513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r w:rsidRPr="00DC467E">
        <w:rPr>
          <w:rFonts w:asciiTheme="minorHAnsi" w:hAnsiTheme="minorHAnsi"/>
          <w:color w:val="000000"/>
          <w:sz w:val="28"/>
          <w:szCs w:val="28"/>
        </w:rPr>
        <w:t>National Health and Nutrition Examination Survey</w:t>
      </w:r>
    </w:p>
    <w:p w:rsidRPr="00DC467E" w:rsidR="008042EE" w:rsidP="008042EE" w:rsidRDefault="008042EE" w14:paraId="57C573E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p>
    <w:p w:rsidRPr="00DC467E" w:rsidR="008042EE" w:rsidP="008042EE" w:rsidRDefault="008042EE" w14:paraId="4CFD2396" w14:textId="294BDC0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r w:rsidRPr="00DC467E">
        <w:rPr>
          <w:rFonts w:asciiTheme="minorHAnsi" w:hAnsiTheme="minorHAnsi"/>
          <w:color w:val="000000"/>
          <w:sz w:val="28"/>
          <w:szCs w:val="28"/>
        </w:rPr>
        <w:t xml:space="preserve">OMB No. 0920-0950 </w:t>
      </w:r>
    </w:p>
    <w:p w:rsidRPr="00DC467E" w:rsidR="008042EE" w:rsidP="008042EE" w:rsidRDefault="008042EE" w14:paraId="264B1F30" w14:textId="2AD9ABF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r w:rsidRPr="00DC467E">
        <w:rPr>
          <w:rFonts w:asciiTheme="minorHAnsi" w:hAnsiTheme="minorHAnsi"/>
          <w:color w:val="000000"/>
          <w:sz w:val="28"/>
          <w:szCs w:val="28"/>
        </w:rPr>
        <w:t>(Expiration: 04/30/2023)</w:t>
      </w:r>
    </w:p>
    <w:p w:rsidRPr="00DC467E" w:rsidR="008042EE" w:rsidP="008042EE" w:rsidRDefault="008042EE" w14:paraId="2AF84B4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p>
    <w:p w:rsidRPr="00DC467E" w:rsidR="008042EE" w:rsidP="008042EE" w:rsidRDefault="008042EE" w14:paraId="126CD0A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p>
    <w:p w:rsidRPr="00DC467E" w:rsidR="008042EE" w:rsidP="008042EE" w:rsidRDefault="008042EE" w14:paraId="738CE1F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p>
    <w:p w:rsidRPr="00DC467E" w:rsidR="008042EE" w:rsidP="008042EE" w:rsidRDefault="008042EE" w14:paraId="7EC6B2D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p>
    <w:p w:rsidRPr="00DC467E" w:rsidR="008042EE" w:rsidP="008042EE" w:rsidRDefault="008042EE" w14:paraId="27C920E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p>
    <w:p w:rsidRPr="00DC467E" w:rsidR="008042EE" w:rsidP="008042EE" w:rsidRDefault="008042EE" w14:paraId="6A001C8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p>
    <w:p w:rsidRPr="00DC467E" w:rsidR="008042EE" w:rsidP="008042EE" w:rsidRDefault="008042EE" w14:paraId="215436E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r w:rsidRPr="00DC467E">
        <w:rPr>
          <w:rFonts w:asciiTheme="minorHAnsi" w:hAnsiTheme="minorHAnsi"/>
          <w:color w:val="000000"/>
          <w:sz w:val="28"/>
          <w:szCs w:val="28"/>
        </w:rPr>
        <w:t>Contact Information:</w:t>
      </w:r>
    </w:p>
    <w:p w:rsidRPr="00DC467E" w:rsidR="008042EE" w:rsidP="008042EE" w:rsidRDefault="008042EE" w14:paraId="36C9E73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p>
    <w:p w:rsidRPr="00DC467E" w:rsidR="008042EE" w:rsidP="008042EE" w:rsidRDefault="00722BAC" w14:paraId="7AB74F5D" w14:textId="7695DBB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r w:rsidRPr="00DC467E">
        <w:rPr>
          <w:rFonts w:asciiTheme="minorHAnsi" w:hAnsiTheme="minorHAnsi"/>
          <w:color w:val="000000"/>
          <w:sz w:val="28"/>
          <w:szCs w:val="28"/>
        </w:rPr>
        <w:t>David Woodwell, MPH</w:t>
      </w:r>
    </w:p>
    <w:p w:rsidRPr="00DC467E" w:rsidR="008042EE" w:rsidP="008042EE" w:rsidRDefault="008042EE" w14:paraId="656C99B2" w14:textId="03AB6C2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r w:rsidRPr="00DC467E">
        <w:rPr>
          <w:rFonts w:asciiTheme="minorHAnsi" w:hAnsiTheme="minorHAnsi"/>
          <w:color w:val="000000"/>
          <w:sz w:val="28"/>
          <w:szCs w:val="28"/>
        </w:rPr>
        <w:t xml:space="preserve">Branch Chief, </w:t>
      </w:r>
      <w:r w:rsidRPr="00DC467E" w:rsidR="00722BAC">
        <w:rPr>
          <w:rFonts w:asciiTheme="minorHAnsi" w:hAnsiTheme="minorHAnsi"/>
          <w:color w:val="000000"/>
          <w:sz w:val="28"/>
          <w:szCs w:val="28"/>
        </w:rPr>
        <w:t>Planning</w:t>
      </w:r>
      <w:r w:rsidRPr="00DC467E">
        <w:rPr>
          <w:rFonts w:asciiTheme="minorHAnsi" w:hAnsiTheme="minorHAnsi"/>
          <w:color w:val="000000"/>
          <w:sz w:val="28"/>
          <w:szCs w:val="28"/>
        </w:rPr>
        <w:t xml:space="preserve"> Branch</w:t>
      </w:r>
    </w:p>
    <w:p w:rsidRPr="00DC467E" w:rsidR="008042EE" w:rsidP="008042EE" w:rsidRDefault="00722BAC" w14:paraId="125125B2" w14:textId="0D496CC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r w:rsidRPr="00DC467E">
        <w:rPr>
          <w:rFonts w:asciiTheme="minorHAnsi" w:hAnsiTheme="minorHAnsi"/>
          <w:color w:val="000000"/>
          <w:sz w:val="28"/>
          <w:szCs w:val="28"/>
        </w:rPr>
        <w:t>National Health and Nutrition Examination Survey</w:t>
      </w:r>
    </w:p>
    <w:p w:rsidRPr="00DC467E" w:rsidR="008042EE" w:rsidP="008042EE" w:rsidRDefault="008042EE" w14:paraId="4E1FE3F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r w:rsidRPr="00DC467E">
        <w:rPr>
          <w:rFonts w:asciiTheme="minorHAnsi" w:hAnsiTheme="minorHAnsi"/>
          <w:color w:val="000000"/>
          <w:sz w:val="28"/>
          <w:szCs w:val="28"/>
        </w:rPr>
        <w:t>National Center for Health Statistics</w:t>
      </w:r>
    </w:p>
    <w:p w:rsidRPr="00DC467E" w:rsidR="008042EE" w:rsidP="008042EE" w:rsidRDefault="008042EE" w14:paraId="3878A34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r w:rsidRPr="00DC467E">
        <w:rPr>
          <w:rFonts w:asciiTheme="minorHAnsi" w:hAnsiTheme="minorHAnsi"/>
          <w:color w:val="000000"/>
          <w:sz w:val="28"/>
          <w:szCs w:val="28"/>
        </w:rPr>
        <w:t>Centers for Disease Control and Prevention</w:t>
      </w:r>
    </w:p>
    <w:p w:rsidRPr="00DC467E" w:rsidR="008042EE" w:rsidP="008042EE" w:rsidRDefault="008042EE" w14:paraId="071D28B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r w:rsidRPr="00DC467E">
        <w:rPr>
          <w:rFonts w:asciiTheme="minorHAnsi" w:hAnsiTheme="minorHAnsi"/>
          <w:color w:val="000000"/>
          <w:sz w:val="28"/>
          <w:szCs w:val="28"/>
        </w:rPr>
        <w:t>3311 Toledo Road</w:t>
      </w:r>
    </w:p>
    <w:p w:rsidRPr="00DC467E" w:rsidR="008042EE" w:rsidP="008042EE" w:rsidRDefault="008042EE" w14:paraId="04AF143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r w:rsidRPr="00DC467E">
        <w:rPr>
          <w:rFonts w:asciiTheme="minorHAnsi" w:hAnsiTheme="minorHAnsi"/>
          <w:color w:val="000000"/>
          <w:sz w:val="28"/>
          <w:szCs w:val="28"/>
        </w:rPr>
        <w:t>Hyattsville, MD  20782</w:t>
      </w:r>
    </w:p>
    <w:p w:rsidRPr="00DC467E" w:rsidR="008042EE" w:rsidP="008042EE" w:rsidRDefault="008042EE" w14:paraId="4BA6B2B5" w14:textId="6304FBE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r w:rsidRPr="00DC467E">
        <w:rPr>
          <w:rFonts w:asciiTheme="minorHAnsi" w:hAnsiTheme="minorHAnsi"/>
          <w:color w:val="000000"/>
          <w:sz w:val="28"/>
          <w:szCs w:val="28"/>
        </w:rPr>
        <w:t>301-458-4</w:t>
      </w:r>
      <w:r w:rsidRPr="00DC467E" w:rsidR="00722BAC">
        <w:rPr>
          <w:rFonts w:asciiTheme="minorHAnsi" w:hAnsiTheme="minorHAnsi"/>
          <w:color w:val="000000"/>
          <w:sz w:val="28"/>
          <w:szCs w:val="28"/>
        </w:rPr>
        <w:t>327</w:t>
      </w:r>
    </w:p>
    <w:p w:rsidRPr="00DC467E" w:rsidR="008042EE" w:rsidP="008042EE" w:rsidRDefault="008042EE" w14:paraId="55229CD9" w14:textId="7E1A04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rPr>
      </w:pPr>
      <w:r w:rsidRPr="00DC467E">
        <w:rPr>
          <w:rFonts w:asciiTheme="minorHAnsi" w:hAnsiTheme="minorHAnsi"/>
          <w:color w:val="000000"/>
          <w:sz w:val="28"/>
          <w:szCs w:val="28"/>
        </w:rPr>
        <w:t>301-458-40</w:t>
      </w:r>
      <w:r w:rsidRPr="00DC467E" w:rsidR="00722BAC">
        <w:rPr>
          <w:rFonts w:asciiTheme="minorHAnsi" w:hAnsiTheme="minorHAnsi"/>
          <w:color w:val="000000"/>
          <w:sz w:val="28"/>
          <w:szCs w:val="28"/>
        </w:rPr>
        <w:t>28</w:t>
      </w:r>
      <w:r w:rsidRPr="00DC467E">
        <w:rPr>
          <w:rFonts w:asciiTheme="minorHAnsi" w:hAnsiTheme="minorHAnsi"/>
          <w:color w:val="000000"/>
          <w:sz w:val="28"/>
          <w:szCs w:val="28"/>
        </w:rPr>
        <w:t xml:space="preserve"> (fax)</w:t>
      </w:r>
    </w:p>
    <w:p w:rsidRPr="00DC467E" w:rsidR="008042EE" w:rsidP="008042EE" w:rsidRDefault="00722BAC" w14:paraId="2BE81B88" w14:textId="6F19911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u w:val="single"/>
        </w:rPr>
      </w:pPr>
      <w:r w:rsidRPr="00DC467E">
        <w:rPr>
          <w:rFonts w:asciiTheme="minorHAnsi" w:hAnsiTheme="minorHAnsi"/>
          <w:color w:val="000000"/>
          <w:sz w:val="28"/>
          <w:szCs w:val="28"/>
          <w:u w:val="single"/>
        </w:rPr>
        <w:t>DWoodwell</w:t>
      </w:r>
      <w:r w:rsidRPr="00DC467E" w:rsidR="008042EE">
        <w:rPr>
          <w:rFonts w:asciiTheme="minorHAnsi" w:hAnsiTheme="minorHAnsi"/>
          <w:color w:val="000000"/>
          <w:sz w:val="28"/>
          <w:szCs w:val="28"/>
          <w:u w:val="single"/>
        </w:rPr>
        <w:t>@cdc.gov</w:t>
      </w:r>
    </w:p>
    <w:p w:rsidRPr="00DC467E" w:rsidR="008042EE" w:rsidP="008042EE" w:rsidRDefault="008042EE" w14:paraId="0274FD1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000000"/>
          <w:sz w:val="28"/>
          <w:szCs w:val="28"/>
          <w:u w:val="single"/>
        </w:rPr>
      </w:pPr>
    </w:p>
    <w:p w:rsidRPr="00DC467E" w:rsidR="008042EE" w:rsidP="008042EE" w:rsidRDefault="00766E76" w14:paraId="5D1CFB52" w14:textId="463543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color w:val="000000"/>
          <w:sz w:val="28"/>
          <w:szCs w:val="28"/>
        </w:rPr>
      </w:pPr>
      <w:r>
        <w:rPr>
          <w:rFonts w:asciiTheme="minorHAnsi" w:hAnsiTheme="minorHAnsi"/>
          <w:color w:val="000000"/>
          <w:sz w:val="28"/>
          <w:szCs w:val="28"/>
        </w:rPr>
        <w:t>May 11</w:t>
      </w:r>
      <w:r w:rsidRPr="00DC467E" w:rsidR="00722BAC">
        <w:rPr>
          <w:rFonts w:asciiTheme="minorHAnsi" w:hAnsiTheme="minorHAnsi"/>
          <w:color w:val="000000"/>
          <w:sz w:val="28"/>
          <w:szCs w:val="28"/>
        </w:rPr>
        <w:t>, 202</w:t>
      </w:r>
      <w:r w:rsidR="00EC6C85">
        <w:rPr>
          <w:rFonts w:asciiTheme="minorHAnsi" w:hAnsiTheme="minorHAnsi"/>
          <w:color w:val="000000"/>
          <w:sz w:val="28"/>
          <w:szCs w:val="28"/>
        </w:rPr>
        <w:t>2</w:t>
      </w:r>
    </w:p>
    <w:p w:rsidRPr="00DC467E" w:rsidR="004219C6" w:rsidP="008042EE" w:rsidRDefault="004219C6" w14:paraId="254E2F7F" w14:textId="482880E7">
      <w:pPr>
        <w:jc w:val="center"/>
        <w:rPr>
          <w:rFonts w:cs="Times New Roman" w:asciiTheme="minorHAnsi" w:hAnsiTheme="minorHAnsi"/>
          <w:b/>
        </w:rPr>
      </w:pPr>
    </w:p>
    <w:p w:rsidRPr="0005599E" w:rsidR="004219C6" w:rsidP="008042EE" w:rsidRDefault="004219C6" w14:paraId="4380D61B" w14:textId="77777777">
      <w:pPr>
        <w:jc w:val="center"/>
        <w:rPr>
          <w:rFonts w:ascii="Times New Roman" w:hAnsi="Times New Roman" w:cs="Times New Roman"/>
          <w:b/>
        </w:rPr>
      </w:pPr>
    </w:p>
    <w:p w:rsidRPr="0005599E" w:rsidR="004219C6" w:rsidP="008042EE" w:rsidRDefault="004219C6" w14:paraId="40A2A1C6" w14:textId="77777777">
      <w:pPr>
        <w:jc w:val="center"/>
        <w:rPr>
          <w:rFonts w:ascii="Times New Roman" w:hAnsi="Times New Roman" w:cs="Times New Roman"/>
          <w:b/>
        </w:rPr>
      </w:pPr>
    </w:p>
    <w:p w:rsidRPr="0005599E" w:rsidR="004219C6" w:rsidP="008042EE" w:rsidRDefault="004219C6" w14:paraId="3A250C36" w14:textId="77777777">
      <w:pPr>
        <w:jc w:val="center"/>
        <w:rPr>
          <w:rFonts w:ascii="Times New Roman" w:hAnsi="Times New Roman" w:cs="Times New Roman"/>
          <w:b/>
        </w:rPr>
      </w:pPr>
    </w:p>
    <w:p w:rsidRPr="0005599E" w:rsidR="004219C6" w:rsidP="008042EE" w:rsidRDefault="004219C6" w14:paraId="3A5240F2" w14:textId="77777777">
      <w:pPr>
        <w:jc w:val="center"/>
        <w:rPr>
          <w:rFonts w:ascii="Times New Roman" w:hAnsi="Times New Roman" w:cs="Times New Roman"/>
          <w:b/>
        </w:rPr>
      </w:pPr>
    </w:p>
    <w:p w:rsidRPr="0005599E" w:rsidR="00371C08" w:rsidP="008042EE" w:rsidRDefault="00371C08" w14:paraId="7A432110" w14:textId="77777777">
      <w:pPr>
        <w:ind w:left="810"/>
        <w:jc w:val="center"/>
        <w:rPr>
          <w:rFonts w:ascii="Times New Roman" w:hAnsi="Times New Roman" w:cs="Times New Roman"/>
        </w:rPr>
      </w:pPr>
    </w:p>
    <w:p w:rsidRPr="008042EE" w:rsidR="00371C08" w:rsidP="008042EE" w:rsidRDefault="00371C08" w14:paraId="7C5855C0" w14:textId="77777777">
      <w:pPr>
        <w:tabs>
          <w:tab w:val="left" w:pos="2070"/>
        </w:tabs>
        <w:jc w:val="center"/>
        <w:rPr>
          <w:rFonts w:ascii="Times New Roman" w:hAnsi="Times New Roman" w:cs="Times New Roman"/>
          <w:sz w:val="28"/>
          <w:szCs w:val="28"/>
        </w:rPr>
      </w:pPr>
    </w:p>
    <w:p w:rsidRPr="0005599E" w:rsidR="00650ACB" w:rsidP="008042EE" w:rsidRDefault="00650ACB" w14:paraId="3E9444E0" w14:textId="77777777">
      <w:pPr>
        <w:jc w:val="center"/>
        <w:rPr>
          <w:rFonts w:ascii="Times New Roman" w:hAnsi="Times New Roman" w:cs="Times New Roman"/>
          <w:b/>
        </w:rPr>
      </w:pPr>
    </w:p>
    <w:p w:rsidRPr="0005599E" w:rsidR="00650ACB" w:rsidP="008042EE" w:rsidRDefault="00650ACB" w14:paraId="59230BF5" w14:textId="77777777">
      <w:pPr>
        <w:jc w:val="center"/>
        <w:rPr>
          <w:rFonts w:ascii="Times New Roman" w:hAnsi="Times New Roman" w:cs="Times New Roman"/>
          <w:b/>
        </w:rPr>
      </w:pPr>
    </w:p>
    <w:p w:rsidRPr="0005599E" w:rsidR="00650ACB" w:rsidP="008042EE" w:rsidRDefault="00650ACB" w14:paraId="308E93E4" w14:textId="77777777">
      <w:pPr>
        <w:jc w:val="center"/>
        <w:rPr>
          <w:rFonts w:ascii="Times New Roman" w:hAnsi="Times New Roman" w:cs="Times New Roman"/>
        </w:rPr>
      </w:pPr>
    </w:p>
    <w:p w:rsidRPr="0005599E" w:rsidR="00650ACB" w:rsidP="008042EE" w:rsidRDefault="00650ACB" w14:paraId="68CC5C28" w14:textId="77777777">
      <w:pPr>
        <w:jc w:val="center"/>
        <w:rPr>
          <w:rFonts w:ascii="Times New Roman" w:hAnsi="Times New Roman" w:cs="Times New Roman"/>
        </w:rPr>
      </w:pPr>
    </w:p>
    <w:p w:rsidR="006B61E0" w:rsidP="005B1434" w:rsidRDefault="006B61E0" w14:paraId="385B363B" w14:textId="77777777">
      <w:pPr>
        <w:rPr>
          <w:rFonts w:ascii="Times New Roman" w:hAnsi="Times New Roman" w:cs="Times New Roman"/>
        </w:rPr>
      </w:pPr>
    </w:p>
    <w:p w:rsidRPr="00DC467E" w:rsidR="007E1305" w:rsidP="007E1305" w:rsidRDefault="007E1305" w14:paraId="21D3995F" w14:textId="664C104E">
      <w:pPr>
        <w:rPr>
          <w:rFonts w:cs="Times New Roman" w:asciiTheme="minorHAnsi" w:hAnsiTheme="minorHAnsi"/>
          <w:b/>
          <w:bCs/>
        </w:rPr>
      </w:pPr>
      <w:r w:rsidRPr="00DC467E">
        <w:rPr>
          <w:rFonts w:cs="Times New Roman" w:asciiTheme="minorHAnsi" w:hAnsiTheme="minorHAnsi"/>
          <w:b/>
          <w:bCs/>
        </w:rPr>
        <w:lastRenderedPageBreak/>
        <w:t xml:space="preserve">Justification </w:t>
      </w:r>
    </w:p>
    <w:p w:rsidRPr="00DC467E" w:rsidR="00BA6BF0" w:rsidP="007E1305" w:rsidRDefault="00BA6BF0" w14:paraId="0F1A8064" w14:textId="77777777">
      <w:pPr>
        <w:rPr>
          <w:rFonts w:cs="Times New Roman" w:asciiTheme="minorHAnsi" w:hAnsiTheme="minorHAnsi"/>
          <w:b/>
          <w:bCs/>
        </w:rPr>
      </w:pPr>
    </w:p>
    <w:p w:rsidRPr="00834DD1" w:rsidR="005C1404" w:rsidP="00F72EE3" w:rsidRDefault="00371C08" w14:paraId="3E62D184" w14:textId="58647B1B">
      <w:pPr>
        <w:pStyle w:val="ListParagraph"/>
        <w:numPr>
          <w:ilvl w:val="0"/>
          <w:numId w:val="18"/>
        </w:numPr>
        <w:rPr>
          <w:rFonts w:cs="Times New Roman" w:asciiTheme="minorHAnsi" w:hAnsiTheme="minorHAnsi"/>
          <w:b/>
          <w:bCs/>
        </w:rPr>
      </w:pPr>
      <w:r w:rsidRPr="00834DD1">
        <w:rPr>
          <w:rFonts w:cs="Times New Roman" w:asciiTheme="minorHAnsi" w:hAnsiTheme="minorHAnsi"/>
          <w:b/>
          <w:bCs/>
        </w:rPr>
        <w:t>Circumstances</w:t>
      </w:r>
      <w:r w:rsidRPr="00834DD1" w:rsidR="00DB31A4">
        <w:rPr>
          <w:rFonts w:cs="Times New Roman" w:asciiTheme="minorHAnsi" w:hAnsiTheme="minorHAnsi"/>
          <w:b/>
          <w:bCs/>
        </w:rPr>
        <w:t xml:space="preserve"> making the collection of information necessary</w:t>
      </w:r>
      <w:r w:rsidRPr="00834DD1">
        <w:rPr>
          <w:rFonts w:cs="Times New Roman" w:asciiTheme="minorHAnsi" w:hAnsiTheme="minorHAnsi"/>
          <w:b/>
          <w:bCs/>
        </w:rPr>
        <w:t xml:space="preserve"> </w:t>
      </w:r>
    </w:p>
    <w:p w:rsidRPr="00834DD1" w:rsidR="005C1404" w:rsidP="00F72EE3" w:rsidRDefault="005C1404" w14:paraId="2A2871F1" w14:textId="77777777">
      <w:pPr>
        <w:rPr>
          <w:rFonts w:cs="Times New Roman" w:asciiTheme="minorHAnsi" w:hAnsiTheme="minorHAnsi"/>
        </w:rPr>
      </w:pPr>
    </w:p>
    <w:p w:rsidRPr="00DC467E" w:rsidR="004F197F" w:rsidP="00F72EE3" w:rsidRDefault="00F72EE3" w14:paraId="25ACA599" w14:textId="4574B544">
      <w:pPr>
        <w:rPr>
          <w:rFonts w:cs="Times New Roman" w:asciiTheme="minorHAnsi" w:hAnsiTheme="minorHAnsi"/>
        </w:rPr>
      </w:pPr>
      <w:r w:rsidRPr="00834DD1">
        <w:rPr>
          <w:rFonts w:cs="Times New Roman" w:asciiTheme="minorHAnsi" w:hAnsiTheme="minorHAnsi"/>
        </w:rPr>
        <w:t>This</w:t>
      </w:r>
      <w:r w:rsidRPr="00834DD1" w:rsidR="00857FA6">
        <w:rPr>
          <w:rFonts w:cs="Times New Roman" w:asciiTheme="minorHAnsi" w:hAnsiTheme="minorHAnsi"/>
        </w:rPr>
        <w:t xml:space="preserve"> request</w:t>
      </w:r>
      <w:r w:rsidRPr="00834DD1">
        <w:rPr>
          <w:rFonts w:cs="Times New Roman" w:asciiTheme="minorHAnsi" w:hAnsiTheme="minorHAnsi"/>
        </w:rPr>
        <w:t xml:space="preserve"> is </w:t>
      </w:r>
      <w:r w:rsidRPr="00834DD1" w:rsidR="00857FA6">
        <w:rPr>
          <w:rFonts w:cs="Times New Roman" w:asciiTheme="minorHAnsi" w:hAnsiTheme="minorHAnsi"/>
        </w:rPr>
        <w:t>for a</w:t>
      </w:r>
      <w:r w:rsidRPr="00834DD1">
        <w:rPr>
          <w:rFonts w:cs="Times New Roman" w:asciiTheme="minorHAnsi" w:hAnsiTheme="minorHAnsi"/>
        </w:rPr>
        <w:t xml:space="preserve"> non</w:t>
      </w:r>
      <w:r w:rsidRPr="00834DD1" w:rsidR="00DB31A4">
        <w:rPr>
          <w:rFonts w:cs="Times New Roman" w:asciiTheme="minorHAnsi" w:hAnsiTheme="minorHAnsi"/>
        </w:rPr>
        <w:t>-</w:t>
      </w:r>
      <w:r w:rsidRPr="00834DD1">
        <w:rPr>
          <w:rFonts w:cs="Times New Roman" w:asciiTheme="minorHAnsi" w:hAnsiTheme="minorHAnsi"/>
        </w:rPr>
        <w:t>substantive change to the National Health and Nutrition Examination Survey (NHANES) (OMB No. 0920-0950, Exp. Date 04/30/2023), conducted by the National Center for Health Statistics (</w:t>
      </w:r>
      <w:r w:rsidRPr="00834DD1" w:rsidR="00792393">
        <w:rPr>
          <w:rFonts w:cs="Times New Roman" w:asciiTheme="minorHAnsi" w:hAnsiTheme="minorHAnsi"/>
        </w:rPr>
        <w:t>NCHS)</w:t>
      </w:r>
      <w:r w:rsidRPr="00834DD1">
        <w:rPr>
          <w:rFonts w:cs="Times New Roman" w:asciiTheme="minorHAnsi" w:hAnsiTheme="minorHAnsi"/>
        </w:rPr>
        <w:t xml:space="preserve">, Centers for Disease Control and Prevention (CDC). </w:t>
      </w:r>
      <w:r w:rsidRPr="00834DD1" w:rsidR="004F197F">
        <w:rPr>
          <w:rFonts w:cs="Times New Roman" w:asciiTheme="minorHAnsi" w:hAnsiTheme="minorHAnsi"/>
        </w:rPr>
        <w:t>NHANES is conducted annually.</w:t>
      </w:r>
      <w:r w:rsidRPr="00DC467E" w:rsidR="00185A9F">
        <w:rPr>
          <w:rFonts w:cs="Times New Roman" w:asciiTheme="minorHAnsi" w:hAnsiTheme="minorHAnsi"/>
        </w:rPr>
        <w:t xml:space="preserve"> </w:t>
      </w:r>
      <w:r w:rsidRPr="00DC467E" w:rsidR="00E728CD">
        <w:rPr>
          <w:rFonts w:cs="Times New Roman" w:asciiTheme="minorHAnsi" w:hAnsiTheme="minorHAnsi"/>
        </w:rPr>
        <w:t>The NHANES consists of three primary methods of data collection: the personal interviews, the physical examination</w:t>
      </w:r>
      <w:r w:rsidRPr="00DC467E" w:rsidR="00847B29">
        <w:rPr>
          <w:rFonts w:cs="Times New Roman" w:asciiTheme="minorHAnsi" w:hAnsiTheme="minorHAnsi"/>
        </w:rPr>
        <w:t>s</w:t>
      </w:r>
      <w:r w:rsidRPr="00DC467E" w:rsidR="00E728CD">
        <w:rPr>
          <w:rFonts w:cs="Times New Roman" w:asciiTheme="minorHAnsi" w:hAnsiTheme="minorHAnsi"/>
        </w:rPr>
        <w:t xml:space="preserve"> (conducted in the Mobile Examination Center (MEC)) </w:t>
      </w:r>
      <w:r w:rsidRPr="00DC467E" w:rsidR="00DE2AD5">
        <w:rPr>
          <w:rFonts w:cs="Times New Roman" w:asciiTheme="minorHAnsi" w:hAnsiTheme="minorHAnsi"/>
        </w:rPr>
        <w:t>including laboratory assessments</w:t>
      </w:r>
      <w:r w:rsidRPr="00DC467E" w:rsidR="002679EE">
        <w:rPr>
          <w:rFonts w:cs="Times New Roman" w:asciiTheme="minorHAnsi" w:hAnsiTheme="minorHAnsi"/>
        </w:rPr>
        <w:t>,</w:t>
      </w:r>
      <w:r w:rsidRPr="00DC467E" w:rsidR="00DE2AD5">
        <w:rPr>
          <w:rFonts w:cs="Times New Roman" w:asciiTheme="minorHAnsi" w:hAnsiTheme="minorHAnsi"/>
        </w:rPr>
        <w:t xml:space="preserve"> </w:t>
      </w:r>
      <w:r w:rsidRPr="00DC467E" w:rsidR="00E728CD">
        <w:rPr>
          <w:rFonts w:cs="Times New Roman" w:asciiTheme="minorHAnsi" w:hAnsiTheme="minorHAnsi"/>
        </w:rPr>
        <w:t xml:space="preserve">and follow-up interviews </w:t>
      </w:r>
      <w:r w:rsidRPr="00DC467E" w:rsidR="00DE2AD5">
        <w:rPr>
          <w:rFonts w:cs="Times New Roman" w:asciiTheme="minorHAnsi" w:hAnsiTheme="minorHAnsi"/>
        </w:rPr>
        <w:t xml:space="preserve">that take place </w:t>
      </w:r>
      <w:r w:rsidRPr="00DC467E" w:rsidR="00E728CD">
        <w:rPr>
          <w:rFonts w:cs="Times New Roman" w:asciiTheme="minorHAnsi" w:hAnsiTheme="minorHAnsi"/>
        </w:rPr>
        <w:t>after the exa</w:t>
      </w:r>
      <w:r w:rsidRPr="00DC467E" w:rsidR="00DE2AD5">
        <w:rPr>
          <w:rFonts w:cs="Times New Roman" w:asciiTheme="minorHAnsi" w:hAnsiTheme="minorHAnsi"/>
        </w:rPr>
        <w:t>minations</w:t>
      </w:r>
      <w:r w:rsidRPr="00DC467E" w:rsidR="00E728CD">
        <w:rPr>
          <w:rFonts w:cs="Times New Roman" w:asciiTheme="minorHAnsi" w:hAnsiTheme="minorHAnsi"/>
        </w:rPr>
        <w:t xml:space="preserve">. </w:t>
      </w:r>
      <w:r w:rsidRPr="00DC467E" w:rsidR="00185A9F">
        <w:rPr>
          <w:rFonts w:cs="Times New Roman" w:asciiTheme="minorHAnsi" w:hAnsiTheme="minorHAnsi"/>
        </w:rPr>
        <w:t xml:space="preserve">A major advantage of continuous NHANES data collection is the ability to address emerging public health issues and provide objective data on health conditions and issues by </w:t>
      </w:r>
      <w:r w:rsidRPr="00DC467E" w:rsidR="00847B29">
        <w:rPr>
          <w:rFonts w:cs="Times New Roman" w:asciiTheme="minorHAnsi" w:hAnsiTheme="minorHAnsi"/>
        </w:rPr>
        <w:t>adding/</w:t>
      </w:r>
      <w:r w:rsidRPr="00DC467E" w:rsidR="00185A9F">
        <w:rPr>
          <w:rFonts w:cs="Times New Roman" w:asciiTheme="minorHAnsi" w:hAnsiTheme="minorHAnsi"/>
        </w:rPr>
        <w:t xml:space="preserve">changing/modifying survey content. </w:t>
      </w:r>
    </w:p>
    <w:p w:rsidRPr="00DC467E" w:rsidR="004F197F" w:rsidP="00F72EE3" w:rsidRDefault="004F197F" w14:paraId="6813E64C" w14:textId="77777777">
      <w:pPr>
        <w:rPr>
          <w:rFonts w:cs="Times New Roman" w:asciiTheme="minorHAnsi" w:hAnsiTheme="minorHAnsi"/>
        </w:rPr>
      </w:pPr>
    </w:p>
    <w:p w:rsidRPr="00DC467E" w:rsidR="00F72EE3" w:rsidP="00F72EE3" w:rsidRDefault="00F72EE3" w14:paraId="0E71C1CC" w14:textId="2FE1BCBC">
      <w:pPr>
        <w:rPr>
          <w:rFonts w:cs="Times New Roman" w:asciiTheme="minorHAnsi" w:hAnsiTheme="minorHAnsi"/>
        </w:rPr>
      </w:pPr>
      <w:r w:rsidRPr="00DC467E">
        <w:rPr>
          <w:rFonts w:cs="Times New Roman" w:asciiTheme="minorHAnsi" w:hAnsiTheme="minorHAnsi"/>
        </w:rPr>
        <w:t xml:space="preserve">On April 12, 2021, OMB approved the </w:t>
      </w:r>
      <w:r w:rsidRPr="00DC467E" w:rsidR="00A77230">
        <w:rPr>
          <w:rFonts w:cs="Times New Roman" w:asciiTheme="minorHAnsi" w:hAnsiTheme="minorHAnsi"/>
        </w:rPr>
        <w:t xml:space="preserve">NHANES </w:t>
      </w:r>
      <w:r w:rsidRPr="00DC467E">
        <w:rPr>
          <w:rFonts w:cs="Times New Roman" w:asciiTheme="minorHAnsi" w:hAnsiTheme="minorHAnsi"/>
        </w:rPr>
        <w:t>2021 – 2022 data collection</w:t>
      </w:r>
      <w:r w:rsidRPr="00DC467E" w:rsidR="00C14AC4">
        <w:rPr>
          <w:rFonts w:cs="Times New Roman" w:asciiTheme="minorHAnsi" w:hAnsiTheme="minorHAnsi"/>
        </w:rPr>
        <w:t xml:space="preserve"> cycle</w:t>
      </w:r>
      <w:r w:rsidRPr="00DC467E">
        <w:rPr>
          <w:rFonts w:cs="Times New Roman" w:asciiTheme="minorHAnsi" w:hAnsiTheme="minorHAnsi"/>
        </w:rPr>
        <w:t xml:space="preserve">. The supporting statements requested approval to 1) collect data in years 2021-2022 with modifications to adapt the survey due to the </w:t>
      </w:r>
      <w:r w:rsidRPr="00DC467E" w:rsidR="00792393">
        <w:rPr>
          <w:rFonts w:cs="Times New Roman" w:asciiTheme="minorHAnsi" w:hAnsiTheme="minorHAnsi"/>
        </w:rPr>
        <w:t>coronavirus disease (</w:t>
      </w:r>
      <w:r w:rsidRPr="00DC467E">
        <w:rPr>
          <w:rFonts w:cs="Times New Roman" w:asciiTheme="minorHAnsi" w:hAnsiTheme="minorHAnsi"/>
        </w:rPr>
        <w:t>COVID-19</w:t>
      </w:r>
      <w:r w:rsidRPr="00DC467E" w:rsidR="00792393">
        <w:rPr>
          <w:rFonts w:cs="Times New Roman" w:asciiTheme="minorHAnsi" w:hAnsiTheme="minorHAnsi"/>
        </w:rPr>
        <w:t>)</w:t>
      </w:r>
      <w:r w:rsidRPr="00DC467E">
        <w:rPr>
          <w:rFonts w:cs="Times New Roman" w:asciiTheme="minorHAnsi" w:hAnsiTheme="minorHAnsi"/>
        </w:rPr>
        <w:t xml:space="preserve"> pandemic and related concerns; 2) collect follow-up data and conduct activities related to data collection/processing </w:t>
      </w:r>
      <w:r w:rsidRPr="00DC467E" w:rsidR="00E728CD">
        <w:rPr>
          <w:rFonts w:cs="Times New Roman" w:asciiTheme="minorHAnsi" w:hAnsiTheme="minorHAnsi"/>
        </w:rPr>
        <w:t>into</w:t>
      </w:r>
      <w:r w:rsidRPr="00DC467E">
        <w:rPr>
          <w:rFonts w:cs="Times New Roman" w:asciiTheme="minorHAnsi" w:hAnsiTheme="minorHAnsi"/>
        </w:rPr>
        <w:t xml:space="preserve"> 2023; 3) conduct developmental projects to support data collection for 2023 and beyond; and 4) conduct non-response projects, as needed.</w:t>
      </w:r>
    </w:p>
    <w:p w:rsidRPr="00DC467E" w:rsidR="00F72EE3" w:rsidP="00F72EE3" w:rsidRDefault="00F72EE3" w14:paraId="3D247578" w14:textId="77777777">
      <w:pPr>
        <w:rPr>
          <w:rFonts w:cs="Times New Roman" w:asciiTheme="minorHAnsi" w:hAnsiTheme="minorHAnsi"/>
        </w:rPr>
      </w:pPr>
    </w:p>
    <w:p w:rsidR="00CA648B" w:rsidP="00F72EE3" w:rsidRDefault="00625988" w14:paraId="1AD455F4" w14:textId="5AD48B89">
      <w:pPr>
        <w:rPr>
          <w:rFonts w:cs="Times New Roman" w:asciiTheme="minorHAnsi" w:hAnsiTheme="minorHAnsi"/>
        </w:rPr>
      </w:pPr>
      <w:r>
        <w:rPr>
          <w:rFonts w:cs="Times New Roman" w:asciiTheme="minorHAnsi" w:hAnsiTheme="minorHAnsi"/>
        </w:rPr>
        <w:t>Using preliminary data from the first 4 completed location</w:t>
      </w:r>
      <w:r w:rsidR="00F01CAE">
        <w:rPr>
          <w:rFonts w:cs="Times New Roman" w:asciiTheme="minorHAnsi" w:hAnsiTheme="minorHAnsi"/>
        </w:rPr>
        <w:t>s</w:t>
      </w:r>
      <w:r>
        <w:rPr>
          <w:rFonts w:cs="Times New Roman" w:asciiTheme="minorHAnsi" w:hAnsiTheme="minorHAnsi"/>
        </w:rPr>
        <w:t xml:space="preserve"> of the 2021-</w:t>
      </w:r>
      <w:r w:rsidR="00BD5C2B">
        <w:rPr>
          <w:rFonts w:cs="Times New Roman" w:asciiTheme="minorHAnsi" w:hAnsiTheme="minorHAnsi"/>
        </w:rPr>
        <w:t>20</w:t>
      </w:r>
      <w:r>
        <w:rPr>
          <w:rFonts w:cs="Times New Roman" w:asciiTheme="minorHAnsi" w:hAnsiTheme="minorHAnsi"/>
        </w:rPr>
        <w:t>22</w:t>
      </w:r>
      <w:r w:rsidR="00F01CAE">
        <w:rPr>
          <w:rFonts w:cs="Times New Roman" w:asciiTheme="minorHAnsi" w:hAnsiTheme="minorHAnsi"/>
        </w:rPr>
        <w:t xml:space="preserve"> </w:t>
      </w:r>
      <w:r>
        <w:rPr>
          <w:rFonts w:cs="Times New Roman" w:asciiTheme="minorHAnsi" w:hAnsiTheme="minorHAnsi"/>
        </w:rPr>
        <w:t xml:space="preserve">cycle, the interview response rate (RR) </w:t>
      </w:r>
      <w:r w:rsidR="00192F8E">
        <w:rPr>
          <w:rFonts w:cs="Times New Roman" w:asciiTheme="minorHAnsi" w:hAnsiTheme="minorHAnsi"/>
        </w:rPr>
        <w:t>was</w:t>
      </w:r>
      <w:r>
        <w:rPr>
          <w:rFonts w:cs="Times New Roman" w:asciiTheme="minorHAnsi" w:hAnsiTheme="minorHAnsi"/>
        </w:rPr>
        <w:t xml:space="preserve"> 56%, which is comparable to the interview RR observed during the 2019-202</w:t>
      </w:r>
      <w:r w:rsidR="00192F8E">
        <w:rPr>
          <w:rFonts w:cs="Times New Roman" w:asciiTheme="minorHAnsi" w:hAnsiTheme="minorHAnsi"/>
        </w:rPr>
        <w:t>0</w:t>
      </w:r>
      <w:r>
        <w:rPr>
          <w:rFonts w:cs="Times New Roman" w:asciiTheme="minorHAnsi" w:hAnsiTheme="minorHAnsi"/>
        </w:rPr>
        <w:t xml:space="preserve"> NHANES cycle</w:t>
      </w:r>
      <w:r w:rsidR="00F01CAE">
        <w:rPr>
          <w:rFonts w:cs="Times New Roman" w:asciiTheme="minorHAnsi" w:hAnsiTheme="minorHAnsi"/>
        </w:rPr>
        <w:t xml:space="preserve">. However, </w:t>
      </w:r>
      <w:r w:rsidR="00CA648B">
        <w:rPr>
          <w:rFonts w:cs="Times New Roman" w:asciiTheme="minorHAnsi" w:hAnsiTheme="minorHAnsi"/>
        </w:rPr>
        <w:t xml:space="preserve">in these 4 locations, </w:t>
      </w:r>
      <w:r w:rsidR="00F01CAE">
        <w:rPr>
          <w:rFonts w:cs="Times New Roman" w:asciiTheme="minorHAnsi" w:hAnsiTheme="minorHAnsi"/>
        </w:rPr>
        <w:t xml:space="preserve">only 75% </w:t>
      </w:r>
      <w:r w:rsidR="00CE1604">
        <w:rPr>
          <w:rFonts w:cs="Times New Roman" w:asciiTheme="minorHAnsi" w:hAnsiTheme="minorHAnsi"/>
        </w:rPr>
        <w:t xml:space="preserve">or less </w:t>
      </w:r>
      <w:r w:rsidR="00F01CAE">
        <w:rPr>
          <w:rFonts w:cs="Times New Roman" w:asciiTheme="minorHAnsi" w:hAnsiTheme="minorHAnsi"/>
        </w:rPr>
        <w:t>of interviewed participants went on to complete</w:t>
      </w:r>
      <w:r w:rsidR="00192F8E">
        <w:rPr>
          <w:rFonts w:cs="Times New Roman" w:asciiTheme="minorHAnsi" w:hAnsiTheme="minorHAnsi"/>
        </w:rPr>
        <w:t xml:space="preserve"> the</w:t>
      </w:r>
      <w:r w:rsidR="00F01CAE">
        <w:rPr>
          <w:rFonts w:cs="Times New Roman" w:asciiTheme="minorHAnsi" w:hAnsiTheme="minorHAnsi"/>
        </w:rPr>
        <w:t xml:space="preserve"> </w:t>
      </w:r>
      <w:r w:rsidR="00BD5C2B">
        <w:rPr>
          <w:rFonts w:cs="Times New Roman" w:asciiTheme="minorHAnsi" w:hAnsiTheme="minorHAnsi"/>
        </w:rPr>
        <w:t>MEC</w:t>
      </w:r>
      <w:r w:rsidR="00F01CAE">
        <w:rPr>
          <w:rFonts w:cs="Times New Roman" w:asciiTheme="minorHAnsi" w:hAnsiTheme="minorHAnsi"/>
        </w:rPr>
        <w:t xml:space="preserve"> exam (vs. 90% MEC RR in the </w:t>
      </w:r>
      <w:r w:rsidR="00192F8E">
        <w:rPr>
          <w:rFonts w:cs="Times New Roman" w:asciiTheme="minorHAnsi" w:hAnsiTheme="minorHAnsi"/>
        </w:rPr>
        <w:t>previous</w:t>
      </w:r>
      <w:r w:rsidR="00F01CAE">
        <w:rPr>
          <w:rFonts w:cs="Times New Roman" w:asciiTheme="minorHAnsi" w:hAnsiTheme="minorHAnsi"/>
        </w:rPr>
        <w:t xml:space="preserve"> cycle). </w:t>
      </w:r>
      <w:r w:rsidR="00E154E8">
        <w:rPr>
          <w:rFonts w:cs="Times New Roman" w:asciiTheme="minorHAnsi" w:hAnsiTheme="minorHAnsi"/>
        </w:rPr>
        <w:t>NCHS submitted, and OMB approved, a non-substantive change request in January 2022 in efforts to increase participation</w:t>
      </w:r>
      <w:r w:rsidR="00CE1604">
        <w:rPr>
          <w:rFonts w:cs="Times New Roman" w:asciiTheme="minorHAnsi" w:hAnsiTheme="minorHAnsi"/>
        </w:rPr>
        <w:t>.</w:t>
      </w:r>
      <w:r w:rsidR="00CA648B">
        <w:rPr>
          <w:rFonts w:cs="Times New Roman" w:asciiTheme="minorHAnsi" w:hAnsiTheme="minorHAnsi"/>
        </w:rPr>
        <w:t xml:space="preserve"> </w:t>
      </w:r>
      <w:r w:rsidR="00CE1604">
        <w:rPr>
          <w:rFonts w:cs="Times New Roman" w:asciiTheme="minorHAnsi" w:hAnsiTheme="minorHAnsi"/>
        </w:rPr>
        <w:t xml:space="preserve">The specifics of this request include: </w:t>
      </w:r>
    </w:p>
    <w:p w:rsidRPr="00F72641" w:rsidR="00CA648B" w:rsidP="00F72641" w:rsidRDefault="00763B6E" w14:paraId="69A2CE5D" w14:textId="5A8A7038">
      <w:pPr>
        <w:pStyle w:val="ListParagraph"/>
        <w:numPr>
          <w:ilvl w:val="0"/>
          <w:numId w:val="26"/>
        </w:numPr>
        <w:rPr>
          <w:rFonts w:cs="Times New Roman" w:asciiTheme="minorHAnsi" w:hAnsiTheme="minorHAnsi"/>
        </w:rPr>
      </w:pPr>
      <w:r>
        <w:rPr>
          <w:rFonts w:cs="Times New Roman" w:asciiTheme="minorHAnsi" w:hAnsiTheme="minorHAnsi"/>
        </w:rPr>
        <w:t>R</w:t>
      </w:r>
      <w:r w:rsidRPr="00F72641" w:rsidR="00CA648B">
        <w:rPr>
          <w:rFonts w:cs="Times New Roman" w:asciiTheme="minorHAnsi" w:hAnsiTheme="minorHAnsi"/>
        </w:rPr>
        <w:t>estoration of the MEC exam incentive for adults (ages 1</w:t>
      </w:r>
      <w:r w:rsidR="00192F8E">
        <w:rPr>
          <w:rFonts w:cs="Times New Roman" w:asciiTheme="minorHAnsi" w:hAnsiTheme="minorHAnsi"/>
        </w:rPr>
        <w:t>6</w:t>
      </w:r>
      <w:r w:rsidRPr="00F72641" w:rsidR="00CA648B">
        <w:rPr>
          <w:rFonts w:cs="Times New Roman" w:asciiTheme="minorHAnsi" w:hAnsiTheme="minorHAnsi"/>
        </w:rPr>
        <w:t>+) from $85</w:t>
      </w:r>
      <w:r w:rsidR="00CE1604">
        <w:rPr>
          <w:rFonts w:cs="Times New Roman" w:asciiTheme="minorHAnsi" w:hAnsiTheme="minorHAnsi"/>
        </w:rPr>
        <w:t>,</w:t>
      </w:r>
      <w:r w:rsidRPr="00F72641" w:rsidR="00CA648B">
        <w:rPr>
          <w:rFonts w:cs="Times New Roman" w:asciiTheme="minorHAnsi" w:hAnsiTheme="minorHAnsi"/>
        </w:rPr>
        <w:t xml:space="preserve"> that was implemented for 2021 data collection</w:t>
      </w:r>
      <w:r w:rsidR="00CE1604">
        <w:rPr>
          <w:rFonts w:cs="Times New Roman" w:asciiTheme="minorHAnsi" w:hAnsiTheme="minorHAnsi"/>
        </w:rPr>
        <w:t>,</w:t>
      </w:r>
      <w:r w:rsidRPr="00F72641" w:rsidR="00CA648B">
        <w:rPr>
          <w:rFonts w:cs="Times New Roman" w:asciiTheme="minorHAnsi" w:hAnsiTheme="minorHAnsi"/>
        </w:rPr>
        <w:t xml:space="preserve"> to $125 in place from 2009-2020. </w:t>
      </w:r>
      <w:r w:rsidR="00123155">
        <w:rPr>
          <w:rFonts w:cs="Times New Roman" w:asciiTheme="minorHAnsi" w:hAnsiTheme="minorHAnsi"/>
        </w:rPr>
        <w:t xml:space="preserve">This </w:t>
      </w:r>
      <w:r>
        <w:rPr>
          <w:rFonts w:cs="Times New Roman" w:asciiTheme="minorHAnsi" w:hAnsiTheme="minorHAnsi"/>
        </w:rPr>
        <w:t xml:space="preserve">incentive </w:t>
      </w:r>
      <w:r w:rsidRPr="00F72641" w:rsidR="00CA648B">
        <w:rPr>
          <w:rFonts w:cs="Times New Roman" w:asciiTheme="minorHAnsi" w:hAnsiTheme="minorHAnsi"/>
        </w:rPr>
        <w:t xml:space="preserve">increase </w:t>
      </w:r>
      <w:r w:rsidR="00961FB4">
        <w:rPr>
          <w:rFonts w:cs="Times New Roman" w:asciiTheme="minorHAnsi" w:hAnsiTheme="minorHAnsi"/>
        </w:rPr>
        <w:t>was approved for</w:t>
      </w:r>
      <w:r w:rsidRPr="00F72641" w:rsidR="00CA648B">
        <w:rPr>
          <w:rFonts w:cs="Times New Roman" w:asciiTheme="minorHAnsi" w:hAnsiTheme="minorHAnsi"/>
        </w:rPr>
        <w:t xml:space="preserve"> </w:t>
      </w:r>
      <w:r>
        <w:rPr>
          <w:rFonts w:cs="Times New Roman" w:asciiTheme="minorHAnsi" w:hAnsiTheme="minorHAnsi"/>
        </w:rPr>
        <w:t xml:space="preserve">only </w:t>
      </w:r>
      <w:r w:rsidRPr="00F72641" w:rsidR="00CA648B">
        <w:rPr>
          <w:rFonts w:cs="Times New Roman" w:asciiTheme="minorHAnsi" w:hAnsiTheme="minorHAnsi"/>
        </w:rPr>
        <w:t xml:space="preserve">5 NHANES </w:t>
      </w:r>
      <w:r w:rsidR="00F72641">
        <w:rPr>
          <w:rFonts w:cs="Times New Roman" w:asciiTheme="minorHAnsi" w:hAnsiTheme="minorHAnsi"/>
        </w:rPr>
        <w:t>locations</w:t>
      </w:r>
      <w:r>
        <w:rPr>
          <w:rFonts w:cs="Times New Roman" w:asciiTheme="minorHAnsi" w:hAnsiTheme="minorHAnsi"/>
        </w:rPr>
        <w:t>.</w:t>
      </w:r>
    </w:p>
    <w:p w:rsidR="00CA648B" w:rsidP="00CA648B" w:rsidRDefault="00CA648B" w14:paraId="352323A8" w14:textId="07638313">
      <w:pPr>
        <w:rPr>
          <w:rFonts w:cs="Times New Roman" w:asciiTheme="minorHAnsi" w:hAnsiTheme="minorHAnsi"/>
        </w:rPr>
      </w:pPr>
    </w:p>
    <w:p w:rsidR="00CA648B" w:rsidP="00CA648B" w:rsidRDefault="008D3A8F" w14:paraId="0FA8143F" w14:textId="172F8B62">
      <w:pPr>
        <w:rPr>
          <w:rFonts w:cs="Times New Roman" w:asciiTheme="minorHAnsi" w:hAnsiTheme="minorHAnsi"/>
        </w:rPr>
      </w:pPr>
      <w:r>
        <w:rPr>
          <w:rFonts w:cs="Times New Roman" w:asciiTheme="minorHAnsi" w:hAnsiTheme="minorHAnsi"/>
        </w:rPr>
        <w:t xml:space="preserve">Concurrently, </w:t>
      </w:r>
      <w:r w:rsidR="00D22488">
        <w:rPr>
          <w:rFonts w:cs="Times New Roman" w:asciiTheme="minorHAnsi" w:hAnsiTheme="minorHAnsi"/>
        </w:rPr>
        <w:t>NHANES</w:t>
      </w:r>
      <w:r w:rsidR="00F72641">
        <w:rPr>
          <w:rFonts w:cs="Times New Roman" w:asciiTheme="minorHAnsi" w:hAnsiTheme="minorHAnsi"/>
        </w:rPr>
        <w:t xml:space="preserve"> is</w:t>
      </w:r>
      <w:r w:rsidR="00D22488">
        <w:rPr>
          <w:rFonts w:cs="Times New Roman" w:asciiTheme="minorHAnsi" w:hAnsiTheme="minorHAnsi"/>
        </w:rPr>
        <w:t xml:space="preserve"> </w:t>
      </w:r>
      <w:r w:rsidR="00F72641">
        <w:rPr>
          <w:rFonts w:cs="Times New Roman" w:asciiTheme="minorHAnsi" w:hAnsiTheme="minorHAnsi"/>
        </w:rPr>
        <w:t>implementing and optimizing th</w:t>
      </w:r>
      <w:r>
        <w:rPr>
          <w:rFonts w:cs="Times New Roman" w:asciiTheme="minorHAnsi" w:hAnsiTheme="minorHAnsi"/>
        </w:rPr>
        <w:t>e following</w:t>
      </w:r>
      <w:r w:rsidR="00F72641">
        <w:rPr>
          <w:rFonts w:cs="Times New Roman" w:asciiTheme="minorHAnsi" w:hAnsiTheme="minorHAnsi"/>
        </w:rPr>
        <w:t xml:space="preserve"> additional strategies:</w:t>
      </w:r>
    </w:p>
    <w:p w:rsidR="00F72641" w:rsidP="00C14DA6" w:rsidRDefault="005D7129" w14:paraId="380E2A31" w14:textId="1C2BBAB6">
      <w:pPr>
        <w:pStyle w:val="ListParagraph"/>
        <w:numPr>
          <w:ilvl w:val="0"/>
          <w:numId w:val="26"/>
        </w:numPr>
        <w:rPr>
          <w:rFonts w:cs="Times New Roman" w:asciiTheme="minorHAnsi" w:hAnsiTheme="minorHAnsi"/>
        </w:rPr>
      </w:pPr>
      <w:r>
        <w:rPr>
          <w:rFonts w:cs="Times New Roman" w:asciiTheme="minorHAnsi" w:hAnsiTheme="minorHAnsi"/>
        </w:rPr>
        <w:t>Enhanc</w:t>
      </w:r>
      <w:r w:rsidR="005F781C">
        <w:rPr>
          <w:rFonts w:cs="Times New Roman" w:asciiTheme="minorHAnsi" w:hAnsiTheme="minorHAnsi"/>
        </w:rPr>
        <w:t>ing the timing and content of</w:t>
      </w:r>
      <w:r>
        <w:rPr>
          <w:rFonts w:cs="Times New Roman" w:asciiTheme="minorHAnsi" w:hAnsiTheme="minorHAnsi"/>
        </w:rPr>
        <w:t xml:space="preserve"> </w:t>
      </w:r>
      <w:r w:rsidR="00F72641">
        <w:rPr>
          <w:rFonts w:cs="Times New Roman" w:asciiTheme="minorHAnsi" w:hAnsiTheme="minorHAnsi"/>
        </w:rPr>
        <w:t>contact attempts</w:t>
      </w:r>
    </w:p>
    <w:p w:rsidR="00F72641" w:rsidP="00C14DA6" w:rsidRDefault="00F72641" w14:paraId="037265F3" w14:textId="54A6A644">
      <w:pPr>
        <w:pStyle w:val="ListParagraph"/>
        <w:numPr>
          <w:ilvl w:val="0"/>
          <w:numId w:val="26"/>
        </w:numPr>
        <w:rPr>
          <w:rFonts w:cs="Times New Roman" w:asciiTheme="minorHAnsi" w:hAnsiTheme="minorHAnsi"/>
        </w:rPr>
      </w:pPr>
      <w:r>
        <w:rPr>
          <w:rFonts w:cs="Times New Roman" w:asciiTheme="minorHAnsi" w:hAnsiTheme="minorHAnsi"/>
        </w:rPr>
        <w:t>Utiliz</w:t>
      </w:r>
      <w:r w:rsidR="005F781C">
        <w:rPr>
          <w:rFonts w:cs="Times New Roman" w:asciiTheme="minorHAnsi" w:hAnsiTheme="minorHAnsi"/>
        </w:rPr>
        <w:t>ing</w:t>
      </w:r>
      <w:r>
        <w:rPr>
          <w:rFonts w:cs="Times New Roman" w:asciiTheme="minorHAnsi" w:hAnsiTheme="minorHAnsi"/>
        </w:rPr>
        <w:t xml:space="preserve"> study ambassadors, and</w:t>
      </w:r>
    </w:p>
    <w:p w:rsidRPr="00F72641" w:rsidR="00F72641" w:rsidP="00C14DA6" w:rsidRDefault="00F72641" w14:paraId="7E07EC90" w14:textId="59A418E6">
      <w:pPr>
        <w:pStyle w:val="ListParagraph"/>
        <w:numPr>
          <w:ilvl w:val="0"/>
          <w:numId w:val="26"/>
        </w:numPr>
        <w:rPr>
          <w:rFonts w:cs="Times New Roman" w:asciiTheme="minorHAnsi" w:hAnsiTheme="minorHAnsi"/>
        </w:rPr>
      </w:pPr>
      <w:r>
        <w:rPr>
          <w:rFonts w:cs="Times New Roman" w:asciiTheme="minorHAnsi" w:hAnsiTheme="minorHAnsi"/>
        </w:rPr>
        <w:t>Analyz</w:t>
      </w:r>
      <w:r w:rsidR="005F781C">
        <w:rPr>
          <w:rFonts w:cs="Times New Roman" w:asciiTheme="minorHAnsi" w:hAnsiTheme="minorHAnsi"/>
        </w:rPr>
        <w:t>ing</w:t>
      </w:r>
      <w:r>
        <w:rPr>
          <w:rFonts w:cs="Times New Roman" w:asciiTheme="minorHAnsi" w:hAnsiTheme="minorHAnsi"/>
        </w:rPr>
        <w:t xml:space="preserve"> paradata</w:t>
      </w:r>
      <w:r w:rsidR="00931F46">
        <w:rPr>
          <w:rFonts w:cs="Times New Roman" w:asciiTheme="minorHAnsi" w:hAnsiTheme="minorHAnsi"/>
        </w:rPr>
        <w:t xml:space="preserve"> to identify characteristics associated with MEC exam participation, closely assess</w:t>
      </w:r>
      <w:r w:rsidR="005F781C">
        <w:rPr>
          <w:rFonts w:cs="Times New Roman" w:asciiTheme="minorHAnsi" w:hAnsiTheme="minorHAnsi"/>
        </w:rPr>
        <w:t>ing</w:t>
      </w:r>
      <w:r w:rsidR="00931F46">
        <w:rPr>
          <w:rFonts w:cs="Times New Roman" w:asciiTheme="minorHAnsi" w:hAnsiTheme="minorHAnsi"/>
        </w:rPr>
        <w:t xml:space="preserve"> those who missed or canceled appointments</w:t>
      </w:r>
      <w:r w:rsidR="00BF6FB7">
        <w:rPr>
          <w:rFonts w:cs="Times New Roman" w:asciiTheme="minorHAnsi" w:hAnsiTheme="minorHAnsi"/>
        </w:rPr>
        <w:t>,</w:t>
      </w:r>
      <w:r w:rsidR="00931F46">
        <w:rPr>
          <w:rFonts w:cs="Times New Roman" w:asciiTheme="minorHAnsi" w:hAnsiTheme="minorHAnsi"/>
        </w:rPr>
        <w:t xml:space="preserve"> and develop</w:t>
      </w:r>
      <w:r w:rsidR="0077698D">
        <w:rPr>
          <w:rFonts w:cs="Times New Roman" w:asciiTheme="minorHAnsi" w:hAnsiTheme="minorHAnsi"/>
        </w:rPr>
        <w:t>ing</w:t>
      </w:r>
      <w:r w:rsidR="00931F46">
        <w:rPr>
          <w:rFonts w:cs="Times New Roman" w:asciiTheme="minorHAnsi" w:hAnsiTheme="minorHAnsi"/>
        </w:rPr>
        <w:t xml:space="preserve"> targeted recontact strategies and messaging for these groups</w:t>
      </w:r>
    </w:p>
    <w:p w:rsidR="00CA648B" w:rsidP="00F72EE3" w:rsidRDefault="00CA648B" w14:paraId="0B6F9719" w14:textId="1459EBE2">
      <w:pPr>
        <w:rPr>
          <w:rFonts w:cs="Times New Roman" w:asciiTheme="minorHAnsi" w:hAnsiTheme="minorHAnsi"/>
        </w:rPr>
      </w:pPr>
    </w:p>
    <w:p w:rsidR="00F72641" w:rsidP="00F72EE3" w:rsidRDefault="00931F46" w14:paraId="58BAF54C" w14:textId="013E6A60">
      <w:pPr>
        <w:rPr>
          <w:rFonts w:cs="Times New Roman" w:asciiTheme="minorHAnsi" w:hAnsiTheme="minorHAnsi"/>
        </w:rPr>
      </w:pPr>
      <w:r>
        <w:rPr>
          <w:rFonts w:cs="Times New Roman" w:asciiTheme="minorHAnsi" w:hAnsiTheme="minorHAnsi"/>
        </w:rPr>
        <w:t>Th</w:t>
      </w:r>
      <w:r w:rsidR="008D3A8F">
        <w:rPr>
          <w:rFonts w:cs="Times New Roman" w:asciiTheme="minorHAnsi" w:hAnsiTheme="minorHAnsi"/>
        </w:rPr>
        <w:t>is</w:t>
      </w:r>
      <w:r>
        <w:rPr>
          <w:rFonts w:cs="Times New Roman" w:asciiTheme="minorHAnsi" w:hAnsiTheme="minorHAnsi"/>
        </w:rPr>
        <w:t xml:space="preserve"> multi-faceted approach to </w:t>
      </w:r>
      <w:r w:rsidR="00E423B0">
        <w:rPr>
          <w:rFonts w:cs="Times New Roman" w:asciiTheme="minorHAnsi" w:hAnsiTheme="minorHAnsi"/>
        </w:rPr>
        <w:t>increase participation</w:t>
      </w:r>
      <w:r>
        <w:rPr>
          <w:rFonts w:cs="Times New Roman" w:asciiTheme="minorHAnsi" w:hAnsiTheme="minorHAnsi"/>
        </w:rPr>
        <w:t xml:space="preserve"> in the ever-evolving landscape of the COVID-19 pandemic</w:t>
      </w:r>
      <w:r w:rsidR="008D3A8F">
        <w:rPr>
          <w:rFonts w:cs="Times New Roman" w:asciiTheme="minorHAnsi" w:hAnsiTheme="minorHAnsi"/>
        </w:rPr>
        <w:t xml:space="preserve"> is</w:t>
      </w:r>
      <w:r w:rsidR="00D22488">
        <w:rPr>
          <w:rFonts w:cs="Times New Roman" w:asciiTheme="minorHAnsi" w:hAnsiTheme="minorHAnsi"/>
        </w:rPr>
        <w:t xml:space="preserve"> </w:t>
      </w:r>
      <w:r w:rsidR="00192F8E">
        <w:rPr>
          <w:rFonts w:cs="Times New Roman" w:asciiTheme="minorHAnsi" w:hAnsiTheme="minorHAnsi"/>
        </w:rPr>
        <w:t>necessary to</w:t>
      </w:r>
      <w:r w:rsidR="0071632D">
        <w:rPr>
          <w:rFonts w:cs="Times New Roman" w:asciiTheme="minorHAnsi" w:hAnsiTheme="minorHAnsi"/>
        </w:rPr>
        <w:t xml:space="preserve"> </w:t>
      </w:r>
      <w:r w:rsidR="00BD5C2B">
        <w:rPr>
          <w:rFonts w:cs="Times New Roman" w:asciiTheme="minorHAnsi" w:hAnsiTheme="minorHAnsi"/>
        </w:rPr>
        <w:t xml:space="preserve">optimize </w:t>
      </w:r>
      <w:r w:rsidR="00E423B0">
        <w:rPr>
          <w:rFonts w:cs="Times New Roman" w:asciiTheme="minorHAnsi" w:hAnsiTheme="minorHAnsi"/>
        </w:rPr>
        <w:t>response</w:t>
      </w:r>
      <w:r w:rsidR="00BD5C2B">
        <w:rPr>
          <w:rFonts w:cs="Times New Roman" w:asciiTheme="minorHAnsi" w:hAnsiTheme="minorHAnsi"/>
        </w:rPr>
        <w:t xml:space="preserve"> and survey completion</w:t>
      </w:r>
      <w:r w:rsidR="00D22488">
        <w:rPr>
          <w:rFonts w:cs="Times New Roman" w:asciiTheme="minorHAnsi" w:hAnsiTheme="minorHAnsi"/>
        </w:rPr>
        <w:t xml:space="preserve">. To further maximize these efforts, NHANES </w:t>
      </w:r>
      <w:r w:rsidR="00961FB4">
        <w:rPr>
          <w:rFonts w:cs="Times New Roman" w:asciiTheme="minorHAnsi" w:hAnsiTheme="minorHAnsi"/>
        </w:rPr>
        <w:t>is requesting</w:t>
      </w:r>
      <w:r w:rsidR="008D3A8F">
        <w:rPr>
          <w:rFonts w:cs="Times New Roman" w:asciiTheme="minorHAnsi" w:hAnsiTheme="minorHAnsi"/>
        </w:rPr>
        <w:t xml:space="preserve"> OMB</w:t>
      </w:r>
      <w:r w:rsidR="00961FB4">
        <w:rPr>
          <w:rFonts w:cs="Times New Roman" w:asciiTheme="minorHAnsi" w:hAnsiTheme="minorHAnsi"/>
        </w:rPr>
        <w:t xml:space="preserve"> approval to administer </w:t>
      </w:r>
      <w:r w:rsidR="00763B6E">
        <w:rPr>
          <w:rFonts w:cs="Times New Roman" w:asciiTheme="minorHAnsi" w:hAnsiTheme="minorHAnsi"/>
        </w:rPr>
        <w:t xml:space="preserve">the following questionnaires </w:t>
      </w:r>
      <w:r w:rsidR="00961FB4">
        <w:rPr>
          <w:rFonts w:cs="Times New Roman" w:asciiTheme="minorHAnsi" w:hAnsiTheme="minorHAnsi"/>
        </w:rPr>
        <w:t xml:space="preserve">to </w:t>
      </w:r>
      <w:r w:rsidR="00315B6D">
        <w:rPr>
          <w:rFonts w:cs="Times New Roman" w:asciiTheme="minorHAnsi" w:hAnsiTheme="minorHAnsi"/>
        </w:rPr>
        <w:t xml:space="preserve">household interview </w:t>
      </w:r>
      <w:r w:rsidR="00123155">
        <w:rPr>
          <w:rFonts w:cs="Times New Roman" w:asciiTheme="minorHAnsi" w:hAnsiTheme="minorHAnsi"/>
        </w:rPr>
        <w:t xml:space="preserve">respondents </w:t>
      </w:r>
      <w:r w:rsidR="00B148AF">
        <w:rPr>
          <w:rFonts w:cs="Times New Roman" w:asciiTheme="minorHAnsi" w:hAnsiTheme="minorHAnsi"/>
        </w:rPr>
        <w:t xml:space="preserve">who did </w:t>
      </w:r>
      <w:r w:rsidR="00315B6D">
        <w:rPr>
          <w:rFonts w:cs="Times New Roman" w:asciiTheme="minorHAnsi" w:hAnsiTheme="minorHAnsi"/>
        </w:rPr>
        <w:t>or</w:t>
      </w:r>
      <w:r w:rsidR="00B148AF">
        <w:rPr>
          <w:rFonts w:cs="Times New Roman" w:asciiTheme="minorHAnsi" w:hAnsiTheme="minorHAnsi"/>
        </w:rPr>
        <w:t xml:space="preserve"> did not agree to </w:t>
      </w:r>
      <w:r w:rsidR="00042878">
        <w:rPr>
          <w:rFonts w:cs="Times New Roman" w:asciiTheme="minorHAnsi" w:hAnsiTheme="minorHAnsi"/>
        </w:rPr>
        <w:t xml:space="preserve">a </w:t>
      </w:r>
      <w:r w:rsidR="00763B6E">
        <w:rPr>
          <w:rFonts w:cs="Times New Roman" w:asciiTheme="minorHAnsi" w:hAnsiTheme="minorHAnsi"/>
        </w:rPr>
        <w:t xml:space="preserve">MEC exam in the current 2021-2022 cycle: </w:t>
      </w:r>
    </w:p>
    <w:p w:rsidR="001B64E8" w:rsidP="00F72EE3" w:rsidRDefault="001B64E8" w14:paraId="52839D98" w14:textId="77777777">
      <w:pPr>
        <w:rPr>
          <w:rFonts w:cs="Times New Roman" w:asciiTheme="minorHAnsi" w:hAnsiTheme="minorHAnsi"/>
        </w:rPr>
      </w:pPr>
    </w:p>
    <w:p w:rsidRPr="00A74D75" w:rsidR="00961FB4" w:rsidP="00961FB4" w:rsidRDefault="00763B6E" w14:paraId="2BEE4AF1" w14:textId="23D4F0C7">
      <w:pPr>
        <w:pStyle w:val="ListParagraph"/>
        <w:numPr>
          <w:ilvl w:val="0"/>
          <w:numId w:val="27"/>
        </w:numPr>
        <w:rPr>
          <w:rFonts w:cs="Times New Roman" w:asciiTheme="minorHAnsi" w:hAnsiTheme="minorHAnsi"/>
        </w:rPr>
      </w:pPr>
      <w:r>
        <w:rPr>
          <w:rFonts w:cs="Times New Roman" w:asciiTheme="minorHAnsi" w:hAnsiTheme="minorHAnsi"/>
        </w:rPr>
        <w:lastRenderedPageBreak/>
        <w:t xml:space="preserve">Follow-up questionnaire for </w:t>
      </w:r>
      <w:r w:rsidR="00E33AF7">
        <w:rPr>
          <w:rFonts w:cs="Times New Roman" w:asciiTheme="minorHAnsi" w:hAnsiTheme="minorHAnsi"/>
        </w:rPr>
        <w:t xml:space="preserve">interviewed </w:t>
      </w:r>
      <w:r>
        <w:rPr>
          <w:rFonts w:cs="Times New Roman" w:asciiTheme="minorHAnsi" w:hAnsiTheme="minorHAnsi"/>
        </w:rPr>
        <w:t xml:space="preserve">adult (ages 18+) participants who </w:t>
      </w:r>
      <w:r w:rsidRPr="008D3A8F">
        <w:rPr>
          <w:rFonts w:cs="Times New Roman" w:asciiTheme="minorHAnsi" w:hAnsiTheme="minorHAnsi"/>
          <w:b/>
          <w:bCs/>
          <w:i/>
          <w:iCs/>
        </w:rPr>
        <w:t>completed the MEC exam</w:t>
      </w:r>
      <w:r w:rsidR="008D3A8F">
        <w:rPr>
          <w:rFonts w:cs="Times New Roman" w:asciiTheme="minorHAnsi" w:hAnsiTheme="minorHAnsi"/>
          <w:b/>
          <w:bCs/>
          <w:i/>
          <w:iCs/>
        </w:rPr>
        <w:t xml:space="preserve"> (</w:t>
      </w:r>
      <w:r w:rsidR="00E33AF7">
        <w:rPr>
          <w:rFonts w:cs="Times New Roman" w:asciiTheme="minorHAnsi" w:hAnsiTheme="minorHAnsi"/>
          <w:b/>
          <w:bCs/>
          <w:i/>
          <w:iCs/>
        </w:rPr>
        <w:t>referred to as MEC “</w:t>
      </w:r>
      <w:r w:rsidR="008D3A8F">
        <w:rPr>
          <w:rFonts w:cs="Times New Roman" w:asciiTheme="minorHAnsi" w:hAnsiTheme="minorHAnsi"/>
          <w:b/>
          <w:bCs/>
          <w:i/>
          <w:iCs/>
        </w:rPr>
        <w:t>respondents</w:t>
      </w:r>
      <w:r w:rsidR="00E33AF7">
        <w:rPr>
          <w:rFonts w:cs="Times New Roman" w:asciiTheme="minorHAnsi" w:hAnsiTheme="minorHAnsi"/>
          <w:b/>
          <w:bCs/>
          <w:i/>
          <w:iCs/>
        </w:rPr>
        <w:t>”</w:t>
      </w:r>
      <w:r w:rsidR="008D3A8F">
        <w:rPr>
          <w:rFonts w:cs="Times New Roman" w:asciiTheme="minorHAnsi" w:hAnsiTheme="minorHAnsi"/>
          <w:b/>
          <w:bCs/>
          <w:i/>
          <w:iCs/>
        </w:rPr>
        <w:t>)</w:t>
      </w:r>
    </w:p>
    <w:p w:rsidR="00A74D75" w:rsidP="00A74D75" w:rsidRDefault="00A74D75" w14:paraId="3B25B83E" w14:textId="7615FEF2">
      <w:pPr>
        <w:pStyle w:val="ListParagraph"/>
        <w:numPr>
          <w:ilvl w:val="1"/>
          <w:numId w:val="27"/>
        </w:numPr>
        <w:rPr>
          <w:rFonts w:cs="Times New Roman" w:asciiTheme="minorHAnsi" w:hAnsiTheme="minorHAnsi"/>
        </w:rPr>
      </w:pPr>
      <w:r>
        <w:rPr>
          <w:rFonts w:cs="Times New Roman" w:asciiTheme="minorHAnsi" w:hAnsiTheme="minorHAnsi"/>
        </w:rPr>
        <w:t xml:space="preserve">The “respondent” questionnaire </w:t>
      </w:r>
      <w:r w:rsidR="00753C1F">
        <w:rPr>
          <w:rFonts w:cs="Times New Roman" w:asciiTheme="minorHAnsi" w:hAnsiTheme="minorHAnsi"/>
        </w:rPr>
        <w:t>will be</w:t>
      </w:r>
      <w:r>
        <w:rPr>
          <w:rFonts w:cs="Times New Roman" w:asciiTheme="minorHAnsi" w:hAnsiTheme="minorHAnsi"/>
        </w:rPr>
        <w:t xml:space="preserve"> administered to participants who</w:t>
      </w:r>
      <w:r w:rsidR="00635782">
        <w:rPr>
          <w:rFonts w:cs="Times New Roman" w:asciiTheme="minorHAnsi" w:hAnsiTheme="minorHAnsi"/>
        </w:rPr>
        <w:t>, at the conclusion of their household interview, agreed to schedule a MEC exam</w:t>
      </w:r>
      <w:r w:rsidR="00467BEE">
        <w:rPr>
          <w:rFonts w:cs="Times New Roman" w:asciiTheme="minorHAnsi" w:hAnsiTheme="minorHAnsi"/>
        </w:rPr>
        <w:t xml:space="preserve">, and </w:t>
      </w:r>
      <w:r w:rsidR="00A85A20">
        <w:rPr>
          <w:rFonts w:cs="Times New Roman" w:asciiTheme="minorHAnsi" w:hAnsiTheme="minorHAnsi"/>
        </w:rPr>
        <w:t xml:space="preserve">completed a MEC examination.  </w:t>
      </w:r>
    </w:p>
    <w:p w:rsidR="00051E61" w:rsidP="001B64E8" w:rsidRDefault="00051E61" w14:paraId="4D99839D" w14:textId="21D8F17C">
      <w:pPr>
        <w:pStyle w:val="ListParagraph"/>
        <w:ind w:left="1440"/>
        <w:rPr>
          <w:rFonts w:cs="Times New Roman" w:asciiTheme="minorHAnsi" w:hAnsiTheme="minorHAnsi"/>
        </w:rPr>
      </w:pPr>
    </w:p>
    <w:p w:rsidRPr="008F4C76" w:rsidR="00763B6E" w:rsidP="00961FB4" w:rsidRDefault="00763B6E" w14:paraId="07E84E94" w14:textId="4240EDFD">
      <w:pPr>
        <w:pStyle w:val="ListParagraph"/>
        <w:numPr>
          <w:ilvl w:val="0"/>
          <w:numId w:val="27"/>
        </w:numPr>
        <w:rPr>
          <w:rFonts w:cs="Times New Roman" w:asciiTheme="minorHAnsi" w:hAnsiTheme="minorHAnsi"/>
        </w:rPr>
      </w:pPr>
      <w:r>
        <w:rPr>
          <w:rFonts w:cs="Times New Roman" w:asciiTheme="minorHAnsi" w:hAnsiTheme="minorHAnsi"/>
        </w:rPr>
        <w:t xml:space="preserve">Follow-up questionnaire for </w:t>
      </w:r>
      <w:r w:rsidR="00E33AF7">
        <w:rPr>
          <w:rFonts w:cs="Times New Roman" w:asciiTheme="minorHAnsi" w:hAnsiTheme="minorHAnsi"/>
        </w:rPr>
        <w:t xml:space="preserve">interviewed </w:t>
      </w:r>
      <w:r>
        <w:rPr>
          <w:rFonts w:cs="Times New Roman" w:asciiTheme="minorHAnsi" w:hAnsiTheme="minorHAnsi"/>
        </w:rPr>
        <w:t xml:space="preserve">adult (ages 18+) </w:t>
      </w:r>
      <w:r w:rsidR="000737D4">
        <w:rPr>
          <w:rFonts w:cs="Times New Roman" w:asciiTheme="minorHAnsi" w:hAnsiTheme="minorHAnsi"/>
        </w:rPr>
        <w:t xml:space="preserve">participants who </w:t>
      </w:r>
      <w:r w:rsidRPr="008D3A8F" w:rsidR="000737D4">
        <w:rPr>
          <w:rFonts w:cs="Times New Roman" w:asciiTheme="minorHAnsi" w:hAnsiTheme="minorHAnsi"/>
          <w:b/>
          <w:bCs/>
          <w:i/>
          <w:iCs/>
        </w:rPr>
        <w:t xml:space="preserve">refused to </w:t>
      </w:r>
      <w:r w:rsidR="006B4188">
        <w:rPr>
          <w:rFonts w:cs="Times New Roman" w:asciiTheme="minorHAnsi" w:hAnsiTheme="minorHAnsi"/>
          <w:b/>
          <w:bCs/>
          <w:i/>
          <w:iCs/>
        </w:rPr>
        <w:t>be scheduled for</w:t>
      </w:r>
      <w:r w:rsidRPr="008D3A8F" w:rsidR="006B4188">
        <w:rPr>
          <w:rFonts w:cs="Times New Roman" w:asciiTheme="minorHAnsi" w:hAnsiTheme="minorHAnsi"/>
          <w:b/>
          <w:bCs/>
          <w:i/>
          <w:iCs/>
        </w:rPr>
        <w:t xml:space="preserve"> </w:t>
      </w:r>
      <w:r w:rsidRPr="008D3A8F" w:rsidR="000737D4">
        <w:rPr>
          <w:rFonts w:cs="Times New Roman" w:asciiTheme="minorHAnsi" w:hAnsiTheme="minorHAnsi"/>
          <w:b/>
          <w:bCs/>
          <w:i/>
          <w:iCs/>
        </w:rPr>
        <w:t>the MEC exam</w:t>
      </w:r>
      <w:r w:rsidR="00132CF7">
        <w:rPr>
          <w:rFonts w:cs="Times New Roman" w:asciiTheme="minorHAnsi" w:hAnsiTheme="minorHAnsi"/>
          <w:b/>
          <w:bCs/>
          <w:i/>
          <w:iCs/>
        </w:rPr>
        <w:t xml:space="preserve">, </w:t>
      </w:r>
      <w:r w:rsidR="006B4188">
        <w:rPr>
          <w:rFonts w:cs="Times New Roman" w:asciiTheme="minorHAnsi" w:hAnsiTheme="minorHAnsi"/>
          <w:b/>
          <w:bCs/>
          <w:i/>
          <w:iCs/>
        </w:rPr>
        <w:t>did not come to</w:t>
      </w:r>
      <w:r w:rsidRPr="008D3A8F" w:rsidR="000737D4">
        <w:rPr>
          <w:rFonts w:cs="Times New Roman" w:asciiTheme="minorHAnsi" w:hAnsiTheme="minorHAnsi"/>
          <w:b/>
          <w:bCs/>
          <w:i/>
          <w:iCs/>
        </w:rPr>
        <w:t xml:space="preserve"> their MEC exam appointment</w:t>
      </w:r>
      <w:r w:rsidR="00132CF7">
        <w:rPr>
          <w:rFonts w:cs="Times New Roman" w:asciiTheme="minorHAnsi" w:hAnsiTheme="minorHAnsi"/>
          <w:b/>
          <w:bCs/>
          <w:i/>
          <w:iCs/>
        </w:rPr>
        <w:t>, or canceled their MEC appointment</w:t>
      </w:r>
      <w:r w:rsidR="008D3A8F">
        <w:rPr>
          <w:rFonts w:cs="Times New Roman" w:asciiTheme="minorHAnsi" w:hAnsiTheme="minorHAnsi"/>
          <w:b/>
          <w:bCs/>
          <w:i/>
          <w:iCs/>
        </w:rPr>
        <w:t xml:space="preserve"> (</w:t>
      </w:r>
      <w:r w:rsidR="00E33AF7">
        <w:rPr>
          <w:rFonts w:cs="Times New Roman" w:asciiTheme="minorHAnsi" w:hAnsiTheme="minorHAnsi"/>
          <w:b/>
          <w:bCs/>
          <w:i/>
          <w:iCs/>
        </w:rPr>
        <w:t>referred to as MEC “</w:t>
      </w:r>
      <w:r w:rsidR="008D3A8F">
        <w:rPr>
          <w:rFonts w:cs="Times New Roman" w:asciiTheme="minorHAnsi" w:hAnsiTheme="minorHAnsi"/>
          <w:b/>
          <w:bCs/>
          <w:i/>
          <w:iCs/>
        </w:rPr>
        <w:t>nonrespondents</w:t>
      </w:r>
      <w:r w:rsidR="00E33AF7">
        <w:rPr>
          <w:rFonts w:cs="Times New Roman" w:asciiTheme="minorHAnsi" w:hAnsiTheme="minorHAnsi"/>
          <w:b/>
          <w:bCs/>
          <w:i/>
          <w:iCs/>
        </w:rPr>
        <w:t>”</w:t>
      </w:r>
      <w:r w:rsidR="008D3A8F">
        <w:rPr>
          <w:rFonts w:cs="Times New Roman" w:asciiTheme="minorHAnsi" w:hAnsiTheme="minorHAnsi"/>
          <w:b/>
          <w:bCs/>
          <w:i/>
          <w:iCs/>
        </w:rPr>
        <w:t>)</w:t>
      </w:r>
    </w:p>
    <w:p w:rsidR="009D0F29" w:rsidP="009D0F29" w:rsidRDefault="00A74D75" w14:paraId="6F79EACE" w14:textId="1783BCAE">
      <w:pPr>
        <w:pStyle w:val="ListParagraph"/>
        <w:numPr>
          <w:ilvl w:val="1"/>
          <w:numId w:val="27"/>
        </w:numPr>
        <w:rPr>
          <w:rFonts w:cs="Times New Roman" w:asciiTheme="minorHAnsi" w:hAnsiTheme="minorHAnsi"/>
        </w:rPr>
      </w:pPr>
      <w:r>
        <w:rPr>
          <w:rFonts w:cs="Times New Roman" w:asciiTheme="minorHAnsi" w:hAnsiTheme="minorHAnsi"/>
        </w:rPr>
        <w:t xml:space="preserve">The “nonrespondent” questionnaire </w:t>
      </w:r>
      <w:r w:rsidR="00753C1F">
        <w:rPr>
          <w:rFonts w:cs="Times New Roman" w:asciiTheme="minorHAnsi" w:hAnsiTheme="minorHAnsi"/>
        </w:rPr>
        <w:t>will be</w:t>
      </w:r>
      <w:r>
        <w:rPr>
          <w:rFonts w:cs="Times New Roman" w:asciiTheme="minorHAnsi" w:hAnsiTheme="minorHAnsi"/>
        </w:rPr>
        <w:t xml:space="preserve"> administered to participants wh</w:t>
      </w:r>
      <w:r w:rsidR="009D0F29">
        <w:rPr>
          <w:rFonts w:cs="Times New Roman" w:asciiTheme="minorHAnsi" w:hAnsiTheme="minorHAnsi"/>
        </w:rPr>
        <w:t xml:space="preserve">o </w:t>
      </w:r>
      <w:r w:rsidRPr="001B64E8" w:rsidR="00B01DFC">
        <w:rPr>
          <w:rFonts w:cs="Times New Roman" w:asciiTheme="minorHAnsi" w:hAnsiTheme="minorHAnsi"/>
        </w:rPr>
        <w:t>at the conclusion of their household interview</w:t>
      </w:r>
      <w:r w:rsidR="00511E96">
        <w:rPr>
          <w:rFonts w:cs="Times New Roman" w:asciiTheme="minorHAnsi" w:hAnsiTheme="minorHAnsi"/>
        </w:rPr>
        <w:t>:</w:t>
      </w:r>
    </w:p>
    <w:p w:rsidR="009D0F29" w:rsidP="009D0F29" w:rsidRDefault="00A74D75" w14:paraId="2DA6ED93" w14:textId="33EA1AC8">
      <w:pPr>
        <w:pStyle w:val="ListParagraph"/>
        <w:numPr>
          <w:ilvl w:val="2"/>
          <w:numId w:val="27"/>
        </w:numPr>
        <w:rPr>
          <w:rFonts w:cs="Times New Roman" w:asciiTheme="minorHAnsi" w:hAnsiTheme="minorHAnsi"/>
        </w:rPr>
      </w:pPr>
      <w:r w:rsidRPr="001B64E8">
        <w:rPr>
          <w:rFonts w:cs="Times New Roman" w:asciiTheme="minorHAnsi" w:hAnsiTheme="minorHAnsi"/>
        </w:rPr>
        <w:t>refused participation in the MEC</w:t>
      </w:r>
      <w:r w:rsidRPr="001B64E8" w:rsidR="00B01DFC">
        <w:rPr>
          <w:rFonts w:cs="Times New Roman" w:asciiTheme="minorHAnsi" w:hAnsiTheme="minorHAnsi"/>
        </w:rPr>
        <w:t xml:space="preserve"> examination, and continued to refuse at successive refusal conversion attempts</w:t>
      </w:r>
      <w:r w:rsidR="009D0F29">
        <w:rPr>
          <w:rFonts w:cs="Times New Roman" w:asciiTheme="minorHAnsi" w:hAnsiTheme="minorHAnsi"/>
        </w:rPr>
        <w:t>;</w:t>
      </w:r>
    </w:p>
    <w:p w:rsidR="009D0F29" w:rsidP="009D0F29" w:rsidRDefault="00AA5F0C" w14:paraId="222294C1" w14:textId="418CBBD7">
      <w:pPr>
        <w:pStyle w:val="ListParagraph"/>
        <w:numPr>
          <w:ilvl w:val="2"/>
          <w:numId w:val="27"/>
        </w:numPr>
        <w:rPr>
          <w:rFonts w:cs="Times New Roman" w:asciiTheme="minorHAnsi" w:hAnsiTheme="minorHAnsi"/>
        </w:rPr>
      </w:pPr>
      <w:r w:rsidRPr="001B64E8">
        <w:rPr>
          <w:rFonts w:cs="Times New Roman" w:asciiTheme="minorHAnsi" w:hAnsiTheme="minorHAnsi"/>
        </w:rPr>
        <w:t xml:space="preserve">scheduled a MEC appointment but did not show up for their </w:t>
      </w:r>
      <w:r w:rsidRPr="001B64E8" w:rsidR="00A74D75">
        <w:rPr>
          <w:rFonts w:cs="Times New Roman" w:asciiTheme="minorHAnsi" w:hAnsiTheme="minorHAnsi"/>
        </w:rPr>
        <w:t>scheduled MEC exam appointment</w:t>
      </w:r>
      <w:r w:rsidRPr="001B64E8" w:rsidR="00FD576B">
        <w:rPr>
          <w:rFonts w:cs="Times New Roman" w:asciiTheme="minorHAnsi" w:hAnsiTheme="minorHAnsi"/>
        </w:rPr>
        <w:t xml:space="preserve"> and refused </w:t>
      </w:r>
      <w:r w:rsidRPr="001B64E8" w:rsidR="009D0F29">
        <w:rPr>
          <w:rFonts w:cs="Times New Roman" w:asciiTheme="minorHAnsi" w:hAnsiTheme="minorHAnsi"/>
        </w:rPr>
        <w:t>further attempts to reschedule</w:t>
      </w:r>
      <w:r w:rsidRPr="001B64E8" w:rsidR="00FD576B">
        <w:rPr>
          <w:rFonts w:cs="Times New Roman" w:asciiTheme="minorHAnsi" w:hAnsiTheme="minorHAnsi"/>
        </w:rPr>
        <w:t>;</w:t>
      </w:r>
    </w:p>
    <w:p w:rsidRPr="001B64E8" w:rsidR="009D0F29" w:rsidP="001B64E8" w:rsidRDefault="00A74D75" w14:paraId="57D86806" w14:textId="2F7026A3">
      <w:pPr>
        <w:pStyle w:val="ListParagraph"/>
        <w:numPr>
          <w:ilvl w:val="2"/>
          <w:numId w:val="27"/>
        </w:numPr>
        <w:rPr>
          <w:rFonts w:cs="Times New Roman" w:asciiTheme="minorHAnsi" w:hAnsiTheme="minorHAnsi"/>
        </w:rPr>
      </w:pPr>
      <w:r w:rsidRPr="001B64E8">
        <w:rPr>
          <w:rFonts w:cs="Times New Roman" w:asciiTheme="minorHAnsi" w:hAnsiTheme="minorHAnsi"/>
        </w:rPr>
        <w:t xml:space="preserve">canceled their </w:t>
      </w:r>
      <w:r w:rsidRPr="001B64E8" w:rsidR="00753C1F">
        <w:rPr>
          <w:rFonts w:cs="Times New Roman" w:asciiTheme="minorHAnsi" w:hAnsiTheme="minorHAnsi"/>
        </w:rPr>
        <w:t xml:space="preserve">MEC exam </w:t>
      </w:r>
      <w:r w:rsidRPr="001B64E8">
        <w:rPr>
          <w:rFonts w:cs="Times New Roman" w:asciiTheme="minorHAnsi" w:hAnsiTheme="minorHAnsi"/>
        </w:rPr>
        <w:t>appointmen</w:t>
      </w:r>
      <w:r w:rsidR="009D0F29">
        <w:rPr>
          <w:rFonts w:cs="Times New Roman" w:asciiTheme="minorHAnsi" w:hAnsiTheme="minorHAnsi"/>
        </w:rPr>
        <w:t>t</w:t>
      </w:r>
      <w:r w:rsidRPr="009D0F29" w:rsidR="009D0F29">
        <w:rPr>
          <w:rFonts w:cs="Times New Roman" w:asciiTheme="minorHAnsi" w:hAnsiTheme="minorHAnsi"/>
        </w:rPr>
        <w:t xml:space="preserve"> </w:t>
      </w:r>
      <w:r w:rsidRPr="000F3628" w:rsidR="009D0F29">
        <w:rPr>
          <w:rFonts w:cs="Times New Roman" w:asciiTheme="minorHAnsi" w:hAnsiTheme="minorHAnsi"/>
        </w:rPr>
        <w:t>and refused further attempts to reschedule</w:t>
      </w:r>
      <w:r w:rsidR="009D0F29">
        <w:rPr>
          <w:rFonts w:cs="Times New Roman" w:asciiTheme="minorHAnsi" w:hAnsiTheme="minorHAnsi"/>
        </w:rPr>
        <w:t>.</w:t>
      </w:r>
    </w:p>
    <w:p w:rsidRPr="00D53AC8" w:rsidR="00BF6FB7" w:rsidP="00BF6FB7" w:rsidRDefault="00A74D75" w14:paraId="5B7BE27C" w14:textId="5AFBD851">
      <w:pPr>
        <w:pStyle w:val="ListParagraph"/>
        <w:numPr>
          <w:ilvl w:val="1"/>
          <w:numId w:val="27"/>
        </w:numPr>
        <w:rPr>
          <w:rFonts w:cs="Times New Roman" w:asciiTheme="minorHAnsi" w:hAnsiTheme="minorHAnsi"/>
        </w:rPr>
      </w:pPr>
      <w:r>
        <w:rPr>
          <w:rFonts w:cs="Times New Roman" w:asciiTheme="minorHAnsi" w:hAnsiTheme="minorHAnsi"/>
        </w:rPr>
        <w:t>S</w:t>
      </w:r>
      <w:r w:rsidRPr="00D53AC8" w:rsidR="00D53AC8">
        <w:rPr>
          <w:rFonts w:cs="Times New Roman" w:asciiTheme="minorHAnsi" w:hAnsiTheme="minorHAnsi"/>
        </w:rPr>
        <w:t>urvey participants</w:t>
      </w:r>
      <w:r w:rsidRPr="00D53AC8" w:rsidR="00BF6FB7">
        <w:rPr>
          <w:rFonts w:cs="Times New Roman" w:asciiTheme="minorHAnsi" w:hAnsiTheme="minorHAnsi"/>
        </w:rPr>
        <w:t xml:space="preserve"> who </w:t>
      </w:r>
      <w:r>
        <w:rPr>
          <w:rFonts w:cs="Times New Roman" w:asciiTheme="minorHAnsi" w:hAnsiTheme="minorHAnsi"/>
        </w:rPr>
        <w:t>refused participation</w:t>
      </w:r>
      <w:r w:rsidRPr="00D53AC8" w:rsidR="00BF6FB7">
        <w:rPr>
          <w:rFonts w:cs="Times New Roman" w:asciiTheme="minorHAnsi" w:hAnsiTheme="minorHAnsi"/>
        </w:rPr>
        <w:t xml:space="preserve"> in the MEC</w:t>
      </w:r>
      <w:r w:rsidR="00511E96">
        <w:rPr>
          <w:rFonts w:cs="Times New Roman" w:asciiTheme="minorHAnsi" w:hAnsiTheme="minorHAnsi"/>
        </w:rPr>
        <w:t xml:space="preserve"> are</w:t>
      </w:r>
      <w:r w:rsidRPr="00D53AC8" w:rsidR="00BF6FB7">
        <w:rPr>
          <w:rFonts w:cs="Times New Roman" w:asciiTheme="minorHAnsi" w:hAnsiTheme="minorHAnsi"/>
        </w:rPr>
        <w:t xml:space="preserve"> asked for their reasons for refusal (e.g., </w:t>
      </w:r>
      <w:r w:rsidRPr="00D53AC8" w:rsidR="00D53AC8">
        <w:rPr>
          <w:rFonts w:cs="Times New Roman" w:asciiTheme="minorHAnsi" w:hAnsiTheme="minorHAnsi"/>
        </w:rPr>
        <w:t>compensation</w:t>
      </w:r>
      <w:r w:rsidRPr="00D53AC8" w:rsidR="00BF6FB7">
        <w:rPr>
          <w:rFonts w:cs="Times New Roman" w:asciiTheme="minorHAnsi" w:hAnsiTheme="minorHAnsi"/>
        </w:rPr>
        <w:t xml:space="preserve">, </w:t>
      </w:r>
      <w:r w:rsidRPr="00D53AC8" w:rsidR="00D53AC8">
        <w:rPr>
          <w:rFonts w:cs="Times New Roman" w:asciiTheme="minorHAnsi" w:hAnsiTheme="minorHAnsi"/>
        </w:rPr>
        <w:t>travel burden</w:t>
      </w:r>
      <w:r w:rsidRPr="00D53AC8" w:rsidR="00BF6FB7">
        <w:rPr>
          <w:rFonts w:cs="Times New Roman" w:asciiTheme="minorHAnsi" w:hAnsiTheme="minorHAnsi"/>
        </w:rPr>
        <w:t xml:space="preserve">, </w:t>
      </w:r>
      <w:r w:rsidRPr="00D53AC8" w:rsidR="00D53AC8">
        <w:rPr>
          <w:rFonts w:cs="Times New Roman" w:asciiTheme="minorHAnsi" w:hAnsiTheme="minorHAnsi"/>
        </w:rPr>
        <w:t>COVID-19 risk</w:t>
      </w:r>
      <w:r w:rsidRPr="00D53AC8" w:rsidR="00BF6FB7">
        <w:rPr>
          <w:rFonts w:cs="Times New Roman" w:asciiTheme="minorHAnsi" w:hAnsiTheme="minorHAnsi"/>
        </w:rPr>
        <w:t>,</w:t>
      </w:r>
      <w:r w:rsidRPr="00D53AC8" w:rsidR="00D53AC8">
        <w:rPr>
          <w:rFonts w:cs="Times New Roman" w:asciiTheme="minorHAnsi" w:hAnsiTheme="minorHAnsi"/>
        </w:rPr>
        <w:t xml:space="preserve"> being too busy,</w:t>
      </w:r>
      <w:r w:rsidRPr="00D53AC8" w:rsidR="00BF6FB7">
        <w:rPr>
          <w:rFonts w:cs="Times New Roman" w:asciiTheme="minorHAnsi" w:hAnsiTheme="minorHAnsi"/>
        </w:rPr>
        <w:t xml:space="preserve"> etc.)</w:t>
      </w:r>
      <w:r w:rsidR="00132CF7">
        <w:rPr>
          <w:rFonts w:cs="Times New Roman" w:asciiTheme="minorHAnsi" w:hAnsiTheme="minorHAnsi"/>
        </w:rPr>
        <w:t xml:space="preserve"> at the conclusion of the household interview</w:t>
      </w:r>
      <w:r w:rsidRPr="00D53AC8" w:rsidR="00BF6FB7">
        <w:rPr>
          <w:rFonts w:cs="Times New Roman" w:asciiTheme="minorHAnsi" w:hAnsiTheme="minorHAnsi"/>
        </w:rPr>
        <w:t>. Th</w:t>
      </w:r>
      <w:r>
        <w:rPr>
          <w:rFonts w:cs="Times New Roman" w:asciiTheme="minorHAnsi" w:hAnsiTheme="minorHAnsi"/>
        </w:rPr>
        <w:t>e</w:t>
      </w:r>
      <w:r w:rsidRPr="00D53AC8" w:rsidR="00BF6FB7">
        <w:rPr>
          <w:rFonts w:cs="Times New Roman" w:asciiTheme="minorHAnsi" w:hAnsiTheme="minorHAnsi"/>
        </w:rPr>
        <w:t xml:space="preserve"> information </w:t>
      </w:r>
      <w:r w:rsidR="00511E96">
        <w:rPr>
          <w:rFonts w:cs="Times New Roman" w:asciiTheme="minorHAnsi" w:hAnsiTheme="minorHAnsi"/>
        </w:rPr>
        <w:t xml:space="preserve">is </w:t>
      </w:r>
      <w:r w:rsidRPr="00D53AC8" w:rsidR="00BF6FB7">
        <w:rPr>
          <w:rFonts w:cs="Times New Roman" w:asciiTheme="minorHAnsi" w:hAnsiTheme="minorHAnsi"/>
        </w:rPr>
        <w:t>tracked in the NHANES case management system and will supplement</w:t>
      </w:r>
      <w:r w:rsidR="00132CF7">
        <w:rPr>
          <w:rFonts w:cs="Times New Roman" w:asciiTheme="minorHAnsi" w:hAnsiTheme="minorHAnsi"/>
        </w:rPr>
        <w:t xml:space="preserve"> the</w:t>
      </w:r>
      <w:r w:rsidRPr="00D53AC8" w:rsidR="00BF6FB7">
        <w:rPr>
          <w:rFonts w:cs="Times New Roman" w:asciiTheme="minorHAnsi" w:hAnsiTheme="minorHAnsi"/>
        </w:rPr>
        <w:t xml:space="preserve"> </w:t>
      </w:r>
      <w:r w:rsidR="00D53AC8">
        <w:rPr>
          <w:rFonts w:cs="Times New Roman" w:asciiTheme="minorHAnsi" w:hAnsiTheme="minorHAnsi"/>
        </w:rPr>
        <w:t xml:space="preserve">additional </w:t>
      </w:r>
      <w:r w:rsidRPr="00D53AC8" w:rsidR="00D53AC8">
        <w:rPr>
          <w:rFonts w:cs="Times New Roman" w:asciiTheme="minorHAnsi" w:hAnsiTheme="minorHAnsi"/>
        </w:rPr>
        <w:t>data collect</w:t>
      </w:r>
      <w:r w:rsidR="00753C1F">
        <w:rPr>
          <w:rFonts w:cs="Times New Roman" w:asciiTheme="minorHAnsi" w:hAnsiTheme="minorHAnsi"/>
        </w:rPr>
        <w:t>ed</w:t>
      </w:r>
      <w:r w:rsidRPr="00D53AC8" w:rsidR="00BF6FB7">
        <w:rPr>
          <w:rFonts w:cs="Times New Roman" w:asciiTheme="minorHAnsi" w:hAnsiTheme="minorHAnsi"/>
        </w:rPr>
        <w:t xml:space="preserve"> from </w:t>
      </w:r>
      <w:r w:rsidR="00D53AC8">
        <w:rPr>
          <w:rFonts w:cs="Times New Roman" w:asciiTheme="minorHAnsi" w:hAnsiTheme="minorHAnsi"/>
        </w:rPr>
        <w:t>this follow-up questionnaire</w:t>
      </w:r>
      <w:r w:rsidR="00132CF7">
        <w:rPr>
          <w:rFonts w:cs="Times New Roman" w:asciiTheme="minorHAnsi" w:hAnsiTheme="minorHAnsi"/>
        </w:rPr>
        <w:t xml:space="preserve">. </w:t>
      </w:r>
    </w:p>
    <w:p w:rsidRPr="00BF6FB7" w:rsidR="00D53AC8" w:rsidP="00BF6FB7" w:rsidRDefault="00D53AC8" w14:paraId="089CF698" w14:textId="77777777">
      <w:pPr>
        <w:rPr>
          <w:rFonts w:cs="Times New Roman" w:asciiTheme="minorHAnsi" w:hAnsiTheme="minorHAnsi"/>
        </w:rPr>
      </w:pPr>
    </w:p>
    <w:p w:rsidR="00F72EE3" w:rsidP="00F72EE3" w:rsidRDefault="0071632D" w14:paraId="3D68EF18" w14:textId="3F62C05F">
      <w:pPr>
        <w:rPr>
          <w:rFonts w:cs="Times New Roman" w:asciiTheme="minorHAnsi" w:hAnsiTheme="minorHAnsi"/>
        </w:rPr>
      </w:pPr>
      <w:r>
        <w:rPr>
          <w:rFonts w:cs="Times New Roman" w:asciiTheme="minorHAnsi" w:hAnsiTheme="minorHAnsi"/>
        </w:rPr>
        <w:t>Data collected via</w:t>
      </w:r>
      <w:r w:rsidR="003B10FF">
        <w:rPr>
          <w:rFonts w:cs="Times New Roman" w:asciiTheme="minorHAnsi" w:hAnsiTheme="minorHAnsi"/>
        </w:rPr>
        <w:t xml:space="preserve"> these</w:t>
      </w:r>
      <w:r>
        <w:rPr>
          <w:rFonts w:cs="Times New Roman" w:asciiTheme="minorHAnsi" w:hAnsiTheme="minorHAnsi"/>
        </w:rPr>
        <w:t xml:space="preserve"> follow-up</w:t>
      </w:r>
      <w:r w:rsidR="00123155">
        <w:rPr>
          <w:rFonts w:cs="Times New Roman" w:asciiTheme="minorHAnsi" w:hAnsiTheme="minorHAnsi"/>
        </w:rPr>
        <w:t xml:space="preserve"> </w:t>
      </w:r>
      <w:r w:rsidR="008D3A8F">
        <w:rPr>
          <w:rFonts w:cs="Times New Roman" w:asciiTheme="minorHAnsi" w:hAnsiTheme="minorHAnsi"/>
        </w:rPr>
        <w:t>questionnaire</w:t>
      </w:r>
      <w:r w:rsidR="00123155">
        <w:rPr>
          <w:rFonts w:cs="Times New Roman" w:asciiTheme="minorHAnsi" w:hAnsiTheme="minorHAnsi"/>
        </w:rPr>
        <w:t>s</w:t>
      </w:r>
      <w:r>
        <w:rPr>
          <w:rFonts w:cs="Times New Roman" w:asciiTheme="minorHAnsi" w:hAnsiTheme="minorHAnsi"/>
        </w:rPr>
        <w:t xml:space="preserve"> will </w:t>
      </w:r>
      <w:r w:rsidR="00E20C07">
        <w:rPr>
          <w:rFonts w:cs="Times New Roman" w:asciiTheme="minorHAnsi" w:hAnsiTheme="minorHAnsi"/>
        </w:rPr>
        <w:t>inform</w:t>
      </w:r>
      <w:r w:rsidR="00CC19A4">
        <w:rPr>
          <w:rFonts w:cs="Times New Roman" w:asciiTheme="minorHAnsi" w:hAnsiTheme="minorHAnsi"/>
        </w:rPr>
        <w:t xml:space="preserve"> </w:t>
      </w:r>
      <w:r w:rsidR="00E20C07">
        <w:rPr>
          <w:rFonts w:cs="Times New Roman" w:asciiTheme="minorHAnsi" w:hAnsiTheme="minorHAnsi"/>
        </w:rPr>
        <w:t>data collection operations, including tailored communication strategies</w:t>
      </w:r>
      <w:r>
        <w:rPr>
          <w:rFonts w:cs="Times New Roman" w:asciiTheme="minorHAnsi" w:hAnsiTheme="minorHAnsi"/>
        </w:rPr>
        <w:t xml:space="preserve"> </w:t>
      </w:r>
      <w:r w:rsidR="00E20C07">
        <w:rPr>
          <w:rFonts w:cs="Times New Roman" w:asciiTheme="minorHAnsi" w:hAnsiTheme="minorHAnsi"/>
        </w:rPr>
        <w:t>and outreach materials</w:t>
      </w:r>
      <w:r w:rsidR="00B830B7">
        <w:rPr>
          <w:rFonts w:cs="Times New Roman" w:asciiTheme="minorHAnsi" w:hAnsiTheme="minorHAnsi"/>
        </w:rPr>
        <w:t>, and enable NHANES</w:t>
      </w:r>
      <w:r w:rsidR="00E20C07">
        <w:rPr>
          <w:rFonts w:cs="Times New Roman" w:asciiTheme="minorHAnsi" w:hAnsiTheme="minorHAnsi"/>
        </w:rPr>
        <w:t xml:space="preserve"> </w:t>
      </w:r>
      <w:r>
        <w:rPr>
          <w:rFonts w:cs="Times New Roman" w:asciiTheme="minorHAnsi" w:hAnsiTheme="minorHAnsi"/>
        </w:rPr>
        <w:t xml:space="preserve">to </w:t>
      </w:r>
      <w:r w:rsidR="00123155">
        <w:rPr>
          <w:rFonts w:cs="Times New Roman" w:asciiTheme="minorHAnsi" w:hAnsiTheme="minorHAnsi"/>
        </w:rPr>
        <w:t xml:space="preserve">better understand </w:t>
      </w:r>
      <w:r w:rsidR="006A4CD7">
        <w:rPr>
          <w:rFonts w:cs="Times New Roman" w:asciiTheme="minorHAnsi" w:hAnsiTheme="minorHAnsi"/>
        </w:rPr>
        <w:t xml:space="preserve">barriers to </w:t>
      </w:r>
      <w:r w:rsidR="00123155">
        <w:rPr>
          <w:rFonts w:cs="Times New Roman" w:asciiTheme="minorHAnsi" w:hAnsiTheme="minorHAnsi"/>
        </w:rPr>
        <w:t>MEC</w:t>
      </w:r>
      <w:r w:rsidR="00B830B7">
        <w:rPr>
          <w:rFonts w:cs="Times New Roman" w:asciiTheme="minorHAnsi" w:hAnsiTheme="minorHAnsi"/>
        </w:rPr>
        <w:t xml:space="preserve"> exam</w:t>
      </w:r>
      <w:r w:rsidR="003A6F32">
        <w:rPr>
          <w:rFonts w:cs="Times New Roman" w:asciiTheme="minorHAnsi" w:hAnsiTheme="minorHAnsi"/>
        </w:rPr>
        <w:t xml:space="preserve"> participation.</w:t>
      </w:r>
      <w:r w:rsidR="00123155">
        <w:rPr>
          <w:rFonts w:cs="Times New Roman" w:asciiTheme="minorHAnsi" w:hAnsiTheme="minorHAnsi"/>
        </w:rPr>
        <w:t xml:space="preserve"> </w:t>
      </w:r>
      <w:r w:rsidR="00A74D75">
        <w:rPr>
          <w:rFonts w:cs="Times New Roman" w:asciiTheme="minorHAnsi" w:hAnsiTheme="minorHAnsi"/>
        </w:rPr>
        <w:t xml:space="preserve">Combined with data collected </w:t>
      </w:r>
      <w:r w:rsidR="000A0E26">
        <w:rPr>
          <w:rFonts w:cs="Times New Roman" w:asciiTheme="minorHAnsi" w:hAnsiTheme="minorHAnsi"/>
        </w:rPr>
        <w:t>through the NHANES household interviews</w:t>
      </w:r>
      <w:r w:rsidR="006A4CD7">
        <w:rPr>
          <w:rFonts w:cs="Times New Roman" w:asciiTheme="minorHAnsi" w:hAnsiTheme="minorHAnsi"/>
        </w:rPr>
        <w:t xml:space="preserve"> and paradata</w:t>
      </w:r>
      <w:r w:rsidR="000A0E26">
        <w:rPr>
          <w:rFonts w:cs="Times New Roman" w:asciiTheme="minorHAnsi" w:hAnsiTheme="minorHAnsi"/>
        </w:rPr>
        <w:t xml:space="preserve">, profiles of different types of participants </w:t>
      </w:r>
      <w:r w:rsidR="00753C1F">
        <w:rPr>
          <w:rFonts w:cs="Times New Roman" w:asciiTheme="minorHAnsi" w:hAnsiTheme="minorHAnsi"/>
        </w:rPr>
        <w:t xml:space="preserve">may be developed </w:t>
      </w:r>
      <w:r w:rsidR="000A0E26">
        <w:rPr>
          <w:rFonts w:cs="Times New Roman" w:asciiTheme="minorHAnsi" w:hAnsiTheme="minorHAnsi"/>
        </w:rPr>
        <w:t xml:space="preserve">and </w:t>
      </w:r>
      <w:r w:rsidR="003C4464">
        <w:rPr>
          <w:rFonts w:cs="Times New Roman" w:asciiTheme="minorHAnsi" w:hAnsiTheme="minorHAnsi"/>
        </w:rPr>
        <w:t xml:space="preserve">the </w:t>
      </w:r>
      <w:r w:rsidR="000A0E26">
        <w:rPr>
          <w:rFonts w:cs="Times New Roman" w:asciiTheme="minorHAnsi" w:hAnsiTheme="minorHAnsi"/>
        </w:rPr>
        <w:t>likelihood of completing a MEC examination</w:t>
      </w:r>
      <w:r w:rsidR="00753C1F">
        <w:rPr>
          <w:rFonts w:cs="Times New Roman" w:asciiTheme="minorHAnsi" w:hAnsiTheme="minorHAnsi"/>
        </w:rPr>
        <w:t xml:space="preserve"> may be assessed</w:t>
      </w:r>
      <w:r w:rsidR="000A0E26">
        <w:rPr>
          <w:rFonts w:cs="Times New Roman" w:asciiTheme="minorHAnsi" w:hAnsiTheme="minorHAnsi"/>
        </w:rPr>
        <w:t xml:space="preserve">. </w:t>
      </w:r>
      <w:r w:rsidR="00123155">
        <w:rPr>
          <w:rFonts w:cs="Times New Roman" w:asciiTheme="minorHAnsi" w:hAnsiTheme="minorHAnsi"/>
        </w:rPr>
        <w:t xml:space="preserve">Further, </w:t>
      </w:r>
      <w:r w:rsidR="00E20C07">
        <w:rPr>
          <w:rFonts w:cs="Times New Roman" w:asciiTheme="minorHAnsi" w:hAnsiTheme="minorHAnsi"/>
        </w:rPr>
        <w:t xml:space="preserve">data from these questionnaires </w:t>
      </w:r>
      <w:r w:rsidR="00753C1F">
        <w:rPr>
          <w:rFonts w:cs="Times New Roman" w:asciiTheme="minorHAnsi" w:hAnsiTheme="minorHAnsi"/>
        </w:rPr>
        <w:t>may</w:t>
      </w:r>
      <w:r w:rsidR="00E20C07">
        <w:rPr>
          <w:rFonts w:cs="Times New Roman" w:asciiTheme="minorHAnsi" w:hAnsiTheme="minorHAnsi"/>
        </w:rPr>
        <w:t xml:space="preserve"> be used to inform NHANES 2024</w:t>
      </w:r>
      <w:r w:rsidR="00051E61">
        <w:rPr>
          <w:rFonts w:cs="Times New Roman" w:asciiTheme="minorHAnsi" w:hAnsiTheme="minorHAnsi"/>
        </w:rPr>
        <w:t xml:space="preserve"> </w:t>
      </w:r>
      <w:r w:rsidR="00E20C07">
        <w:rPr>
          <w:rFonts w:cs="Times New Roman" w:asciiTheme="minorHAnsi" w:hAnsiTheme="minorHAnsi"/>
        </w:rPr>
        <w:t>operations related to placement of the MEC, survey o</w:t>
      </w:r>
      <w:r w:rsidR="003C4464">
        <w:rPr>
          <w:rFonts w:cs="Times New Roman" w:asciiTheme="minorHAnsi" w:hAnsiTheme="minorHAnsi"/>
        </w:rPr>
        <w:t>r</w:t>
      </w:r>
      <w:r w:rsidR="00E20C07">
        <w:rPr>
          <w:rFonts w:cs="Times New Roman" w:asciiTheme="minorHAnsi" w:hAnsiTheme="minorHAnsi"/>
        </w:rPr>
        <w:t xml:space="preserve"> exam length, incentive amounts, </w:t>
      </w:r>
      <w:r w:rsidR="00051E61">
        <w:rPr>
          <w:rFonts w:cs="Times New Roman" w:asciiTheme="minorHAnsi" w:hAnsiTheme="minorHAnsi"/>
        </w:rPr>
        <w:t xml:space="preserve">and </w:t>
      </w:r>
      <w:r w:rsidR="00E20C07">
        <w:rPr>
          <w:rFonts w:cs="Times New Roman" w:asciiTheme="minorHAnsi" w:hAnsiTheme="minorHAnsi"/>
        </w:rPr>
        <w:t>other operational elements</w:t>
      </w:r>
      <w:r>
        <w:rPr>
          <w:rFonts w:cs="Times New Roman" w:asciiTheme="minorHAnsi" w:hAnsiTheme="minorHAnsi"/>
        </w:rPr>
        <w:t xml:space="preserve">. </w:t>
      </w:r>
      <w:r w:rsidR="00E423B0">
        <w:rPr>
          <w:rFonts w:cs="Times New Roman" w:asciiTheme="minorHAnsi" w:hAnsiTheme="minorHAnsi"/>
        </w:rPr>
        <w:t>Additionally,</w:t>
      </w:r>
      <w:r w:rsidR="00964F3D">
        <w:rPr>
          <w:rFonts w:cs="Times New Roman" w:asciiTheme="minorHAnsi" w:hAnsiTheme="minorHAnsi"/>
        </w:rPr>
        <w:t xml:space="preserve"> </w:t>
      </w:r>
      <w:r w:rsidR="00E423B0">
        <w:rPr>
          <w:rFonts w:cs="Times New Roman" w:asciiTheme="minorHAnsi" w:hAnsiTheme="minorHAnsi"/>
        </w:rPr>
        <w:t xml:space="preserve">NHANES </w:t>
      </w:r>
      <w:r w:rsidR="00051E61">
        <w:rPr>
          <w:rFonts w:cs="Times New Roman" w:asciiTheme="minorHAnsi" w:hAnsiTheme="minorHAnsi"/>
        </w:rPr>
        <w:t>will consider</w:t>
      </w:r>
      <w:r w:rsidR="00123155">
        <w:rPr>
          <w:rFonts w:cs="Times New Roman" w:asciiTheme="minorHAnsi" w:hAnsiTheme="minorHAnsi"/>
        </w:rPr>
        <w:t xml:space="preserve"> publish</w:t>
      </w:r>
      <w:r w:rsidR="00051E61">
        <w:rPr>
          <w:rFonts w:cs="Times New Roman" w:asciiTheme="minorHAnsi" w:hAnsiTheme="minorHAnsi"/>
        </w:rPr>
        <w:t>ing</w:t>
      </w:r>
      <w:r w:rsidR="00123155">
        <w:rPr>
          <w:rFonts w:cs="Times New Roman" w:asciiTheme="minorHAnsi" w:hAnsiTheme="minorHAnsi"/>
        </w:rPr>
        <w:t xml:space="preserve"> the results from these follow-up questionnaires as they </w:t>
      </w:r>
      <w:r>
        <w:rPr>
          <w:rFonts w:cs="Times New Roman" w:asciiTheme="minorHAnsi" w:hAnsiTheme="minorHAnsi"/>
        </w:rPr>
        <w:t>may have important implications for</w:t>
      </w:r>
      <w:r w:rsidR="005B4099">
        <w:rPr>
          <w:rFonts w:cs="Times New Roman" w:asciiTheme="minorHAnsi" w:hAnsiTheme="minorHAnsi"/>
        </w:rPr>
        <w:t xml:space="preserve"> operational design among</w:t>
      </w:r>
      <w:r>
        <w:rPr>
          <w:rFonts w:cs="Times New Roman" w:asciiTheme="minorHAnsi" w:hAnsiTheme="minorHAnsi"/>
        </w:rPr>
        <w:t xml:space="preserve"> other nationally representative surveys </w:t>
      </w:r>
      <w:r w:rsidR="00433FEF">
        <w:rPr>
          <w:rFonts w:cs="Times New Roman" w:asciiTheme="minorHAnsi" w:hAnsiTheme="minorHAnsi"/>
        </w:rPr>
        <w:t>experiencing declines in response rates.</w:t>
      </w:r>
    </w:p>
    <w:p w:rsidRPr="00BE0600" w:rsidR="00792393" w:rsidP="007339CC" w:rsidRDefault="00792393" w14:paraId="5C83688D" w14:textId="77777777">
      <w:pPr>
        <w:rPr>
          <w:rFonts w:cs="Times New Roman" w:asciiTheme="minorHAnsi" w:hAnsiTheme="minorHAnsi"/>
        </w:rPr>
      </w:pPr>
    </w:p>
    <w:p w:rsidRPr="00BE0600" w:rsidR="00371C08" w:rsidP="00617422" w:rsidRDefault="00371C08" w14:paraId="6E24D9A5" w14:textId="4C0F6307">
      <w:pPr>
        <w:pStyle w:val="ListParagraph"/>
        <w:numPr>
          <w:ilvl w:val="0"/>
          <w:numId w:val="18"/>
        </w:numPr>
        <w:rPr>
          <w:rFonts w:cs="Times New Roman" w:asciiTheme="minorHAnsi" w:hAnsiTheme="minorHAnsi"/>
          <w:b/>
          <w:bCs/>
        </w:rPr>
      </w:pPr>
      <w:r w:rsidRPr="00BE0600">
        <w:rPr>
          <w:rFonts w:cs="Times New Roman" w:asciiTheme="minorHAnsi" w:hAnsiTheme="minorHAnsi"/>
          <w:b/>
          <w:bCs/>
        </w:rPr>
        <w:t xml:space="preserve">Purpose and </w:t>
      </w:r>
      <w:r w:rsidRPr="00BE0600" w:rsidR="009A5BE2">
        <w:rPr>
          <w:rFonts w:cs="Times New Roman" w:asciiTheme="minorHAnsi" w:hAnsiTheme="minorHAnsi"/>
          <w:b/>
          <w:bCs/>
        </w:rPr>
        <w:t>u</w:t>
      </w:r>
      <w:r w:rsidRPr="00BE0600">
        <w:rPr>
          <w:rFonts w:cs="Times New Roman" w:asciiTheme="minorHAnsi" w:hAnsiTheme="minorHAnsi"/>
          <w:b/>
          <w:bCs/>
        </w:rPr>
        <w:t xml:space="preserve">se of the </w:t>
      </w:r>
      <w:r w:rsidRPr="00BE0600" w:rsidR="009A5BE2">
        <w:rPr>
          <w:rFonts w:cs="Times New Roman" w:asciiTheme="minorHAnsi" w:hAnsiTheme="minorHAnsi"/>
          <w:b/>
          <w:bCs/>
        </w:rPr>
        <w:t>i</w:t>
      </w:r>
      <w:r w:rsidRPr="00BE0600">
        <w:rPr>
          <w:rFonts w:cs="Times New Roman" w:asciiTheme="minorHAnsi" w:hAnsiTheme="minorHAnsi"/>
          <w:b/>
          <w:bCs/>
        </w:rPr>
        <w:t xml:space="preserve">nformation </w:t>
      </w:r>
      <w:r w:rsidRPr="00BE0600" w:rsidR="009A5BE2">
        <w:rPr>
          <w:rFonts w:cs="Times New Roman" w:asciiTheme="minorHAnsi" w:hAnsiTheme="minorHAnsi"/>
          <w:b/>
          <w:bCs/>
        </w:rPr>
        <w:t>c</w:t>
      </w:r>
      <w:r w:rsidRPr="00BE0600">
        <w:rPr>
          <w:rFonts w:cs="Times New Roman" w:asciiTheme="minorHAnsi" w:hAnsiTheme="minorHAnsi"/>
          <w:b/>
          <w:bCs/>
        </w:rPr>
        <w:t xml:space="preserve">ollection </w:t>
      </w:r>
    </w:p>
    <w:p w:rsidRPr="003C4464" w:rsidR="003C4464" w:rsidP="003C4464" w:rsidRDefault="003C4464" w14:paraId="11562369" w14:textId="7933213D">
      <w:pPr>
        <w:rPr>
          <w:rFonts w:cs="Times New Roman" w:asciiTheme="minorHAnsi" w:hAnsiTheme="minorHAnsi"/>
          <w:b/>
          <w:bCs/>
        </w:rPr>
      </w:pPr>
    </w:p>
    <w:p w:rsidRPr="003C4464" w:rsidR="003C4464" w:rsidP="003C4464" w:rsidRDefault="003C4464" w14:paraId="54414EAE" w14:textId="351D9696">
      <w:pPr>
        <w:rPr>
          <w:rFonts w:cs="Times New Roman" w:asciiTheme="minorHAnsi" w:hAnsiTheme="minorHAnsi"/>
          <w:b/>
          <w:bCs/>
          <w:i/>
          <w:iCs/>
        </w:rPr>
      </w:pPr>
      <w:r w:rsidRPr="003C4464">
        <w:rPr>
          <w:rFonts w:cs="Times New Roman" w:asciiTheme="minorHAnsi" w:hAnsiTheme="minorHAnsi"/>
          <w:b/>
          <w:bCs/>
          <w:i/>
          <w:iCs/>
        </w:rPr>
        <w:t>Household questionnaire</w:t>
      </w:r>
    </w:p>
    <w:p w:rsidRPr="003C4464" w:rsidR="003C4464" w:rsidP="003C4464" w:rsidRDefault="003C4464" w14:paraId="6FD7F568" w14:textId="77777777">
      <w:pPr>
        <w:rPr>
          <w:rFonts w:cs="Times New Roman" w:asciiTheme="minorHAnsi" w:hAnsiTheme="minorHAnsi"/>
          <w:b/>
          <w:bCs/>
        </w:rPr>
      </w:pPr>
    </w:p>
    <w:p w:rsidRPr="00BE0600" w:rsidR="00527BD6" w:rsidP="00F83354" w:rsidRDefault="00351990" w14:paraId="62084EDA" w14:textId="7E1CA15E">
      <w:pPr>
        <w:rPr>
          <w:rFonts w:cs="Times New Roman" w:asciiTheme="minorHAnsi" w:hAnsiTheme="minorHAnsi"/>
        </w:rPr>
      </w:pPr>
      <w:r w:rsidRPr="00BE0600">
        <w:rPr>
          <w:rFonts w:cs="Times New Roman" w:asciiTheme="minorHAnsi" w:hAnsiTheme="minorHAnsi"/>
        </w:rPr>
        <w:t xml:space="preserve">NHANES </w:t>
      </w:r>
      <w:r w:rsidRPr="00BE0600" w:rsidR="00F83354">
        <w:rPr>
          <w:rFonts w:cs="Times New Roman" w:asciiTheme="minorHAnsi" w:hAnsiTheme="minorHAnsi"/>
        </w:rPr>
        <w:t>collect</w:t>
      </w:r>
      <w:r w:rsidRPr="00BE0600">
        <w:rPr>
          <w:rFonts w:cs="Times New Roman" w:asciiTheme="minorHAnsi" w:hAnsiTheme="minorHAnsi"/>
        </w:rPr>
        <w:t>s</w:t>
      </w:r>
      <w:r w:rsidRPr="00BE0600" w:rsidR="00F83354">
        <w:rPr>
          <w:rFonts w:cs="Times New Roman" w:asciiTheme="minorHAnsi" w:hAnsiTheme="minorHAnsi"/>
        </w:rPr>
        <w:t xml:space="preserve"> questionnaire data as stand-alone components or to complement one or more examination or laboratory assessments. As a result of the COVID-19 pandemic, </w:t>
      </w:r>
      <w:r w:rsidR="00D06F3C">
        <w:rPr>
          <w:rFonts w:cs="Times New Roman" w:asciiTheme="minorHAnsi" w:hAnsiTheme="minorHAnsi"/>
        </w:rPr>
        <w:t>NHANES 2021-2022 screening</w:t>
      </w:r>
      <w:r w:rsidRPr="00BE0600" w:rsidR="00F83354">
        <w:rPr>
          <w:rFonts w:cs="Times New Roman" w:asciiTheme="minorHAnsi" w:hAnsiTheme="minorHAnsi"/>
        </w:rPr>
        <w:t>, household</w:t>
      </w:r>
      <w:r w:rsidR="00D06F3C">
        <w:rPr>
          <w:rFonts w:cs="Times New Roman" w:asciiTheme="minorHAnsi" w:hAnsiTheme="minorHAnsi"/>
        </w:rPr>
        <w:t>,</w:t>
      </w:r>
      <w:r w:rsidRPr="00BE0600" w:rsidR="00F83354">
        <w:rPr>
          <w:rFonts w:cs="Times New Roman" w:asciiTheme="minorHAnsi" w:hAnsiTheme="minorHAnsi"/>
        </w:rPr>
        <w:t xml:space="preserve"> and family interviews previously conducted via in-person interview in the home are administered either in-person, through multi-mode methods, or over the phone to reduce person-to-person contact. </w:t>
      </w:r>
      <w:r w:rsidRPr="00BE0600" w:rsidR="00F73E66">
        <w:rPr>
          <w:rFonts w:cs="Times New Roman" w:asciiTheme="minorHAnsi" w:hAnsiTheme="minorHAnsi"/>
        </w:rPr>
        <w:t>The average household interview time was</w:t>
      </w:r>
      <w:r w:rsidRPr="00BE0600" w:rsidR="001711EE">
        <w:rPr>
          <w:rFonts w:cs="Times New Roman" w:asciiTheme="minorHAnsi" w:hAnsiTheme="minorHAnsi"/>
        </w:rPr>
        <w:t xml:space="preserve"> shortened</w:t>
      </w:r>
      <w:r w:rsidRPr="00BE0600" w:rsidR="00F73E66">
        <w:rPr>
          <w:rFonts w:cs="Times New Roman" w:asciiTheme="minorHAnsi" w:hAnsiTheme="minorHAnsi"/>
        </w:rPr>
        <w:t xml:space="preserve"> from 1.5 hours to approximately 1 hour to reduce burden and help maximize </w:t>
      </w:r>
      <w:r w:rsidRPr="00BE0600" w:rsidR="00F73E66">
        <w:rPr>
          <w:rFonts w:cs="Times New Roman" w:asciiTheme="minorHAnsi" w:hAnsiTheme="minorHAnsi"/>
        </w:rPr>
        <w:lastRenderedPageBreak/>
        <w:t xml:space="preserve">response rates. Trained </w:t>
      </w:r>
      <w:r w:rsidRPr="00BE0600" w:rsidR="00F83354">
        <w:rPr>
          <w:rFonts w:cs="Times New Roman" w:asciiTheme="minorHAnsi" w:hAnsiTheme="minorHAnsi"/>
        </w:rPr>
        <w:t>interviewers may now ask questions of NHANES participants over the phone or using online tools</w:t>
      </w:r>
      <w:r w:rsidRPr="00BE0600" w:rsidR="00F83354">
        <w:rPr>
          <w:rStyle w:val="hvr"/>
          <w:rFonts w:cs="Times New Roman" w:asciiTheme="minorHAnsi" w:hAnsiTheme="minorHAnsi"/>
        </w:rPr>
        <w:t>. NHANES ma</w:t>
      </w:r>
      <w:r w:rsidR="00437092">
        <w:rPr>
          <w:rStyle w:val="hvr"/>
          <w:rFonts w:cs="Times New Roman" w:asciiTheme="minorHAnsi" w:hAnsiTheme="minorHAnsi"/>
        </w:rPr>
        <w:t>kes</w:t>
      </w:r>
      <w:r w:rsidRPr="00BE0600" w:rsidR="00F83354">
        <w:rPr>
          <w:rStyle w:val="hvr"/>
          <w:rFonts w:cs="Times New Roman" w:asciiTheme="minorHAnsi" w:hAnsiTheme="minorHAnsi"/>
        </w:rPr>
        <w:t xml:space="preserve"> use of self-administered approaches of data collection, such as online surveys or paper surveys</w:t>
      </w:r>
      <w:r w:rsidR="00964F3D">
        <w:rPr>
          <w:rStyle w:val="hvr"/>
          <w:rFonts w:cs="Times New Roman" w:asciiTheme="minorHAnsi" w:hAnsiTheme="minorHAnsi"/>
        </w:rPr>
        <w:t>,</w:t>
      </w:r>
      <w:r w:rsidRPr="00BE0600" w:rsidR="00F83354">
        <w:rPr>
          <w:rStyle w:val="hvr"/>
          <w:rFonts w:cs="Times New Roman" w:asciiTheme="minorHAnsi" w:hAnsiTheme="minorHAnsi"/>
        </w:rPr>
        <w:t xml:space="preserve"> that participants mail back. </w:t>
      </w:r>
    </w:p>
    <w:p w:rsidR="00F73E66" w:rsidP="00F83354" w:rsidRDefault="00F73E66" w14:paraId="7CC1712C" w14:textId="4B26B688">
      <w:pPr>
        <w:rPr>
          <w:rFonts w:cs="Times New Roman" w:asciiTheme="minorHAnsi" w:hAnsiTheme="minorHAnsi"/>
        </w:rPr>
      </w:pPr>
    </w:p>
    <w:p w:rsidRPr="003179E8" w:rsidR="003C4464" w:rsidP="00F83354" w:rsidRDefault="003C4464" w14:paraId="27356888" w14:textId="5B61570C">
      <w:pPr>
        <w:rPr>
          <w:rFonts w:cs="Times New Roman" w:asciiTheme="minorHAnsi" w:hAnsiTheme="minorHAnsi"/>
          <w:b/>
          <w:bCs/>
          <w:i/>
          <w:iCs/>
        </w:rPr>
      </w:pPr>
      <w:r w:rsidRPr="003179E8">
        <w:rPr>
          <w:rFonts w:cs="Times New Roman" w:asciiTheme="minorHAnsi" w:hAnsiTheme="minorHAnsi"/>
          <w:b/>
          <w:bCs/>
          <w:i/>
          <w:iCs/>
        </w:rPr>
        <w:t>MEC examination</w:t>
      </w:r>
    </w:p>
    <w:p w:rsidRPr="003C4464" w:rsidR="003C4464" w:rsidP="00F83354" w:rsidRDefault="003C4464" w14:paraId="51ABCCAF" w14:textId="77777777">
      <w:pPr>
        <w:rPr>
          <w:rFonts w:cs="Times New Roman" w:asciiTheme="minorHAnsi" w:hAnsiTheme="minorHAnsi"/>
          <w:i/>
          <w:iCs/>
        </w:rPr>
      </w:pPr>
    </w:p>
    <w:p w:rsidR="00F73E66" w:rsidP="00F73E66" w:rsidRDefault="00615922" w14:paraId="644B1424" w14:textId="195FB920">
      <w:pPr>
        <w:rPr>
          <w:rFonts w:cs="Times New Roman" w:asciiTheme="minorHAnsi" w:hAnsiTheme="minorHAnsi"/>
        </w:rPr>
      </w:pPr>
      <w:r>
        <w:rPr>
          <w:rFonts w:cs="Times New Roman" w:asciiTheme="minorHAnsi" w:hAnsiTheme="minorHAnsi"/>
        </w:rPr>
        <w:t>T</w:t>
      </w:r>
      <w:r w:rsidRPr="00BE0600" w:rsidR="00F73E66">
        <w:rPr>
          <w:rFonts w:cs="Times New Roman" w:asciiTheme="minorHAnsi" w:hAnsiTheme="minorHAnsi"/>
        </w:rPr>
        <w:t xml:space="preserve">he MEC examination visits </w:t>
      </w:r>
      <w:r w:rsidRPr="00BE0600" w:rsidR="007E1305">
        <w:rPr>
          <w:rFonts w:cs="Times New Roman" w:asciiTheme="minorHAnsi" w:hAnsiTheme="minorHAnsi"/>
        </w:rPr>
        <w:t>were</w:t>
      </w:r>
      <w:r w:rsidRPr="00BE0600" w:rsidR="00F73E66">
        <w:rPr>
          <w:rFonts w:cs="Times New Roman" w:asciiTheme="minorHAnsi" w:hAnsiTheme="minorHAnsi"/>
        </w:rPr>
        <w:t xml:space="preserve"> shortened from 4 to 2.5 hours to reduce burden and maximize response rates. A MEC visit consists of physical examinations (i.e., anthropometry, standing balance, dual energy x-ray absorptiometry, blood pressure management, liver elastography), laboratory assessments (e.g., renal and hepatic function, biochemical panel, etc.), and </w:t>
      </w:r>
      <w:r w:rsidRPr="00BE0600" w:rsidR="00BD27FD">
        <w:rPr>
          <w:rFonts w:cs="Times New Roman" w:asciiTheme="minorHAnsi" w:hAnsiTheme="minorHAnsi"/>
        </w:rPr>
        <w:t xml:space="preserve">more sensitive </w:t>
      </w:r>
      <w:r w:rsidRPr="00BE0600" w:rsidR="00F73E66">
        <w:rPr>
          <w:rFonts w:cs="Times New Roman" w:asciiTheme="minorHAnsi" w:hAnsiTheme="minorHAnsi"/>
        </w:rPr>
        <w:t>interview components administered via</w:t>
      </w:r>
      <w:r w:rsidR="00F73E66">
        <w:rPr>
          <w:rFonts w:ascii="Times New Roman" w:hAnsi="Times New Roman" w:cs="Times New Roman"/>
        </w:rPr>
        <w:t xml:space="preserve"> </w:t>
      </w:r>
      <w:r w:rsidRPr="00BE0600" w:rsidR="00F73E66">
        <w:rPr>
          <w:rFonts w:cs="Times New Roman" w:asciiTheme="minorHAnsi" w:hAnsiTheme="minorHAnsi"/>
        </w:rPr>
        <w:t xml:space="preserve">ACASI (e.g., alcohol use, mental health, etc.). Previously, NHANES also conducted an in-person dietary </w:t>
      </w:r>
      <w:r w:rsidRPr="00BE0600" w:rsidR="00A262C9">
        <w:rPr>
          <w:rFonts w:cs="Times New Roman" w:asciiTheme="minorHAnsi" w:hAnsiTheme="minorHAnsi"/>
        </w:rPr>
        <w:t xml:space="preserve">Day 1 </w:t>
      </w:r>
      <w:r w:rsidRPr="00BE0600" w:rsidR="00F73E66">
        <w:rPr>
          <w:rFonts w:cs="Times New Roman" w:asciiTheme="minorHAnsi" w:hAnsiTheme="minorHAnsi"/>
        </w:rPr>
        <w:t xml:space="preserve">interview at the MEC and a </w:t>
      </w:r>
      <w:r w:rsidRPr="00BE0600" w:rsidR="00A262C9">
        <w:rPr>
          <w:rFonts w:cs="Times New Roman" w:asciiTheme="minorHAnsi" w:hAnsiTheme="minorHAnsi"/>
        </w:rPr>
        <w:t>dietary Day 2</w:t>
      </w:r>
      <w:r w:rsidRPr="00BE0600" w:rsidR="00F73E66">
        <w:rPr>
          <w:rFonts w:cs="Times New Roman" w:asciiTheme="minorHAnsi" w:hAnsiTheme="minorHAnsi"/>
        </w:rPr>
        <w:t xml:space="preserve"> interview by phone. </w:t>
      </w:r>
      <w:r w:rsidRPr="00BE0600" w:rsidR="007E1305">
        <w:rPr>
          <w:rFonts w:cs="Times New Roman" w:asciiTheme="minorHAnsi" w:hAnsiTheme="minorHAnsi"/>
        </w:rPr>
        <w:t>N</w:t>
      </w:r>
      <w:r w:rsidRPr="00BE0600" w:rsidR="00F73E66">
        <w:rPr>
          <w:rFonts w:cs="Times New Roman" w:asciiTheme="minorHAnsi" w:hAnsiTheme="minorHAnsi"/>
        </w:rPr>
        <w:t>HANES changed the mode of the in-person</w:t>
      </w:r>
      <w:r w:rsidRPr="00BE0600" w:rsidR="00A262C9">
        <w:rPr>
          <w:rFonts w:cs="Times New Roman" w:asciiTheme="minorHAnsi" w:hAnsiTheme="minorHAnsi"/>
        </w:rPr>
        <w:t xml:space="preserve"> dietary Day 1</w:t>
      </w:r>
      <w:r w:rsidRPr="00BE0600" w:rsidR="00F73E66">
        <w:rPr>
          <w:rFonts w:cs="Times New Roman" w:asciiTheme="minorHAnsi" w:hAnsiTheme="minorHAnsi"/>
        </w:rPr>
        <w:t xml:space="preserve"> interview to also be via phone to limit face-to-face interaction with participants</w:t>
      </w:r>
      <w:r w:rsidRPr="00BE0600" w:rsidR="007E1305">
        <w:rPr>
          <w:rFonts w:cs="Times New Roman" w:asciiTheme="minorHAnsi" w:hAnsiTheme="minorHAnsi"/>
        </w:rPr>
        <w:t xml:space="preserve"> and mitigate COVID-19 risk</w:t>
      </w:r>
      <w:r w:rsidRPr="00BE0600" w:rsidR="00F73E66">
        <w:rPr>
          <w:rFonts w:cs="Times New Roman" w:asciiTheme="minorHAnsi" w:hAnsiTheme="minorHAnsi"/>
        </w:rPr>
        <w:t>.</w:t>
      </w:r>
      <w:r w:rsidR="00A7793A">
        <w:rPr>
          <w:rFonts w:cs="Times New Roman" w:asciiTheme="minorHAnsi" w:hAnsiTheme="minorHAnsi"/>
        </w:rPr>
        <w:t xml:space="preserve"> In January </w:t>
      </w:r>
      <w:r w:rsidR="00E33AF7">
        <w:rPr>
          <w:rFonts w:cs="Times New Roman" w:asciiTheme="minorHAnsi" w:hAnsiTheme="minorHAnsi"/>
        </w:rPr>
        <w:t xml:space="preserve">of </w:t>
      </w:r>
      <w:r w:rsidR="00A7793A">
        <w:rPr>
          <w:rFonts w:cs="Times New Roman" w:asciiTheme="minorHAnsi" w:hAnsiTheme="minorHAnsi"/>
        </w:rPr>
        <w:t>2022, NHANES received approval to increase the adult (ages 1</w:t>
      </w:r>
      <w:r w:rsidR="00192F8E">
        <w:rPr>
          <w:rFonts w:cs="Times New Roman" w:asciiTheme="minorHAnsi" w:hAnsiTheme="minorHAnsi"/>
        </w:rPr>
        <w:t>6</w:t>
      </w:r>
      <w:r w:rsidR="00A7793A">
        <w:rPr>
          <w:rFonts w:cs="Times New Roman" w:asciiTheme="minorHAnsi" w:hAnsiTheme="minorHAnsi"/>
        </w:rPr>
        <w:t>+) MEC exam incentive at 5 locations in effort</w:t>
      </w:r>
      <w:r w:rsidR="00192F8E">
        <w:rPr>
          <w:rFonts w:cs="Times New Roman" w:asciiTheme="minorHAnsi" w:hAnsiTheme="minorHAnsi"/>
        </w:rPr>
        <w:t>s</w:t>
      </w:r>
      <w:r w:rsidR="00A7793A">
        <w:rPr>
          <w:rFonts w:cs="Times New Roman" w:asciiTheme="minorHAnsi" w:hAnsiTheme="minorHAnsi"/>
        </w:rPr>
        <w:t xml:space="preserve"> to increase </w:t>
      </w:r>
      <w:r w:rsidR="00E33AF7">
        <w:rPr>
          <w:rFonts w:cs="Times New Roman" w:asciiTheme="minorHAnsi" w:hAnsiTheme="minorHAnsi"/>
        </w:rPr>
        <w:t xml:space="preserve">MEC </w:t>
      </w:r>
      <w:r w:rsidR="00A7793A">
        <w:rPr>
          <w:rFonts w:cs="Times New Roman" w:asciiTheme="minorHAnsi" w:hAnsiTheme="minorHAnsi"/>
        </w:rPr>
        <w:t>exam response rates.</w:t>
      </w:r>
    </w:p>
    <w:p w:rsidR="00D06F3C" w:rsidP="00F73E66" w:rsidRDefault="00D06F3C" w14:paraId="524062D7" w14:textId="0B1CA654">
      <w:pPr>
        <w:rPr>
          <w:rFonts w:cs="Times New Roman" w:asciiTheme="minorHAnsi" w:hAnsiTheme="minorHAnsi"/>
        </w:rPr>
      </w:pPr>
    </w:p>
    <w:p w:rsidR="00E33AF7" w:rsidP="00D06F3C" w:rsidRDefault="004D04F8" w14:paraId="182EA051" w14:textId="43E54E53">
      <w:pPr>
        <w:widowControl/>
        <w:autoSpaceDE/>
        <w:autoSpaceDN/>
        <w:adjustRightInd/>
        <w:rPr>
          <w:rFonts w:cs="Times New Roman" w:asciiTheme="minorHAnsi" w:hAnsiTheme="minorHAnsi"/>
        </w:rPr>
      </w:pPr>
      <w:r>
        <w:rPr>
          <w:rFonts w:cs="Times New Roman" w:asciiTheme="minorHAnsi" w:hAnsiTheme="minorHAnsi"/>
        </w:rPr>
        <w:t>In addition to</w:t>
      </w:r>
      <w:r w:rsidR="002E3D06">
        <w:rPr>
          <w:rFonts w:cs="Times New Roman" w:asciiTheme="minorHAnsi" w:hAnsiTheme="minorHAnsi"/>
        </w:rPr>
        <w:t xml:space="preserve"> shorten</w:t>
      </w:r>
      <w:r>
        <w:rPr>
          <w:rFonts w:cs="Times New Roman" w:asciiTheme="minorHAnsi" w:hAnsiTheme="minorHAnsi"/>
        </w:rPr>
        <w:t>ing</w:t>
      </w:r>
      <w:r w:rsidR="002E3D06">
        <w:rPr>
          <w:rFonts w:cs="Times New Roman" w:asciiTheme="minorHAnsi" w:hAnsiTheme="minorHAnsi"/>
        </w:rPr>
        <w:t xml:space="preserve"> the </w:t>
      </w:r>
      <w:r w:rsidR="005C2847">
        <w:rPr>
          <w:rFonts w:cs="Times New Roman" w:asciiTheme="minorHAnsi" w:hAnsiTheme="minorHAnsi"/>
        </w:rPr>
        <w:t>household interview</w:t>
      </w:r>
      <w:r w:rsidR="002E3D06">
        <w:rPr>
          <w:rFonts w:cs="Times New Roman" w:asciiTheme="minorHAnsi" w:hAnsiTheme="minorHAnsi"/>
        </w:rPr>
        <w:t xml:space="preserve"> and</w:t>
      </w:r>
      <w:r w:rsidR="005C2847">
        <w:rPr>
          <w:rFonts w:cs="Times New Roman" w:asciiTheme="minorHAnsi" w:hAnsiTheme="minorHAnsi"/>
        </w:rPr>
        <w:t xml:space="preserve"> MEC exam</w:t>
      </w:r>
      <w:r w:rsidR="00615922">
        <w:rPr>
          <w:rFonts w:cs="Times New Roman" w:asciiTheme="minorHAnsi" w:hAnsiTheme="minorHAnsi"/>
        </w:rPr>
        <w:t xml:space="preserve"> visits</w:t>
      </w:r>
      <w:r w:rsidR="002E3D06">
        <w:rPr>
          <w:rFonts w:cs="Times New Roman" w:asciiTheme="minorHAnsi" w:hAnsiTheme="minorHAnsi"/>
        </w:rPr>
        <w:t xml:space="preserve"> </w:t>
      </w:r>
      <w:r w:rsidR="005C2847">
        <w:rPr>
          <w:rFonts w:cs="Times New Roman" w:asciiTheme="minorHAnsi" w:hAnsiTheme="minorHAnsi"/>
        </w:rPr>
        <w:t xml:space="preserve">and </w:t>
      </w:r>
      <w:r w:rsidR="002E3D06">
        <w:rPr>
          <w:rFonts w:cs="Times New Roman" w:asciiTheme="minorHAnsi" w:hAnsiTheme="minorHAnsi"/>
        </w:rPr>
        <w:t>increas</w:t>
      </w:r>
      <w:r>
        <w:rPr>
          <w:rFonts w:cs="Times New Roman" w:asciiTheme="minorHAnsi" w:hAnsiTheme="minorHAnsi"/>
        </w:rPr>
        <w:t>ing</w:t>
      </w:r>
      <w:r w:rsidR="002E3D06">
        <w:rPr>
          <w:rFonts w:cs="Times New Roman" w:asciiTheme="minorHAnsi" w:hAnsiTheme="minorHAnsi"/>
        </w:rPr>
        <w:t xml:space="preserve"> the </w:t>
      </w:r>
      <w:r w:rsidR="005C2847">
        <w:rPr>
          <w:rFonts w:cs="Times New Roman" w:asciiTheme="minorHAnsi" w:hAnsiTheme="minorHAnsi"/>
        </w:rPr>
        <w:t xml:space="preserve">adult </w:t>
      </w:r>
      <w:r w:rsidR="00260B43">
        <w:rPr>
          <w:rFonts w:cs="Times New Roman" w:asciiTheme="minorHAnsi" w:hAnsiTheme="minorHAnsi"/>
        </w:rPr>
        <w:t xml:space="preserve">MEC exam </w:t>
      </w:r>
      <w:r w:rsidR="005C2847">
        <w:rPr>
          <w:rFonts w:cs="Times New Roman" w:asciiTheme="minorHAnsi" w:hAnsiTheme="minorHAnsi"/>
        </w:rPr>
        <w:t xml:space="preserve">incentive, </w:t>
      </w:r>
      <w:r w:rsidR="00260B43">
        <w:rPr>
          <w:rFonts w:cs="Times New Roman" w:asciiTheme="minorHAnsi" w:hAnsiTheme="minorHAnsi"/>
        </w:rPr>
        <w:t xml:space="preserve">the </w:t>
      </w:r>
      <w:r w:rsidR="002E3D06">
        <w:rPr>
          <w:rFonts w:cs="Times New Roman" w:asciiTheme="minorHAnsi" w:hAnsiTheme="minorHAnsi"/>
        </w:rPr>
        <w:t xml:space="preserve">identification of factors contributing to both MEC response and nonresponse is imperative to </w:t>
      </w:r>
      <w:r w:rsidR="00260B43">
        <w:rPr>
          <w:rFonts w:cs="Times New Roman" w:asciiTheme="minorHAnsi" w:hAnsiTheme="minorHAnsi"/>
        </w:rPr>
        <w:t>increase survey participation and completion</w:t>
      </w:r>
      <w:r w:rsidR="002E3D06">
        <w:rPr>
          <w:rFonts w:cs="Times New Roman" w:asciiTheme="minorHAnsi" w:hAnsiTheme="minorHAnsi"/>
        </w:rPr>
        <w:t xml:space="preserve">. To </w:t>
      </w:r>
      <w:r w:rsidR="00260B43">
        <w:rPr>
          <w:rFonts w:cs="Times New Roman" w:asciiTheme="minorHAnsi" w:hAnsiTheme="minorHAnsi"/>
        </w:rPr>
        <w:t>assess for these</w:t>
      </w:r>
      <w:r w:rsidR="006E1682">
        <w:rPr>
          <w:rFonts w:cs="Times New Roman" w:asciiTheme="minorHAnsi" w:hAnsiTheme="minorHAnsi"/>
        </w:rPr>
        <w:t xml:space="preserve"> factors</w:t>
      </w:r>
      <w:r w:rsidR="005C2847">
        <w:rPr>
          <w:rFonts w:cs="Times New Roman" w:asciiTheme="minorHAnsi" w:hAnsiTheme="minorHAnsi"/>
        </w:rPr>
        <w:t>, NHANES proposes the administration of a</w:t>
      </w:r>
      <w:r w:rsidR="002E3D06">
        <w:rPr>
          <w:rFonts w:cs="Times New Roman" w:asciiTheme="minorHAnsi" w:hAnsiTheme="minorHAnsi"/>
        </w:rPr>
        <w:t xml:space="preserve"> </w:t>
      </w:r>
      <w:r w:rsidR="005C2847">
        <w:rPr>
          <w:rFonts w:cs="Times New Roman" w:asciiTheme="minorHAnsi" w:hAnsiTheme="minorHAnsi"/>
        </w:rPr>
        <w:t xml:space="preserve">follow-up questionnaire for both </w:t>
      </w:r>
      <w:r w:rsidR="00260B43">
        <w:rPr>
          <w:rFonts w:cs="Times New Roman" w:asciiTheme="minorHAnsi" w:hAnsiTheme="minorHAnsi"/>
        </w:rPr>
        <w:t xml:space="preserve">MEC exam </w:t>
      </w:r>
      <w:r w:rsidR="005C2847">
        <w:rPr>
          <w:rFonts w:cs="Times New Roman" w:asciiTheme="minorHAnsi" w:hAnsiTheme="minorHAnsi"/>
        </w:rPr>
        <w:t>respondents and nonrespondents</w:t>
      </w:r>
      <w:r w:rsidR="004E22FE">
        <w:rPr>
          <w:rFonts w:cs="Times New Roman" w:asciiTheme="minorHAnsi" w:hAnsiTheme="minorHAnsi"/>
        </w:rPr>
        <w:t xml:space="preserve"> who completed the household interviews</w:t>
      </w:r>
      <w:r w:rsidR="00E33AF7">
        <w:rPr>
          <w:rFonts w:cs="Times New Roman" w:asciiTheme="minorHAnsi" w:hAnsiTheme="minorHAnsi"/>
        </w:rPr>
        <w:t xml:space="preserve"> in the current 2021-2022 cycle</w:t>
      </w:r>
      <w:r w:rsidR="005C2847">
        <w:rPr>
          <w:rFonts w:cs="Times New Roman" w:asciiTheme="minorHAnsi" w:hAnsiTheme="minorHAnsi"/>
        </w:rPr>
        <w:t xml:space="preserve">. </w:t>
      </w:r>
    </w:p>
    <w:p w:rsidR="00123155" w:rsidP="00D06F3C" w:rsidRDefault="00123155" w14:paraId="784A92DE" w14:textId="40553E94">
      <w:pPr>
        <w:widowControl/>
        <w:autoSpaceDE/>
        <w:autoSpaceDN/>
        <w:adjustRightInd/>
        <w:rPr>
          <w:rFonts w:cs="Times New Roman" w:asciiTheme="minorHAnsi" w:hAnsiTheme="minorHAnsi"/>
        </w:rPr>
      </w:pPr>
    </w:p>
    <w:p w:rsidRPr="003179E8" w:rsidR="003C4464" w:rsidP="00D06F3C" w:rsidRDefault="003C4464" w14:paraId="214E77BA" w14:textId="15AA0353">
      <w:pPr>
        <w:widowControl/>
        <w:autoSpaceDE/>
        <w:autoSpaceDN/>
        <w:adjustRightInd/>
        <w:rPr>
          <w:rFonts w:cs="Times New Roman" w:asciiTheme="minorHAnsi" w:hAnsiTheme="minorHAnsi"/>
          <w:b/>
          <w:bCs/>
          <w:i/>
          <w:iCs/>
        </w:rPr>
      </w:pPr>
      <w:r w:rsidRPr="003179E8">
        <w:rPr>
          <w:rFonts w:cs="Times New Roman" w:asciiTheme="minorHAnsi" w:hAnsiTheme="minorHAnsi"/>
          <w:b/>
          <w:bCs/>
          <w:i/>
          <w:iCs/>
        </w:rPr>
        <w:t xml:space="preserve">MEC respondent follow-up questionnaire </w:t>
      </w:r>
    </w:p>
    <w:p w:rsidRPr="003C4464" w:rsidR="003C4464" w:rsidP="00D06F3C" w:rsidRDefault="003C4464" w14:paraId="364E4B6A" w14:textId="77777777">
      <w:pPr>
        <w:widowControl/>
        <w:autoSpaceDE/>
        <w:autoSpaceDN/>
        <w:adjustRightInd/>
        <w:rPr>
          <w:rFonts w:cs="Times New Roman" w:asciiTheme="minorHAnsi" w:hAnsiTheme="minorHAnsi"/>
          <w:i/>
          <w:iCs/>
        </w:rPr>
      </w:pPr>
    </w:p>
    <w:p w:rsidR="008E5767" w:rsidP="00D06F3C" w:rsidRDefault="005C2847" w14:paraId="675E261E" w14:textId="785618D2">
      <w:pPr>
        <w:widowControl/>
        <w:autoSpaceDE/>
        <w:autoSpaceDN/>
        <w:adjustRightInd/>
        <w:rPr>
          <w:rFonts w:cs="Times New Roman" w:asciiTheme="minorHAnsi" w:hAnsiTheme="minorHAnsi"/>
        </w:rPr>
      </w:pPr>
      <w:r>
        <w:rPr>
          <w:rFonts w:cs="Times New Roman" w:asciiTheme="minorHAnsi" w:hAnsiTheme="minorHAnsi"/>
        </w:rPr>
        <w:t xml:space="preserve">The </w:t>
      </w:r>
      <w:r w:rsidR="0004519E">
        <w:rPr>
          <w:rFonts w:cs="Times New Roman" w:asciiTheme="minorHAnsi" w:hAnsiTheme="minorHAnsi"/>
        </w:rPr>
        <w:t xml:space="preserve">MEC </w:t>
      </w:r>
      <w:r>
        <w:rPr>
          <w:rFonts w:cs="Times New Roman" w:asciiTheme="minorHAnsi" w:hAnsiTheme="minorHAnsi"/>
        </w:rPr>
        <w:t>respondent</w:t>
      </w:r>
      <w:r w:rsidR="00FA4A74">
        <w:rPr>
          <w:rFonts w:cs="Times New Roman" w:asciiTheme="minorHAnsi" w:hAnsiTheme="minorHAnsi"/>
        </w:rPr>
        <w:t xml:space="preserve"> follow-up</w:t>
      </w:r>
      <w:r>
        <w:rPr>
          <w:rFonts w:cs="Times New Roman" w:asciiTheme="minorHAnsi" w:hAnsiTheme="minorHAnsi"/>
        </w:rPr>
        <w:t xml:space="preserve"> questionnaire</w:t>
      </w:r>
      <w:r w:rsidR="00A51171">
        <w:rPr>
          <w:rFonts w:cs="Times New Roman" w:asciiTheme="minorHAnsi" w:hAnsiTheme="minorHAnsi"/>
        </w:rPr>
        <w:t xml:space="preserve"> </w:t>
      </w:r>
      <w:r w:rsidR="00BA66BF">
        <w:rPr>
          <w:rFonts w:cs="Times New Roman" w:asciiTheme="minorHAnsi" w:hAnsiTheme="minorHAnsi"/>
        </w:rPr>
        <w:t>consists of a letter (</w:t>
      </w:r>
      <w:r w:rsidRPr="00615922" w:rsidR="00BA66BF">
        <w:rPr>
          <w:rFonts w:cs="Times New Roman" w:asciiTheme="minorHAnsi" w:hAnsiTheme="minorHAnsi"/>
          <w:b/>
          <w:bCs/>
        </w:rPr>
        <w:t>see</w:t>
      </w:r>
      <w:r w:rsidR="00BA66BF">
        <w:rPr>
          <w:rFonts w:cs="Times New Roman" w:asciiTheme="minorHAnsi" w:hAnsiTheme="minorHAnsi"/>
        </w:rPr>
        <w:t xml:space="preserve"> </w:t>
      </w:r>
      <w:r w:rsidR="00BA66BF">
        <w:rPr>
          <w:rFonts w:cs="Times New Roman" w:asciiTheme="minorHAnsi" w:hAnsiTheme="minorHAnsi"/>
          <w:b/>
          <w:bCs/>
        </w:rPr>
        <w:t>At</w:t>
      </w:r>
      <w:r w:rsidR="00DF1691">
        <w:rPr>
          <w:rFonts w:cs="Times New Roman" w:asciiTheme="minorHAnsi" w:hAnsiTheme="minorHAnsi"/>
          <w:b/>
          <w:bCs/>
        </w:rPr>
        <w:t>t.</w:t>
      </w:r>
      <w:r w:rsidR="00BA66BF">
        <w:rPr>
          <w:rFonts w:cs="Times New Roman" w:asciiTheme="minorHAnsi" w:hAnsiTheme="minorHAnsi"/>
          <w:b/>
          <w:bCs/>
        </w:rPr>
        <w:t xml:space="preserve"> </w:t>
      </w:r>
      <w:r w:rsidRPr="00BA66BF" w:rsidR="00BA66BF">
        <w:rPr>
          <w:rFonts w:cs="Times New Roman" w:asciiTheme="minorHAnsi" w:hAnsiTheme="minorHAnsi"/>
          <w:b/>
          <w:bCs/>
        </w:rPr>
        <w:t>1</w:t>
      </w:r>
      <w:r w:rsidR="00BA66BF">
        <w:rPr>
          <w:rFonts w:cs="Times New Roman" w:asciiTheme="minorHAnsi" w:hAnsiTheme="minorHAnsi"/>
        </w:rPr>
        <w:t xml:space="preserve">) </w:t>
      </w:r>
      <w:r w:rsidRPr="00BA66BF" w:rsidR="00BA66BF">
        <w:rPr>
          <w:rFonts w:cs="Times New Roman" w:asciiTheme="minorHAnsi" w:hAnsiTheme="minorHAnsi"/>
        </w:rPr>
        <w:t>requesting</w:t>
      </w:r>
      <w:r w:rsidR="00BA66BF">
        <w:rPr>
          <w:rFonts w:cs="Times New Roman" w:asciiTheme="minorHAnsi" w:hAnsiTheme="minorHAnsi"/>
        </w:rPr>
        <w:t xml:space="preserve"> participation in </w:t>
      </w:r>
      <w:r w:rsidR="00123155">
        <w:rPr>
          <w:rFonts w:cs="Times New Roman" w:asciiTheme="minorHAnsi" w:hAnsiTheme="minorHAnsi"/>
        </w:rPr>
        <w:t xml:space="preserve">the </w:t>
      </w:r>
      <w:r w:rsidR="00BA66BF">
        <w:rPr>
          <w:rFonts w:cs="Times New Roman" w:asciiTheme="minorHAnsi" w:hAnsiTheme="minorHAnsi"/>
        </w:rPr>
        <w:t>brief questionnaire from adult (ages 1</w:t>
      </w:r>
      <w:r w:rsidR="00161F7A">
        <w:rPr>
          <w:rFonts w:cs="Times New Roman" w:asciiTheme="minorHAnsi" w:hAnsiTheme="minorHAnsi"/>
        </w:rPr>
        <w:t>8</w:t>
      </w:r>
      <w:r w:rsidR="00BA66BF">
        <w:rPr>
          <w:rFonts w:cs="Times New Roman" w:asciiTheme="minorHAnsi" w:hAnsiTheme="minorHAnsi"/>
        </w:rPr>
        <w:t>+) participants who completed the</w:t>
      </w:r>
      <w:r w:rsidR="00F63FF3">
        <w:rPr>
          <w:rFonts w:cs="Times New Roman" w:asciiTheme="minorHAnsi" w:hAnsiTheme="minorHAnsi"/>
        </w:rPr>
        <w:t xml:space="preserve"> household interview </w:t>
      </w:r>
      <w:r w:rsidR="007B2164">
        <w:rPr>
          <w:rFonts w:cs="Times New Roman" w:asciiTheme="minorHAnsi" w:hAnsiTheme="minorHAnsi"/>
        </w:rPr>
        <w:t>and</w:t>
      </w:r>
      <w:r w:rsidR="00BA66BF">
        <w:rPr>
          <w:rFonts w:cs="Times New Roman" w:asciiTheme="minorHAnsi" w:hAnsiTheme="minorHAnsi"/>
        </w:rPr>
        <w:t xml:space="preserve"> MEC exam. </w:t>
      </w:r>
      <w:r w:rsidR="00A51171">
        <w:rPr>
          <w:rFonts w:cs="Times New Roman" w:asciiTheme="minorHAnsi" w:hAnsiTheme="minorHAnsi"/>
        </w:rPr>
        <w:t xml:space="preserve">The questionnaire </w:t>
      </w:r>
      <w:r w:rsidR="008E5767">
        <w:rPr>
          <w:rFonts w:cs="Times New Roman" w:asciiTheme="minorHAnsi" w:hAnsiTheme="minorHAnsi"/>
        </w:rPr>
        <w:t>will not be</w:t>
      </w:r>
      <w:r w:rsidR="00A51171">
        <w:rPr>
          <w:rFonts w:cs="Times New Roman" w:asciiTheme="minorHAnsi" w:hAnsiTheme="minorHAnsi"/>
        </w:rPr>
        <w:t xml:space="preserve"> administered </w:t>
      </w:r>
      <w:r w:rsidR="00D8178C">
        <w:rPr>
          <w:rFonts w:cs="Times New Roman" w:asciiTheme="minorHAnsi" w:hAnsiTheme="minorHAnsi"/>
        </w:rPr>
        <w:t xml:space="preserve">until </w:t>
      </w:r>
      <w:r w:rsidR="00A51171">
        <w:rPr>
          <w:rFonts w:cs="Times New Roman" w:asciiTheme="minorHAnsi" w:hAnsiTheme="minorHAnsi"/>
        </w:rPr>
        <w:t>after all core NHANES components are completed, including the dietary interviews</w:t>
      </w:r>
      <w:r w:rsidR="00D61C50">
        <w:rPr>
          <w:rFonts w:cs="Times New Roman" w:asciiTheme="minorHAnsi" w:hAnsiTheme="minorHAnsi"/>
        </w:rPr>
        <w:t xml:space="preserve">, as introduction of this </w:t>
      </w:r>
      <w:r w:rsidR="00D8178C">
        <w:rPr>
          <w:rFonts w:cs="Times New Roman" w:asciiTheme="minorHAnsi" w:hAnsiTheme="minorHAnsi"/>
        </w:rPr>
        <w:t>questionnaire</w:t>
      </w:r>
      <w:r w:rsidR="00D61C50">
        <w:rPr>
          <w:rFonts w:cs="Times New Roman" w:asciiTheme="minorHAnsi" w:hAnsiTheme="minorHAnsi"/>
        </w:rPr>
        <w:t xml:space="preserve"> prior to completion of the dietary interviews </w:t>
      </w:r>
      <w:r w:rsidR="00051E61">
        <w:rPr>
          <w:rFonts w:cs="Times New Roman" w:asciiTheme="minorHAnsi" w:hAnsiTheme="minorHAnsi"/>
        </w:rPr>
        <w:t>may have a negative</w:t>
      </w:r>
      <w:r w:rsidR="00D61C50">
        <w:rPr>
          <w:rFonts w:cs="Times New Roman" w:asciiTheme="minorHAnsi" w:hAnsiTheme="minorHAnsi"/>
        </w:rPr>
        <w:t xml:space="preserve"> effect on cooperation rates for those components. </w:t>
      </w:r>
      <w:r w:rsidR="001241C6">
        <w:rPr>
          <w:rFonts w:cs="Times New Roman" w:asciiTheme="minorHAnsi" w:hAnsiTheme="minorHAnsi"/>
        </w:rPr>
        <w:t xml:space="preserve">Administering this questionnaire while still present in the MEC </w:t>
      </w:r>
      <w:r w:rsidR="00051E61">
        <w:rPr>
          <w:rFonts w:cs="Times New Roman" w:asciiTheme="minorHAnsi" w:hAnsiTheme="minorHAnsi"/>
        </w:rPr>
        <w:t>may</w:t>
      </w:r>
      <w:r w:rsidR="001241C6">
        <w:rPr>
          <w:rFonts w:cs="Times New Roman" w:asciiTheme="minorHAnsi" w:hAnsiTheme="minorHAnsi"/>
        </w:rPr>
        <w:t xml:space="preserve"> also introduce social desirability bias as some of the questions focus on the quality of the MEC experience.</w:t>
      </w:r>
    </w:p>
    <w:p w:rsidR="00B621FB" w:rsidP="00D06F3C" w:rsidRDefault="00B621FB" w14:paraId="0E18D11D" w14:textId="691B0632">
      <w:pPr>
        <w:widowControl/>
        <w:autoSpaceDE/>
        <w:autoSpaceDN/>
        <w:adjustRightInd/>
        <w:rPr>
          <w:rFonts w:cs="Times New Roman" w:asciiTheme="minorHAnsi" w:hAnsiTheme="minorHAnsi"/>
        </w:rPr>
      </w:pPr>
    </w:p>
    <w:p w:rsidR="001B64E8" w:rsidP="00D06F3C" w:rsidRDefault="0067585B" w14:paraId="706A47AF" w14:textId="70BF54A1">
      <w:pPr>
        <w:widowControl/>
        <w:autoSpaceDE/>
        <w:autoSpaceDN/>
        <w:adjustRightInd/>
        <w:rPr>
          <w:rFonts w:cs="Times New Roman" w:asciiTheme="minorHAnsi" w:hAnsiTheme="minorHAnsi"/>
        </w:rPr>
      </w:pPr>
      <w:r>
        <w:rPr>
          <w:rFonts w:cs="Times New Roman" w:asciiTheme="minorHAnsi" w:hAnsiTheme="minorHAnsi"/>
        </w:rPr>
        <w:t xml:space="preserve">Respondents completing their final dietary </w:t>
      </w:r>
      <w:r w:rsidR="00197D6F">
        <w:rPr>
          <w:rFonts w:cs="Times New Roman" w:asciiTheme="minorHAnsi" w:hAnsiTheme="minorHAnsi"/>
        </w:rPr>
        <w:t xml:space="preserve">telephone </w:t>
      </w:r>
      <w:r>
        <w:rPr>
          <w:rFonts w:cs="Times New Roman" w:asciiTheme="minorHAnsi" w:hAnsiTheme="minorHAnsi"/>
        </w:rPr>
        <w:t>interview will be asked to complete this new follow</w:t>
      </w:r>
      <w:r w:rsidR="003179E8">
        <w:rPr>
          <w:rFonts w:cs="Times New Roman" w:asciiTheme="minorHAnsi" w:hAnsiTheme="minorHAnsi"/>
        </w:rPr>
        <w:t>-</w:t>
      </w:r>
      <w:r>
        <w:rPr>
          <w:rFonts w:cs="Times New Roman" w:asciiTheme="minorHAnsi" w:hAnsiTheme="minorHAnsi"/>
        </w:rPr>
        <w:t xml:space="preserve">up questionnaire </w:t>
      </w:r>
      <w:r w:rsidR="00197D6F">
        <w:rPr>
          <w:rFonts w:cs="Times New Roman" w:asciiTheme="minorHAnsi" w:hAnsiTheme="minorHAnsi"/>
        </w:rPr>
        <w:t>at that time</w:t>
      </w:r>
      <w:r w:rsidR="007F2C14">
        <w:rPr>
          <w:rFonts w:cs="Times New Roman" w:asciiTheme="minorHAnsi" w:hAnsiTheme="minorHAnsi"/>
        </w:rPr>
        <w:t xml:space="preserve">. Those who refuse will be sent a hard copy questionnaire </w:t>
      </w:r>
      <w:r w:rsidR="00733506">
        <w:rPr>
          <w:rFonts w:cs="Times New Roman" w:asciiTheme="minorHAnsi" w:hAnsiTheme="minorHAnsi"/>
        </w:rPr>
        <w:t xml:space="preserve">via express mail </w:t>
      </w:r>
      <w:r w:rsidR="007F2C14">
        <w:rPr>
          <w:rFonts w:cs="Times New Roman" w:asciiTheme="minorHAnsi" w:hAnsiTheme="minorHAnsi"/>
        </w:rPr>
        <w:t>to their household address.</w:t>
      </w:r>
      <w:r w:rsidR="003179E8">
        <w:rPr>
          <w:rFonts w:cs="Times New Roman" w:asciiTheme="minorHAnsi" w:hAnsiTheme="minorHAnsi"/>
        </w:rPr>
        <w:t xml:space="preserve"> </w:t>
      </w:r>
      <w:r w:rsidR="007F2C14">
        <w:rPr>
          <w:rFonts w:cs="Times New Roman" w:asciiTheme="minorHAnsi" w:hAnsiTheme="minorHAnsi"/>
        </w:rPr>
        <w:t>Respondents who refused dietary interviews</w:t>
      </w:r>
      <w:r w:rsidR="0062798C">
        <w:rPr>
          <w:rFonts w:cs="Times New Roman" w:asciiTheme="minorHAnsi" w:hAnsiTheme="minorHAnsi"/>
        </w:rPr>
        <w:t xml:space="preserve"> entirely will only receive hard copy questionnaires. </w:t>
      </w:r>
      <w:r w:rsidR="00EA4471">
        <w:rPr>
          <w:rFonts w:cs="Times New Roman" w:asciiTheme="minorHAnsi" w:hAnsiTheme="minorHAnsi"/>
        </w:rPr>
        <w:t>Those who receive a hard copy questionnaire will have the option to return their questionnaire via mail or provide responses via toll free telephone number.</w:t>
      </w:r>
      <w:r w:rsidR="00733506">
        <w:rPr>
          <w:rFonts w:cs="Times New Roman" w:asciiTheme="minorHAnsi" w:hAnsiTheme="minorHAnsi"/>
        </w:rPr>
        <w:t xml:space="preserve"> </w:t>
      </w:r>
      <w:r w:rsidR="001241C6">
        <w:rPr>
          <w:rFonts w:cs="Times New Roman" w:asciiTheme="minorHAnsi" w:hAnsiTheme="minorHAnsi"/>
        </w:rPr>
        <w:t>Respondents will receive</w:t>
      </w:r>
      <w:r w:rsidR="00BA66BF">
        <w:rPr>
          <w:rFonts w:cs="Times New Roman" w:asciiTheme="minorHAnsi" w:hAnsiTheme="minorHAnsi"/>
        </w:rPr>
        <w:t xml:space="preserve"> $10 as remuneration for </w:t>
      </w:r>
      <w:r w:rsidR="00C1735F">
        <w:rPr>
          <w:rFonts w:cs="Times New Roman" w:asciiTheme="minorHAnsi" w:hAnsiTheme="minorHAnsi"/>
        </w:rPr>
        <w:t xml:space="preserve">their </w:t>
      </w:r>
      <w:r w:rsidR="00BA66BF">
        <w:rPr>
          <w:rFonts w:cs="Times New Roman" w:asciiTheme="minorHAnsi" w:hAnsiTheme="minorHAnsi"/>
        </w:rPr>
        <w:t>time and cooperation.</w:t>
      </w:r>
    </w:p>
    <w:p w:rsidR="001241C6" w:rsidP="00D06F3C" w:rsidRDefault="00733506" w14:paraId="32FC7E00" w14:textId="3E702C8F">
      <w:pPr>
        <w:widowControl/>
        <w:autoSpaceDE/>
        <w:autoSpaceDN/>
        <w:adjustRightInd/>
        <w:rPr>
          <w:rFonts w:cs="Times New Roman" w:asciiTheme="minorHAnsi" w:hAnsiTheme="minorHAnsi"/>
        </w:rPr>
      </w:pPr>
      <w:r>
        <w:rPr>
          <w:rFonts w:cs="Times New Roman" w:asciiTheme="minorHAnsi" w:hAnsiTheme="minorHAnsi"/>
        </w:rPr>
        <w:lastRenderedPageBreak/>
        <w:t>Questionnaire items were adapted or developed from other work on follow up surveys</w:t>
      </w:r>
      <w:r>
        <w:rPr>
          <w:rStyle w:val="FootnoteReference"/>
          <w:rFonts w:cs="Times New Roman" w:asciiTheme="minorHAnsi" w:hAnsiTheme="minorHAnsi"/>
        </w:rPr>
        <w:footnoteReference w:id="2"/>
      </w:r>
      <w:r>
        <w:rPr>
          <w:rFonts w:cs="Times New Roman" w:asciiTheme="minorHAnsi" w:hAnsiTheme="minorHAnsi"/>
        </w:rPr>
        <w:t xml:space="preserve"> </w:t>
      </w:r>
      <w:r>
        <w:rPr>
          <w:rStyle w:val="FootnoteReference"/>
          <w:rFonts w:cs="Times New Roman" w:asciiTheme="minorHAnsi" w:hAnsiTheme="minorHAnsi"/>
        </w:rPr>
        <w:footnoteReference w:id="3"/>
      </w:r>
      <w:r>
        <w:rPr>
          <w:rFonts w:cs="Times New Roman" w:asciiTheme="minorHAnsi" w:hAnsiTheme="minorHAnsi"/>
        </w:rPr>
        <w:t xml:space="preserve"> and refined by survey methodologists from NHANES’ data collection contractor. </w:t>
      </w:r>
      <w:r w:rsidR="00BA66BF">
        <w:rPr>
          <w:rFonts w:cs="Times New Roman" w:asciiTheme="minorHAnsi" w:hAnsiTheme="minorHAnsi"/>
        </w:rPr>
        <w:t>The questionnaire (</w:t>
      </w:r>
      <w:r w:rsidR="00BA66BF">
        <w:rPr>
          <w:rFonts w:cs="Times New Roman" w:asciiTheme="minorHAnsi" w:hAnsiTheme="minorHAnsi"/>
          <w:b/>
          <w:bCs/>
        </w:rPr>
        <w:t>see Att</w:t>
      </w:r>
      <w:r w:rsidR="00DF1691">
        <w:rPr>
          <w:rFonts w:cs="Times New Roman" w:asciiTheme="minorHAnsi" w:hAnsiTheme="minorHAnsi"/>
          <w:b/>
          <w:bCs/>
        </w:rPr>
        <w:t>.</w:t>
      </w:r>
      <w:r w:rsidR="00615922">
        <w:rPr>
          <w:rFonts w:cs="Times New Roman" w:asciiTheme="minorHAnsi" w:hAnsiTheme="minorHAnsi"/>
          <w:b/>
          <w:bCs/>
        </w:rPr>
        <w:t xml:space="preserve"> </w:t>
      </w:r>
      <w:r w:rsidR="00DF1691">
        <w:rPr>
          <w:rFonts w:cs="Times New Roman" w:asciiTheme="minorHAnsi" w:hAnsiTheme="minorHAnsi"/>
          <w:b/>
          <w:bCs/>
        </w:rPr>
        <w:t>2</w:t>
      </w:r>
      <w:r w:rsidR="00615922">
        <w:rPr>
          <w:rFonts w:cs="Times New Roman" w:asciiTheme="minorHAnsi" w:hAnsiTheme="minorHAnsi"/>
        </w:rPr>
        <w:t xml:space="preserve">) </w:t>
      </w:r>
      <w:r w:rsidR="006E1682">
        <w:rPr>
          <w:rFonts w:cs="Times New Roman" w:asciiTheme="minorHAnsi" w:hAnsiTheme="minorHAnsi"/>
        </w:rPr>
        <w:t xml:space="preserve">first </w:t>
      </w:r>
      <w:r w:rsidR="00364115">
        <w:rPr>
          <w:rFonts w:cs="Times New Roman" w:asciiTheme="minorHAnsi" w:hAnsiTheme="minorHAnsi"/>
        </w:rPr>
        <w:t xml:space="preserve">asks </w:t>
      </w:r>
      <w:r w:rsidR="00615922">
        <w:rPr>
          <w:rFonts w:cs="Times New Roman" w:asciiTheme="minorHAnsi" w:hAnsiTheme="minorHAnsi"/>
        </w:rPr>
        <w:t>questions about the household interview (i.e., experience with NHANES staff, appropriateness of interview time, reasons for interview participation).</w:t>
      </w:r>
      <w:r w:rsidR="00A7793A">
        <w:rPr>
          <w:rFonts w:cs="Times New Roman" w:asciiTheme="minorHAnsi" w:hAnsiTheme="minorHAnsi"/>
        </w:rPr>
        <w:t xml:space="preserve"> Participants are then asked to provide</w:t>
      </w:r>
      <w:r w:rsidR="004E22FE">
        <w:rPr>
          <w:rFonts w:cs="Times New Roman" w:asciiTheme="minorHAnsi" w:hAnsiTheme="minorHAnsi"/>
        </w:rPr>
        <w:t xml:space="preserve"> their level of agreement</w:t>
      </w:r>
      <w:r w:rsidR="00A7793A">
        <w:rPr>
          <w:rFonts w:cs="Times New Roman" w:asciiTheme="minorHAnsi" w:hAnsiTheme="minorHAnsi"/>
        </w:rPr>
        <w:t xml:space="preserve"> via </w:t>
      </w:r>
      <w:r w:rsidR="00364115">
        <w:rPr>
          <w:rFonts w:cs="Times New Roman" w:asciiTheme="minorHAnsi" w:hAnsiTheme="minorHAnsi"/>
        </w:rPr>
        <w:t xml:space="preserve">a </w:t>
      </w:r>
      <w:r w:rsidR="00A7793A">
        <w:rPr>
          <w:rFonts w:cs="Times New Roman" w:asciiTheme="minorHAnsi" w:hAnsiTheme="minorHAnsi"/>
        </w:rPr>
        <w:t xml:space="preserve">Likert scale </w:t>
      </w:r>
      <w:r w:rsidR="004E22FE">
        <w:rPr>
          <w:rFonts w:cs="Times New Roman" w:asciiTheme="minorHAnsi" w:hAnsiTheme="minorHAnsi"/>
        </w:rPr>
        <w:t xml:space="preserve">regarding topics such as survey participation, disclosure of health information and related privacy and </w:t>
      </w:r>
      <w:r w:rsidR="006E1682">
        <w:rPr>
          <w:rFonts w:cs="Times New Roman" w:asciiTheme="minorHAnsi" w:hAnsiTheme="minorHAnsi"/>
        </w:rPr>
        <w:t>confidentiality</w:t>
      </w:r>
      <w:r w:rsidR="004E22FE">
        <w:rPr>
          <w:rFonts w:cs="Times New Roman" w:asciiTheme="minorHAnsi" w:hAnsiTheme="minorHAnsi"/>
        </w:rPr>
        <w:t>,</w:t>
      </w:r>
      <w:r w:rsidR="00632555">
        <w:rPr>
          <w:rFonts w:cs="Times New Roman" w:asciiTheme="minorHAnsi" w:hAnsiTheme="minorHAnsi"/>
        </w:rPr>
        <w:t xml:space="preserve"> trust in government,</w:t>
      </w:r>
      <w:r w:rsidR="004E22FE">
        <w:rPr>
          <w:rFonts w:cs="Times New Roman" w:asciiTheme="minorHAnsi" w:hAnsiTheme="minorHAnsi"/>
        </w:rPr>
        <w:t xml:space="preserve"> participation in the community, and preventative health measures. The questionnaire concludes by soliciting responses to</w:t>
      </w:r>
      <w:r w:rsidR="00632555">
        <w:rPr>
          <w:rFonts w:cs="Times New Roman" w:asciiTheme="minorHAnsi" w:hAnsiTheme="minorHAnsi"/>
        </w:rPr>
        <w:t xml:space="preserve"> </w:t>
      </w:r>
      <w:r w:rsidR="004E22FE">
        <w:rPr>
          <w:rFonts w:cs="Times New Roman" w:asciiTheme="minorHAnsi" w:hAnsiTheme="minorHAnsi"/>
        </w:rPr>
        <w:t>questions regarding the respondent’s experience during the MEC exam visit</w:t>
      </w:r>
      <w:r w:rsidR="00632555">
        <w:rPr>
          <w:rFonts w:cs="Times New Roman" w:asciiTheme="minorHAnsi" w:hAnsiTheme="minorHAnsi"/>
        </w:rPr>
        <w:t xml:space="preserve"> as well as reasons one may not have participated in the MEC </w:t>
      </w:r>
      <w:r w:rsidR="006E1682">
        <w:rPr>
          <w:rFonts w:cs="Times New Roman" w:asciiTheme="minorHAnsi" w:hAnsiTheme="minorHAnsi"/>
        </w:rPr>
        <w:t xml:space="preserve">exam </w:t>
      </w:r>
      <w:r w:rsidR="00632555">
        <w:rPr>
          <w:rFonts w:cs="Times New Roman" w:asciiTheme="minorHAnsi" w:hAnsiTheme="minorHAnsi"/>
        </w:rPr>
        <w:t>if concerns ever arose</w:t>
      </w:r>
      <w:r w:rsidR="004E22FE">
        <w:rPr>
          <w:rFonts w:cs="Times New Roman" w:asciiTheme="minorHAnsi" w:hAnsiTheme="minorHAnsi"/>
        </w:rPr>
        <w:t xml:space="preserve">. </w:t>
      </w:r>
    </w:p>
    <w:p w:rsidR="002E03A5" w:rsidP="00D06F3C" w:rsidRDefault="002E03A5" w14:paraId="42437F4C" w14:textId="74AFE730">
      <w:pPr>
        <w:widowControl/>
        <w:autoSpaceDE/>
        <w:autoSpaceDN/>
        <w:adjustRightInd/>
        <w:rPr>
          <w:rFonts w:cs="Times New Roman" w:asciiTheme="minorHAnsi" w:hAnsiTheme="minorHAnsi"/>
        </w:rPr>
      </w:pPr>
    </w:p>
    <w:p w:rsidRPr="003179E8" w:rsidR="003C4464" w:rsidP="00D06F3C" w:rsidRDefault="003C4464" w14:paraId="1B4519CC" w14:textId="74270D76">
      <w:pPr>
        <w:widowControl/>
        <w:autoSpaceDE/>
        <w:autoSpaceDN/>
        <w:adjustRightInd/>
        <w:rPr>
          <w:rFonts w:cs="Times New Roman" w:asciiTheme="minorHAnsi" w:hAnsiTheme="minorHAnsi"/>
          <w:b/>
          <w:bCs/>
          <w:i/>
          <w:iCs/>
        </w:rPr>
      </w:pPr>
      <w:r w:rsidRPr="003179E8">
        <w:rPr>
          <w:rFonts w:cs="Times New Roman" w:asciiTheme="minorHAnsi" w:hAnsiTheme="minorHAnsi"/>
          <w:b/>
          <w:bCs/>
          <w:i/>
          <w:iCs/>
        </w:rPr>
        <w:t>MEC nonrespondent follow-up questionnaire</w:t>
      </w:r>
    </w:p>
    <w:p w:rsidRPr="003C4464" w:rsidR="003C4464" w:rsidP="00D06F3C" w:rsidRDefault="003C4464" w14:paraId="193C5E42" w14:textId="77777777">
      <w:pPr>
        <w:widowControl/>
        <w:autoSpaceDE/>
        <w:autoSpaceDN/>
        <w:adjustRightInd/>
        <w:rPr>
          <w:rFonts w:cs="Times New Roman" w:asciiTheme="minorHAnsi" w:hAnsiTheme="minorHAnsi"/>
          <w:i/>
          <w:iCs/>
        </w:rPr>
      </w:pPr>
    </w:p>
    <w:p w:rsidR="00D43F5C" w:rsidP="00F73E66" w:rsidRDefault="00084381" w14:paraId="2A73D65D" w14:textId="4534DEBB">
      <w:pPr>
        <w:rPr>
          <w:rFonts w:cs="Times New Roman" w:asciiTheme="minorHAnsi" w:hAnsiTheme="minorHAnsi"/>
        </w:rPr>
      </w:pPr>
      <w:r>
        <w:rPr>
          <w:rFonts w:cs="Times New Roman" w:asciiTheme="minorHAnsi" w:hAnsiTheme="minorHAnsi"/>
        </w:rPr>
        <w:t>Comparable to</w:t>
      </w:r>
      <w:r w:rsidR="007722F8">
        <w:rPr>
          <w:rFonts w:cs="Times New Roman" w:asciiTheme="minorHAnsi" w:hAnsiTheme="minorHAnsi"/>
        </w:rPr>
        <w:t xml:space="preserve"> the </w:t>
      </w:r>
      <w:r w:rsidR="0004519E">
        <w:rPr>
          <w:rFonts w:cs="Times New Roman" w:asciiTheme="minorHAnsi" w:hAnsiTheme="minorHAnsi"/>
        </w:rPr>
        <w:t xml:space="preserve">MEC </w:t>
      </w:r>
      <w:r w:rsidR="007722F8">
        <w:rPr>
          <w:rFonts w:cs="Times New Roman" w:asciiTheme="minorHAnsi" w:hAnsiTheme="minorHAnsi"/>
        </w:rPr>
        <w:t xml:space="preserve">respondent </w:t>
      </w:r>
      <w:r w:rsidR="00B25672">
        <w:rPr>
          <w:rFonts w:cs="Times New Roman" w:asciiTheme="minorHAnsi" w:hAnsiTheme="minorHAnsi"/>
        </w:rPr>
        <w:t xml:space="preserve">follow-up </w:t>
      </w:r>
      <w:r w:rsidR="007722F8">
        <w:rPr>
          <w:rFonts w:cs="Times New Roman" w:asciiTheme="minorHAnsi" w:hAnsiTheme="minorHAnsi"/>
        </w:rPr>
        <w:t xml:space="preserve">questionnaire, the </w:t>
      </w:r>
      <w:r w:rsidR="0004519E">
        <w:rPr>
          <w:rFonts w:cs="Times New Roman" w:asciiTheme="minorHAnsi" w:hAnsiTheme="minorHAnsi"/>
        </w:rPr>
        <w:t xml:space="preserve">MEC </w:t>
      </w:r>
      <w:r w:rsidR="007722F8">
        <w:rPr>
          <w:rFonts w:cs="Times New Roman" w:asciiTheme="minorHAnsi" w:hAnsiTheme="minorHAnsi"/>
        </w:rPr>
        <w:t>nonrespondent questionnaire</w:t>
      </w:r>
      <w:r w:rsidR="00A51171">
        <w:rPr>
          <w:rFonts w:cs="Times New Roman" w:asciiTheme="minorHAnsi" w:hAnsiTheme="minorHAnsi"/>
        </w:rPr>
        <w:t xml:space="preserve"> mailing</w:t>
      </w:r>
      <w:r w:rsidR="007722F8">
        <w:rPr>
          <w:rFonts w:cs="Times New Roman" w:asciiTheme="minorHAnsi" w:hAnsiTheme="minorHAnsi"/>
        </w:rPr>
        <w:t xml:space="preserve"> includes an introductory letter</w:t>
      </w:r>
      <w:r w:rsidR="00DF1691">
        <w:rPr>
          <w:rFonts w:cs="Times New Roman" w:asciiTheme="minorHAnsi" w:hAnsiTheme="minorHAnsi"/>
        </w:rPr>
        <w:t xml:space="preserve"> (</w:t>
      </w:r>
      <w:r w:rsidR="00DF1691">
        <w:rPr>
          <w:rFonts w:cs="Times New Roman" w:asciiTheme="minorHAnsi" w:hAnsiTheme="minorHAnsi"/>
          <w:b/>
          <w:bCs/>
        </w:rPr>
        <w:t>see Att. 3</w:t>
      </w:r>
      <w:r w:rsidR="00D8178C">
        <w:rPr>
          <w:rFonts w:cs="Times New Roman" w:asciiTheme="minorHAnsi" w:hAnsiTheme="minorHAnsi"/>
          <w:b/>
          <w:bCs/>
        </w:rPr>
        <w:t xml:space="preserve">) </w:t>
      </w:r>
      <w:r w:rsidR="00D8178C">
        <w:rPr>
          <w:rFonts w:cs="Times New Roman" w:asciiTheme="minorHAnsi" w:hAnsiTheme="minorHAnsi"/>
        </w:rPr>
        <w:t>that</w:t>
      </w:r>
      <w:r w:rsidR="007722F8">
        <w:rPr>
          <w:rFonts w:cs="Times New Roman" w:asciiTheme="minorHAnsi" w:hAnsiTheme="minorHAnsi"/>
        </w:rPr>
        <w:t xml:space="preserve"> invites </w:t>
      </w:r>
      <w:r w:rsidR="00260B43">
        <w:rPr>
          <w:rFonts w:cs="Times New Roman" w:asciiTheme="minorHAnsi" w:hAnsiTheme="minorHAnsi"/>
        </w:rPr>
        <w:t xml:space="preserve">participation from </w:t>
      </w:r>
      <w:r w:rsidR="007722F8">
        <w:rPr>
          <w:rFonts w:cs="Times New Roman" w:asciiTheme="minorHAnsi" w:hAnsiTheme="minorHAnsi"/>
        </w:rPr>
        <w:t>nonrespondents</w:t>
      </w:r>
      <w:r>
        <w:rPr>
          <w:rFonts w:cs="Times New Roman" w:asciiTheme="minorHAnsi" w:hAnsiTheme="minorHAnsi"/>
        </w:rPr>
        <w:t xml:space="preserve"> (</w:t>
      </w:r>
      <w:r w:rsidR="00D43F5C">
        <w:rPr>
          <w:rFonts w:cs="Times New Roman" w:asciiTheme="minorHAnsi" w:hAnsiTheme="minorHAnsi"/>
        </w:rPr>
        <w:t xml:space="preserve">i.e., </w:t>
      </w:r>
      <w:r>
        <w:rPr>
          <w:rFonts w:cs="Times New Roman" w:asciiTheme="minorHAnsi" w:hAnsiTheme="minorHAnsi"/>
        </w:rPr>
        <w:t>MEC exam visit refusals</w:t>
      </w:r>
      <w:r w:rsidR="007C5B9C">
        <w:rPr>
          <w:rFonts w:cs="Times New Roman" w:asciiTheme="minorHAnsi" w:hAnsiTheme="minorHAnsi"/>
        </w:rPr>
        <w:t>, “no shows,” or cancellations</w:t>
      </w:r>
      <w:r>
        <w:rPr>
          <w:rFonts w:cs="Times New Roman" w:asciiTheme="minorHAnsi" w:hAnsiTheme="minorHAnsi"/>
        </w:rPr>
        <w:t>)</w:t>
      </w:r>
      <w:r w:rsidR="007722F8">
        <w:rPr>
          <w:rFonts w:cs="Times New Roman" w:asciiTheme="minorHAnsi" w:hAnsiTheme="minorHAnsi"/>
        </w:rPr>
        <w:t xml:space="preserve"> who </w:t>
      </w:r>
      <w:r w:rsidR="00F63FF3">
        <w:rPr>
          <w:rFonts w:cs="Times New Roman" w:asciiTheme="minorHAnsi" w:hAnsiTheme="minorHAnsi"/>
        </w:rPr>
        <w:t xml:space="preserve">only </w:t>
      </w:r>
      <w:r w:rsidR="007722F8">
        <w:rPr>
          <w:rFonts w:cs="Times New Roman" w:asciiTheme="minorHAnsi" w:hAnsiTheme="minorHAnsi"/>
        </w:rPr>
        <w:t xml:space="preserve">completed the household interview. </w:t>
      </w:r>
      <w:r>
        <w:rPr>
          <w:rFonts w:cs="Times New Roman" w:asciiTheme="minorHAnsi" w:hAnsiTheme="minorHAnsi"/>
        </w:rPr>
        <w:t xml:space="preserve">These participants </w:t>
      </w:r>
      <w:r w:rsidR="00D43F5C">
        <w:rPr>
          <w:rFonts w:cs="Times New Roman" w:asciiTheme="minorHAnsi" w:hAnsiTheme="minorHAnsi"/>
        </w:rPr>
        <w:t xml:space="preserve">will </w:t>
      </w:r>
      <w:r>
        <w:rPr>
          <w:rFonts w:cs="Times New Roman" w:asciiTheme="minorHAnsi" w:hAnsiTheme="minorHAnsi"/>
        </w:rPr>
        <w:t xml:space="preserve">also </w:t>
      </w:r>
      <w:r w:rsidR="00D43F5C">
        <w:rPr>
          <w:rFonts w:cs="Times New Roman" w:asciiTheme="minorHAnsi" w:hAnsiTheme="minorHAnsi"/>
        </w:rPr>
        <w:t xml:space="preserve">be </w:t>
      </w:r>
      <w:r w:rsidR="006B4188">
        <w:rPr>
          <w:rFonts w:cs="Times New Roman" w:asciiTheme="minorHAnsi" w:hAnsiTheme="minorHAnsi"/>
        </w:rPr>
        <w:t xml:space="preserve">sent </w:t>
      </w:r>
      <w:r>
        <w:rPr>
          <w:rFonts w:cs="Times New Roman" w:asciiTheme="minorHAnsi" w:hAnsiTheme="minorHAnsi"/>
        </w:rPr>
        <w:t>$10</w:t>
      </w:r>
      <w:r w:rsidR="00A849F5">
        <w:rPr>
          <w:rFonts w:cs="Times New Roman" w:asciiTheme="minorHAnsi" w:hAnsiTheme="minorHAnsi"/>
        </w:rPr>
        <w:t xml:space="preserve">, included in the </w:t>
      </w:r>
      <w:r w:rsidR="00733506">
        <w:rPr>
          <w:rFonts w:cs="Times New Roman" w:asciiTheme="minorHAnsi" w:hAnsiTheme="minorHAnsi"/>
        </w:rPr>
        <w:t xml:space="preserve">express </w:t>
      </w:r>
      <w:r w:rsidR="00A849F5">
        <w:rPr>
          <w:rFonts w:cs="Times New Roman" w:asciiTheme="minorHAnsi" w:hAnsiTheme="minorHAnsi"/>
        </w:rPr>
        <w:t xml:space="preserve">mailing, as </w:t>
      </w:r>
      <w:r>
        <w:rPr>
          <w:rFonts w:cs="Times New Roman" w:asciiTheme="minorHAnsi" w:hAnsiTheme="minorHAnsi"/>
        </w:rPr>
        <w:t xml:space="preserve">remuneration and are given the option to complete the survey via mail or telephone. </w:t>
      </w:r>
      <w:r w:rsidR="00456741">
        <w:rPr>
          <w:rFonts w:cs="Times New Roman" w:asciiTheme="minorHAnsi" w:hAnsiTheme="minorHAnsi"/>
        </w:rPr>
        <w:t>Nonrespondent questionnaires for each location w</w:t>
      </w:r>
      <w:r w:rsidR="00BA5005">
        <w:rPr>
          <w:rFonts w:cs="Times New Roman" w:asciiTheme="minorHAnsi" w:hAnsiTheme="minorHAnsi"/>
        </w:rPr>
        <w:t xml:space="preserve">ill be mailed 3 weeks after the MEC has closed in that location.  </w:t>
      </w:r>
    </w:p>
    <w:p w:rsidR="00D43F5C" w:rsidP="00F73E66" w:rsidRDefault="00D43F5C" w14:paraId="17B3A7BE" w14:textId="77777777">
      <w:pPr>
        <w:rPr>
          <w:rFonts w:cs="Times New Roman" w:asciiTheme="minorHAnsi" w:hAnsiTheme="minorHAnsi"/>
        </w:rPr>
      </w:pPr>
    </w:p>
    <w:p w:rsidR="00E339D2" w:rsidP="00F73E66" w:rsidRDefault="00260B43" w14:paraId="63CBAD73" w14:textId="655ACCE6">
      <w:pPr>
        <w:rPr>
          <w:rFonts w:cs="Times New Roman" w:asciiTheme="minorHAnsi" w:hAnsiTheme="minorHAnsi"/>
        </w:rPr>
      </w:pPr>
      <w:r>
        <w:rPr>
          <w:rFonts w:cs="Times New Roman" w:asciiTheme="minorHAnsi" w:hAnsiTheme="minorHAnsi"/>
        </w:rPr>
        <w:t>MEC n</w:t>
      </w:r>
      <w:r w:rsidR="00084381">
        <w:rPr>
          <w:rFonts w:cs="Times New Roman" w:asciiTheme="minorHAnsi" w:hAnsiTheme="minorHAnsi"/>
        </w:rPr>
        <w:t>onrespondents who participate in this questionnaire</w:t>
      </w:r>
      <w:r w:rsidR="00DF1691">
        <w:rPr>
          <w:rFonts w:cs="Times New Roman" w:asciiTheme="minorHAnsi" w:hAnsiTheme="minorHAnsi"/>
        </w:rPr>
        <w:t xml:space="preserve"> (</w:t>
      </w:r>
      <w:r w:rsidR="00DF1691">
        <w:rPr>
          <w:rFonts w:cs="Times New Roman" w:asciiTheme="minorHAnsi" w:hAnsiTheme="minorHAnsi"/>
          <w:b/>
          <w:bCs/>
        </w:rPr>
        <w:t>see Att. 4</w:t>
      </w:r>
      <w:r w:rsidR="00DF1691">
        <w:rPr>
          <w:rFonts w:cs="Times New Roman" w:asciiTheme="minorHAnsi" w:hAnsiTheme="minorHAnsi"/>
        </w:rPr>
        <w:t>)</w:t>
      </w:r>
      <w:r w:rsidR="00084381">
        <w:rPr>
          <w:rFonts w:cs="Times New Roman" w:asciiTheme="minorHAnsi" w:hAnsiTheme="minorHAnsi"/>
        </w:rPr>
        <w:t xml:space="preserve"> are </w:t>
      </w:r>
      <w:r w:rsidR="00D43F5C">
        <w:rPr>
          <w:rFonts w:cs="Times New Roman" w:asciiTheme="minorHAnsi" w:hAnsiTheme="minorHAnsi"/>
        </w:rPr>
        <w:t xml:space="preserve">first </w:t>
      </w:r>
      <w:r w:rsidR="00084381">
        <w:rPr>
          <w:rFonts w:cs="Times New Roman" w:asciiTheme="minorHAnsi" w:hAnsiTheme="minorHAnsi"/>
        </w:rPr>
        <w:t xml:space="preserve">asked the same questions </w:t>
      </w:r>
      <w:r w:rsidR="00E90826">
        <w:rPr>
          <w:rFonts w:cs="Times New Roman" w:asciiTheme="minorHAnsi" w:hAnsiTheme="minorHAnsi"/>
        </w:rPr>
        <w:t xml:space="preserve">about their household interview </w:t>
      </w:r>
      <w:r w:rsidR="00A03639">
        <w:rPr>
          <w:rFonts w:cs="Times New Roman" w:asciiTheme="minorHAnsi" w:hAnsiTheme="minorHAnsi"/>
        </w:rPr>
        <w:t>as in the</w:t>
      </w:r>
      <w:r w:rsidR="00E90826">
        <w:rPr>
          <w:rFonts w:cs="Times New Roman" w:asciiTheme="minorHAnsi" w:hAnsiTheme="minorHAnsi"/>
        </w:rPr>
        <w:t xml:space="preserve"> respondent follow-up questionnaire</w:t>
      </w:r>
      <w:r w:rsidR="00084381">
        <w:rPr>
          <w:rFonts w:cs="Times New Roman" w:asciiTheme="minorHAnsi" w:hAnsiTheme="minorHAnsi"/>
        </w:rPr>
        <w:t xml:space="preserve">. Then, </w:t>
      </w:r>
      <w:r w:rsidR="00D43F5C">
        <w:rPr>
          <w:rFonts w:cs="Times New Roman" w:asciiTheme="minorHAnsi" w:hAnsiTheme="minorHAnsi"/>
        </w:rPr>
        <w:t>they are</w:t>
      </w:r>
      <w:r w:rsidR="00084381">
        <w:rPr>
          <w:rFonts w:cs="Times New Roman" w:asciiTheme="minorHAnsi" w:hAnsiTheme="minorHAnsi"/>
        </w:rPr>
        <w:t xml:space="preserve"> asked questions </w:t>
      </w:r>
      <w:r w:rsidR="004A7593">
        <w:rPr>
          <w:rFonts w:cs="Times New Roman" w:asciiTheme="minorHAnsi" w:hAnsiTheme="minorHAnsi"/>
        </w:rPr>
        <w:t>on</w:t>
      </w:r>
      <w:r w:rsidR="00084381">
        <w:rPr>
          <w:rFonts w:cs="Times New Roman" w:asciiTheme="minorHAnsi" w:hAnsiTheme="minorHAnsi"/>
        </w:rPr>
        <w:t xml:space="preserve"> why the</w:t>
      </w:r>
      <w:r w:rsidR="00364115">
        <w:rPr>
          <w:rFonts w:cs="Times New Roman" w:asciiTheme="minorHAnsi" w:hAnsiTheme="minorHAnsi"/>
        </w:rPr>
        <w:t>y</w:t>
      </w:r>
      <w:r w:rsidR="00084381">
        <w:rPr>
          <w:rFonts w:cs="Times New Roman" w:asciiTheme="minorHAnsi" w:hAnsiTheme="minorHAnsi"/>
        </w:rPr>
        <w:t xml:space="preserve"> chose not to complete the MEC exam visit. </w:t>
      </w:r>
      <w:r w:rsidR="00F63FF3">
        <w:rPr>
          <w:rFonts w:cs="Times New Roman" w:asciiTheme="minorHAnsi" w:hAnsiTheme="minorHAnsi"/>
        </w:rPr>
        <w:t>Questions</w:t>
      </w:r>
      <w:r w:rsidR="00084381">
        <w:rPr>
          <w:rFonts w:cs="Times New Roman" w:asciiTheme="minorHAnsi" w:hAnsiTheme="minorHAnsi"/>
        </w:rPr>
        <w:t xml:space="preserve"> include the importance of COVID-19 affecting one’s decisio</w:t>
      </w:r>
      <w:r w:rsidR="00D3386B">
        <w:rPr>
          <w:rFonts w:cs="Times New Roman" w:asciiTheme="minorHAnsi" w:hAnsiTheme="minorHAnsi"/>
        </w:rPr>
        <w:t>n to not have a health exam, concern over COVID-19 risk, travel distance to the MEC, government distrust, disinterest in mask wearing, and fear of disclosure of health information.</w:t>
      </w:r>
      <w:r w:rsidR="00084381">
        <w:rPr>
          <w:rFonts w:cs="Times New Roman" w:asciiTheme="minorHAnsi" w:hAnsiTheme="minorHAnsi"/>
        </w:rPr>
        <w:t xml:space="preserve"> </w:t>
      </w:r>
      <w:r w:rsidR="0086244E">
        <w:rPr>
          <w:rFonts w:cs="Times New Roman" w:asciiTheme="minorHAnsi" w:hAnsiTheme="minorHAnsi"/>
        </w:rPr>
        <w:t xml:space="preserve">Questionnaire development followed an identical process as the </w:t>
      </w:r>
      <w:r w:rsidR="00B25672">
        <w:rPr>
          <w:rFonts w:cs="Times New Roman" w:asciiTheme="minorHAnsi" w:hAnsiTheme="minorHAnsi"/>
        </w:rPr>
        <w:t xml:space="preserve">respondent follow-up survey discussed above. </w:t>
      </w:r>
    </w:p>
    <w:p w:rsidR="00E339D2" w:rsidP="00F73E66" w:rsidRDefault="00E339D2" w14:paraId="3A7A820F" w14:textId="77777777">
      <w:pPr>
        <w:rPr>
          <w:rFonts w:cs="Times New Roman" w:asciiTheme="minorHAnsi" w:hAnsiTheme="minorHAnsi"/>
        </w:rPr>
      </w:pPr>
    </w:p>
    <w:p w:rsidR="00A42E6E" w:rsidP="00F73E66" w:rsidRDefault="00E339D2" w14:paraId="17CAC65F" w14:textId="5731F412">
      <w:pPr>
        <w:rPr>
          <w:rFonts w:cs="Times New Roman" w:asciiTheme="minorHAnsi" w:hAnsiTheme="minorHAnsi"/>
        </w:rPr>
      </w:pPr>
      <w:r>
        <w:rPr>
          <w:rFonts w:cs="Times New Roman" w:asciiTheme="minorHAnsi" w:hAnsiTheme="minorHAnsi"/>
        </w:rPr>
        <w:t xml:space="preserve">NHANES field interviewers and refusal conversion specialists </w:t>
      </w:r>
      <w:r w:rsidR="00382220">
        <w:rPr>
          <w:rFonts w:cs="Times New Roman" w:asciiTheme="minorHAnsi" w:hAnsiTheme="minorHAnsi"/>
        </w:rPr>
        <w:t xml:space="preserve">explicitly probe for and track reasons for MEC refusal in the NHANES case management system.  </w:t>
      </w:r>
      <w:r w:rsidR="00E61017">
        <w:rPr>
          <w:rFonts w:cs="Times New Roman" w:asciiTheme="minorHAnsi" w:hAnsiTheme="minorHAnsi"/>
        </w:rPr>
        <w:t>These paradata provided by s</w:t>
      </w:r>
      <w:r w:rsidRPr="00D53AC8" w:rsidR="007C5B9C">
        <w:rPr>
          <w:rFonts w:cs="Times New Roman" w:asciiTheme="minorHAnsi" w:hAnsiTheme="minorHAnsi"/>
        </w:rPr>
        <w:t xml:space="preserve">urvey participants who </w:t>
      </w:r>
      <w:r w:rsidR="007C5B9C">
        <w:rPr>
          <w:rFonts w:cs="Times New Roman" w:asciiTheme="minorHAnsi" w:hAnsiTheme="minorHAnsi"/>
        </w:rPr>
        <w:t>refused participation</w:t>
      </w:r>
      <w:r w:rsidRPr="00D53AC8" w:rsidR="007C5B9C">
        <w:rPr>
          <w:rFonts w:cs="Times New Roman" w:asciiTheme="minorHAnsi" w:hAnsiTheme="minorHAnsi"/>
        </w:rPr>
        <w:t xml:space="preserve"> in the MEC </w:t>
      </w:r>
      <w:r w:rsidR="007C5B9C">
        <w:rPr>
          <w:rFonts w:cs="Times New Roman" w:asciiTheme="minorHAnsi" w:hAnsiTheme="minorHAnsi"/>
        </w:rPr>
        <w:t>at the conclusion of the household interview</w:t>
      </w:r>
      <w:r w:rsidRPr="00D53AC8" w:rsidR="007C5B9C">
        <w:rPr>
          <w:rFonts w:cs="Times New Roman" w:asciiTheme="minorHAnsi" w:hAnsiTheme="minorHAnsi"/>
        </w:rPr>
        <w:t xml:space="preserve"> (e.g., </w:t>
      </w:r>
      <w:r w:rsidR="00E61017">
        <w:rPr>
          <w:rFonts w:cs="Times New Roman" w:asciiTheme="minorHAnsi" w:hAnsiTheme="minorHAnsi"/>
        </w:rPr>
        <w:t xml:space="preserve">reasons for refusal </w:t>
      </w:r>
      <w:r w:rsidR="00A066CD">
        <w:rPr>
          <w:rFonts w:cs="Times New Roman" w:asciiTheme="minorHAnsi" w:hAnsiTheme="minorHAnsi"/>
        </w:rPr>
        <w:t xml:space="preserve">such as </w:t>
      </w:r>
      <w:r>
        <w:rPr>
          <w:rFonts w:cs="Times New Roman" w:asciiTheme="minorHAnsi" w:hAnsiTheme="minorHAnsi"/>
        </w:rPr>
        <w:t>renumeration</w:t>
      </w:r>
      <w:r w:rsidRPr="00D53AC8" w:rsidR="007C5B9C">
        <w:rPr>
          <w:rFonts w:cs="Times New Roman" w:asciiTheme="minorHAnsi" w:hAnsiTheme="minorHAnsi"/>
        </w:rPr>
        <w:t>, travel burden, COVID-19 risk, being too busy, etc.)</w:t>
      </w:r>
      <w:r w:rsidR="00A42E6E">
        <w:rPr>
          <w:rFonts w:cs="Times New Roman" w:asciiTheme="minorHAnsi" w:hAnsiTheme="minorHAnsi"/>
        </w:rPr>
        <w:t xml:space="preserve"> </w:t>
      </w:r>
      <w:r w:rsidR="007C5B9C">
        <w:rPr>
          <w:rFonts w:cs="Times New Roman" w:asciiTheme="minorHAnsi" w:hAnsiTheme="minorHAnsi"/>
        </w:rPr>
        <w:t>will supplement the data collected from the nonrespondent questionnaire</w:t>
      </w:r>
      <w:r w:rsidR="00A066CD">
        <w:rPr>
          <w:rFonts w:cs="Times New Roman" w:asciiTheme="minorHAnsi" w:hAnsiTheme="minorHAnsi"/>
        </w:rPr>
        <w:t xml:space="preserve">. </w:t>
      </w:r>
      <w:r w:rsidR="004D0F1C">
        <w:rPr>
          <w:rFonts w:cs="Times New Roman" w:asciiTheme="minorHAnsi" w:hAnsiTheme="minorHAnsi"/>
        </w:rPr>
        <w:t xml:space="preserve">NHANES considers these data sources to be complementary as </w:t>
      </w:r>
      <w:r w:rsidR="00624902">
        <w:rPr>
          <w:rFonts w:cs="Times New Roman" w:asciiTheme="minorHAnsi" w:hAnsiTheme="minorHAnsi"/>
        </w:rPr>
        <w:t xml:space="preserve">participants do not always provide detailed explanations or reasons for refusal to </w:t>
      </w:r>
      <w:r w:rsidR="002E5561">
        <w:rPr>
          <w:rFonts w:cs="Times New Roman" w:asciiTheme="minorHAnsi" w:hAnsiTheme="minorHAnsi"/>
        </w:rPr>
        <w:t xml:space="preserve">field interviewers but may be more likely </w:t>
      </w:r>
      <w:r w:rsidR="002E5561">
        <w:rPr>
          <w:rFonts w:cs="Times New Roman" w:asciiTheme="minorHAnsi" w:hAnsiTheme="minorHAnsi"/>
        </w:rPr>
        <w:lastRenderedPageBreak/>
        <w:t xml:space="preserve">to answer honestly in a self-administered setting.  </w:t>
      </w:r>
    </w:p>
    <w:p w:rsidR="00A42E6E" w:rsidP="00F73E66" w:rsidRDefault="00A42E6E" w14:paraId="0F4C2AEC" w14:textId="77777777">
      <w:pPr>
        <w:rPr>
          <w:rFonts w:cs="Times New Roman" w:asciiTheme="minorHAnsi" w:hAnsiTheme="minorHAnsi"/>
        </w:rPr>
      </w:pPr>
    </w:p>
    <w:p w:rsidRPr="007722F8" w:rsidR="00D06F3C" w:rsidP="00F73E66" w:rsidRDefault="00A42E6E" w14:paraId="65259E49" w14:textId="306F72D5">
      <w:pPr>
        <w:rPr>
          <w:rFonts w:cs="Times New Roman" w:asciiTheme="minorHAnsi" w:hAnsiTheme="minorHAnsi"/>
        </w:rPr>
      </w:pPr>
      <w:r>
        <w:rPr>
          <w:rFonts w:cs="Times New Roman" w:asciiTheme="minorHAnsi" w:hAnsiTheme="minorHAnsi"/>
        </w:rPr>
        <w:t xml:space="preserve">We </w:t>
      </w:r>
      <w:r w:rsidR="004A7593">
        <w:rPr>
          <w:rFonts w:cs="Times New Roman" w:asciiTheme="minorHAnsi" w:hAnsiTheme="minorHAnsi"/>
        </w:rPr>
        <w:t>do not know what the</w:t>
      </w:r>
      <w:r>
        <w:rPr>
          <w:rFonts w:cs="Times New Roman" w:asciiTheme="minorHAnsi" w:hAnsiTheme="minorHAnsi"/>
        </w:rPr>
        <w:t xml:space="preserve"> response </w:t>
      </w:r>
      <w:r w:rsidR="004A7593">
        <w:rPr>
          <w:rFonts w:cs="Times New Roman" w:asciiTheme="minorHAnsi" w:hAnsiTheme="minorHAnsi"/>
        </w:rPr>
        <w:t xml:space="preserve">rate </w:t>
      </w:r>
      <w:r>
        <w:rPr>
          <w:rFonts w:cs="Times New Roman" w:asciiTheme="minorHAnsi" w:hAnsiTheme="minorHAnsi"/>
        </w:rPr>
        <w:t>to these follow-up questionnaires</w:t>
      </w:r>
      <w:r w:rsidR="004A7593">
        <w:rPr>
          <w:rFonts w:cs="Times New Roman" w:asciiTheme="minorHAnsi" w:hAnsiTheme="minorHAnsi"/>
        </w:rPr>
        <w:t xml:space="preserve"> will be</w:t>
      </w:r>
      <w:r w:rsidR="00A03639">
        <w:rPr>
          <w:rFonts w:cs="Times New Roman" w:asciiTheme="minorHAnsi" w:hAnsiTheme="minorHAnsi"/>
        </w:rPr>
        <w:t>; however, we</w:t>
      </w:r>
      <w:r w:rsidR="004A7593">
        <w:rPr>
          <w:rFonts w:cs="Times New Roman" w:asciiTheme="minorHAnsi" w:hAnsiTheme="minorHAnsi"/>
        </w:rPr>
        <w:t xml:space="preserve"> expect them</w:t>
      </w:r>
      <w:r>
        <w:rPr>
          <w:rFonts w:cs="Times New Roman" w:asciiTheme="minorHAnsi" w:hAnsiTheme="minorHAnsi"/>
        </w:rPr>
        <w:t xml:space="preserve"> to be low. Most surveys do not conduct follow-up surveys for this reason. However, NHANES is in a unique position as our “nonrespondents” </w:t>
      </w:r>
      <w:r w:rsidR="004A7593">
        <w:rPr>
          <w:rFonts w:cs="Times New Roman" w:asciiTheme="minorHAnsi" w:hAnsiTheme="minorHAnsi"/>
        </w:rPr>
        <w:t xml:space="preserve">will have all </w:t>
      </w:r>
      <w:r>
        <w:rPr>
          <w:rFonts w:cs="Times New Roman" w:asciiTheme="minorHAnsi" w:hAnsiTheme="minorHAnsi"/>
        </w:rPr>
        <w:t>completed the household interview</w:t>
      </w:r>
      <w:r w:rsidR="004A7593">
        <w:rPr>
          <w:rFonts w:cs="Times New Roman" w:asciiTheme="minorHAnsi" w:hAnsiTheme="minorHAnsi"/>
        </w:rPr>
        <w:t>, therefore, they</w:t>
      </w:r>
      <w:r>
        <w:rPr>
          <w:rFonts w:cs="Times New Roman" w:asciiTheme="minorHAnsi" w:hAnsiTheme="minorHAnsi"/>
        </w:rPr>
        <w:t xml:space="preserve"> </w:t>
      </w:r>
      <w:r w:rsidR="004A7593">
        <w:rPr>
          <w:rFonts w:cs="Times New Roman" w:asciiTheme="minorHAnsi" w:hAnsiTheme="minorHAnsi"/>
        </w:rPr>
        <w:t xml:space="preserve">may be </w:t>
      </w:r>
      <w:r>
        <w:rPr>
          <w:rFonts w:cs="Times New Roman" w:asciiTheme="minorHAnsi" w:hAnsiTheme="minorHAnsi"/>
        </w:rPr>
        <w:t>more likely to respond than a true nonresponder.</w:t>
      </w:r>
    </w:p>
    <w:p w:rsidRPr="00BE0600" w:rsidR="00527BD6" w:rsidP="00F83354" w:rsidRDefault="00527BD6" w14:paraId="087C396E" w14:textId="77777777">
      <w:pPr>
        <w:rPr>
          <w:rFonts w:cs="Times New Roman" w:asciiTheme="minorHAnsi" w:hAnsiTheme="minorHAnsi"/>
        </w:rPr>
      </w:pPr>
    </w:p>
    <w:p w:rsidR="00F83354" w:rsidP="00F83354" w:rsidRDefault="00F83354" w14:paraId="50625C13" w14:textId="01B3C3F5">
      <w:pPr>
        <w:rPr>
          <w:rFonts w:cs="Times New Roman" w:asciiTheme="minorHAnsi" w:hAnsiTheme="minorHAnsi"/>
        </w:rPr>
      </w:pPr>
      <w:r w:rsidRPr="00BE0600">
        <w:rPr>
          <w:rFonts w:cs="Times New Roman" w:asciiTheme="minorHAnsi" w:hAnsiTheme="minorHAnsi"/>
        </w:rPr>
        <w:t xml:space="preserve">A summary of the </w:t>
      </w:r>
      <w:r w:rsidRPr="00BE0600" w:rsidR="00336D89">
        <w:rPr>
          <w:rFonts w:cs="Times New Roman" w:asciiTheme="minorHAnsi" w:hAnsiTheme="minorHAnsi"/>
        </w:rPr>
        <w:t xml:space="preserve">approved </w:t>
      </w:r>
      <w:r w:rsidRPr="00BE0600">
        <w:rPr>
          <w:rFonts w:cs="Times New Roman" w:asciiTheme="minorHAnsi" w:hAnsiTheme="minorHAnsi"/>
        </w:rPr>
        <w:t>changes in interview modes between NHANES 2019</w:t>
      </w:r>
      <w:r w:rsidR="00CF47F2">
        <w:rPr>
          <w:rFonts w:cs="Times New Roman" w:asciiTheme="minorHAnsi" w:hAnsiTheme="minorHAnsi"/>
        </w:rPr>
        <w:t>-</w:t>
      </w:r>
      <w:r w:rsidRPr="00BE0600" w:rsidR="006262AA">
        <w:rPr>
          <w:rFonts w:cs="Times New Roman" w:asciiTheme="minorHAnsi" w:hAnsiTheme="minorHAnsi"/>
        </w:rPr>
        <w:t>2020</w:t>
      </w:r>
      <w:r w:rsidRPr="00BE0600">
        <w:rPr>
          <w:rFonts w:cs="Times New Roman" w:asciiTheme="minorHAnsi" w:hAnsiTheme="minorHAnsi"/>
        </w:rPr>
        <w:t xml:space="preserve"> and 2021</w:t>
      </w:r>
      <w:r w:rsidR="00CF47F2">
        <w:rPr>
          <w:rFonts w:cs="Times New Roman" w:asciiTheme="minorHAnsi" w:hAnsiTheme="minorHAnsi"/>
        </w:rPr>
        <w:t>-</w:t>
      </w:r>
      <w:r w:rsidRPr="00BE0600" w:rsidR="006262AA">
        <w:rPr>
          <w:rFonts w:cs="Times New Roman" w:asciiTheme="minorHAnsi" w:hAnsiTheme="minorHAnsi"/>
        </w:rPr>
        <w:t>2022</w:t>
      </w:r>
      <w:r w:rsidRPr="00BE0600">
        <w:rPr>
          <w:rFonts w:cs="Times New Roman" w:asciiTheme="minorHAnsi" w:hAnsiTheme="minorHAnsi"/>
        </w:rPr>
        <w:t xml:space="preserve"> are provided in </w:t>
      </w:r>
      <w:r w:rsidRPr="00BE0600" w:rsidR="001E3B77">
        <w:rPr>
          <w:rFonts w:cs="Times New Roman" w:asciiTheme="minorHAnsi" w:hAnsiTheme="minorHAnsi"/>
          <w:b/>
          <w:bCs/>
        </w:rPr>
        <w:t>Table 1</w:t>
      </w:r>
      <w:r w:rsidRPr="00BE0600">
        <w:rPr>
          <w:rFonts w:cs="Times New Roman" w:asciiTheme="minorHAnsi" w:hAnsiTheme="minorHAnsi"/>
        </w:rPr>
        <w:t xml:space="preserve"> below.</w:t>
      </w:r>
      <w:r w:rsidR="00D06F3C">
        <w:rPr>
          <w:rFonts w:cs="Times New Roman" w:asciiTheme="minorHAnsi" w:hAnsiTheme="minorHAnsi"/>
        </w:rPr>
        <w:t xml:space="preserve"> </w:t>
      </w:r>
      <w:r w:rsidR="00D3386B">
        <w:rPr>
          <w:rFonts w:cs="Times New Roman" w:asciiTheme="minorHAnsi" w:hAnsiTheme="minorHAnsi"/>
        </w:rPr>
        <w:t xml:space="preserve">The </w:t>
      </w:r>
      <w:r w:rsidR="0088368B">
        <w:rPr>
          <w:rFonts w:cs="Times New Roman" w:asciiTheme="minorHAnsi" w:hAnsiTheme="minorHAnsi"/>
        </w:rPr>
        <w:t xml:space="preserve">proposed </w:t>
      </w:r>
      <w:r w:rsidR="00D3386B">
        <w:rPr>
          <w:rFonts w:cs="Times New Roman" w:asciiTheme="minorHAnsi" w:hAnsiTheme="minorHAnsi"/>
        </w:rPr>
        <w:t>modes of collection for</w:t>
      </w:r>
      <w:r w:rsidR="00D06F3C">
        <w:rPr>
          <w:rFonts w:cs="Times New Roman" w:asciiTheme="minorHAnsi" w:hAnsiTheme="minorHAnsi"/>
        </w:rPr>
        <w:t xml:space="preserve"> the follow-up respondent and nonrespondent questionnaires </w:t>
      </w:r>
      <w:r w:rsidR="00F63FF3">
        <w:rPr>
          <w:rFonts w:cs="Times New Roman" w:asciiTheme="minorHAnsi" w:hAnsiTheme="minorHAnsi"/>
        </w:rPr>
        <w:t>are</w:t>
      </w:r>
      <w:r w:rsidR="00D06F3C">
        <w:rPr>
          <w:rFonts w:cs="Times New Roman" w:asciiTheme="minorHAnsi" w:hAnsiTheme="minorHAnsi"/>
        </w:rPr>
        <w:t xml:space="preserve"> noted in the table.</w:t>
      </w:r>
      <w:r w:rsidR="00E90826">
        <w:rPr>
          <w:rFonts w:cs="Times New Roman" w:asciiTheme="minorHAnsi" w:hAnsiTheme="minorHAnsi"/>
        </w:rPr>
        <w:t xml:space="preserve"> Mailings for the follow-up questionnaires will be sent out immediately after OMB and Ethics Review Board approvals.</w:t>
      </w:r>
    </w:p>
    <w:p w:rsidR="00D3386B" w:rsidP="00F83354" w:rsidRDefault="00D3386B" w14:paraId="0DFD69C7" w14:textId="4DCFAF6A">
      <w:pPr>
        <w:rPr>
          <w:rFonts w:cs="Times New Roman" w:asciiTheme="minorHAnsi" w:hAnsiTheme="minorHAnsi"/>
        </w:rPr>
      </w:pPr>
    </w:p>
    <w:p w:rsidRPr="00BE0600" w:rsidR="00F83354" w:rsidP="00F83354" w:rsidRDefault="001E3B77" w14:paraId="7709A06E" w14:textId="66C7FA23">
      <w:pPr>
        <w:rPr>
          <w:rFonts w:cs="Times New Roman" w:asciiTheme="minorHAnsi" w:hAnsiTheme="minorHAnsi"/>
          <w:b/>
          <w:bCs/>
        </w:rPr>
      </w:pPr>
      <w:r w:rsidRPr="00BE0600">
        <w:rPr>
          <w:rFonts w:cs="Times New Roman" w:asciiTheme="minorHAnsi" w:hAnsiTheme="minorHAnsi"/>
          <w:b/>
          <w:bCs/>
        </w:rPr>
        <w:t>T</w:t>
      </w:r>
      <w:r w:rsidRPr="00BE0600" w:rsidR="009A5BE2">
        <w:rPr>
          <w:rFonts w:cs="Times New Roman" w:asciiTheme="minorHAnsi" w:hAnsiTheme="minorHAnsi"/>
          <w:b/>
          <w:bCs/>
        </w:rPr>
        <w:t>able</w:t>
      </w:r>
      <w:r w:rsidRPr="00BE0600">
        <w:rPr>
          <w:rFonts w:cs="Times New Roman" w:asciiTheme="minorHAnsi" w:hAnsiTheme="minorHAnsi"/>
          <w:b/>
          <w:bCs/>
        </w:rPr>
        <w:t xml:space="preserve"> 1</w:t>
      </w:r>
      <w:r w:rsidRPr="00BE0600" w:rsidR="009A5BE2">
        <w:rPr>
          <w:rFonts w:cs="Times New Roman" w:asciiTheme="minorHAnsi" w:hAnsiTheme="minorHAnsi"/>
          <w:b/>
          <w:bCs/>
        </w:rPr>
        <w:t xml:space="preserve">. </w:t>
      </w:r>
      <w:r w:rsidRPr="00BE0600" w:rsidR="00F83354">
        <w:rPr>
          <w:rFonts w:cs="Times New Roman" w:asciiTheme="minorHAnsi" w:hAnsiTheme="minorHAnsi"/>
          <w:b/>
          <w:bCs/>
        </w:rPr>
        <w:t>NHANES 2021</w:t>
      </w:r>
      <w:r w:rsidRPr="00BE0600" w:rsidR="00BA6BF0">
        <w:rPr>
          <w:rFonts w:cs="Times New Roman" w:asciiTheme="minorHAnsi" w:hAnsiTheme="minorHAnsi"/>
          <w:b/>
          <w:bCs/>
        </w:rPr>
        <w:t xml:space="preserve"> – 2022</w:t>
      </w:r>
      <w:r w:rsidRPr="00BE0600" w:rsidR="00F83354">
        <w:rPr>
          <w:rFonts w:cs="Times New Roman" w:asciiTheme="minorHAnsi" w:hAnsiTheme="minorHAnsi"/>
          <w:b/>
          <w:bCs/>
        </w:rPr>
        <w:t>: Mode</w:t>
      </w:r>
      <w:r w:rsidRPr="00BE0600" w:rsidR="006262AA">
        <w:rPr>
          <w:rFonts w:cs="Times New Roman" w:asciiTheme="minorHAnsi" w:hAnsiTheme="minorHAnsi"/>
          <w:b/>
          <w:bCs/>
        </w:rPr>
        <w:t>s</w:t>
      </w:r>
      <w:r w:rsidRPr="00BE0600" w:rsidR="00F83354">
        <w:rPr>
          <w:rFonts w:cs="Times New Roman" w:asciiTheme="minorHAnsi" w:hAnsiTheme="minorHAnsi"/>
          <w:b/>
          <w:bCs/>
        </w:rPr>
        <w:t xml:space="preserve"> of Data Collection</w:t>
      </w:r>
      <w:r w:rsidRPr="00BE0600" w:rsidR="006262AA">
        <w:rPr>
          <w:rFonts w:cs="Times New Roman" w:asciiTheme="minorHAnsi" w:hAnsiTheme="minorHAnsi"/>
          <w:b/>
          <w:bCs/>
        </w:rPr>
        <w:t xml:space="preserve"> by Component</w:t>
      </w:r>
    </w:p>
    <w:p w:rsidR="00F83354" w:rsidP="00F83354" w:rsidRDefault="00F83354" w14:paraId="723045D7" w14:textId="40F42B7D">
      <w:pPr>
        <w:rPr>
          <w:rFonts w:ascii="Times New Roman" w:hAnsi="Times New Roman" w:cs="Times New Roman"/>
        </w:rPr>
      </w:pPr>
    </w:p>
    <w:tbl>
      <w:tblPr>
        <w:tblW w:w="0" w:type="auto"/>
        <w:tblCellMar>
          <w:left w:w="0" w:type="dxa"/>
          <w:right w:w="0" w:type="dxa"/>
        </w:tblCellMar>
        <w:tblLook w:val="0420" w:firstRow="1" w:lastRow="0" w:firstColumn="0" w:lastColumn="0" w:noHBand="0" w:noVBand="1"/>
      </w:tblPr>
      <w:tblGrid>
        <w:gridCol w:w="871"/>
        <w:gridCol w:w="2809"/>
        <w:gridCol w:w="2070"/>
        <w:gridCol w:w="2160"/>
      </w:tblGrid>
      <w:tr w:rsidRPr="00B12C08" w:rsidR="00A03639" w:rsidTr="00A03639" w14:paraId="65B35048" w14:textId="42F9E193">
        <w:trPr>
          <w:trHeight w:val="432"/>
          <w:tblHeader/>
        </w:trPr>
        <w:tc>
          <w:tcPr>
            <w:tcW w:w="871" w:type="dxa"/>
            <w:tcBorders>
              <w:top w:val="single" w:color="1D8894" w:sz="8" w:space="0"/>
              <w:left w:val="single" w:color="1D8894" w:sz="8" w:space="0"/>
              <w:bottom w:val="single" w:color="1D8894" w:sz="18" w:space="0"/>
              <w:right w:val="single" w:color="1D8894" w:sz="8" w:space="0"/>
            </w:tcBorders>
            <w:shd w:val="clear" w:color="auto" w:fill="auto"/>
            <w:tcMar>
              <w:top w:w="72" w:type="dxa"/>
              <w:left w:w="144" w:type="dxa"/>
              <w:bottom w:w="72" w:type="dxa"/>
              <w:right w:w="144" w:type="dxa"/>
            </w:tcMar>
            <w:hideMark/>
          </w:tcPr>
          <w:p w:rsidRPr="00BE0600" w:rsidR="00A03639" w:rsidP="00A03639" w:rsidRDefault="00A03639" w14:paraId="7B3CAE49" w14:textId="77777777">
            <w:pPr>
              <w:jc w:val="center"/>
              <w:rPr>
                <w:rFonts w:cs="Times New Roman" w:asciiTheme="minorHAnsi" w:hAnsiTheme="minorHAnsi"/>
                <w:b/>
                <w:bCs/>
              </w:rPr>
            </w:pPr>
            <w:r w:rsidRPr="00BE0600">
              <w:rPr>
                <w:rFonts w:cs="Times New Roman" w:asciiTheme="minorHAnsi" w:hAnsiTheme="minorHAnsi" w:eastAsiaTheme="minorEastAsia"/>
                <w:b/>
                <w:bCs/>
              </w:rPr>
              <w:t>Order</w:t>
            </w:r>
          </w:p>
        </w:tc>
        <w:tc>
          <w:tcPr>
            <w:tcW w:w="2809" w:type="dxa"/>
            <w:tcBorders>
              <w:top w:val="single" w:color="1D8894" w:sz="8" w:space="0"/>
              <w:left w:val="single" w:color="1D8894" w:sz="8" w:space="0"/>
              <w:bottom w:val="single" w:color="1D8894" w:sz="18" w:space="0"/>
              <w:right w:val="single" w:color="1D8894" w:sz="8" w:space="0"/>
            </w:tcBorders>
            <w:shd w:val="clear" w:color="auto" w:fill="auto"/>
            <w:tcMar>
              <w:top w:w="72" w:type="dxa"/>
              <w:left w:w="144" w:type="dxa"/>
              <w:bottom w:w="72" w:type="dxa"/>
              <w:right w:w="144" w:type="dxa"/>
            </w:tcMar>
            <w:hideMark/>
          </w:tcPr>
          <w:p w:rsidRPr="00BE0600" w:rsidR="00A03639" w:rsidP="00A03639" w:rsidRDefault="00A03639" w14:paraId="61F71B55" w14:textId="77777777">
            <w:pPr>
              <w:jc w:val="center"/>
              <w:rPr>
                <w:rFonts w:cs="Times New Roman" w:asciiTheme="minorHAnsi" w:hAnsiTheme="minorHAnsi"/>
                <w:b/>
                <w:bCs/>
              </w:rPr>
            </w:pPr>
            <w:r w:rsidRPr="00BE0600">
              <w:rPr>
                <w:rFonts w:cs="Times New Roman" w:asciiTheme="minorHAnsi" w:hAnsiTheme="minorHAnsi" w:eastAsiaTheme="minorEastAsia"/>
                <w:b/>
                <w:bCs/>
              </w:rPr>
              <w:t>Component</w:t>
            </w:r>
          </w:p>
        </w:tc>
        <w:tc>
          <w:tcPr>
            <w:tcW w:w="2070" w:type="dxa"/>
            <w:tcBorders>
              <w:top w:val="single" w:color="1D8894" w:sz="8" w:space="0"/>
              <w:left w:val="single" w:color="1D8894" w:sz="8" w:space="0"/>
              <w:bottom w:val="single" w:color="1D8894" w:sz="18" w:space="0"/>
              <w:right w:val="single" w:color="1D8894" w:sz="8" w:space="0"/>
            </w:tcBorders>
            <w:shd w:val="clear" w:color="auto" w:fill="auto"/>
            <w:tcMar>
              <w:top w:w="72" w:type="dxa"/>
              <w:left w:w="144" w:type="dxa"/>
              <w:bottom w:w="72" w:type="dxa"/>
              <w:right w:w="144" w:type="dxa"/>
            </w:tcMar>
            <w:hideMark/>
          </w:tcPr>
          <w:p w:rsidRPr="00BE0600" w:rsidR="00A03639" w:rsidP="00A03639" w:rsidRDefault="00A03639" w14:paraId="5FE06C9C" w14:textId="423B17BF">
            <w:pPr>
              <w:jc w:val="center"/>
              <w:rPr>
                <w:rFonts w:cs="Times New Roman" w:asciiTheme="minorHAnsi" w:hAnsiTheme="minorHAnsi"/>
                <w:b/>
                <w:bCs/>
              </w:rPr>
            </w:pPr>
            <w:r w:rsidRPr="00BE0600">
              <w:rPr>
                <w:rFonts w:cs="Times New Roman" w:asciiTheme="minorHAnsi" w:hAnsiTheme="minorHAnsi"/>
                <w:b/>
                <w:bCs/>
              </w:rPr>
              <w:t>2019 – 2020</w:t>
            </w:r>
          </w:p>
        </w:tc>
        <w:tc>
          <w:tcPr>
            <w:tcW w:w="2160" w:type="dxa"/>
            <w:tcBorders>
              <w:top w:val="single" w:color="1D8894" w:sz="8" w:space="0"/>
              <w:left w:val="single" w:color="1D8894" w:sz="8" w:space="0"/>
              <w:bottom w:val="single" w:color="1D8894" w:sz="18" w:space="0"/>
              <w:right w:val="single" w:color="1D8894" w:sz="8" w:space="0"/>
            </w:tcBorders>
            <w:shd w:val="clear" w:color="auto" w:fill="auto"/>
            <w:tcMar>
              <w:top w:w="72" w:type="dxa"/>
              <w:left w:w="144" w:type="dxa"/>
              <w:bottom w:w="72" w:type="dxa"/>
              <w:right w:w="144" w:type="dxa"/>
            </w:tcMar>
            <w:hideMark/>
          </w:tcPr>
          <w:p w:rsidRPr="00BE0600" w:rsidR="00A03639" w:rsidP="00A03639" w:rsidRDefault="00A03639" w14:paraId="3FB3899E" w14:textId="700AE3CF">
            <w:pPr>
              <w:jc w:val="center"/>
              <w:rPr>
                <w:rFonts w:cs="Times New Roman" w:asciiTheme="minorHAnsi" w:hAnsiTheme="minorHAnsi"/>
                <w:b/>
                <w:bCs/>
              </w:rPr>
            </w:pPr>
            <w:r w:rsidRPr="00BE0600">
              <w:rPr>
                <w:rFonts w:cs="Times New Roman" w:asciiTheme="minorHAnsi" w:hAnsiTheme="minorHAnsi"/>
                <w:b/>
                <w:bCs/>
              </w:rPr>
              <w:t>2021 – 2022</w:t>
            </w:r>
          </w:p>
        </w:tc>
      </w:tr>
      <w:tr w:rsidRPr="00B12C08" w:rsidR="00A03639" w:rsidTr="00A03639" w14:paraId="445E726D" w14:textId="16426D82">
        <w:trPr>
          <w:trHeight w:val="432"/>
        </w:trPr>
        <w:tc>
          <w:tcPr>
            <w:tcW w:w="871" w:type="dxa"/>
            <w:tcBorders>
              <w:top w:val="single" w:color="1D8894" w:sz="1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2B1BCADA" w14:textId="77777777">
            <w:pPr>
              <w:rPr>
                <w:rFonts w:cs="Times New Roman" w:asciiTheme="minorHAnsi" w:hAnsiTheme="minorHAnsi"/>
              </w:rPr>
            </w:pPr>
            <w:r w:rsidRPr="00BE0600">
              <w:rPr>
                <w:rFonts w:cs="Times New Roman" w:asciiTheme="minorHAnsi" w:hAnsiTheme="minorHAnsi"/>
              </w:rPr>
              <w:t>1</w:t>
            </w:r>
          </w:p>
        </w:tc>
        <w:tc>
          <w:tcPr>
            <w:tcW w:w="2809" w:type="dxa"/>
            <w:tcBorders>
              <w:top w:val="single" w:color="1D8894" w:sz="1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6441C7DD" w14:textId="77777777">
            <w:pPr>
              <w:rPr>
                <w:rFonts w:cs="Times New Roman" w:asciiTheme="minorHAnsi" w:hAnsiTheme="minorHAnsi"/>
              </w:rPr>
            </w:pPr>
            <w:r w:rsidRPr="00BE0600">
              <w:rPr>
                <w:rFonts w:cs="Times New Roman" w:asciiTheme="minorHAnsi" w:hAnsiTheme="minorHAnsi"/>
              </w:rPr>
              <w:t xml:space="preserve">Household Screener &amp; Relationship Questionnaire </w:t>
            </w:r>
          </w:p>
        </w:tc>
        <w:tc>
          <w:tcPr>
            <w:tcW w:w="2070" w:type="dxa"/>
            <w:tcBorders>
              <w:top w:val="single" w:color="1D8894" w:sz="1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4A9D4BBE" w14:textId="77777777">
            <w:pPr>
              <w:rPr>
                <w:rFonts w:cs="Times New Roman" w:asciiTheme="minorHAnsi" w:hAnsiTheme="minorHAnsi"/>
              </w:rPr>
            </w:pPr>
            <w:r w:rsidRPr="00BE0600">
              <w:rPr>
                <w:rFonts w:cs="Times New Roman" w:asciiTheme="minorHAnsi" w:hAnsiTheme="minorHAnsi"/>
              </w:rPr>
              <w:t>In-person</w:t>
            </w:r>
          </w:p>
        </w:tc>
        <w:tc>
          <w:tcPr>
            <w:tcW w:w="2160" w:type="dxa"/>
            <w:tcBorders>
              <w:top w:val="single" w:color="1D8894" w:sz="1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0F6F856D" w14:textId="77777777">
            <w:pPr>
              <w:rPr>
                <w:rFonts w:cs="Times New Roman" w:asciiTheme="minorHAnsi" w:hAnsiTheme="minorHAnsi"/>
              </w:rPr>
            </w:pPr>
            <w:r w:rsidRPr="00BE0600">
              <w:rPr>
                <w:rFonts w:cs="Times New Roman" w:asciiTheme="minorHAnsi" w:hAnsiTheme="minorHAnsi"/>
              </w:rPr>
              <w:t>Multi-mode</w:t>
            </w:r>
          </w:p>
        </w:tc>
      </w:tr>
      <w:tr w:rsidRPr="00B12C08" w:rsidR="00A03639" w:rsidTr="00A03639" w14:paraId="452510F8" w14:textId="1327E342">
        <w:trPr>
          <w:trHeight w:val="432"/>
        </w:trPr>
        <w:tc>
          <w:tcPr>
            <w:tcW w:w="871"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7658928A" w14:textId="77777777">
            <w:pPr>
              <w:rPr>
                <w:rFonts w:cs="Times New Roman" w:asciiTheme="minorHAnsi" w:hAnsiTheme="minorHAnsi"/>
              </w:rPr>
            </w:pPr>
            <w:r w:rsidRPr="00BE0600">
              <w:rPr>
                <w:rFonts w:cs="Times New Roman" w:asciiTheme="minorHAnsi" w:hAnsiTheme="minorHAnsi"/>
              </w:rPr>
              <w:t>2</w:t>
            </w:r>
          </w:p>
        </w:tc>
        <w:tc>
          <w:tcPr>
            <w:tcW w:w="2809"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3EFABB42" w14:textId="2CF8047C">
            <w:pPr>
              <w:rPr>
                <w:rFonts w:cs="Times New Roman" w:asciiTheme="minorHAnsi" w:hAnsiTheme="minorHAnsi"/>
              </w:rPr>
            </w:pPr>
            <w:r w:rsidRPr="00BE0600">
              <w:rPr>
                <w:rFonts w:cs="Times New Roman" w:asciiTheme="minorHAnsi" w:hAnsiTheme="minorHAnsi"/>
              </w:rPr>
              <w:t xml:space="preserve">Sample Participant &amp; Family Questionnaires </w:t>
            </w:r>
          </w:p>
        </w:tc>
        <w:tc>
          <w:tcPr>
            <w:tcW w:w="2070"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33EEA805" w14:textId="77777777">
            <w:pPr>
              <w:rPr>
                <w:rFonts w:cs="Times New Roman" w:asciiTheme="minorHAnsi" w:hAnsiTheme="minorHAnsi"/>
              </w:rPr>
            </w:pPr>
            <w:r w:rsidRPr="00BE0600">
              <w:rPr>
                <w:rFonts w:cs="Times New Roman" w:asciiTheme="minorHAnsi" w:hAnsiTheme="minorHAnsi"/>
              </w:rPr>
              <w:t>In-person</w:t>
            </w:r>
          </w:p>
        </w:tc>
        <w:tc>
          <w:tcPr>
            <w:tcW w:w="2160"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65B0A7DF" w14:textId="4CF0015B">
            <w:pPr>
              <w:rPr>
                <w:rFonts w:cs="Times New Roman" w:asciiTheme="minorHAnsi" w:hAnsiTheme="minorHAnsi"/>
              </w:rPr>
            </w:pPr>
            <w:r w:rsidRPr="00BE0600">
              <w:rPr>
                <w:rFonts w:cs="Times New Roman" w:asciiTheme="minorHAnsi" w:hAnsiTheme="minorHAnsi"/>
              </w:rPr>
              <w:t>Telephone &amp; In-person</w:t>
            </w:r>
          </w:p>
        </w:tc>
      </w:tr>
      <w:tr w:rsidRPr="00B12C08" w:rsidR="00A03639" w:rsidTr="00A03639" w14:paraId="616DACDB" w14:textId="2654CD6F">
        <w:trPr>
          <w:trHeight w:val="432"/>
        </w:trPr>
        <w:tc>
          <w:tcPr>
            <w:tcW w:w="871" w:type="dxa"/>
            <w:tcBorders>
              <w:top w:val="single" w:color="1D8894" w:sz="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3A08D6B5" w14:textId="77777777">
            <w:pPr>
              <w:rPr>
                <w:rFonts w:cs="Times New Roman" w:asciiTheme="minorHAnsi" w:hAnsiTheme="minorHAnsi"/>
              </w:rPr>
            </w:pPr>
            <w:r w:rsidRPr="00BE0600">
              <w:rPr>
                <w:rFonts w:cs="Times New Roman" w:asciiTheme="minorHAnsi" w:hAnsiTheme="minorHAnsi"/>
              </w:rPr>
              <w:t>3</w:t>
            </w:r>
          </w:p>
        </w:tc>
        <w:tc>
          <w:tcPr>
            <w:tcW w:w="2809" w:type="dxa"/>
            <w:tcBorders>
              <w:top w:val="single" w:color="1D8894" w:sz="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0021A4B7" w14:textId="77777777">
            <w:pPr>
              <w:rPr>
                <w:rFonts w:cs="Times New Roman" w:asciiTheme="minorHAnsi" w:hAnsiTheme="minorHAnsi"/>
              </w:rPr>
            </w:pPr>
            <w:r w:rsidRPr="00BE0600">
              <w:rPr>
                <w:rFonts w:cs="Times New Roman" w:asciiTheme="minorHAnsi" w:hAnsiTheme="minorHAnsi"/>
              </w:rPr>
              <w:t xml:space="preserve">MEC Exam: Interview portion </w:t>
            </w:r>
          </w:p>
        </w:tc>
        <w:tc>
          <w:tcPr>
            <w:tcW w:w="2070" w:type="dxa"/>
            <w:tcBorders>
              <w:top w:val="single" w:color="1D8894" w:sz="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25B8B47C" w14:textId="77777777">
            <w:pPr>
              <w:rPr>
                <w:rFonts w:cs="Times New Roman" w:asciiTheme="minorHAnsi" w:hAnsiTheme="minorHAnsi"/>
              </w:rPr>
            </w:pPr>
            <w:r w:rsidRPr="00BE0600">
              <w:rPr>
                <w:rFonts w:cs="Times New Roman" w:asciiTheme="minorHAnsi" w:hAnsiTheme="minorHAnsi"/>
              </w:rPr>
              <w:t>In-person, some ACASI</w:t>
            </w:r>
          </w:p>
        </w:tc>
        <w:tc>
          <w:tcPr>
            <w:tcW w:w="2160" w:type="dxa"/>
            <w:tcBorders>
              <w:top w:val="single" w:color="1D8894" w:sz="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39F0AEC6" w14:textId="77777777">
            <w:pPr>
              <w:rPr>
                <w:rFonts w:cs="Times New Roman" w:asciiTheme="minorHAnsi" w:hAnsiTheme="minorHAnsi"/>
              </w:rPr>
            </w:pPr>
            <w:r w:rsidRPr="00BE0600">
              <w:rPr>
                <w:rFonts w:cs="Times New Roman" w:asciiTheme="minorHAnsi" w:hAnsiTheme="minorHAnsi"/>
              </w:rPr>
              <w:t>Primarily ACASI</w:t>
            </w:r>
          </w:p>
        </w:tc>
      </w:tr>
      <w:tr w:rsidRPr="00B12C08" w:rsidR="00A03639" w:rsidTr="00A03639" w14:paraId="4B35D3BE" w14:textId="7C1F1DED">
        <w:trPr>
          <w:trHeight w:val="432"/>
        </w:trPr>
        <w:tc>
          <w:tcPr>
            <w:tcW w:w="871"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478D3FF9" w14:textId="77777777">
            <w:pPr>
              <w:rPr>
                <w:rFonts w:cs="Times New Roman" w:asciiTheme="minorHAnsi" w:hAnsiTheme="minorHAnsi"/>
              </w:rPr>
            </w:pPr>
            <w:r w:rsidRPr="00BE0600">
              <w:rPr>
                <w:rFonts w:cs="Times New Roman" w:asciiTheme="minorHAnsi" w:hAnsiTheme="minorHAnsi"/>
              </w:rPr>
              <w:t>4</w:t>
            </w:r>
          </w:p>
        </w:tc>
        <w:tc>
          <w:tcPr>
            <w:tcW w:w="2809"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10DC1B50" w14:textId="77777777">
            <w:pPr>
              <w:rPr>
                <w:rFonts w:cs="Times New Roman" w:asciiTheme="minorHAnsi" w:hAnsiTheme="minorHAnsi"/>
              </w:rPr>
            </w:pPr>
            <w:r w:rsidRPr="00BE0600">
              <w:rPr>
                <w:rFonts w:cs="Times New Roman" w:asciiTheme="minorHAnsi" w:hAnsiTheme="minorHAnsi"/>
              </w:rPr>
              <w:t>1</w:t>
            </w:r>
            <w:r w:rsidRPr="00BE0600">
              <w:rPr>
                <w:rFonts w:cs="Times New Roman" w:asciiTheme="minorHAnsi" w:hAnsiTheme="minorHAnsi"/>
                <w:vertAlign w:val="superscript"/>
              </w:rPr>
              <w:t>st</w:t>
            </w:r>
            <w:r w:rsidRPr="00BE0600">
              <w:rPr>
                <w:rFonts w:cs="Times New Roman" w:asciiTheme="minorHAnsi" w:hAnsiTheme="minorHAnsi"/>
              </w:rPr>
              <w:t xml:space="preserve"> Dietary Recall </w:t>
            </w:r>
          </w:p>
        </w:tc>
        <w:tc>
          <w:tcPr>
            <w:tcW w:w="2070"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67107618" w14:textId="77777777">
            <w:pPr>
              <w:rPr>
                <w:rFonts w:cs="Times New Roman" w:asciiTheme="minorHAnsi" w:hAnsiTheme="minorHAnsi"/>
              </w:rPr>
            </w:pPr>
            <w:r w:rsidRPr="00BE0600">
              <w:rPr>
                <w:rFonts w:cs="Times New Roman" w:asciiTheme="minorHAnsi" w:hAnsiTheme="minorHAnsi"/>
              </w:rPr>
              <w:t xml:space="preserve">In-person </w:t>
            </w:r>
          </w:p>
          <w:p w:rsidRPr="00BE0600" w:rsidR="00A03639" w:rsidP="006262AA" w:rsidRDefault="00A03639" w14:paraId="7D8F7319" w14:textId="77777777">
            <w:pPr>
              <w:rPr>
                <w:rFonts w:cs="Times New Roman" w:asciiTheme="minorHAnsi" w:hAnsiTheme="minorHAnsi"/>
              </w:rPr>
            </w:pPr>
            <w:r w:rsidRPr="00BE0600">
              <w:rPr>
                <w:rFonts w:cs="Times New Roman" w:asciiTheme="minorHAnsi" w:hAnsiTheme="minorHAnsi"/>
              </w:rPr>
              <w:t>(at MEC)</w:t>
            </w:r>
          </w:p>
        </w:tc>
        <w:tc>
          <w:tcPr>
            <w:tcW w:w="2160"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033F7402" w14:textId="77777777">
            <w:pPr>
              <w:rPr>
                <w:rFonts w:cs="Times New Roman" w:asciiTheme="minorHAnsi" w:hAnsiTheme="minorHAnsi"/>
              </w:rPr>
            </w:pPr>
            <w:r w:rsidRPr="00BE0600">
              <w:rPr>
                <w:rFonts w:cs="Times New Roman" w:asciiTheme="minorHAnsi" w:hAnsiTheme="minorHAnsi"/>
              </w:rPr>
              <w:t xml:space="preserve">Telephone </w:t>
            </w:r>
          </w:p>
          <w:p w:rsidRPr="00BE0600" w:rsidR="00A03639" w:rsidP="006262AA" w:rsidRDefault="00A03639" w14:paraId="34520FD3" w14:textId="77777777">
            <w:pPr>
              <w:rPr>
                <w:rFonts w:cs="Times New Roman" w:asciiTheme="minorHAnsi" w:hAnsiTheme="minorHAnsi"/>
              </w:rPr>
            </w:pPr>
            <w:r w:rsidRPr="00BE0600">
              <w:rPr>
                <w:rFonts w:cs="Times New Roman" w:asciiTheme="minorHAnsi" w:hAnsiTheme="minorHAnsi"/>
              </w:rPr>
              <w:t>(post MEC)</w:t>
            </w:r>
          </w:p>
        </w:tc>
      </w:tr>
      <w:tr w:rsidRPr="00B12C08" w:rsidR="00A03639" w:rsidTr="00A03639" w14:paraId="442566C7" w14:textId="3F15D57F">
        <w:trPr>
          <w:trHeight w:val="432"/>
        </w:trPr>
        <w:tc>
          <w:tcPr>
            <w:tcW w:w="871" w:type="dxa"/>
            <w:tcBorders>
              <w:top w:val="single" w:color="1D8894" w:sz="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6B08F271" w14:textId="77777777">
            <w:pPr>
              <w:rPr>
                <w:rFonts w:cs="Times New Roman" w:asciiTheme="minorHAnsi" w:hAnsiTheme="minorHAnsi"/>
              </w:rPr>
            </w:pPr>
            <w:r w:rsidRPr="00BE0600">
              <w:rPr>
                <w:rFonts w:cs="Times New Roman" w:asciiTheme="minorHAnsi" w:hAnsiTheme="minorHAnsi"/>
              </w:rPr>
              <w:t>5</w:t>
            </w:r>
          </w:p>
        </w:tc>
        <w:tc>
          <w:tcPr>
            <w:tcW w:w="2809" w:type="dxa"/>
            <w:tcBorders>
              <w:top w:val="single" w:color="1D8894" w:sz="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5149D1C2" w14:textId="77777777">
            <w:pPr>
              <w:rPr>
                <w:rFonts w:cs="Times New Roman" w:asciiTheme="minorHAnsi" w:hAnsiTheme="minorHAnsi"/>
              </w:rPr>
            </w:pPr>
            <w:r w:rsidRPr="00BE0600">
              <w:rPr>
                <w:rFonts w:cs="Times New Roman" w:asciiTheme="minorHAnsi" w:hAnsiTheme="minorHAnsi"/>
              </w:rPr>
              <w:t>2nd Dietary Recall</w:t>
            </w:r>
          </w:p>
        </w:tc>
        <w:tc>
          <w:tcPr>
            <w:tcW w:w="2070" w:type="dxa"/>
            <w:tcBorders>
              <w:top w:val="single" w:color="1D8894" w:sz="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1800F14C" w14:textId="77777777">
            <w:pPr>
              <w:rPr>
                <w:rFonts w:cs="Times New Roman" w:asciiTheme="minorHAnsi" w:hAnsiTheme="minorHAnsi"/>
              </w:rPr>
            </w:pPr>
            <w:r w:rsidRPr="00BE0600">
              <w:rPr>
                <w:rFonts w:cs="Times New Roman" w:asciiTheme="minorHAnsi" w:hAnsiTheme="minorHAnsi"/>
              </w:rPr>
              <w:t xml:space="preserve">Telephone </w:t>
            </w:r>
          </w:p>
          <w:p w:rsidRPr="00BE0600" w:rsidR="00A03639" w:rsidP="006262AA" w:rsidRDefault="00A03639" w14:paraId="7735A0B6" w14:textId="77777777">
            <w:pPr>
              <w:rPr>
                <w:rFonts w:cs="Times New Roman" w:asciiTheme="minorHAnsi" w:hAnsiTheme="minorHAnsi"/>
              </w:rPr>
            </w:pPr>
            <w:r w:rsidRPr="00BE0600">
              <w:rPr>
                <w:rFonts w:cs="Times New Roman" w:asciiTheme="minorHAnsi" w:hAnsiTheme="minorHAnsi"/>
              </w:rPr>
              <w:t>(post MEC)</w:t>
            </w:r>
          </w:p>
        </w:tc>
        <w:tc>
          <w:tcPr>
            <w:tcW w:w="2160" w:type="dxa"/>
            <w:tcBorders>
              <w:top w:val="single" w:color="1D8894" w:sz="8" w:space="0"/>
              <w:left w:val="single" w:color="1D8894" w:sz="8" w:space="0"/>
              <w:bottom w:val="single" w:color="1D8894" w:sz="8" w:space="0"/>
              <w:right w:val="single" w:color="1D8894" w:sz="8" w:space="0"/>
            </w:tcBorders>
            <w:shd w:val="clear" w:color="auto" w:fill="E7EDEF"/>
            <w:tcMar>
              <w:top w:w="72" w:type="dxa"/>
              <w:left w:w="144" w:type="dxa"/>
              <w:bottom w:w="72" w:type="dxa"/>
              <w:right w:w="144" w:type="dxa"/>
            </w:tcMar>
            <w:hideMark/>
          </w:tcPr>
          <w:p w:rsidRPr="00BE0600" w:rsidR="00A03639" w:rsidP="006262AA" w:rsidRDefault="00A03639" w14:paraId="5F63577B" w14:textId="77777777">
            <w:pPr>
              <w:rPr>
                <w:rFonts w:cs="Times New Roman" w:asciiTheme="minorHAnsi" w:hAnsiTheme="minorHAnsi"/>
              </w:rPr>
            </w:pPr>
            <w:r w:rsidRPr="00BE0600">
              <w:rPr>
                <w:rFonts w:cs="Times New Roman" w:asciiTheme="minorHAnsi" w:hAnsiTheme="minorHAnsi"/>
              </w:rPr>
              <w:t>Telephone</w:t>
            </w:r>
          </w:p>
          <w:p w:rsidRPr="00BE0600" w:rsidR="00A03639" w:rsidP="006262AA" w:rsidRDefault="00A03639" w14:paraId="01200326" w14:textId="77777777">
            <w:pPr>
              <w:rPr>
                <w:rFonts w:cs="Times New Roman" w:asciiTheme="minorHAnsi" w:hAnsiTheme="minorHAnsi"/>
              </w:rPr>
            </w:pPr>
            <w:r w:rsidRPr="00BE0600">
              <w:rPr>
                <w:rFonts w:cs="Times New Roman" w:asciiTheme="minorHAnsi" w:hAnsiTheme="minorHAnsi"/>
              </w:rPr>
              <w:t>(post MEC)</w:t>
            </w:r>
          </w:p>
        </w:tc>
      </w:tr>
      <w:tr w:rsidRPr="00B12C08" w:rsidR="00A03639" w:rsidTr="00A03639" w14:paraId="4CE8B711" w14:textId="41812EC7">
        <w:trPr>
          <w:trHeight w:val="720"/>
        </w:trPr>
        <w:tc>
          <w:tcPr>
            <w:tcW w:w="871"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69E4ACF2" w14:textId="77777777">
            <w:pPr>
              <w:rPr>
                <w:rFonts w:cs="Times New Roman" w:asciiTheme="minorHAnsi" w:hAnsiTheme="minorHAnsi"/>
              </w:rPr>
            </w:pPr>
            <w:r w:rsidRPr="00BE0600">
              <w:rPr>
                <w:rFonts w:cs="Times New Roman" w:asciiTheme="minorHAnsi" w:hAnsiTheme="minorHAnsi"/>
              </w:rPr>
              <w:t>6</w:t>
            </w:r>
          </w:p>
        </w:tc>
        <w:tc>
          <w:tcPr>
            <w:tcW w:w="2809"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04CB9E41" w14:textId="58399549">
            <w:pPr>
              <w:rPr>
                <w:rFonts w:cs="Times New Roman" w:asciiTheme="minorHAnsi" w:hAnsiTheme="minorHAnsi"/>
              </w:rPr>
            </w:pPr>
            <w:r w:rsidRPr="00BE0600">
              <w:rPr>
                <w:rFonts w:cs="Times New Roman" w:asciiTheme="minorHAnsi" w:hAnsiTheme="minorHAnsi"/>
              </w:rPr>
              <w:t>Food Consumer Behavior Survey</w:t>
            </w:r>
            <w:r>
              <w:rPr>
                <w:rFonts w:cs="Times New Roman" w:asciiTheme="minorHAnsi" w:hAnsiTheme="minorHAnsi"/>
              </w:rPr>
              <w:t xml:space="preserve"> (FCBS)</w:t>
            </w:r>
          </w:p>
        </w:tc>
        <w:tc>
          <w:tcPr>
            <w:tcW w:w="2070"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1282CB07" w14:textId="77777777">
            <w:pPr>
              <w:rPr>
                <w:rFonts w:cs="Times New Roman" w:asciiTheme="minorHAnsi" w:hAnsiTheme="minorHAnsi"/>
              </w:rPr>
            </w:pPr>
            <w:r w:rsidRPr="00BE0600">
              <w:rPr>
                <w:rFonts w:cs="Times New Roman" w:asciiTheme="minorHAnsi" w:hAnsiTheme="minorHAnsi"/>
              </w:rPr>
              <w:t>Telephone</w:t>
            </w:r>
          </w:p>
          <w:p w:rsidRPr="00BE0600" w:rsidR="00A03639" w:rsidP="006262AA" w:rsidRDefault="00A03639" w14:paraId="3EB393D9" w14:textId="77777777">
            <w:pPr>
              <w:rPr>
                <w:rFonts w:cs="Times New Roman" w:asciiTheme="minorHAnsi" w:hAnsiTheme="minorHAnsi"/>
              </w:rPr>
            </w:pPr>
            <w:r w:rsidRPr="00BE0600">
              <w:rPr>
                <w:rFonts w:cs="Times New Roman" w:asciiTheme="minorHAnsi" w:hAnsiTheme="minorHAnsi"/>
              </w:rPr>
              <w:t>(post MEC)</w:t>
            </w:r>
          </w:p>
        </w:tc>
        <w:tc>
          <w:tcPr>
            <w:tcW w:w="2160"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hideMark/>
          </w:tcPr>
          <w:p w:rsidRPr="00BE0600" w:rsidR="00A03639" w:rsidP="006262AA" w:rsidRDefault="00A03639" w14:paraId="0A3BD08A" w14:textId="77777777">
            <w:pPr>
              <w:rPr>
                <w:rFonts w:cs="Times New Roman" w:asciiTheme="minorHAnsi" w:hAnsiTheme="minorHAnsi"/>
              </w:rPr>
            </w:pPr>
            <w:r w:rsidRPr="00BE0600">
              <w:rPr>
                <w:rFonts w:cs="Times New Roman" w:asciiTheme="minorHAnsi" w:hAnsiTheme="minorHAnsi"/>
              </w:rPr>
              <w:t>Telephone</w:t>
            </w:r>
          </w:p>
          <w:p w:rsidRPr="00BE0600" w:rsidR="00A03639" w:rsidP="006262AA" w:rsidRDefault="00A03639" w14:paraId="33BBF668" w14:textId="77777777">
            <w:pPr>
              <w:rPr>
                <w:rFonts w:cs="Times New Roman" w:asciiTheme="minorHAnsi" w:hAnsiTheme="minorHAnsi"/>
              </w:rPr>
            </w:pPr>
            <w:r w:rsidRPr="00BE0600">
              <w:rPr>
                <w:rFonts w:cs="Times New Roman" w:asciiTheme="minorHAnsi" w:hAnsiTheme="minorHAnsi"/>
              </w:rPr>
              <w:t>(post MEC)</w:t>
            </w:r>
          </w:p>
        </w:tc>
      </w:tr>
      <w:tr w:rsidRPr="00B12C08" w:rsidR="00A03639" w:rsidTr="00A03639" w14:paraId="00EE23B8" w14:textId="6F9A1738">
        <w:trPr>
          <w:trHeight w:val="720"/>
        </w:trPr>
        <w:tc>
          <w:tcPr>
            <w:tcW w:w="871"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tcPr>
          <w:p w:rsidRPr="00BE0600" w:rsidR="00A03639" w:rsidP="006262AA" w:rsidRDefault="00A03639" w14:paraId="01B61178" w14:textId="4ADCF740">
            <w:pPr>
              <w:rPr>
                <w:rFonts w:cs="Times New Roman" w:asciiTheme="minorHAnsi" w:hAnsiTheme="minorHAnsi"/>
              </w:rPr>
            </w:pPr>
            <w:r>
              <w:rPr>
                <w:rFonts w:cs="Times New Roman" w:asciiTheme="minorHAnsi" w:hAnsiTheme="minorHAnsi"/>
              </w:rPr>
              <w:t>7</w:t>
            </w:r>
          </w:p>
        </w:tc>
        <w:tc>
          <w:tcPr>
            <w:tcW w:w="2809"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tcPr>
          <w:p w:rsidR="00A03639" w:rsidP="006262AA" w:rsidRDefault="00A03639" w14:paraId="64AFCF5F" w14:textId="0D5F09E4">
            <w:pPr>
              <w:rPr>
                <w:rFonts w:cs="Times New Roman" w:asciiTheme="minorHAnsi" w:hAnsiTheme="minorHAnsi"/>
              </w:rPr>
            </w:pPr>
            <w:r>
              <w:rPr>
                <w:rFonts w:cs="Times New Roman" w:asciiTheme="minorHAnsi" w:hAnsiTheme="minorHAnsi"/>
              </w:rPr>
              <w:t xml:space="preserve">MEC Respondent &amp; Nonrespondent </w:t>
            </w:r>
          </w:p>
          <w:p w:rsidRPr="00BE0600" w:rsidR="00A03639" w:rsidP="006262AA" w:rsidRDefault="00A03639" w14:paraId="40C8E343" w14:textId="129EBDF8">
            <w:pPr>
              <w:rPr>
                <w:rFonts w:cs="Times New Roman" w:asciiTheme="minorHAnsi" w:hAnsiTheme="minorHAnsi"/>
              </w:rPr>
            </w:pPr>
            <w:r>
              <w:rPr>
                <w:rFonts w:cs="Times New Roman" w:asciiTheme="minorHAnsi" w:hAnsiTheme="minorHAnsi"/>
              </w:rPr>
              <w:t>Follow-up Questionnaires</w:t>
            </w:r>
          </w:p>
        </w:tc>
        <w:tc>
          <w:tcPr>
            <w:tcW w:w="2070"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tcPr>
          <w:p w:rsidRPr="00BE0600" w:rsidR="00A03639" w:rsidP="006262AA" w:rsidRDefault="00A03639" w14:paraId="75C363CC" w14:textId="1684C53E">
            <w:pPr>
              <w:rPr>
                <w:rFonts w:cs="Times New Roman" w:asciiTheme="minorHAnsi" w:hAnsiTheme="minorHAnsi"/>
              </w:rPr>
            </w:pPr>
            <w:r>
              <w:rPr>
                <w:rFonts w:cs="Times New Roman" w:asciiTheme="minorHAnsi" w:hAnsiTheme="minorHAnsi"/>
              </w:rPr>
              <w:t>N/A</w:t>
            </w:r>
          </w:p>
        </w:tc>
        <w:tc>
          <w:tcPr>
            <w:tcW w:w="2160" w:type="dxa"/>
            <w:tcBorders>
              <w:top w:val="single" w:color="1D8894" w:sz="8" w:space="0"/>
              <w:left w:val="single" w:color="1D8894" w:sz="8" w:space="0"/>
              <w:bottom w:val="single" w:color="1D8894" w:sz="8" w:space="0"/>
              <w:right w:val="single" w:color="1D8894" w:sz="8" w:space="0"/>
            </w:tcBorders>
            <w:shd w:val="clear" w:color="auto" w:fill="auto"/>
            <w:tcMar>
              <w:top w:w="72" w:type="dxa"/>
              <w:left w:w="144" w:type="dxa"/>
              <w:bottom w:w="72" w:type="dxa"/>
              <w:right w:w="144" w:type="dxa"/>
            </w:tcMar>
          </w:tcPr>
          <w:p w:rsidR="00A03639" w:rsidP="006262AA" w:rsidRDefault="00A03639" w14:paraId="09532DFD" w14:textId="336BB175">
            <w:pPr>
              <w:rPr>
                <w:rFonts w:cs="Times New Roman" w:asciiTheme="minorHAnsi" w:hAnsiTheme="minorHAnsi"/>
              </w:rPr>
            </w:pPr>
            <w:r>
              <w:rPr>
                <w:rFonts w:cs="Times New Roman" w:asciiTheme="minorHAnsi" w:hAnsiTheme="minorHAnsi"/>
              </w:rPr>
              <w:t>Mail or Telephone (</w:t>
            </w:r>
            <w:r w:rsidRPr="00CE047B">
              <w:rPr>
                <w:rFonts w:cs="Times New Roman" w:asciiTheme="minorHAnsi" w:hAnsiTheme="minorHAnsi"/>
                <w:i/>
                <w:iCs/>
              </w:rPr>
              <w:t xml:space="preserve">post </w:t>
            </w:r>
            <w:r>
              <w:rPr>
                <w:rFonts w:cs="Times New Roman" w:asciiTheme="minorHAnsi" w:hAnsiTheme="minorHAnsi"/>
                <w:i/>
                <w:iCs/>
              </w:rPr>
              <w:t>FCBS questionnaire</w:t>
            </w:r>
            <w:r w:rsidRPr="00CE047B">
              <w:rPr>
                <w:rFonts w:cs="Times New Roman" w:asciiTheme="minorHAnsi" w:hAnsiTheme="minorHAnsi"/>
                <w:i/>
                <w:iCs/>
              </w:rPr>
              <w:t xml:space="preserve"> for</w:t>
            </w:r>
            <w:r>
              <w:rPr>
                <w:rFonts w:cs="Times New Roman" w:asciiTheme="minorHAnsi" w:hAnsiTheme="minorHAnsi"/>
              </w:rPr>
              <w:t xml:space="preserve"> </w:t>
            </w:r>
            <w:r w:rsidRPr="00CE047B">
              <w:rPr>
                <w:rFonts w:cs="Times New Roman" w:asciiTheme="minorHAnsi" w:hAnsiTheme="minorHAnsi"/>
                <w:i/>
                <w:iCs/>
              </w:rPr>
              <w:t>respondents</w:t>
            </w:r>
            <w:r>
              <w:rPr>
                <w:rFonts w:cs="Times New Roman" w:asciiTheme="minorHAnsi" w:hAnsiTheme="minorHAnsi"/>
              </w:rPr>
              <w:t>)</w:t>
            </w:r>
          </w:p>
          <w:p w:rsidR="00A03639" w:rsidP="006262AA" w:rsidRDefault="00A03639" w14:paraId="4E8D578A" w14:textId="77777777">
            <w:pPr>
              <w:rPr>
                <w:rFonts w:cs="Times New Roman" w:asciiTheme="minorHAnsi" w:hAnsiTheme="minorHAnsi"/>
              </w:rPr>
            </w:pPr>
          </w:p>
          <w:p w:rsidRPr="00BE0600" w:rsidR="00A03639" w:rsidP="006262AA" w:rsidRDefault="00A03639" w14:paraId="63D86D83" w14:textId="2B4A61C7">
            <w:pPr>
              <w:rPr>
                <w:rFonts w:cs="Times New Roman" w:asciiTheme="minorHAnsi" w:hAnsiTheme="minorHAnsi"/>
              </w:rPr>
            </w:pPr>
            <w:r>
              <w:rPr>
                <w:rFonts w:cs="Times New Roman" w:asciiTheme="minorHAnsi" w:hAnsiTheme="minorHAnsi"/>
              </w:rPr>
              <w:t>Mail or Telephone (</w:t>
            </w:r>
            <w:r w:rsidRPr="00CE047B">
              <w:rPr>
                <w:rFonts w:cs="Times New Roman" w:asciiTheme="minorHAnsi" w:hAnsiTheme="minorHAnsi"/>
                <w:i/>
                <w:iCs/>
              </w:rPr>
              <w:t>post household interview for nonrespondents</w:t>
            </w:r>
            <w:r>
              <w:rPr>
                <w:rFonts w:cs="Times New Roman" w:asciiTheme="minorHAnsi" w:hAnsiTheme="minorHAnsi"/>
              </w:rPr>
              <w:t>)</w:t>
            </w:r>
          </w:p>
        </w:tc>
      </w:tr>
    </w:tbl>
    <w:p w:rsidR="001B64E8" w:rsidP="007339CC" w:rsidRDefault="001B64E8" w14:paraId="6A924D86" w14:textId="77777777">
      <w:pPr>
        <w:rPr>
          <w:rFonts w:cs="Times New Roman" w:asciiTheme="minorHAnsi" w:hAnsiTheme="minorHAnsi"/>
          <w:b/>
          <w:bCs/>
        </w:rPr>
      </w:pPr>
    </w:p>
    <w:p w:rsidRPr="00BE0600" w:rsidR="00371C08" w:rsidP="007339CC" w:rsidRDefault="002E57AF" w14:paraId="7BAC6C21" w14:textId="6BD52250">
      <w:pPr>
        <w:rPr>
          <w:rFonts w:cs="Times New Roman" w:asciiTheme="minorHAnsi" w:hAnsiTheme="minorHAnsi"/>
          <w:b/>
          <w:bCs/>
        </w:rPr>
      </w:pPr>
      <w:r w:rsidRPr="00BE0600">
        <w:rPr>
          <w:rFonts w:cs="Times New Roman" w:asciiTheme="minorHAnsi" w:hAnsiTheme="minorHAnsi"/>
          <w:b/>
          <w:bCs/>
        </w:rPr>
        <w:lastRenderedPageBreak/>
        <w:t>9.</w:t>
      </w:r>
      <w:r w:rsidRPr="00BE0600" w:rsidR="00141717">
        <w:rPr>
          <w:rFonts w:cs="Times New Roman" w:asciiTheme="minorHAnsi" w:hAnsiTheme="minorHAnsi"/>
          <w:b/>
          <w:bCs/>
        </w:rPr>
        <w:t xml:space="preserve">   </w:t>
      </w:r>
      <w:r w:rsidRPr="00BE0600" w:rsidR="00371C08">
        <w:rPr>
          <w:rFonts w:cs="Times New Roman" w:asciiTheme="minorHAnsi" w:hAnsiTheme="minorHAnsi"/>
          <w:b/>
          <w:bCs/>
        </w:rPr>
        <w:t>Explanation of any payment or gift to respondents</w:t>
      </w:r>
    </w:p>
    <w:p w:rsidRPr="00BE0600" w:rsidR="004A50D3" w:rsidP="007339CC" w:rsidRDefault="004A50D3" w14:paraId="20BD1DC9" w14:textId="77777777">
      <w:pPr>
        <w:rPr>
          <w:rFonts w:cs="Times New Roman" w:asciiTheme="minorHAnsi" w:hAnsiTheme="minorHAnsi"/>
        </w:rPr>
      </w:pPr>
    </w:p>
    <w:p w:rsidR="00027081" w:rsidP="007339CC" w:rsidRDefault="00C1735F" w14:paraId="63861A9A" w14:textId="0896E5FB">
      <w:pPr>
        <w:rPr>
          <w:rFonts w:cs="Times New Roman" w:asciiTheme="minorHAnsi" w:hAnsiTheme="minorHAnsi"/>
        </w:rPr>
      </w:pPr>
      <w:r>
        <w:rPr>
          <w:rFonts w:cs="Times New Roman" w:asciiTheme="minorHAnsi" w:hAnsiTheme="minorHAnsi"/>
        </w:rPr>
        <w:t>Adult p</w:t>
      </w:r>
      <w:r w:rsidR="001861A9">
        <w:rPr>
          <w:rFonts w:cs="Times New Roman" w:asciiTheme="minorHAnsi" w:hAnsiTheme="minorHAnsi"/>
        </w:rPr>
        <w:t>articipants</w:t>
      </w:r>
      <w:r>
        <w:rPr>
          <w:rFonts w:cs="Times New Roman" w:asciiTheme="minorHAnsi" w:hAnsiTheme="minorHAnsi"/>
        </w:rPr>
        <w:t xml:space="preserve"> (ages 18+)</w:t>
      </w:r>
      <w:r w:rsidR="001861A9">
        <w:rPr>
          <w:rFonts w:cs="Times New Roman" w:asciiTheme="minorHAnsi" w:hAnsiTheme="minorHAnsi"/>
        </w:rPr>
        <w:t xml:space="preserve"> who complete the respondent and nonrespondent </w:t>
      </w:r>
      <w:r w:rsidR="00A03639">
        <w:rPr>
          <w:rFonts w:cs="Times New Roman" w:asciiTheme="minorHAnsi" w:hAnsiTheme="minorHAnsi"/>
        </w:rPr>
        <w:t xml:space="preserve">follow-up </w:t>
      </w:r>
      <w:r w:rsidR="001861A9">
        <w:rPr>
          <w:rFonts w:cs="Times New Roman" w:asciiTheme="minorHAnsi" w:hAnsiTheme="minorHAnsi"/>
        </w:rPr>
        <w:t xml:space="preserve">questionnaires are offered </w:t>
      </w:r>
      <w:r>
        <w:rPr>
          <w:rFonts w:cs="Times New Roman" w:asciiTheme="minorHAnsi" w:hAnsiTheme="minorHAnsi"/>
        </w:rPr>
        <w:t xml:space="preserve">$10, included in the mailing, as renumeration for their time and cooperation. </w:t>
      </w:r>
    </w:p>
    <w:p w:rsidR="0038422C" w:rsidP="007339CC" w:rsidRDefault="0038422C" w14:paraId="41D9874B" w14:textId="65718E99">
      <w:pPr>
        <w:rPr>
          <w:rFonts w:cs="Times New Roman" w:asciiTheme="minorHAnsi" w:hAnsiTheme="minorHAnsi"/>
          <w:b/>
          <w:bCs/>
        </w:rPr>
      </w:pPr>
    </w:p>
    <w:p w:rsidRPr="00BE0600" w:rsidR="00C1735F" w:rsidP="00C1735F" w:rsidRDefault="00C1735F" w14:paraId="37AFC6DC" w14:textId="77777777">
      <w:pPr>
        <w:rPr>
          <w:rFonts w:cs="Times New Roman" w:asciiTheme="minorHAnsi" w:hAnsiTheme="minorHAnsi"/>
          <w:b/>
          <w:bCs/>
        </w:rPr>
      </w:pPr>
      <w:r>
        <w:rPr>
          <w:rFonts w:cs="Times New Roman" w:asciiTheme="minorHAnsi" w:hAnsiTheme="minorHAnsi"/>
          <w:b/>
          <w:bCs/>
        </w:rPr>
        <w:t>10</w:t>
      </w:r>
      <w:r w:rsidRPr="00BE0600">
        <w:rPr>
          <w:rFonts w:cs="Times New Roman" w:asciiTheme="minorHAnsi" w:hAnsiTheme="minorHAnsi"/>
          <w:b/>
          <w:bCs/>
        </w:rPr>
        <w:t xml:space="preserve">.   </w:t>
      </w:r>
      <w:r>
        <w:rPr>
          <w:rFonts w:cs="Times New Roman" w:asciiTheme="minorHAnsi" w:hAnsiTheme="minorHAnsi"/>
          <w:b/>
          <w:bCs/>
        </w:rPr>
        <w:t>Protection of the Privacy and Confidentiality of Information Provided by Respondents</w:t>
      </w:r>
    </w:p>
    <w:p w:rsidR="00C1735F" w:rsidP="00C1735F" w:rsidRDefault="00C1735F" w14:paraId="6D6CBB0A" w14:textId="77777777">
      <w:pPr>
        <w:rPr>
          <w:rFonts w:cs="Times New Roman" w:asciiTheme="minorHAnsi" w:hAnsiTheme="minorHAnsi"/>
          <w:b/>
          <w:bCs/>
        </w:rPr>
      </w:pPr>
    </w:p>
    <w:p w:rsidR="00C1735F" w:rsidP="00C1735F" w:rsidRDefault="00C1735F" w14:paraId="7F5055A8" w14:textId="08FF303E">
      <w:pPr>
        <w:rPr>
          <w:rFonts w:cs="Times New Roman" w:asciiTheme="minorHAnsi" w:hAnsiTheme="minorHAnsi"/>
        </w:rPr>
      </w:pPr>
      <w:r>
        <w:rPr>
          <w:rFonts w:cs="Times New Roman" w:asciiTheme="minorHAnsi" w:hAnsiTheme="minorHAnsi"/>
        </w:rPr>
        <w:t>The following confidentiality and burden statements will be included in the questionnaire:</w:t>
      </w:r>
    </w:p>
    <w:p w:rsidR="00260B43" w:rsidP="00C1735F" w:rsidRDefault="00260B43" w14:paraId="40EA6036" w14:textId="77777777">
      <w:pPr>
        <w:rPr>
          <w:rFonts w:cs="Times New Roman" w:asciiTheme="minorHAnsi" w:hAnsiTheme="minorHAnsi"/>
        </w:rPr>
      </w:pPr>
    </w:p>
    <w:p w:rsidRPr="001861A9" w:rsidR="00C1735F" w:rsidP="00C1735F" w:rsidRDefault="00C1735F" w14:paraId="47F304F1" w14:textId="77777777">
      <w:pPr>
        <w:pStyle w:val="Default"/>
        <w:rPr>
          <w:rFonts w:eastAsia="Times New Roman" w:cs="Times New Roman" w:asciiTheme="minorHAnsi" w:hAnsiTheme="minorHAnsi"/>
          <w:color w:val="auto"/>
        </w:rPr>
      </w:pPr>
      <w:r w:rsidRPr="001861A9">
        <w:rPr>
          <w:rFonts w:eastAsia="Times New Roman" w:cs="Times New Roman" w:asciiTheme="minorHAnsi" w:hAnsiTheme="minorHAnsi"/>
          <w:b/>
          <w:bCs/>
          <w:color w:val="auto"/>
        </w:rPr>
        <w:t>Assurance of Confidentiality</w:t>
      </w:r>
      <w:r w:rsidRPr="001861A9">
        <w:rPr>
          <w:rFonts w:eastAsia="Times New Roman" w:cs="Times New Roman" w:asciiTheme="minorHAnsi" w:hAnsiTheme="minorHAnsi"/>
          <w:color w:val="auto"/>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Public Law No. 115-435, 132 Stat. 5529 § Sec.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p w:rsidRPr="001861A9" w:rsidR="00C1735F" w:rsidP="00C1735F" w:rsidRDefault="00C1735F" w14:paraId="51117594" w14:textId="77777777">
      <w:pPr>
        <w:pStyle w:val="Default"/>
        <w:rPr>
          <w:rFonts w:eastAsia="Times New Roman" w:cs="Times New Roman" w:asciiTheme="minorHAnsi" w:hAnsiTheme="minorHAnsi"/>
          <w:color w:val="auto"/>
        </w:rPr>
      </w:pPr>
      <w:r w:rsidRPr="001861A9">
        <w:rPr>
          <w:rFonts w:eastAsia="Times New Roman" w:cs="Times New Roman" w:asciiTheme="minorHAnsi" w:hAnsiTheme="minorHAnsi"/>
          <w:color w:val="auto"/>
        </w:rPr>
        <w:t xml:space="preserve"> </w:t>
      </w:r>
    </w:p>
    <w:p w:rsidRPr="00C14DA6" w:rsidR="0038422C" w:rsidP="00C14DA6" w:rsidRDefault="00C1735F" w14:paraId="0C4E908E" w14:textId="579E972B">
      <w:pPr>
        <w:widowControl/>
        <w:autoSpaceDE/>
        <w:autoSpaceDN/>
        <w:adjustRightInd/>
        <w:spacing w:after="200"/>
        <w:rPr>
          <w:rFonts w:cs="Times New Roman" w:asciiTheme="minorHAnsi" w:hAnsiTheme="minorHAnsi"/>
        </w:rPr>
      </w:pPr>
      <w:r w:rsidRPr="001861A9">
        <w:rPr>
          <w:rFonts w:cs="Times New Roman" w:asciiTheme="minorHAnsi" w:hAnsiTheme="minorHAnsi"/>
        </w:rPr>
        <w:t>Public reporting burden for this collection of information is estimated to average 10 minutes per response, including the time for reviewing instructions, searching existing data sources,</w:t>
      </w:r>
      <w:r w:rsidR="00A5526D">
        <w:rPr>
          <w:rFonts w:cs="Times New Roman" w:asciiTheme="minorHAnsi" w:hAnsiTheme="minorHAnsi"/>
        </w:rPr>
        <w:t xml:space="preserve"> </w:t>
      </w:r>
      <w:r w:rsidRPr="001861A9">
        <w:rPr>
          <w:rFonts w:cs="Times New Roman" w:asciiTheme="minorHAnsi" w:hAnsiTheme="minorHAnsi"/>
        </w:rPr>
        <w:t>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(0920-0950).</w:t>
      </w:r>
    </w:p>
    <w:p w:rsidRPr="00BE0600" w:rsidR="00141717" w:rsidP="00A262C9" w:rsidRDefault="005719F9" w14:paraId="78E934CF" w14:textId="69081C12">
      <w:pPr>
        <w:ind w:left="540" w:hanging="540"/>
        <w:rPr>
          <w:rFonts w:cs="Times New Roman" w:asciiTheme="minorHAnsi" w:hAnsiTheme="minorHAnsi"/>
          <w:b/>
          <w:bCs/>
        </w:rPr>
      </w:pPr>
      <w:r w:rsidRPr="00BE0600">
        <w:rPr>
          <w:rFonts w:cs="Times New Roman" w:asciiTheme="minorHAnsi" w:hAnsiTheme="minorHAnsi"/>
          <w:b/>
          <w:bCs/>
        </w:rPr>
        <w:t>12</w:t>
      </w:r>
      <w:r w:rsidRPr="00BE0600" w:rsidR="002E57AF">
        <w:rPr>
          <w:rFonts w:cs="Times New Roman" w:asciiTheme="minorHAnsi" w:hAnsiTheme="minorHAnsi"/>
          <w:b/>
          <w:bCs/>
        </w:rPr>
        <w:t>.</w:t>
      </w:r>
      <w:r w:rsidRPr="00BE0600" w:rsidR="00141717">
        <w:rPr>
          <w:rFonts w:cs="Times New Roman" w:asciiTheme="minorHAnsi" w:hAnsiTheme="minorHAnsi"/>
          <w:b/>
          <w:bCs/>
        </w:rPr>
        <w:tab/>
      </w:r>
      <w:r w:rsidRPr="00BE0600">
        <w:rPr>
          <w:rFonts w:cs="Times New Roman" w:asciiTheme="minorHAnsi" w:hAnsiTheme="minorHAnsi"/>
          <w:b/>
          <w:bCs/>
        </w:rPr>
        <w:t xml:space="preserve">Estimates of </w:t>
      </w:r>
      <w:r w:rsidRPr="00BE0600" w:rsidR="007F6245">
        <w:rPr>
          <w:rFonts w:cs="Times New Roman" w:asciiTheme="minorHAnsi" w:hAnsiTheme="minorHAnsi"/>
          <w:b/>
          <w:bCs/>
        </w:rPr>
        <w:t>a</w:t>
      </w:r>
      <w:r w:rsidRPr="00BE0600">
        <w:rPr>
          <w:rFonts w:cs="Times New Roman" w:asciiTheme="minorHAnsi" w:hAnsiTheme="minorHAnsi"/>
          <w:b/>
          <w:bCs/>
        </w:rPr>
        <w:t xml:space="preserve">nnualized </w:t>
      </w:r>
      <w:r w:rsidRPr="00BE0600" w:rsidR="007F6245">
        <w:rPr>
          <w:rFonts w:cs="Times New Roman" w:asciiTheme="minorHAnsi" w:hAnsiTheme="minorHAnsi"/>
          <w:b/>
          <w:bCs/>
        </w:rPr>
        <w:t>b</w:t>
      </w:r>
      <w:r w:rsidRPr="00BE0600">
        <w:rPr>
          <w:rFonts w:cs="Times New Roman" w:asciiTheme="minorHAnsi" w:hAnsiTheme="minorHAnsi"/>
          <w:b/>
          <w:bCs/>
        </w:rPr>
        <w:t xml:space="preserve">urden </w:t>
      </w:r>
      <w:r w:rsidRPr="00BE0600" w:rsidR="007F6245">
        <w:rPr>
          <w:rFonts w:cs="Times New Roman" w:asciiTheme="minorHAnsi" w:hAnsiTheme="minorHAnsi"/>
          <w:b/>
          <w:bCs/>
        </w:rPr>
        <w:t>h</w:t>
      </w:r>
      <w:r w:rsidRPr="00BE0600">
        <w:rPr>
          <w:rFonts w:cs="Times New Roman" w:asciiTheme="minorHAnsi" w:hAnsiTheme="minorHAnsi"/>
          <w:b/>
          <w:bCs/>
        </w:rPr>
        <w:t xml:space="preserve">ours and </w:t>
      </w:r>
      <w:r w:rsidRPr="00BE0600" w:rsidR="007F6245">
        <w:rPr>
          <w:rFonts w:cs="Times New Roman" w:asciiTheme="minorHAnsi" w:hAnsiTheme="minorHAnsi"/>
          <w:b/>
          <w:bCs/>
        </w:rPr>
        <w:t>c</w:t>
      </w:r>
      <w:r w:rsidRPr="00BE0600">
        <w:rPr>
          <w:rFonts w:cs="Times New Roman" w:asciiTheme="minorHAnsi" w:hAnsiTheme="minorHAnsi"/>
          <w:b/>
          <w:bCs/>
        </w:rPr>
        <w:t>ost</w:t>
      </w:r>
      <w:r w:rsidRPr="00BE0600" w:rsidR="007F6245">
        <w:rPr>
          <w:rFonts w:cs="Times New Roman" w:asciiTheme="minorHAnsi" w:hAnsiTheme="minorHAnsi"/>
          <w:b/>
          <w:bCs/>
        </w:rPr>
        <w:t>s</w:t>
      </w:r>
    </w:p>
    <w:p w:rsidR="00A262C9" w:rsidP="00A262C9" w:rsidRDefault="00A262C9" w14:paraId="7729C0E1" w14:textId="5AB5FD6E">
      <w:pPr>
        <w:ind w:left="540" w:hanging="540"/>
        <w:rPr>
          <w:rFonts w:cs="Times New Roman" w:asciiTheme="minorHAnsi" w:hAnsiTheme="minorHAnsi"/>
          <w:b/>
          <w:bCs/>
        </w:rPr>
      </w:pPr>
    </w:p>
    <w:p w:rsidRPr="000C6F22" w:rsidR="00E35C25" w:rsidP="000C6F22" w:rsidRDefault="00A849F5" w14:paraId="64AB4EAD" w14:textId="3F084605">
      <w:pPr>
        <w:rPr>
          <w:rFonts w:cs="Times New Roman" w:asciiTheme="minorHAnsi" w:hAnsiTheme="minorHAnsi"/>
        </w:rPr>
      </w:pPr>
      <w:r>
        <w:rPr>
          <w:rFonts w:cs="Times New Roman" w:asciiTheme="minorHAnsi" w:hAnsiTheme="minorHAnsi"/>
        </w:rPr>
        <w:t xml:space="preserve">The respondent and nonrespondent follow-up questionnaires are </w:t>
      </w:r>
      <w:r w:rsidR="00CE047B">
        <w:rPr>
          <w:rFonts w:cs="Times New Roman" w:asciiTheme="minorHAnsi" w:hAnsiTheme="minorHAnsi"/>
        </w:rPr>
        <w:t xml:space="preserve">each </w:t>
      </w:r>
      <w:r>
        <w:rPr>
          <w:rFonts w:cs="Times New Roman" w:asciiTheme="minorHAnsi" w:hAnsiTheme="minorHAnsi"/>
        </w:rPr>
        <w:t xml:space="preserve">budgeted for 10 minutes per response. The respondent questionnaire will be administered to all adult study participants (ages 18+) who completed the household interviews and the MEC exam visit in the 2021-2022 NHANES cycle. The nonrespondent questionnaire will be administered to all adult study participants (ages 18+) who only completed the household interviews in the 2021-2022 cycle. </w:t>
      </w:r>
      <w:r w:rsidR="00AD553B">
        <w:rPr>
          <w:rFonts w:cs="Times New Roman" w:asciiTheme="minorHAnsi" w:hAnsiTheme="minorHAnsi"/>
        </w:rPr>
        <w:t>Both</w:t>
      </w:r>
      <w:r w:rsidR="00306209">
        <w:rPr>
          <w:rFonts w:cs="Times New Roman" w:asciiTheme="minorHAnsi" w:hAnsiTheme="minorHAnsi"/>
        </w:rPr>
        <w:t xml:space="preserve"> </w:t>
      </w:r>
      <w:r w:rsidR="00BB45DD">
        <w:rPr>
          <w:rFonts w:cs="Times New Roman" w:asciiTheme="minorHAnsi" w:hAnsiTheme="minorHAnsi"/>
        </w:rPr>
        <w:t>questionnaires</w:t>
      </w:r>
      <w:r w:rsidR="00306209">
        <w:rPr>
          <w:rFonts w:cs="Times New Roman" w:asciiTheme="minorHAnsi" w:hAnsiTheme="minorHAnsi"/>
        </w:rPr>
        <w:t xml:space="preserve"> will be administered</w:t>
      </w:r>
      <w:r w:rsidR="00661E9A">
        <w:rPr>
          <w:rFonts w:cs="Times New Roman" w:asciiTheme="minorHAnsi" w:hAnsiTheme="minorHAnsi"/>
        </w:rPr>
        <w:t xml:space="preserve"> </w:t>
      </w:r>
      <w:r w:rsidR="00AD553B">
        <w:rPr>
          <w:rFonts w:cs="Times New Roman" w:asciiTheme="minorHAnsi" w:hAnsiTheme="minorHAnsi"/>
        </w:rPr>
        <w:t>for the full 2-year</w:t>
      </w:r>
      <w:r w:rsidR="00025F11">
        <w:rPr>
          <w:rFonts w:cs="Times New Roman" w:asciiTheme="minorHAnsi" w:hAnsiTheme="minorHAnsi"/>
        </w:rPr>
        <w:t xml:space="preserve"> cycle</w:t>
      </w:r>
      <w:r w:rsidR="00774AE8">
        <w:rPr>
          <w:rFonts w:cs="Times New Roman" w:asciiTheme="minorHAnsi" w:hAnsiTheme="minorHAnsi"/>
        </w:rPr>
        <w:t xml:space="preserve"> (i.e., 10,000 total </w:t>
      </w:r>
      <w:r w:rsidR="00F445A2">
        <w:rPr>
          <w:rFonts w:cs="Times New Roman" w:asciiTheme="minorHAnsi" w:hAnsiTheme="minorHAnsi"/>
        </w:rPr>
        <w:t>p</w:t>
      </w:r>
      <w:r w:rsidR="00A91EB8">
        <w:rPr>
          <w:rFonts w:cs="Times New Roman" w:asciiTheme="minorHAnsi" w:hAnsiTheme="minorHAnsi"/>
        </w:rPr>
        <w:t>articipants</w:t>
      </w:r>
      <w:r w:rsidR="00774AE8">
        <w:rPr>
          <w:rFonts w:cs="Times New Roman" w:asciiTheme="minorHAnsi" w:hAnsiTheme="minorHAnsi"/>
        </w:rPr>
        <w:t>)</w:t>
      </w:r>
      <w:r w:rsidR="00025F11">
        <w:rPr>
          <w:rFonts w:cs="Times New Roman" w:asciiTheme="minorHAnsi" w:hAnsiTheme="minorHAnsi"/>
        </w:rPr>
        <w:t xml:space="preserve">. </w:t>
      </w:r>
      <w:r w:rsidR="00FE7790">
        <w:rPr>
          <w:rFonts w:cs="Times New Roman" w:asciiTheme="minorHAnsi" w:hAnsiTheme="minorHAnsi"/>
        </w:rPr>
        <w:t>T</w:t>
      </w:r>
      <w:r w:rsidR="00C76B43">
        <w:rPr>
          <w:rFonts w:cs="Times New Roman" w:asciiTheme="minorHAnsi" w:hAnsiTheme="minorHAnsi"/>
        </w:rPr>
        <w:t>he</w:t>
      </w:r>
      <w:r>
        <w:rPr>
          <w:rFonts w:cs="Times New Roman" w:asciiTheme="minorHAnsi" w:hAnsiTheme="minorHAnsi"/>
        </w:rPr>
        <w:t xml:space="preserve"> </w:t>
      </w:r>
      <w:r w:rsidR="003655EC">
        <w:rPr>
          <w:rFonts w:cs="Times New Roman" w:asciiTheme="minorHAnsi" w:hAnsiTheme="minorHAnsi"/>
        </w:rPr>
        <w:t>annualized</w:t>
      </w:r>
      <w:r>
        <w:rPr>
          <w:rFonts w:cs="Times New Roman" w:asciiTheme="minorHAnsi" w:hAnsiTheme="minorHAnsi"/>
        </w:rPr>
        <w:t xml:space="preserve"> burden is </w:t>
      </w:r>
      <w:r w:rsidR="00227EEE">
        <w:rPr>
          <w:rFonts w:cs="Times New Roman" w:asciiTheme="minorHAnsi" w:hAnsiTheme="minorHAnsi"/>
        </w:rPr>
        <w:t xml:space="preserve">833 </w:t>
      </w:r>
      <w:r>
        <w:rPr>
          <w:rFonts w:cs="Times New Roman" w:asciiTheme="minorHAnsi" w:hAnsiTheme="minorHAnsi"/>
        </w:rPr>
        <w:t>hours (</w:t>
      </w:r>
      <w:r w:rsidR="00D663EA">
        <w:rPr>
          <w:rFonts w:cs="Times New Roman" w:asciiTheme="minorHAnsi" w:hAnsiTheme="minorHAnsi"/>
        </w:rPr>
        <w:t>5</w:t>
      </w:r>
      <w:r>
        <w:rPr>
          <w:rFonts w:cs="Times New Roman" w:asciiTheme="minorHAnsi" w:hAnsiTheme="minorHAnsi"/>
        </w:rPr>
        <w:t xml:space="preserve">,000 respondents * 10/60 hours = </w:t>
      </w:r>
      <w:r w:rsidR="00D663EA">
        <w:rPr>
          <w:rFonts w:cs="Times New Roman" w:asciiTheme="minorHAnsi" w:hAnsiTheme="minorHAnsi"/>
        </w:rPr>
        <w:t>833</w:t>
      </w:r>
      <w:r>
        <w:rPr>
          <w:rFonts w:cs="Times New Roman" w:asciiTheme="minorHAnsi" w:hAnsiTheme="minorHAnsi"/>
        </w:rPr>
        <w:t xml:space="preserve"> hours) (</w:t>
      </w:r>
      <w:r w:rsidRPr="00A849F5">
        <w:rPr>
          <w:rFonts w:cs="Times New Roman" w:asciiTheme="minorHAnsi" w:hAnsiTheme="minorHAnsi"/>
          <w:b/>
          <w:bCs/>
        </w:rPr>
        <w:t>see Table 3</w:t>
      </w:r>
      <w:r>
        <w:rPr>
          <w:rFonts w:cs="Times New Roman" w:asciiTheme="minorHAnsi" w:hAnsiTheme="minorHAnsi"/>
        </w:rPr>
        <w:t xml:space="preserve">). This </w:t>
      </w:r>
      <w:r w:rsidR="00973677">
        <w:rPr>
          <w:rFonts w:cs="Times New Roman" w:asciiTheme="minorHAnsi" w:hAnsiTheme="minorHAnsi"/>
        </w:rPr>
        <w:t xml:space="preserve">burden </w:t>
      </w:r>
      <w:r>
        <w:rPr>
          <w:rFonts w:cs="Times New Roman" w:asciiTheme="minorHAnsi" w:hAnsiTheme="minorHAnsi"/>
        </w:rPr>
        <w:t>time was already budgeted and approved in line 6 (“Developmental Studies &amp; Special Projects</w:t>
      </w:r>
      <w:r w:rsidR="00CE047B">
        <w:rPr>
          <w:rFonts w:cs="Times New Roman" w:asciiTheme="minorHAnsi" w:hAnsiTheme="minorHAnsi"/>
        </w:rPr>
        <w:t>”</w:t>
      </w:r>
      <w:r>
        <w:rPr>
          <w:rFonts w:cs="Times New Roman" w:asciiTheme="minorHAnsi" w:hAnsiTheme="minorHAnsi"/>
        </w:rPr>
        <w:t>) of the original submission</w:t>
      </w:r>
      <w:r w:rsidR="00161F7A">
        <w:rPr>
          <w:rFonts w:cs="Times New Roman" w:asciiTheme="minorHAnsi" w:hAnsiTheme="minorHAnsi"/>
        </w:rPr>
        <w:t xml:space="preserve"> (</w:t>
      </w:r>
      <w:r w:rsidRPr="00161F7A" w:rsidR="00161F7A">
        <w:rPr>
          <w:rFonts w:cs="Times New Roman" w:asciiTheme="minorHAnsi" w:hAnsiTheme="minorHAnsi"/>
          <w:b/>
          <w:bCs/>
        </w:rPr>
        <w:t>see Table 4</w:t>
      </w:r>
      <w:r w:rsidR="00161F7A">
        <w:rPr>
          <w:rFonts w:cs="Times New Roman" w:asciiTheme="minorHAnsi" w:hAnsiTheme="minorHAnsi"/>
        </w:rPr>
        <w:t>)</w:t>
      </w:r>
      <w:r>
        <w:rPr>
          <w:rFonts w:cs="Times New Roman" w:asciiTheme="minorHAnsi" w:hAnsiTheme="minorHAnsi"/>
        </w:rPr>
        <w:t>. No additional burden is sought.</w:t>
      </w:r>
    </w:p>
    <w:p w:rsidRPr="00BE0600" w:rsidR="00462145" w:rsidP="00462145" w:rsidRDefault="001E3B77" w14:paraId="03CFE12C" w14:textId="37067D08">
      <w:pPr>
        <w:widowControl/>
        <w:autoSpaceDE/>
        <w:autoSpaceDN/>
        <w:adjustRightInd/>
        <w:rPr>
          <w:rFonts w:cs="Times New Roman" w:asciiTheme="minorHAnsi" w:hAnsiTheme="minorHAnsi"/>
          <w:b/>
          <w:bCs/>
        </w:rPr>
      </w:pPr>
      <w:r w:rsidRPr="00BE0600">
        <w:rPr>
          <w:rFonts w:cs="Times New Roman" w:asciiTheme="minorHAnsi" w:hAnsiTheme="minorHAnsi"/>
          <w:b/>
          <w:bCs/>
        </w:rPr>
        <w:lastRenderedPageBreak/>
        <w:t>T</w:t>
      </w:r>
      <w:r w:rsidRPr="00BE0600" w:rsidR="007F6245">
        <w:rPr>
          <w:rFonts w:cs="Times New Roman" w:asciiTheme="minorHAnsi" w:hAnsiTheme="minorHAnsi"/>
          <w:b/>
          <w:bCs/>
        </w:rPr>
        <w:t xml:space="preserve">able </w:t>
      </w:r>
      <w:r w:rsidRPr="00BE0600" w:rsidR="00AA02C1">
        <w:rPr>
          <w:rFonts w:cs="Times New Roman" w:asciiTheme="minorHAnsi" w:hAnsiTheme="minorHAnsi"/>
          <w:b/>
          <w:bCs/>
        </w:rPr>
        <w:t>3</w:t>
      </w:r>
      <w:r w:rsidRPr="00BE0600" w:rsidR="007F6245">
        <w:rPr>
          <w:rFonts w:cs="Times New Roman" w:asciiTheme="minorHAnsi" w:hAnsiTheme="minorHAnsi"/>
          <w:b/>
          <w:bCs/>
        </w:rPr>
        <w:t xml:space="preserve">. </w:t>
      </w:r>
      <w:r w:rsidRPr="00BE0600" w:rsidR="00462145">
        <w:rPr>
          <w:rFonts w:cs="Times New Roman" w:asciiTheme="minorHAnsi" w:hAnsiTheme="minorHAnsi"/>
          <w:b/>
          <w:bCs/>
        </w:rPr>
        <w:t>A</w:t>
      </w:r>
      <w:r w:rsidRPr="00BE0600" w:rsidR="007F6245">
        <w:rPr>
          <w:rFonts w:cs="Times New Roman" w:asciiTheme="minorHAnsi" w:hAnsiTheme="minorHAnsi"/>
          <w:b/>
          <w:bCs/>
        </w:rPr>
        <w:t>nnualized</w:t>
      </w:r>
      <w:r w:rsidRPr="00BE0600" w:rsidR="00462145">
        <w:rPr>
          <w:rFonts w:cs="Times New Roman" w:asciiTheme="minorHAnsi" w:hAnsiTheme="minorHAnsi"/>
          <w:b/>
          <w:bCs/>
        </w:rPr>
        <w:t xml:space="preserve"> B</w:t>
      </w:r>
      <w:r w:rsidRPr="00BE0600" w:rsidR="007F6245">
        <w:rPr>
          <w:rFonts w:cs="Times New Roman" w:asciiTheme="minorHAnsi" w:hAnsiTheme="minorHAnsi"/>
          <w:b/>
          <w:bCs/>
        </w:rPr>
        <w:t>urden</w:t>
      </w:r>
      <w:r w:rsidRPr="00BE0600" w:rsidR="00462145">
        <w:rPr>
          <w:rFonts w:cs="Times New Roman" w:asciiTheme="minorHAnsi" w:hAnsiTheme="minorHAnsi"/>
          <w:b/>
          <w:bCs/>
        </w:rPr>
        <w:t xml:space="preserve"> H</w:t>
      </w:r>
      <w:r w:rsidRPr="00BE0600" w:rsidR="007F6245">
        <w:rPr>
          <w:rFonts w:cs="Times New Roman" w:asciiTheme="minorHAnsi" w:hAnsiTheme="minorHAnsi"/>
          <w:b/>
          <w:bCs/>
        </w:rPr>
        <w:t>ours</w:t>
      </w:r>
      <w:r w:rsidRPr="00BE0600" w:rsidR="00EE5AB3">
        <w:rPr>
          <w:rFonts w:cs="Times New Roman" w:asciiTheme="minorHAnsi" w:hAnsiTheme="minorHAnsi"/>
          <w:b/>
          <w:bCs/>
        </w:rPr>
        <w:t xml:space="preserve"> for </w:t>
      </w:r>
      <w:r w:rsidR="0004519E">
        <w:rPr>
          <w:rFonts w:cs="Times New Roman" w:asciiTheme="minorHAnsi" w:hAnsiTheme="minorHAnsi"/>
          <w:b/>
          <w:bCs/>
        </w:rPr>
        <w:t xml:space="preserve">MEC </w:t>
      </w:r>
      <w:r w:rsidR="00CE047B">
        <w:rPr>
          <w:rFonts w:cs="Times New Roman" w:asciiTheme="minorHAnsi" w:hAnsiTheme="minorHAnsi"/>
          <w:b/>
          <w:bCs/>
        </w:rPr>
        <w:t>Respondent and Nonrespondent Follow-up Questionnaires</w:t>
      </w:r>
    </w:p>
    <w:tbl>
      <w:tblPr>
        <w:tblW w:w="9720" w:type="dxa"/>
        <w:tblInd w:w="-5" w:type="dxa"/>
        <w:tblLayout w:type="fixed"/>
        <w:tblCellMar>
          <w:left w:w="120" w:type="dxa"/>
          <w:right w:w="120" w:type="dxa"/>
        </w:tblCellMar>
        <w:tblLook w:val="04A0" w:firstRow="1" w:lastRow="0" w:firstColumn="1" w:lastColumn="0" w:noHBand="0" w:noVBand="1"/>
      </w:tblPr>
      <w:tblGrid>
        <w:gridCol w:w="1620"/>
        <w:gridCol w:w="2160"/>
        <w:gridCol w:w="1530"/>
        <w:gridCol w:w="1710"/>
        <w:gridCol w:w="1350"/>
        <w:gridCol w:w="1350"/>
      </w:tblGrid>
      <w:tr w:rsidRPr="00BE0600" w:rsidR="0005599E" w:rsidTr="001C5696" w14:paraId="3441CED9" w14:textId="77777777">
        <w:trPr>
          <w:trHeight w:val="1097"/>
        </w:trPr>
        <w:tc>
          <w:tcPr>
            <w:tcW w:w="1620" w:type="dxa"/>
            <w:tcBorders>
              <w:top w:val="single" w:color="auto" w:sz="4" w:space="0"/>
              <w:left w:val="single" w:color="auto" w:sz="4" w:space="0"/>
              <w:bottom w:val="single" w:color="auto" w:sz="4" w:space="0"/>
              <w:right w:val="single" w:color="auto" w:sz="4" w:space="0"/>
            </w:tcBorders>
            <w:vAlign w:val="center"/>
            <w:hideMark/>
          </w:tcPr>
          <w:p w:rsidRPr="00BE0600" w:rsidR="00462145" w:rsidP="006262AA" w:rsidRDefault="00462145" w14:paraId="58FDFE0B" w14:textId="77777777">
            <w:pPr>
              <w:rPr>
                <w:rFonts w:cs="Times New Roman" w:asciiTheme="minorHAnsi" w:hAnsiTheme="minorHAnsi"/>
                <w:bCs/>
              </w:rPr>
            </w:pPr>
            <w:r w:rsidRPr="00BE0600">
              <w:rPr>
                <w:rFonts w:cs="Times New Roman" w:asciiTheme="minorHAnsi" w:hAnsiTheme="minorHAnsi"/>
                <w:bCs/>
              </w:rPr>
              <w:t>Type of Respondent</w:t>
            </w:r>
          </w:p>
        </w:tc>
        <w:tc>
          <w:tcPr>
            <w:tcW w:w="2160" w:type="dxa"/>
            <w:tcBorders>
              <w:top w:val="single" w:color="auto" w:sz="4" w:space="0"/>
              <w:left w:val="single" w:color="auto" w:sz="4" w:space="0"/>
              <w:bottom w:val="single" w:color="auto" w:sz="4" w:space="0"/>
              <w:right w:val="single" w:color="auto" w:sz="4" w:space="0"/>
            </w:tcBorders>
            <w:vAlign w:val="center"/>
            <w:hideMark/>
          </w:tcPr>
          <w:p w:rsidRPr="00BE0600" w:rsidR="00462145" w:rsidP="006262AA" w:rsidRDefault="00462145" w14:paraId="2307DA84" w14:textId="77777777">
            <w:pPr>
              <w:rPr>
                <w:rFonts w:cs="Times New Roman" w:asciiTheme="minorHAnsi" w:hAnsiTheme="minorHAnsi"/>
                <w:bCs/>
              </w:rPr>
            </w:pPr>
            <w:r w:rsidRPr="00BE0600">
              <w:rPr>
                <w:rFonts w:cs="Times New Roman" w:asciiTheme="minorHAnsi" w:hAnsiTheme="minorHAnsi"/>
                <w:bCs/>
              </w:rPr>
              <w:t>Form</w:t>
            </w:r>
          </w:p>
        </w:tc>
        <w:tc>
          <w:tcPr>
            <w:tcW w:w="1530" w:type="dxa"/>
            <w:tcBorders>
              <w:top w:val="single" w:color="auto" w:sz="4" w:space="0"/>
              <w:left w:val="single" w:color="auto" w:sz="4" w:space="0"/>
              <w:bottom w:val="single" w:color="auto" w:sz="4" w:space="0"/>
              <w:right w:val="single" w:color="000000" w:sz="8" w:space="0"/>
            </w:tcBorders>
            <w:vAlign w:val="center"/>
            <w:hideMark/>
          </w:tcPr>
          <w:p w:rsidRPr="00BE0600" w:rsidR="00462145" w:rsidP="006262AA" w:rsidRDefault="00462145" w14:paraId="7F56D0B7" w14:textId="77777777">
            <w:pPr>
              <w:rPr>
                <w:rFonts w:cs="Times New Roman" w:asciiTheme="minorHAnsi" w:hAnsiTheme="minorHAnsi"/>
                <w:bCs/>
              </w:rPr>
            </w:pPr>
            <w:r w:rsidRPr="00BE0600">
              <w:rPr>
                <w:rFonts w:cs="Times New Roman" w:asciiTheme="minorHAnsi" w:hAnsiTheme="minorHAnsi"/>
                <w:bCs/>
              </w:rPr>
              <w:t>Number of</w:t>
            </w:r>
          </w:p>
          <w:p w:rsidRPr="00BE0600" w:rsidR="00462145" w:rsidP="006262AA" w:rsidRDefault="00462145" w14:paraId="409209B8" w14:textId="77777777">
            <w:pPr>
              <w:rPr>
                <w:rFonts w:cs="Times New Roman" w:asciiTheme="minorHAnsi" w:hAnsiTheme="minorHAnsi"/>
                <w:bCs/>
              </w:rPr>
            </w:pPr>
            <w:r w:rsidRPr="00BE0600">
              <w:rPr>
                <w:rFonts w:cs="Times New Roman" w:asciiTheme="minorHAnsi" w:hAnsiTheme="minorHAnsi"/>
                <w:bCs/>
              </w:rPr>
              <w:t>Respondents</w:t>
            </w:r>
          </w:p>
        </w:tc>
        <w:tc>
          <w:tcPr>
            <w:tcW w:w="1710" w:type="dxa"/>
            <w:tcBorders>
              <w:top w:val="single" w:color="auto" w:sz="4" w:space="0"/>
              <w:left w:val="single" w:color="000000" w:sz="8" w:space="0"/>
              <w:bottom w:val="single" w:color="auto" w:sz="4" w:space="0"/>
              <w:right w:val="single" w:color="000000" w:sz="8" w:space="0"/>
            </w:tcBorders>
            <w:vAlign w:val="center"/>
            <w:hideMark/>
          </w:tcPr>
          <w:p w:rsidRPr="00BE0600" w:rsidR="00462145" w:rsidP="006262AA" w:rsidRDefault="00462145" w14:paraId="3D8BC0D2" w14:textId="77777777">
            <w:pPr>
              <w:rPr>
                <w:rFonts w:cs="Times New Roman" w:asciiTheme="minorHAnsi" w:hAnsiTheme="minorHAnsi"/>
                <w:bCs/>
              </w:rPr>
            </w:pPr>
            <w:r w:rsidRPr="00BE0600">
              <w:rPr>
                <w:rFonts w:cs="Times New Roman" w:asciiTheme="minorHAnsi" w:hAnsiTheme="minorHAnsi"/>
                <w:bCs/>
              </w:rPr>
              <w:t>Number of</w:t>
            </w:r>
          </w:p>
          <w:p w:rsidRPr="00BE0600" w:rsidR="00462145" w:rsidP="006262AA" w:rsidRDefault="00462145" w14:paraId="3570FE20" w14:textId="77777777">
            <w:pPr>
              <w:rPr>
                <w:rFonts w:cs="Times New Roman" w:asciiTheme="minorHAnsi" w:hAnsiTheme="minorHAnsi"/>
                <w:bCs/>
              </w:rPr>
            </w:pPr>
            <w:r w:rsidRPr="00BE0600">
              <w:rPr>
                <w:rFonts w:cs="Times New Roman" w:asciiTheme="minorHAnsi" w:hAnsiTheme="minorHAnsi"/>
                <w:bCs/>
              </w:rPr>
              <w:t>Responses per</w:t>
            </w:r>
          </w:p>
          <w:p w:rsidRPr="00BE0600" w:rsidR="00462145" w:rsidP="006262AA" w:rsidRDefault="00543EDA" w14:paraId="4AD1D031" w14:textId="4A0CF2DE">
            <w:pPr>
              <w:rPr>
                <w:rFonts w:cs="Times New Roman" w:asciiTheme="minorHAnsi" w:hAnsiTheme="minorHAnsi"/>
                <w:bCs/>
              </w:rPr>
            </w:pPr>
            <w:r w:rsidRPr="00BE0600">
              <w:rPr>
                <w:rFonts w:cs="Times New Roman" w:asciiTheme="minorHAnsi" w:hAnsiTheme="minorHAnsi"/>
                <w:bCs/>
              </w:rPr>
              <w:t>R</w:t>
            </w:r>
            <w:r w:rsidRPr="00BE0600" w:rsidR="00462145">
              <w:rPr>
                <w:rFonts w:cs="Times New Roman" w:asciiTheme="minorHAnsi" w:hAnsiTheme="minorHAnsi"/>
                <w:bCs/>
              </w:rPr>
              <w:t>espondent</w:t>
            </w:r>
          </w:p>
        </w:tc>
        <w:tc>
          <w:tcPr>
            <w:tcW w:w="1350" w:type="dxa"/>
            <w:tcBorders>
              <w:top w:val="single" w:color="auto" w:sz="4" w:space="0"/>
              <w:left w:val="single" w:color="000000" w:sz="8" w:space="0"/>
              <w:bottom w:val="single" w:color="auto" w:sz="4" w:space="0"/>
              <w:right w:val="single" w:color="000000" w:sz="8" w:space="0"/>
            </w:tcBorders>
            <w:vAlign w:val="center"/>
            <w:hideMark/>
          </w:tcPr>
          <w:p w:rsidRPr="00BE0600" w:rsidR="00462145" w:rsidP="006262AA" w:rsidRDefault="00462145" w14:paraId="6E2CB4F9" w14:textId="77777777">
            <w:pPr>
              <w:rPr>
                <w:rFonts w:cs="Times New Roman" w:asciiTheme="minorHAnsi" w:hAnsiTheme="minorHAnsi"/>
                <w:bCs/>
              </w:rPr>
            </w:pPr>
            <w:r w:rsidRPr="00BE0600">
              <w:rPr>
                <w:rFonts w:cs="Times New Roman" w:asciiTheme="minorHAnsi" w:hAnsiTheme="minorHAnsi"/>
                <w:bCs/>
              </w:rPr>
              <w:t>Average Burden per Response</w:t>
            </w:r>
          </w:p>
          <w:p w:rsidRPr="00BE0600" w:rsidR="00462145" w:rsidP="006262AA" w:rsidRDefault="00462145" w14:paraId="4427B81B" w14:textId="77777777">
            <w:pPr>
              <w:rPr>
                <w:rFonts w:cs="Times New Roman" w:asciiTheme="minorHAnsi" w:hAnsiTheme="minorHAnsi"/>
                <w:bCs/>
              </w:rPr>
            </w:pPr>
            <w:r w:rsidRPr="00BE0600">
              <w:rPr>
                <w:rFonts w:cs="Times New Roman" w:asciiTheme="minorHAnsi" w:hAnsiTheme="minorHAnsi"/>
                <w:bCs/>
              </w:rPr>
              <w:t>(in hours)</w:t>
            </w:r>
          </w:p>
        </w:tc>
        <w:tc>
          <w:tcPr>
            <w:tcW w:w="1350" w:type="dxa"/>
            <w:tcBorders>
              <w:top w:val="single" w:color="auto" w:sz="4" w:space="0"/>
              <w:left w:val="single" w:color="000000" w:sz="8" w:space="0"/>
              <w:bottom w:val="single" w:color="auto" w:sz="4" w:space="0"/>
              <w:right w:val="single" w:color="auto" w:sz="4" w:space="0"/>
            </w:tcBorders>
            <w:vAlign w:val="center"/>
            <w:hideMark/>
          </w:tcPr>
          <w:p w:rsidRPr="00BE0600" w:rsidR="00462145" w:rsidP="006262AA" w:rsidRDefault="00462145" w14:paraId="42CEC331" w14:textId="77777777">
            <w:pPr>
              <w:rPr>
                <w:rFonts w:cs="Times New Roman" w:asciiTheme="minorHAnsi" w:hAnsiTheme="minorHAnsi"/>
                <w:bCs/>
              </w:rPr>
            </w:pPr>
            <w:r w:rsidRPr="00BE0600">
              <w:rPr>
                <w:rFonts w:cs="Times New Roman" w:asciiTheme="minorHAnsi" w:hAnsiTheme="minorHAnsi"/>
                <w:bCs/>
              </w:rPr>
              <w:t>Total</w:t>
            </w:r>
          </w:p>
          <w:p w:rsidRPr="00BE0600" w:rsidR="00462145" w:rsidP="006262AA" w:rsidRDefault="00462145" w14:paraId="11231169" w14:textId="77777777">
            <w:pPr>
              <w:rPr>
                <w:rFonts w:cs="Times New Roman" w:asciiTheme="minorHAnsi" w:hAnsiTheme="minorHAnsi"/>
                <w:bCs/>
              </w:rPr>
            </w:pPr>
            <w:r w:rsidRPr="00BE0600">
              <w:rPr>
                <w:rFonts w:cs="Times New Roman" w:asciiTheme="minorHAnsi" w:hAnsiTheme="minorHAnsi"/>
                <w:bCs/>
              </w:rPr>
              <w:t>Burden</w:t>
            </w:r>
          </w:p>
          <w:p w:rsidRPr="00BE0600" w:rsidR="00462145" w:rsidP="006262AA" w:rsidRDefault="00543EDA" w14:paraId="095F9E1F" w14:textId="32D409E5">
            <w:pPr>
              <w:rPr>
                <w:rFonts w:cs="Times New Roman" w:asciiTheme="minorHAnsi" w:hAnsiTheme="minorHAnsi"/>
                <w:bCs/>
              </w:rPr>
            </w:pPr>
            <w:r w:rsidRPr="00BE0600">
              <w:rPr>
                <w:rFonts w:cs="Times New Roman" w:asciiTheme="minorHAnsi" w:hAnsiTheme="minorHAnsi"/>
                <w:bCs/>
              </w:rPr>
              <w:t>(in hours)</w:t>
            </w:r>
          </w:p>
        </w:tc>
      </w:tr>
      <w:tr w:rsidRPr="00BE0600" w:rsidR="0005599E" w:rsidTr="001C5696" w14:paraId="69446891" w14:textId="77777777">
        <w:trPr>
          <w:trHeight w:val="1088"/>
        </w:trPr>
        <w:tc>
          <w:tcPr>
            <w:tcW w:w="1620" w:type="dxa"/>
            <w:tcBorders>
              <w:top w:val="single" w:color="auto" w:sz="4" w:space="0"/>
              <w:left w:val="single" w:color="auto" w:sz="4" w:space="0"/>
              <w:bottom w:val="single" w:color="auto" w:sz="4" w:space="0"/>
              <w:right w:val="single" w:color="auto" w:sz="4" w:space="0"/>
            </w:tcBorders>
            <w:vAlign w:val="center"/>
          </w:tcPr>
          <w:p w:rsidRPr="00BE0600" w:rsidR="00462145" w:rsidP="00A779AE" w:rsidRDefault="00A779AE" w14:paraId="58CEC4DF" w14:textId="2D3940CC">
            <w:pPr>
              <w:rPr>
                <w:rFonts w:cs="Times New Roman" w:asciiTheme="minorHAnsi" w:hAnsiTheme="minorHAnsi"/>
              </w:rPr>
            </w:pPr>
            <w:r w:rsidRPr="00BE0600">
              <w:rPr>
                <w:rFonts w:cs="Times New Roman" w:asciiTheme="minorHAnsi" w:hAnsiTheme="minorHAnsi"/>
              </w:rPr>
              <w:t>Individuals in households</w:t>
            </w:r>
          </w:p>
        </w:tc>
        <w:tc>
          <w:tcPr>
            <w:tcW w:w="2160" w:type="dxa"/>
            <w:tcBorders>
              <w:top w:val="single" w:color="auto" w:sz="4" w:space="0"/>
              <w:left w:val="single" w:color="auto" w:sz="4" w:space="0"/>
              <w:bottom w:val="single" w:color="auto" w:sz="4" w:space="0"/>
              <w:right w:val="single" w:color="auto" w:sz="4" w:space="0"/>
            </w:tcBorders>
            <w:vAlign w:val="center"/>
          </w:tcPr>
          <w:p w:rsidRPr="00BE0600" w:rsidR="00A779AE" w:rsidP="00A779AE" w:rsidRDefault="0004519E" w14:paraId="0F6383B8" w14:textId="08C1A24E">
            <w:pPr>
              <w:rPr>
                <w:rFonts w:cs="Times New Roman" w:asciiTheme="minorHAnsi" w:hAnsiTheme="minorHAnsi"/>
              </w:rPr>
            </w:pPr>
            <w:r>
              <w:rPr>
                <w:rFonts w:cs="Times New Roman" w:asciiTheme="minorHAnsi" w:hAnsiTheme="minorHAnsi"/>
              </w:rPr>
              <w:t xml:space="preserve">MEC </w:t>
            </w:r>
            <w:r w:rsidR="00161F7A">
              <w:rPr>
                <w:rFonts w:cs="Times New Roman" w:asciiTheme="minorHAnsi" w:hAnsiTheme="minorHAnsi"/>
              </w:rPr>
              <w:t>Respondent &amp; Nonrespondent Follow-up Questionnaire</w:t>
            </w:r>
            <w:r w:rsidR="00973677">
              <w:rPr>
                <w:rFonts w:cs="Times New Roman" w:asciiTheme="minorHAnsi" w:hAnsiTheme="minorHAnsi"/>
              </w:rPr>
              <w:t>s</w:t>
            </w:r>
          </w:p>
        </w:tc>
        <w:tc>
          <w:tcPr>
            <w:tcW w:w="1530" w:type="dxa"/>
            <w:tcBorders>
              <w:top w:val="single" w:color="auto" w:sz="4" w:space="0"/>
              <w:left w:val="single" w:color="auto" w:sz="4" w:space="0"/>
              <w:bottom w:val="single" w:color="auto" w:sz="4" w:space="0"/>
              <w:right w:val="single" w:color="000000" w:sz="8" w:space="0"/>
            </w:tcBorders>
            <w:vAlign w:val="center"/>
          </w:tcPr>
          <w:p w:rsidRPr="00BE0600" w:rsidR="00462145" w:rsidP="00A779AE" w:rsidRDefault="00187ADB" w14:paraId="3DAF5C2F" w14:textId="4F4993EE">
            <w:pPr>
              <w:rPr>
                <w:rFonts w:cs="Times New Roman" w:asciiTheme="minorHAnsi" w:hAnsiTheme="minorHAnsi"/>
              </w:rPr>
            </w:pPr>
            <w:r>
              <w:rPr>
                <w:rFonts w:cs="Times New Roman" w:asciiTheme="minorHAnsi" w:hAnsiTheme="minorHAnsi"/>
              </w:rPr>
              <w:t>5,000</w:t>
            </w:r>
          </w:p>
        </w:tc>
        <w:tc>
          <w:tcPr>
            <w:tcW w:w="1710" w:type="dxa"/>
            <w:tcBorders>
              <w:top w:val="single" w:color="auto" w:sz="4" w:space="0"/>
              <w:left w:val="single" w:color="000000" w:sz="8" w:space="0"/>
              <w:bottom w:val="single" w:color="auto" w:sz="4" w:space="0"/>
              <w:right w:val="single" w:color="000000" w:sz="8" w:space="0"/>
            </w:tcBorders>
            <w:vAlign w:val="center"/>
          </w:tcPr>
          <w:p w:rsidRPr="00BE0600" w:rsidR="00462145" w:rsidP="00A779AE" w:rsidRDefault="00C60A83" w14:paraId="6F896AEB" w14:textId="745F7960">
            <w:pPr>
              <w:rPr>
                <w:rFonts w:cs="Times New Roman" w:asciiTheme="minorHAnsi" w:hAnsiTheme="minorHAnsi"/>
              </w:rPr>
            </w:pPr>
            <w:r w:rsidRPr="00BE0600">
              <w:rPr>
                <w:rFonts w:cs="Times New Roman" w:asciiTheme="minorHAnsi" w:hAnsiTheme="minorHAnsi"/>
              </w:rPr>
              <w:t>1</w:t>
            </w:r>
          </w:p>
        </w:tc>
        <w:tc>
          <w:tcPr>
            <w:tcW w:w="1350" w:type="dxa"/>
            <w:tcBorders>
              <w:top w:val="single" w:color="auto" w:sz="4" w:space="0"/>
              <w:left w:val="single" w:color="000000" w:sz="8" w:space="0"/>
              <w:bottom w:val="single" w:color="auto" w:sz="4" w:space="0"/>
              <w:right w:val="single" w:color="000000" w:sz="8" w:space="0"/>
            </w:tcBorders>
            <w:vAlign w:val="center"/>
          </w:tcPr>
          <w:p w:rsidRPr="00BE0600" w:rsidR="00462145" w:rsidP="00A779AE" w:rsidRDefault="00A779AE" w14:paraId="3D566C69" w14:textId="4D1813A5">
            <w:pPr>
              <w:rPr>
                <w:rFonts w:cs="Times New Roman" w:asciiTheme="minorHAnsi" w:hAnsiTheme="minorHAnsi"/>
              </w:rPr>
            </w:pPr>
            <w:r w:rsidRPr="00BE0600">
              <w:rPr>
                <w:rFonts w:cs="Times New Roman" w:asciiTheme="minorHAnsi" w:hAnsiTheme="minorHAnsi"/>
              </w:rPr>
              <w:t>1</w:t>
            </w:r>
            <w:r w:rsidR="00161F7A">
              <w:rPr>
                <w:rFonts w:cs="Times New Roman" w:asciiTheme="minorHAnsi" w:hAnsiTheme="minorHAnsi"/>
              </w:rPr>
              <w:t>0/60</w:t>
            </w:r>
          </w:p>
        </w:tc>
        <w:tc>
          <w:tcPr>
            <w:tcW w:w="1350" w:type="dxa"/>
            <w:tcBorders>
              <w:top w:val="single" w:color="auto" w:sz="4" w:space="0"/>
              <w:left w:val="single" w:color="000000" w:sz="8" w:space="0"/>
              <w:bottom w:val="single" w:color="auto" w:sz="4" w:space="0"/>
              <w:right w:val="single" w:color="auto" w:sz="4" w:space="0"/>
            </w:tcBorders>
            <w:vAlign w:val="center"/>
          </w:tcPr>
          <w:p w:rsidRPr="00BE0600" w:rsidR="00462145" w:rsidP="00A779AE" w:rsidRDefault="00B14C02" w14:paraId="3F0CCDEA" w14:textId="6F7630D0">
            <w:pPr>
              <w:rPr>
                <w:rFonts w:cs="Times New Roman" w:asciiTheme="minorHAnsi" w:hAnsiTheme="minorHAnsi"/>
              </w:rPr>
            </w:pPr>
            <w:r>
              <w:rPr>
                <w:rFonts w:cs="Times New Roman" w:asciiTheme="minorHAnsi" w:hAnsiTheme="minorHAnsi"/>
              </w:rPr>
              <w:t>833</w:t>
            </w:r>
          </w:p>
        </w:tc>
      </w:tr>
      <w:tr w:rsidRPr="00BE0600" w:rsidR="00B1630F" w:rsidTr="001C5696" w14:paraId="0B2C1546" w14:textId="77777777">
        <w:trPr>
          <w:trHeight w:val="413"/>
        </w:trPr>
        <w:tc>
          <w:tcPr>
            <w:tcW w:w="1620" w:type="dxa"/>
            <w:tcBorders>
              <w:top w:val="single" w:color="auto" w:sz="4" w:space="0"/>
              <w:left w:val="single" w:color="auto" w:sz="4" w:space="0"/>
              <w:bottom w:val="single" w:color="auto" w:sz="4" w:space="0"/>
              <w:right w:val="single" w:color="auto" w:sz="4" w:space="0"/>
            </w:tcBorders>
            <w:vAlign w:val="center"/>
            <w:hideMark/>
          </w:tcPr>
          <w:p w:rsidRPr="00BE0600" w:rsidR="00B1630F" w:rsidP="006262AA" w:rsidRDefault="00B1630F" w14:paraId="50111331" w14:textId="77777777">
            <w:pPr>
              <w:rPr>
                <w:rFonts w:cs="Times New Roman" w:asciiTheme="minorHAnsi" w:hAnsiTheme="minorHAnsi"/>
                <w:bCs/>
              </w:rPr>
            </w:pPr>
            <w:r w:rsidRPr="00BE0600">
              <w:rPr>
                <w:rFonts w:cs="Times New Roman" w:asciiTheme="minorHAnsi" w:hAnsiTheme="minorHAnsi"/>
                <w:bCs/>
              </w:rPr>
              <w:t>Total</w:t>
            </w:r>
          </w:p>
        </w:tc>
        <w:tc>
          <w:tcPr>
            <w:tcW w:w="6750" w:type="dxa"/>
            <w:gridSpan w:val="4"/>
            <w:tcBorders>
              <w:top w:val="single" w:color="auto" w:sz="4" w:space="0"/>
              <w:left w:val="single" w:color="auto" w:sz="4" w:space="0"/>
              <w:bottom w:val="single" w:color="auto" w:sz="4" w:space="0"/>
              <w:right w:val="single" w:color="000000" w:sz="8" w:space="0"/>
            </w:tcBorders>
          </w:tcPr>
          <w:p w:rsidRPr="00BE0600" w:rsidR="00B1630F" w:rsidP="00B1630F" w:rsidRDefault="00B1630F" w14:paraId="3AEC2559" w14:textId="11AF66D0">
            <w:pPr>
              <w:jc w:val="center"/>
              <w:rPr>
                <w:rFonts w:cs="Times New Roman" w:asciiTheme="minorHAnsi" w:hAnsiTheme="minorHAnsi"/>
              </w:rPr>
            </w:pPr>
            <w:r>
              <w:rPr>
                <w:rFonts w:cs="Times New Roman" w:asciiTheme="minorHAnsi" w:hAnsiTheme="minorHAnsi"/>
              </w:rPr>
              <w:t>5,000</w:t>
            </w:r>
            <w:r w:rsidR="00D93ED6">
              <w:rPr>
                <w:rFonts w:cs="Times New Roman" w:asciiTheme="minorHAnsi" w:hAnsiTheme="minorHAnsi"/>
              </w:rPr>
              <w:t xml:space="preserve"> per year</w:t>
            </w:r>
            <w:r>
              <w:rPr>
                <w:rFonts w:cs="Times New Roman" w:asciiTheme="minorHAnsi" w:hAnsiTheme="minorHAnsi"/>
              </w:rPr>
              <w:t xml:space="preserve"> (10,000 total for 2021-2022 cycle)</w:t>
            </w:r>
          </w:p>
        </w:tc>
        <w:tc>
          <w:tcPr>
            <w:tcW w:w="1350" w:type="dxa"/>
            <w:tcBorders>
              <w:top w:val="single" w:color="auto" w:sz="4" w:space="0"/>
              <w:left w:val="single" w:color="000000" w:sz="8" w:space="0"/>
              <w:bottom w:val="single" w:color="auto" w:sz="4" w:space="0"/>
              <w:right w:val="single" w:color="auto" w:sz="4" w:space="0"/>
            </w:tcBorders>
            <w:vAlign w:val="center"/>
            <w:hideMark/>
          </w:tcPr>
          <w:p w:rsidRPr="00BE0600" w:rsidR="00B1630F" w:rsidP="003F6461" w:rsidRDefault="002347FC" w14:paraId="106198B5" w14:textId="1A60918E">
            <w:pPr>
              <w:rPr>
                <w:rFonts w:cs="Times New Roman" w:asciiTheme="minorHAnsi" w:hAnsiTheme="minorHAnsi"/>
                <w:bCs/>
              </w:rPr>
            </w:pPr>
            <w:r>
              <w:rPr>
                <w:rFonts w:cs="Times New Roman" w:asciiTheme="minorHAnsi" w:hAnsiTheme="minorHAnsi"/>
                <w:bCs/>
              </w:rPr>
              <w:t>833 (</w:t>
            </w:r>
            <w:r w:rsidR="00B1630F">
              <w:rPr>
                <w:rFonts w:cs="Times New Roman" w:asciiTheme="minorHAnsi" w:hAnsiTheme="minorHAnsi"/>
                <w:bCs/>
              </w:rPr>
              <w:t>1,667</w:t>
            </w:r>
            <w:r>
              <w:rPr>
                <w:rFonts w:cs="Times New Roman" w:asciiTheme="minorHAnsi" w:hAnsiTheme="minorHAnsi"/>
                <w:bCs/>
              </w:rPr>
              <w:t xml:space="preserve"> total cycle)</w:t>
            </w:r>
          </w:p>
        </w:tc>
      </w:tr>
    </w:tbl>
    <w:p w:rsidR="00E90826" w:rsidP="00462145" w:rsidRDefault="00E90826" w14:paraId="41F6F794" w14:textId="77777777">
      <w:pPr>
        <w:tabs>
          <w:tab w:val="left" w:pos="-1440"/>
        </w:tabs>
        <w:rPr>
          <w:rFonts w:cs="Times New Roman" w:asciiTheme="minorHAnsi" w:hAnsiTheme="minorHAnsi"/>
          <w:b/>
          <w:bCs/>
        </w:rPr>
      </w:pPr>
    </w:p>
    <w:p w:rsidR="00E90826" w:rsidP="00462145" w:rsidRDefault="00E90826" w14:paraId="7C1E9A2C" w14:textId="77777777">
      <w:pPr>
        <w:tabs>
          <w:tab w:val="left" w:pos="-1440"/>
        </w:tabs>
        <w:rPr>
          <w:rFonts w:cs="Times New Roman" w:asciiTheme="minorHAnsi" w:hAnsiTheme="minorHAnsi"/>
          <w:b/>
          <w:bCs/>
        </w:rPr>
      </w:pPr>
    </w:p>
    <w:p w:rsidRPr="00E90826" w:rsidR="00D91D2B" w:rsidP="00462145" w:rsidRDefault="00D91D2B" w14:paraId="1C74BF6E" w14:textId="19B118C6">
      <w:pPr>
        <w:tabs>
          <w:tab w:val="left" w:pos="-1440"/>
        </w:tabs>
        <w:rPr>
          <w:rFonts w:cs="Times New Roman" w:asciiTheme="minorHAnsi" w:hAnsiTheme="minorHAnsi"/>
          <w:b/>
          <w:bCs/>
        </w:rPr>
      </w:pPr>
    </w:p>
    <w:tbl>
      <w:tblPr>
        <w:tblpPr w:leftFromText="180" w:rightFromText="180" w:vertAnchor="page" w:horzAnchor="page" w:tblpX="821" w:tblpY="1801"/>
        <w:tblW w:w="10595" w:type="dxa"/>
        <w:tblLayout w:type="fixed"/>
        <w:tblCellMar>
          <w:left w:w="120" w:type="dxa"/>
          <w:right w:w="120" w:type="dxa"/>
        </w:tblCellMar>
        <w:tblLook w:val="04A0" w:firstRow="1" w:lastRow="0" w:firstColumn="1" w:lastColumn="0" w:noHBand="0" w:noVBand="1"/>
      </w:tblPr>
      <w:tblGrid>
        <w:gridCol w:w="1838"/>
        <w:gridCol w:w="1988"/>
        <w:gridCol w:w="1955"/>
        <w:gridCol w:w="1689"/>
        <w:gridCol w:w="1530"/>
        <w:gridCol w:w="1595"/>
      </w:tblGrid>
      <w:tr w:rsidRPr="00B12C08" w:rsidR="00822D74" w:rsidTr="00822D74" w14:paraId="09CDC052" w14:textId="77777777">
        <w:trPr>
          <w:trHeight w:val="980"/>
        </w:trPr>
        <w:tc>
          <w:tcPr>
            <w:tcW w:w="1838" w:type="dxa"/>
            <w:tcBorders>
              <w:top w:val="single" w:color="auto" w:sz="4" w:space="0"/>
              <w:left w:val="single" w:color="auto" w:sz="4" w:space="0"/>
              <w:bottom w:val="single" w:color="auto" w:sz="4" w:space="0"/>
              <w:right w:val="single" w:color="auto" w:sz="4" w:space="0"/>
            </w:tcBorders>
            <w:vAlign w:val="center"/>
          </w:tcPr>
          <w:p w:rsidRPr="00BE0600" w:rsidR="00822D74" w:rsidP="00822D74" w:rsidRDefault="00822D74" w14:paraId="1DB34C27"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p>
          <w:p w:rsidRPr="00BE0600" w:rsidR="00822D74" w:rsidP="00822D74" w:rsidRDefault="00822D74" w14:paraId="027D3A2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Type of Respondent</w:t>
            </w:r>
          </w:p>
          <w:p w:rsidRPr="00BE0600" w:rsidR="00822D74" w:rsidP="00822D74" w:rsidRDefault="00822D74" w14:paraId="192CB6AC"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p>
          <w:p w:rsidRPr="00BE0600" w:rsidR="00822D74" w:rsidP="00822D74" w:rsidRDefault="00822D74" w14:paraId="6368A96B"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p>
        </w:tc>
        <w:tc>
          <w:tcPr>
            <w:tcW w:w="1988" w:type="dxa"/>
            <w:tcBorders>
              <w:top w:val="single" w:color="auto" w:sz="4" w:space="0"/>
              <w:left w:val="single" w:color="auto" w:sz="4" w:space="0"/>
              <w:bottom w:val="single" w:color="auto" w:sz="4" w:space="0"/>
              <w:right w:val="single" w:color="auto" w:sz="4" w:space="0"/>
            </w:tcBorders>
            <w:vAlign w:val="center"/>
          </w:tcPr>
          <w:p w:rsidRPr="00BE0600" w:rsidR="00822D74" w:rsidP="00822D74" w:rsidRDefault="00822D74" w14:paraId="413862E9"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p>
          <w:p w:rsidRPr="00BE0600" w:rsidR="00822D74" w:rsidP="00822D74" w:rsidRDefault="00822D74" w14:paraId="2B3753D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Form Name</w:t>
            </w:r>
          </w:p>
        </w:tc>
        <w:tc>
          <w:tcPr>
            <w:tcW w:w="1955" w:type="dxa"/>
            <w:tcBorders>
              <w:top w:val="single" w:color="auto" w:sz="4" w:space="0"/>
              <w:left w:val="single" w:color="auto" w:sz="4" w:space="0"/>
              <w:bottom w:val="single" w:color="auto" w:sz="4" w:space="0"/>
              <w:right w:val="single" w:color="000000" w:sz="8" w:space="0"/>
            </w:tcBorders>
            <w:vAlign w:val="center"/>
          </w:tcPr>
          <w:p w:rsidRPr="00BE0600" w:rsidR="00822D74" w:rsidP="00822D74" w:rsidRDefault="00822D74" w14:paraId="04985F16"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p>
          <w:p w:rsidRPr="00BE0600" w:rsidR="00822D74" w:rsidP="00822D74" w:rsidRDefault="00822D74" w14:paraId="64848BC2"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Number of</w:t>
            </w:r>
          </w:p>
          <w:p w:rsidRPr="00BE0600" w:rsidR="00822D74" w:rsidP="00822D74" w:rsidRDefault="00822D74" w14:paraId="4BF2773B"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Respondents</w:t>
            </w:r>
          </w:p>
          <w:p w:rsidRPr="00BE0600" w:rsidR="00822D74" w:rsidP="00822D74" w:rsidRDefault="00822D74" w14:paraId="2FD4DF89"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p>
        </w:tc>
        <w:tc>
          <w:tcPr>
            <w:tcW w:w="1689" w:type="dxa"/>
            <w:tcBorders>
              <w:top w:val="single" w:color="auto" w:sz="4" w:space="0"/>
              <w:left w:val="single" w:color="000000" w:sz="8" w:space="0"/>
              <w:bottom w:val="single" w:color="auto" w:sz="4" w:space="0"/>
              <w:right w:val="single" w:color="000000" w:sz="8" w:space="0"/>
            </w:tcBorders>
            <w:vAlign w:val="center"/>
            <w:hideMark/>
          </w:tcPr>
          <w:p w:rsidRPr="00BE0600" w:rsidR="00822D74" w:rsidP="00822D74" w:rsidRDefault="00822D74" w14:paraId="14906117"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Number of</w:t>
            </w:r>
          </w:p>
          <w:p w:rsidRPr="00BE0600" w:rsidR="00822D74" w:rsidP="00822D74" w:rsidRDefault="00822D74" w14:paraId="01E96C6D"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Responses per</w:t>
            </w:r>
          </w:p>
          <w:p w:rsidRPr="00BE0600" w:rsidR="00822D74" w:rsidP="00822D74" w:rsidRDefault="00822D74" w14:paraId="72F1467F"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Respondent</w:t>
            </w:r>
          </w:p>
        </w:tc>
        <w:tc>
          <w:tcPr>
            <w:tcW w:w="1530" w:type="dxa"/>
            <w:tcBorders>
              <w:top w:val="single" w:color="auto" w:sz="4" w:space="0"/>
              <w:left w:val="single" w:color="000000" w:sz="8" w:space="0"/>
              <w:bottom w:val="single" w:color="auto" w:sz="4" w:space="0"/>
              <w:right w:val="single" w:color="000000" w:sz="8" w:space="0"/>
            </w:tcBorders>
            <w:vAlign w:val="center"/>
            <w:hideMark/>
          </w:tcPr>
          <w:p w:rsidRPr="00BE0600" w:rsidR="00822D74" w:rsidP="00822D74" w:rsidRDefault="00822D74" w14:paraId="2D2A591F"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Average Burden per Response</w:t>
            </w:r>
          </w:p>
          <w:p w:rsidRPr="00BE0600" w:rsidR="00822D74" w:rsidP="00822D74" w:rsidRDefault="00822D74" w14:paraId="4CA9C2B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(in hours)</w:t>
            </w:r>
          </w:p>
        </w:tc>
        <w:tc>
          <w:tcPr>
            <w:tcW w:w="1595" w:type="dxa"/>
            <w:tcBorders>
              <w:top w:val="single" w:color="auto" w:sz="4" w:space="0"/>
              <w:left w:val="single" w:color="000000" w:sz="8" w:space="0"/>
              <w:bottom w:val="single" w:color="auto" w:sz="4" w:space="0"/>
              <w:right w:val="single" w:color="auto" w:sz="4" w:space="0"/>
            </w:tcBorders>
            <w:vAlign w:val="center"/>
            <w:hideMark/>
          </w:tcPr>
          <w:p w:rsidRPr="00BE0600" w:rsidR="00822D74" w:rsidP="00822D74" w:rsidRDefault="00822D74" w14:paraId="279FD91F"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Total</w:t>
            </w:r>
          </w:p>
          <w:p w:rsidRPr="00BE0600" w:rsidR="00822D74" w:rsidP="00822D74" w:rsidRDefault="00822D74" w14:paraId="3A5950A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Burden</w:t>
            </w:r>
          </w:p>
          <w:p w:rsidRPr="00BE0600" w:rsidR="00822D74" w:rsidP="00822D74" w:rsidRDefault="00822D74" w14:paraId="0F780112"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(in hours)</w:t>
            </w:r>
          </w:p>
        </w:tc>
      </w:tr>
      <w:tr w:rsidRPr="00B12C08" w:rsidR="00822D74" w:rsidTr="00822D74" w14:paraId="5FA498D6" w14:textId="77777777">
        <w:trPr>
          <w:trHeight w:val="576"/>
        </w:trPr>
        <w:tc>
          <w:tcPr>
            <w:tcW w:w="183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3557C6C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Individuals </w:t>
            </w:r>
          </w:p>
          <w:p w:rsidRPr="00BE0600" w:rsidR="00822D74" w:rsidP="00822D74" w:rsidRDefault="00822D74" w14:paraId="0371BAF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in households</w:t>
            </w:r>
          </w:p>
        </w:tc>
        <w:tc>
          <w:tcPr>
            <w:tcW w:w="1988" w:type="dxa"/>
            <w:tcBorders>
              <w:top w:val="single" w:color="auto" w:sz="4" w:space="0"/>
              <w:left w:val="single" w:color="auto" w:sz="4" w:space="0"/>
              <w:bottom w:val="single" w:color="auto" w:sz="4" w:space="0"/>
              <w:right w:val="single" w:color="auto" w:sz="4" w:space="0"/>
            </w:tcBorders>
          </w:tcPr>
          <w:p w:rsidRPr="00BE0600" w:rsidR="00822D74" w:rsidP="00822D74" w:rsidRDefault="00822D74" w14:paraId="3D1DE361"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3EA8D7AE"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Screener</w:t>
            </w:r>
          </w:p>
        </w:tc>
        <w:tc>
          <w:tcPr>
            <w:tcW w:w="1955" w:type="dxa"/>
            <w:tcBorders>
              <w:top w:val="single" w:color="auto" w:sz="4" w:space="0"/>
              <w:left w:val="single" w:color="auto" w:sz="4" w:space="0"/>
              <w:bottom w:val="single" w:color="auto" w:sz="4" w:space="0"/>
              <w:right w:val="single" w:color="000000" w:sz="8" w:space="0"/>
            </w:tcBorders>
          </w:tcPr>
          <w:p w:rsidRPr="00BE0600" w:rsidR="00822D74" w:rsidP="00822D74" w:rsidRDefault="00822D74" w14:paraId="6E670713"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01874E1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8,300</w:t>
            </w:r>
          </w:p>
        </w:tc>
        <w:tc>
          <w:tcPr>
            <w:tcW w:w="1689"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3ECB179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1054591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w:t>
            </w:r>
          </w:p>
        </w:tc>
        <w:tc>
          <w:tcPr>
            <w:tcW w:w="1530"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0EEAA1DF"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5A50ABAC"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10/60</w:t>
            </w:r>
          </w:p>
        </w:tc>
        <w:tc>
          <w:tcPr>
            <w:tcW w:w="1595" w:type="dxa"/>
            <w:tcBorders>
              <w:top w:val="single" w:color="auto" w:sz="4" w:space="0"/>
              <w:left w:val="single" w:color="000000" w:sz="8" w:space="0"/>
              <w:bottom w:val="single" w:color="auto" w:sz="4" w:space="0"/>
              <w:right w:val="single" w:color="auto" w:sz="4" w:space="0"/>
            </w:tcBorders>
          </w:tcPr>
          <w:p w:rsidRPr="00BE0600" w:rsidR="00822D74" w:rsidP="00822D74" w:rsidRDefault="00822D74" w14:paraId="63D6C025"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40964367"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1,383</w:t>
            </w:r>
          </w:p>
        </w:tc>
      </w:tr>
      <w:tr w:rsidRPr="00B12C08" w:rsidR="00822D74" w:rsidTr="00822D74" w14:paraId="711B83B4" w14:textId="77777777">
        <w:trPr>
          <w:trHeight w:val="576"/>
        </w:trPr>
        <w:tc>
          <w:tcPr>
            <w:tcW w:w="183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4888427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Individuals </w:t>
            </w:r>
          </w:p>
          <w:p w:rsidRPr="00BE0600" w:rsidR="00822D74" w:rsidP="00822D74" w:rsidRDefault="00822D74" w14:paraId="2E6A2785"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in households</w:t>
            </w:r>
          </w:p>
        </w:tc>
        <w:tc>
          <w:tcPr>
            <w:tcW w:w="198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397AE8D1"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Household </w:t>
            </w:r>
          </w:p>
          <w:p w:rsidRPr="00BE0600" w:rsidR="00822D74" w:rsidP="00822D74" w:rsidRDefault="00822D74" w14:paraId="3B42690D"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Interview </w:t>
            </w:r>
          </w:p>
        </w:tc>
        <w:tc>
          <w:tcPr>
            <w:tcW w:w="1955" w:type="dxa"/>
            <w:tcBorders>
              <w:top w:val="single" w:color="auto" w:sz="4" w:space="0"/>
              <w:left w:val="single" w:color="auto" w:sz="4" w:space="0"/>
              <w:bottom w:val="single" w:color="auto" w:sz="4" w:space="0"/>
              <w:right w:val="single" w:color="000000" w:sz="8" w:space="0"/>
            </w:tcBorders>
          </w:tcPr>
          <w:p w:rsidRPr="00BE0600" w:rsidR="00822D74" w:rsidP="00822D74" w:rsidRDefault="00822D74" w14:paraId="7DC4EA5D"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065FFF67"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5,600</w:t>
            </w:r>
          </w:p>
        </w:tc>
        <w:tc>
          <w:tcPr>
            <w:tcW w:w="1689"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2BD5D196"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44D61FB0"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w:t>
            </w:r>
          </w:p>
        </w:tc>
        <w:tc>
          <w:tcPr>
            <w:tcW w:w="1530"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658A859E"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0E34E0B5"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w:t>
            </w:r>
          </w:p>
        </w:tc>
        <w:tc>
          <w:tcPr>
            <w:tcW w:w="1595" w:type="dxa"/>
            <w:tcBorders>
              <w:top w:val="single" w:color="auto" w:sz="4" w:space="0"/>
              <w:left w:val="single" w:color="000000" w:sz="8" w:space="0"/>
              <w:bottom w:val="single" w:color="auto" w:sz="4" w:space="0"/>
              <w:right w:val="single" w:color="auto" w:sz="4" w:space="0"/>
            </w:tcBorders>
          </w:tcPr>
          <w:p w:rsidRPr="00BE0600" w:rsidR="00822D74" w:rsidP="00822D74" w:rsidRDefault="00822D74" w14:paraId="1D9D3F3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348F1B6A"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5,600</w:t>
            </w:r>
          </w:p>
        </w:tc>
      </w:tr>
      <w:tr w:rsidRPr="00B12C08" w:rsidR="00822D74" w:rsidTr="00822D74" w14:paraId="3FE35E13" w14:textId="77777777">
        <w:trPr>
          <w:trHeight w:val="576"/>
        </w:trPr>
        <w:tc>
          <w:tcPr>
            <w:tcW w:w="183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47987432"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Individuals </w:t>
            </w:r>
          </w:p>
          <w:p w:rsidRPr="00BE0600" w:rsidR="00822D74" w:rsidP="00822D74" w:rsidRDefault="00822D74" w14:paraId="3EAE79E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in households</w:t>
            </w:r>
          </w:p>
        </w:tc>
        <w:tc>
          <w:tcPr>
            <w:tcW w:w="198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468787A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MEC Interview &amp; Examination</w:t>
            </w:r>
          </w:p>
        </w:tc>
        <w:tc>
          <w:tcPr>
            <w:tcW w:w="1955" w:type="dxa"/>
            <w:tcBorders>
              <w:top w:val="single" w:color="auto" w:sz="4" w:space="0"/>
              <w:left w:val="single" w:color="auto" w:sz="4" w:space="0"/>
              <w:bottom w:val="single" w:color="auto" w:sz="4" w:space="0"/>
              <w:right w:val="single" w:color="000000" w:sz="8" w:space="0"/>
            </w:tcBorders>
          </w:tcPr>
          <w:p w:rsidRPr="00BE0600" w:rsidR="00822D74" w:rsidP="00822D74" w:rsidRDefault="00822D74" w14:paraId="586C11B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44F0A9F1"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5,600</w:t>
            </w:r>
          </w:p>
        </w:tc>
        <w:tc>
          <w:tcPr>
            <w:tcW w:w="1689"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5FB4642E"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26742C8D"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w:t>
            </w:r>
          </w:p>
        </w:tc>
        <w:tc>
          <w:tcPr>
            <w:tcW w:w="1530"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51DDF005"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4A4DBEA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2.5</w:t>
            </w:r>
          </w:p>
        </w:tc>
        <w:tc>
          <w:tcPr>
            <w:tcW w:w="1595" w:type="dxa"/>
            <w:tcBorders>
              <w:top w:val="single" w:color="auto" w:sz="4" w:space="0"/>
              <w:left w:val="single" w:color="000000" w:sz="8" w:space="0"/>
              <w:bottom w:val="single" w:color="auto" w:sz="4" w:space="0"/>
              <w:right w:val="single" w:color="auto" w:sz="4" w:space="0"/>
            </w:tcBorders>
          </w:tcPr>
          <w:p w:rsidRPr="00BE0600" w:rsidR="00822D74" w:rsidP="00822D74" w:rsidRDefault="00822D74" w14:paraId="239776B7"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04B21BDB"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14,000</w:t>
            </w:r>
          </w:p>
        </w:tc>
      </w:tr>
      <w:tr w:rsidRPr="00B12C08" w:rsidR="00822D74" w:rsidTr="00822D74" w14:paraId="69C81207" w14:textId="77777777">
        <w:trPr>
          <w:trHeight w:val="576"/>
        </w:trPr>
        <w:tc>
          <w:tcPr>
            <w:tcW w:w="183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109CDD9D"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Individuals </w:t>
            </w:r>
          </w:p>
          <w:p w:rsidRPr="00BE0600" w:rsidR="00822D74" w:rsidP="00822D74" w:rsidRDefault="00822D74" w14:paraId="6CEE9A49"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in households</w:t>
            </w:r>
          </w:p>
        </w:tc>
        <w:tc>
          <w:tcPr>
            <w:tcW w:w="198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18A1E2F3"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Day 1 and Day 2 Telephone Dietary Recall &amp; Dietary Supplements</w:t>
            </w:r>
          </w:p>
        </w:tc>
        <w:tc>
          <w:tcPr>
            <w:tcW w:w="1955" w:type="dxa"/>
            <w:tcBorders>
              <w:top w:val="single" w:color="auto" w:sz="4" w:space="0"/>
              <w:left w:val="single" w:color="auto" w:sz="4" w:space="0"/>
              <w:bottom w:val="single" w:color="auto" w:sz="4" w:space="0"/>
              <w:right w:val="single" w:color="000000" w:sz="8" w:space="0"/>
            </w:tcBorders>
          </w:tcPr>
          <w:p w:rsidRPr="00BE0600" w:rsidR="00822D74" w:rsidP="00822D74" w:rsidRDefault="00822D74" w14:paraId="158C44A5"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4132228B"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5,600</w:t>
            </w:r>
          </w:p>
        </w:tc>
        <w:tc>
          <w:tcPr>
            <w:tcW w:w="1689"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3B63F59B"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04D1FD40"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w:t>
            </w:r>
          </w:p>
        </w:tc>
        <w:tc>
          <w:tcPr>
            <w:tcW w:w="1530"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06ED2DBC"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54004296"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1.3</w:t>
            </w:r>
          </w:p>
        </w:tc>
        <w:tc>
          <w:tcPr>
            <w:tcW w:w="1595" w:type="dxa"/>
            <w:tcBorders>
              <w:top w:val="single" w:color="auto" w:sz="4" w:space="0"/>
              <w:left w:val="single" w:color="000000" w:sz="8" w:space="0"/>
              <w:bottom w:val="single" w:color="auto" w:sz="4" w:space="0"/>
              <w:right w:val="single" w:color="auto" w:sz="4" w:space="0"/>
            </w:tcBorders>
          </w:tcPr>
          <w:p w:rsidRPr="00BE0600" w:rsidR="00822D74" w:rsidP="00822D74" w:rsidRDefault="00822D74" w14:paraId="290764A9"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1BAD7E0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7,280</w:t>
            </w:r>
          </w:p>
        </w:tc>
      </w:tr>
      <w:tr w:rsidRPr="00B12C08" w:rsidR="00822D74" w:rsidTr="00822D74" w14:paraId="7A7972DB" w14:textId="77777777">
        <w:trPr>
          <w:trHeight w:val="576"/>
        </w:trPr>
        <w:tc>
          <w:tcPr>
            <w:tcW w:w="183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3B6887AF"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Individuals </w:t>
            </w:r>
          </w:p>
          <w:p w:rsidRPr="00BE0600" w:rsidR="00822D74" w:rsidP="00822D74" w:rsidRDefault="00822D74" w14:paraId="342A290E"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in households</w:t>
            </w:r>
          </w:p>
        </w:tc>
        <w:tc>
          <w:tcPr>
            <w:tcW w:w="198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5075C7D1"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Flexible </w:t>
            </w:r>
          </w:p>
          <w:p w:rsidRPr="00BE0600" w:rsidR="00822D74" w:rsidP="00822D74" w:rsidRDefault="00822D74" w14:paraId="517F6C93"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Consumer </w:t>
            </w:r>
          </w:p>
          <w:p w:rsidRPr="00BE0600" w:rsidR="00822D74" w:rsidP="00822D74" w:rsidRDefault="00822D74" w14:paraId="20752077"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Behavior </w:t>
            </w:r>
          </w:p>
          <w:p w:rsidRPr="00BE0600" w:rsidR="00822D74" w:rsidP="00822D74" w:rsidRDefault="00822D74" w14:paraId="486B3FA2"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Survey Phone </w:t>
            </w:r>
          </w:p>
          <w:p w:rsidRPr="00BE0600" w:rsidR="00822D74" w:rsidP="00822D74" w:rsidRDefault="00822D74" w14:paraId="557511DA"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Follow-Up</w:t>
            </w:r>
          </w:p>
        </w:tc>
        <w:tc>
          <w:tcPr>
            <w:tcW w:w="1955" w:type="dxa"/>
            <w:tcBorders>
              <w:top w:val="single" w:color="auto" w:sz="4" w:space="0"/>
              <w:left w:val="single" w:color="auto" w:sz="4" w:space="0"/>
              <w:bottom w:val="single" w:color="auto" w:sz="4" w:space="0"/>
              <w:right w:val="single" w:color="000000" w:sz="8" w:space="0"/>
            </w:tcBorders>
          </w:tcPr>
          <w:p w:rsidRPr="00BE0600" w:rsidR="00822D74" w:rsidP="00822D74" w:rsidRDefault="00822D74" w14:paraId="073AB689"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72794D2E"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5,600</w:t>
            </w:r>
          </w:p>
        </w:tc>
        <w:tc>
          <w:tcPr>
            <w:tcW w:w="1689"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3292CC62"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44B78A0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w:t>
            </w:r>
          </w:p>
        </w:tc>
        <w:tc>
          <w:tcPr>
            <w:tcW w:w="1530"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5036A10E"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5ACD7B9D"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20/60</w:t>
            </w:r>
          </w:p>
        </w:tc>
        <w:tc>
          <w:tcPr>
            <w:tcW w:w="1595" w:type="dxa"/>
            <w:tcBorders>
              <w:top w:val="single" w:color="auto" w:sz="4" w:space="0"/>
              <w:left w:val="single" w:color="000000" w:sz="8" w:space="0"/>
              <w:bottom w:val="single" w:color="auto" w:sz="4" w:space="0"/>
              <w:right w:val="single" w:color="auto" w:sz="4" w:space="0"/>
            </w:tcBorders>
          </w:tcPr>
          <w:p w:rsidRPr="00BE0600" w:rsidR="00822D74" w:rsidP="00822D74" w:rsidRDefault="00822D74" w14:paraId="180C1499"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227EEDE7"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1,867</w:t>
            </w:r>
          </w:p>
        </w:tc>
      </w:tr>
      <w:tr w:rsidRPr="00B12C08" w:rsidR="00822D74" w:rsidTr="00822D74" w14:paraId="14C3A421" w14:textId="77777777">
        <w:trPr>
          <w:trHeight w:val="576"/>
        </w:trPr>
        <w:tc>
          <w:tcPr>
            <w:tcW w:w="183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203847C0"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Individuals </w:t>
            </w:r>
          </w:p>
          <w:p w:rsidRPr="00BE0600" w:rsidR="00822D74" w:rsidP="00822D74" w:rsidRDefault="00822D74" w14:paraId="2A2564E5"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in households</w:t>
            </w:r>
          </w:p>
        </w:tc>
        <w:tc>
          <w:tcPr>
            <w:tcW w:w="1988" w:type="dxa"/>
            <w:tcBorders>
              <w:top w:val="single" w:color="auto" w:sz="4" w:space="0"/>
              <w:left w:val="single" w:color="auto" w:sz="4" w:space="0"/>
              <w:bottom w:val="single" w:color="auto" w:sz="4" w:space="0"/>
              <w:right w:val="single" w:color="auto" w:sz="4" w:space="0"/>
            </w:tcBorders>
            <w:hideMark/>
          </w:tcPr>
          <w:p w:rsidRPr="00BE0600" w:rsidR="00822D74" w:rsidP="00822D74" w:rsidRDefault="00822D74" w14:paraId="779C7E5A"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Developmental </w:t>
            </w:r>
          </w:p>
          <w:p w:rsidRPr="00BE0600" w:rsidR="00822D74" w:rsidP="00822D74" w:rsidRDefault="00822D74" w14:paraId="49A848BE"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Projects &amp; </w:t>
            </w:r>
          </w:p>
          <w:p w:rsidRPr="00BE0600" w:rsidR="00822D74" w:rsidP="00822D74" w:rsidRDefault="00822D74" w14:paraId="57FB7937"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 xml:space="preserve">Special </w:t>
            </w:r>
          </w:p>
          <w:p w:rsidRPr="00BE0600" w:rsidR="00822D74" w:rsidP="00822D74" w:rsidRDefault="00822D74" w14:paraId="656604CD"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Studies</w:t>
            </w:r>
          </w:p>
        </w:tc>
        <w:tc>
          <w:tcPr>
            <w:tcW w:w="1955" w:type="dxa"/>
            <w:tcBorders>
              <w:top w:val="single" w:color="auto" w:sz="4" w:space="0"/>
              <w:left w:val="single" w:color="auto" w:sz="4" w:space="0"/>
              <w:bottom w:val="single" w:color="auto" w:sz="4" w:space="0"/>
              <w:right w:val="single" w:color="000000" w:sz="8" w:space="0"/>
            </w:tcBorders>
          </w:tcPr>
          <w:p w:rsidRPr="00BE0600" w:rsidR="00822D74" w:rsidP="00822D74" w:rsidRDefault="00822D74" w14:paraId="15D313CD"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5DAB657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3,500</w:t>
            </w:r>
          </w:p>
        </w:tc>
        <w:tc>
          <w:tcPr>
            <w:tcW w:w="1689"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13600602"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65D33FA9"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w:t>
            </w:r>
          </w:p>
        </w:tc>
        <w:tc>
          <w:tcPr>
            <w:tcW w:w="1530"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743E146D"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0CA2983B"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3</w:t>
            </w:r>
          </w:p>
        </w:tc>
        <w:tc>
          <w:tcPr>
            <w:tcW w:w="1595" w:type="dxa"/>
            <w:tcBorders>
              <w:top w:val="single" w:color="auto" w:sz="4" w:space="0"/>
              <w:left w:val="single" w:color="000000" w:sz="8" w:space="0"/>
              <w:bottom w:val="single" w:color="auto" w:sz="4" w:space="0"/>
              <w:right w:val="single" w:color="auto" w:sz="4" w:space="0"/>
            </w:tcBorders>
          </w:tcPr>
          <w:p w:rsidRPr="00BE0600" w:rsidR="00822D74" w:rsidP="00822D74" w:rsidRDefault="00822D74" w14:paraId="54B6C202"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p w:rsidRPr="00BE0600" w:rsidR="00822D74" w:rsidP="00822D74" w:rsidRDefault="00822D74" w14:paraId="023DB7DF"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u w:val="single"/>
              </w:rPr>
              <w:t>10,500</w:t>
            </w:r>
          </w:p>
        </w:tc>
      </w:tr>
      <w:tr w:rsidRPr="00B12C08" w:rsidR="00822D74" w:rsidTr="00822D74" w14:paraId="147ADABE" w14:textId="77777777">
        <w:trPr>
          <w:trHeight w:val="576"/>
        </w:trPr>
        <w:tc>
          <w:tcPr>
            <w:tcW w:w="1838" w:type="dxa"/>
            <w:tcBorders>
              <w:top w:val="single" w:color="auto" w:sz="4" w:space="0"/>
              <w:left w:val="single" w:color="auto" w:sz="4" w:space="0"/>
              <w:bottom w:val="single" w:color="auto" w:sz="4" w:space="0"/>
              <w:right w:val="single" w:color="auto" w:sz="4" w:space="0"/>
            </w:tcBorders>
            <w:shd w:val="clear" w:color="auto" w:fill="auto"/>
          </w:tcPr>
          <w:p w:rsidRPr="00BE0600" w:rsidR="00822D74" w:rsidP="00822D74" w:rsidRDefault="00822D74" w14:paraId="307C4FB9" w14:textId="77777777">
            <w:pPr>
              <w:widowControl/>
              <w:tabs>
                <w:tab w:val="left" w:pos="-31680"/>
                <w:tab w:val="left" w:pos="-31680"/>
              </w:tabs>
              <w:autoSpaceDE/>
              <w:autoSpaceDN/>
              <w:adjustRightInd/>
              <w:rPr>
                <w:rFonts w:cs="Times New Roman" w:asciiTheme="minorHAnsi" w:hAnsiTheme="minorHAnsi"/>
                <w:iCs/>
                <w:color w:val="000000"/>
                <w:u w:val="single"/>
              </w:rPr>
            </w:pPr>
            <w:r w:rsidRPr="00BE0600">
              <w:rPr>
                <w:rFonts w:cs="Times New Roman" w:asciiTheme="minorHAnsi" w:hAnsiTheme="minorHAnsi"/>
                <w:iCs/>
                <w:color w:val="000000"/>
                <w:u w:val="single"/>
              </w:rPr>
              <w:t xml:space="preserve">Individuals </w:t>
            </w:r>
          </w:p>
          <w:p w:rsidRPr="00BE0600" w:rsidR="00822D74" w:rsidP="00822D74" w:rsidRDefault="00822D74" w14:paraId="2C0B2C7F"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color w:val="000000"/>
                <w:u w:val="single"/>
              </w:rPr>
              <w:t>in households</w:t>
            </w:r>
          </w:p>
        </w:tc>
        <w:tc>
          <w:tcPr>
            <w:tcW w:w="1988" w:type="dxa"/>
            <w:tcBorders>
              <w:top w:val="single" w:color="auto" w:sz="4" w:space="0"/>
              <w:left w:val="single" w:color="auto" w:sz="4" w:space="0"/>
              <w:bottom w:val="single" w:color="auto" w:sz="4" w:space="0"/>
              <w:right w:val="single" w:color="auto" w:sz="4" w:space="0"/>
            </w:tcBorders>
          </w:tcPr>
          <w:p w:rsidRPr="00BE0600" w:rsidR="00822D74" w:rsidP="00822D74" w:rsidRDefault="00822D74" w14:paraId="43B6D822"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color w:val="000000"/>
                <w:u w:val="single"/>
              </w:rPr>
              <w:t>24-hour wearable device projects</w:t>
            </w:r>
          </w:p>
        </w:tc>
        <w:tc>
          <w:tcPr>
            <w:tcW w:w="1955" w:type="dxa"/>
            <w:tcBorders>
              <w:top w:val="single" w:color="auto" w:sz="4" w:space="0"/>
              <w:left w:val="single" w:color="auto" w:sz="4" w:space="0"/>
              <w:bottom w:val="single" w:color="auto" w:sz="4" w:space="0"/>
              <w:right w:val="single" w:color="000000" w:sz="8" w:space="0"/>
            </w:tcBorders>
            <w:shd w:val="clear" w:color="auto" w:fill="auto"/>
          </w:tcPr>
          <w:p w:rsidRPr="00BE0600" w:rsidR="00822D74" w:rsidP="00822D74" w:rsidRDefault="00822D74" w14:paraId="588E5B94" w14:textId="77777777">
            <w:pPr>
              <w:widowControl/>
              <w:tabs>
                <w:tab w:val="left" w:pos="-31680"/>
                <w:tab w:val="left" w:pos="-31680"/>
              </w:tabs>
              <w:autoSpaceDE/>
              <w:autoSpaceDN/>
              <w:adjustRightInd/>
              <w:rPr>
                <w:rFonts w:cs="Times New Roman" w:asciiTheme="minorHAnsi" w:hAnsiTheme="minorHAnsi"/>
                <w:iCs/>
                <w:color w:val="000000"/>
                <w:u w:val="single"/>
              </w:rPr>
            </w:pPr>
          </w:p>
          <w:p w:rsidRPr="00BE0600" w:rsidR="00822D74" w:rsidP="00822D74" w:rsidRDefault="00822D74" w14:paraId="685C24B0"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color w:val="000000"/>
                <w:u w:val="single"/>
              </w:rPr>
              <w:t>1,000</w:t>
            </w:r>
          </w:p>
        </w:tc>
        <w:tc>
          <w:tcPr>
            <w:tcW w:w="1689" w:type="dxa"/>
            <w:tcBorders>
              <w:top w:val="single" w:color="auto" w:sz="4" w:space="0"/>
              <w:left w:val="single" w:color="000000" w:sz="8" w:space="0"/>
              <w:bottom w:val="single" w:color="auto" w:sz="4" w:space="0"/>
              <w:right w:val="single" w:color="000000" w:sz="8" w:space="0"/>
            </w:tcBorders>
            <w:shd w:val="clear" w:color="auto" w:fill="auto"/>
          </w:tcPr>
          <w:p w:rsidRPr="00BE0600" w:rsidR="00822D74" w:rsidP="00822D74" w:rsidRDefault="00822D74" w14:paraId="31F871AB"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31680"/>
                <w:tab w:val="left" w:pos="-31680"/>
              </w:tabs>
              <w:rPr>
                <w:rFonts w:cs="Times New Roman" w:asciiTheme="minorHAnsi" w:hAnsiTheme="minorHAnsi"/>
                <w:iCs/>
                <w:color w:val="000000"/>
                <w:u w:val="single"/>
              </w:rPr>
            </w:pPr>
          </w:p>
          <w:p w:rsidRPr="00BE0600" w:rsidR="00822D74" w:rsidP="00822D74" w:rsidRDefault="00822D74" w14:paraId="232D7F05"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color w:val="000000"/>
                <w:u w:val="single"/>
              </w:rPr>
              <w:t>1</w:t>
            </w:r>
          </w:p>
        </w:tc>
        <w:tc>
          <w:tcPr>
            <w:tcW w:w="1530" w:type="dxa"/>
            <w:tcBorders>
              <w:top w:val="single" w:color="auto" w:sz="4" w:space="0"/>
              <w:left w:val="single" w:color="000000" w:sz="8" w:space="0"/>
              <w:bottom w:val="single" w:color="auto" w:sz="4" w:space="0"/>
              <w:right w:val="single" w:color="000000" w:sz="8" w:space="0"/>
            </w:tcBorders>
            <w:shd w:val="clear" w:color="auto" w:fill="auto"/>
          </w:tcPr>
          <w:p w:rsidRPr="00BE0600" w:rsidR="00822D74" w:rsidP="00822D74" w:rsidRDefault="00822D74" w14:paraId="236EAAC0"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31680"/>
                <w:tab w:val="left" w:pos="-31680"/>
              </w:tabs>
              <w:rPr>
                <w:rFonts w:cs="Times New Roman" w:asciiTheme="minorHAnsi" w:hAnsiTheme="minorHAnsi"/>
                <w:iCs/>
                <w:color w:val="000000"/>
                <w:u w:val="single"/>
              </w:rPr>
            </w:pPr>
          </w:p>
          <w:p w:rsidRPr="00BE0600" w:rsidR="00822D74" w:rsidP="00822D74" w:rsidRDefault="00822D74" w14:paraId="6799499C"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color w:val="000000"/>
                <w:u w:val="single"/>
              </w:rPr>
              <w:t>25</w:t>
            </w:r>
          </w:p>
        </w:tc>
        <w:tc>
          <w:tcPr>
            <w:tcW w:w="1595" w:type="dxa"/>
            <w:tcBorders>
              <w:top w:val="single" w:color="auto" w:sz="4" w:space="0"/>
              <w:left w:val="single" w:color="000000" w:sz="8" w:space="0"/>
              <w:bottom w:val="single" w:color="auto" w:sz="4" w:space="0"/>
              <w:right w:val="single" w:color="000000" w:sz="8" w:space="0"/>
            </w:tcBorders>
          </w:tcPr>
          <w:p w:rsidRPr="00BE0600" w:rsidR="00822D74" w:rsidP="00822D74" w:rsidRDefault="00822D74" w14:paraId="7EA9D8E8"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color w:val="000000"/>
                <w:u w:val="single"/>
              </w:rPr>
            </w:pPr>
          </w:p>
          <w:p w:rsidRPr="00BE0600" w:rsidR="00822D74" w:rsidP="00822D74" w:rsidRDefault="00822D74" w14:paraId="54F34A6B"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r w:rsidRPr="00BE0600">
              <w:rPr>
                <w:rFonts w:cs="Times New Roman" w:asciiTheme="minorHAnsi" w:hAnsiTheme="minorHAnsi"/>
                <w:iCs/>
                <w:color w:val="000000"/>
                <w:u w:val="single"/>
              </w:rPr>
              <w:t>25,000</w:t>
            </w:r>
          </w:p>
        </w:tc>
      </w:tr>
      <w:tr w:rsidRPr="00B12C08" w:rsidR="00822D74" w:rsidTr="00822D74" w14:paraId="1FB711BB" w14:textId="77777777">
        <w:trPr>
          <w:trHeight w:val="521"/>
        </w:trPr>
        <w:tc>
          <w:tcPr>
            <w:tcW w:w="1838" w:type="dxa"/>
            <w:tcBorders>
              <w:top w:val="single" w:color="auto" w:sz="4" w:space="0"/>
              <w:left w:val="single" w:color="auto" w:sz="4" w:space="0"/>
              <w:bottom w:val="single" w:color="auto" w:sz="4" w:space="0"/>
              <w:right w:val="single" w:color="auto" w:sz="4" w:space="0"/>
            </w:tcBorders>
            <w:vAlign w:val="center"/>
            <w:hideMark/>
          </w:tcPr>
          <w:p w:rsidRPr="00BE0600" w:rsidR="00822D74" w:rsidP="00822D74" w:rsidRDefault="00822D74" w14:paraId="482665C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bookmarkStart w:name="_Hlk58409508" w:id="0"/>
            <w:r w:rsidRPr="00BE0600">
              <w:rPr>
                <w:rFonts w:cs="Times New Roman" w:asciiTheme="minorHAnsi" w:hAnsiTheme="minorHAnsi"/>
                <w:bCs/>
                <w:iCs/>
                <w:u w:val="single"/>
              </w:rPr>
              <w:t>Total</w:t>
            </w:r>
          </w:p>
        </w:tc>
        <w:tc>
          <w:tcPr>
            <w:tcW w:w="1988" w:type="dxa"/>
            <w:tcBorders>
              <w:top w:val="single" w:color="auto" w:sz="4" w:space="0"/>
              <w:left w:val="single" w:color="auto" w:sz="4" w:space="0"/>
              <w:bottom w:val="single" w:color="auto" w:sz="4" w:space="0"/>
              <w:right w:val="nil"/>
            </w:tcBorders>
          </w:tcPr>
          <w:p w:rsidRPr="00BE0600" w:rsidR="00822D74" w:rsidP="00822D74" w:rsidRDefault="00822D74" w14:paraId="041AF9A2"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tc>
        <w:tc>
          <w:tcPr>
            <w:tcW w:w="1955" w:type="dxa"/>
            <w:tcBorders>
              <w:top w:val="single" w:color="auto" w:sz="4" w:space="0"/>
              <w:left w:val="nil"/>
              <w:bottom w:val="single" w:color="auto" w:sz="4" w:space="0"/>
              <w:right w:val="nil"/>
            </w:tcBorders>
            <w:vAlign w:val="center"/>
          </w:tcPr>
          <w:p w:rsidRPr="00BE0600" w:rsidR="00822D74" w:rsidP="00822D74" w:rsidRDefault="00822D74" w14:paraId="19E75EC5"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tc>
        <w:tc>
          <w:tcPr>
            <w:tcW w:w="1689" w:type="dxa"/>
            <w:tcBorders>
              <w:top w:val="single" w:color="auto" w:sz="4" w:space="0"/>
              <w:left w:val="nil"/>
              <w:bottom w:val="single" w:color="auto" w:sz="4" w:space="0"/>
              <w:right w:val="nil"/>
            </w:tcBorders>
            <w:vAlign w:val="center"/>
          </w:tcPr>
          <w:p w:rsidRPr="00BE0600" w:rsidR="00822D74" w:rsidP="00822D74" w:rsidRDefault="00822D74" w14:paraId="5C2B77C4"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tc>
        <w:tc>
          <w:tcPr>
            <w:tcW w:w="1530" w:type="dxa"/>
            <w:tcBorders>
              <w:top w:val="single" w:color="auto" w:sz="4" w:space="0"/>
              <w:left w:val="nil"/>
              <w:bottom w:val="single" w:color="auto" w:sz="4" w:space="0"/>
              <w:right w:val="single" w:color="000000" w:sz="8" w:space="0"/>
            </w:tcBorders>
          </w:tcPr>
          <w:p w:rsidRPr="00BE0600" w:rsidR="00822D74" w:rsidP="00822D74" w:rsidRDefault="00822D74" w14:paraId="0A9E8FFE"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iCs/>
                <w:u w:val="single"/>
              </w:rPr>
            </w:pPr>
          </w:p>
        </w:tc>
        <w:tc>
          <w:tcPr>
            <w:tcW w:w="1595" w:type="dxa"/>
            <w:tcBorders>
              <w:top w:val="single" w:color="auto" w:sz="4" w:space="0"/>
              <w:left w:val="single" w:color="000000" w:sz="8" w:space="0"/>
              <w:bottom w:val="single" w:color="auto" w:sz="4" w:space="0"/>
              <w:right w:val="single" w:color="auto" w:sz="4" w:space="0"/>
            </w:tcBorders>
            <w:vAlign w:val="center"/>
          </w:tcPr>
          <w:p w:rsidRPr="00BE0600" w:rsidR="00822D74" w:rsidP="00822D74" w:rsidRDefault="00822D74" w14:paraId="0006CB6F" w14:textId="77777777">
            <w:pPr>
              <w:keepNext/>
              <w:tabs>
                <w:tab w:val="left" w:pos="-316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asciiTheme="minorHAnsi" w:hAnsiTheme="minorHAnsi"/>
                <w:bCs/>
                <w:iCs/>
                <w:u w:val="single"/>
              </w:rPr>
            </w:pPr>
            <w:r w:rsidRPr="00BE0600">
              <w:rPr>
                <w:rFonts w:cs="Times New Roman" w:asciiTheme="minorHAnsi" w:hAnsiTheme="minorHAnsi"/>
                <w:bCs/>
                <w:iCs/>
                <w:u w:val="single"/>
              </w:rPr>
              <w:t>65,630</w:t>
            </w:r>
          </w:p>
        </w:tc>
      </w:tr>
    </w:tbl>
    <w:bookmarkEnd w:id="0"/>
    <w:p w:rsidRPr="00685373" w:rsidR="00C60A83" w:rsidP="00C60A83" w:rsidRDefault="00E90826" w14:paraId="6A68610A" w14:textId="3A103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color w:val="000000"/>
          <w:szCs w:val="22"/>
        </w:rPr>
      </w:pPr>
      <w:r w:rsidRPr="00BE0600">
        <w:rPr>
          <w:rFonts w:cs="Times New Roman" w:asciiTheme="minorHAnsi" w:hAnsiTheme="minorHAnsi"/>
          <w:b/>
          <w:bCs/>
        </w:rPr>
        <w:t>Table 4. 2021 – 2022 Approved Annualized Burden Hours</w:t>
      </w:r>
    </w:p>
    <w:p w:rsidR="00822D74" w:rsidP="00F420AC" w:rsidRDefault="00822D74" w14:paraId="7170F551" w14:textId="77777777">
      <w:pPr>
        <w:tabs>
          <w:tab w:val="left" w:pos="450"/>
        </w:tabs>
        <w:rPr>
          <w:rFonts w:cs="Times New Roman" w:asciiTheme="minorHAnsi" w:hAnsiTheme="minorHAnsi"/>
          <w:b/>
          <w:bCs/>
        </w:rPr>
      </w:pPr>
    </w:p>
    <w:p w:rsidRPr="00BE0600" w:rsidR="00F420AC" w:rsidP="00F420AC" w:rsidRDefault="00F420AC" w14:paraId="0F1618BB" w14:textId="042A9A60">
      <w:pPr>
        <w:tabs>
          <w:tab w:val="left" w:pos="450"/>
        </w:tabs>
        <w:rPr>
          <w:rFonts w:cs="Times New Roman" w:asciiTheme="minorHAnsi" w:hAnsiTheme="minorHAnsi"/>
          <w:b/>
          <w:bCs/>
        </w:rPr>
      </w:pPr>
      <w:r w:rsidRPr="00BE0600">
        <w:rPr>
          <w:rFonts w:cs="Times New Roman" w:asciiTheme="minorHAnsi" w:hAnsiTheme="minorHAnsi"/>
          <w:b/>
          <w:bCs/>
        </w:rPr>
        <w:t xml:space="preserve">15. </w:t>
      </w:r>
      <w:r w:rsidRPr="00BE0600">
        <w:rPr>
          <w:rFonts w:cs="Times New Roman" w:asciiTheme="minorHAnsi" w:hAnsiTheme="minorHAnsi"/>
          <w:b/>
          <w:bCs/>
        </w:rPr>
        <w:tab/>
        <w:t xml:space="preserve">Explanation for program changes and adjustments  </w:t>
      </w:r>
    </w:p>
    <w:p w:rsidR="00F420AC" w:rsidP="00F420AC" w:rsidRDefault="00F420AC" w14:paraId="5DBF7933" w14:textId="77777777">
      <w:pPr>
        <w:tabs>
          <w:tab w:val="left" w:pos="450"/>
        </w:tabs>
        <w:rPr>
          <w:rFonts w:ascii="Times New Roman" w:hAnsi="Times New Roman" w:cs="Times New Roman"/>
          <w:b/>
          <w:bCs/>
        </w:rPr>
      </w:pPr>
    </w:p>
    <w:p w:rsidRPr="00F420AC" w:rsidR="00C60A83" w:rsidP="00F420AC" w:rsidRDefault="00F420AC" w14:paraId="415FA48F" w14:textId="0D27749A">
      <w:pPr>
        <w:tabs>
          <w:tab w:val="left" w:pos="450"/>
        </w:tabs>
        <w:rPr>
          <w:rFonts w:asciiTheme="minorHAnsi" w:hAnsiTheme="minorHAnsi" w:cstheme="minorHAnsi"/>
        </w:rPr>
      </w:pPr>
      <w:r w:rsidRPr="00973677">
        <w:rPr>
          <w:rFonts w:asciiTheme="minorHAnsi" w:hAnsiTheme="minorHAnsi" w:cstheme="minorHAnsi"/>
        </w:rPr>
        <w:t>The respondent and nonrespondent questionnaires described in this non-substantive change request do not change the burden hours from the previously approved clearance. The burden hours in this submission are captured in the “Developmental Studies &amp; Special Projects” line of the burden table currently approved for NHANES</w:t>
      </w:r>
      <w:r>
        <w:rPr>
          <w:rFonts w:asciiTheme="minorHAnsi" w:hAnsiTheme="minorHAnsi" w:cstheme="minorHAnsi"/>
        </w:rPr>
        <w:t xml:space="preserve"> (</w:t>
      </w:r>
      <w:r>
        <w:rPr>
          <w:rFonts w:asciiTheme="minorHAnsi" w:hAnsiTheme="minorHAnsi" w:cstheme="minorHAnsi"/>
          <w:b/>
          <w:bCs/>
        </w:rPr>
        <w:t>see Table 4</w:t>
      </w:r>
      <w:r>
        <w:rPr>
          <w:rFonts w:asciiTheme="minorHAnsi" w:hAnsiTheme="minorHAnsi" w:cstheme="minorHAnsi"/>
        </w:rPr>
        <w:t>)</w:t>
      </w:r>
      <w:r w:rsidRPr="00973677">
        <w:rPr>
          <w:rFonts w:asciiTheme="minorHAnsi" w:hAnsiTheme="minorHAnsi" w:cstheme="minorHAnsi"/>
        </w:rPr>
        <w:t>.</w:t>
      </w:r>
    </w:p>
    <w:p w:rsidRPr="00161F7A" w:rsidR="00161F7A" w:rsidP="00462145" w:rsidRDefault="00161F7A" w14:paraId="3039932C" w14:textId="77777777">
      <w:pPr>
        <w:tabs>
          <w:tab w:val="left" w:pos="450"/>
        </w:tabs>
        <w:rPr>
          <w:rFonts w:ascii="Times New Roman" w:hAnsi="Times New Roman" w:cs="Times New Roman"/>
        </w:rPr>
      </w:pPr>
    </w:p>
    <w:p w:rsidRPr="00BE0600" w:rsidR="00E5678A" w:rsidP="00462145" w:rsidRDefault="00AA02C1" w14:paraId="4E110B97" w14:textId="3465E1B7">
      <w:pPr>
        <w:tabs>
          <w:tab w:val="left" w:pos="450"/>
        </w:tabs>
        <w:rPr>
          <w:rFonts w:cs="Times New Roman" w:asciiTheme="minorHAnsi" w:hAnsiTheme="minorHAnsi"/>
          <w:b/>
          <w:bCs/>
        </w:rPr>
      </w:pPr>
      <w:r w:rsidRPr="00BE0600">
        <w:rPr>
          <w:rFonts w:cs="Times New Roman" w:asciiTheme="minorHAnsi" w:hAnsiTheme="minorHAnsi"/>
          <w:b/>
          <w:bCs/>
        </w:rPr>
        <w:t>List of Attachments</w:t>
      </w:r>
    </w:p>
    <w:p w:rsidRPr="00BE0600" w:rsidR="00AA02C1" w:rsidP="00462145" w:rsidRDefault="00AA02C1" w14:paraId="066BF55D" w14:textId="77777777">
      <w:pPr>
        <w:tabs>
          <w:tab w:val="left" w:pos="450"/>
        </w:tabs>
        <w:rPr>
          <w:rFonts w:cs="Times New Roman" w:asciiTheme="minorHAnsi" w:hAnsiTheme="minorHAnsi"/>
          <w:b/>
          <w:bCs/>
        </w:rPr>
      </w:pPr>
    </w:p>
    <w:p w:rsidR="0050404C" w:rsidP="009E2F33" w:rsidRDefault="00DF1691" w14:paraId="3B55F860" w14:textId="44B1C3B5">
      <w:pPr>
        <w:rPr>
          <w:rFonts w:cs="Times New Roman" w:asciiTheme="minorHAnsi" w:hAnsiTheme="minorHAnsi"/>
        </w:rPr>
      </w:pPr>
      <w:r>
        <w:rPr>
          <w:rFonts w:cs="Times New Roman" w:asciiTheme="minorHAnsi" w:hAnsiTheme="minorHAnsi"/>
        </w:rPr>
        <w:t xml:space="preserve">Att. 1 </w:t>
      </w:r>
      <w:r w:rsidR="00956349">
        <w:rPr>
          <w:rFonts w:cs="Times New Roman" w:asciiTheme="minorHAnsi" w:hAnsiTheme="minorHAnsi"/>
        </w:rPr>
        <w:t>MEC FollowUp_Letter_02242022</w:t>
      </w:r>
    </w:p>
    <w:p w:rsidR="00DF1691" w:rsidP="009E2F33" w:rsidRDefault="00DF1691" w14:paraId="72ADCEA4" w14:textId="7D255F58">
      <w:pPr>
        <w:rPr>
          <w:rFonts w:cs="Times New Roman" w:asciiTheme="minorHAnsi" w:hAnsiTheme="minorHAnsi"/>
        </w:rPr>
      </w:pPr>
      <w:r>
        <w:rPr>
          <w:rFonts w:cs="Times New Roman" w:asciiTheme="minorHAnsi" w:hAnsiTheme="minorHAnsi"/>
        </w:rPr>
        <w:t>Att. 2 NHANES_Follow_up_Questionnaire_v</w:t>
      </w:r>
      <w:r w:rsidR="007C5B9C">
        <w:rPr>
          <w:rFonts w:cs="Times New Roman" w:asciiTheme="minorHAnsi" w:hAnsiTheme="minorHAnsi"/>
        </w:rPr>
        <w:t>9</w:t>
      </w:r>
      <w:r>
        <w:rPr>
          <w:rFonts w:cs="Times New Roman" w:asciiTheme="minorHAnsi" w:hAnsiTheme="minorHAnsi"/>
        </w:rPr>
        <w:t>_</w:t>
      </w:r>
      <w:r w:rsidR="007C5B9C">
        <w:rPr>
          <w:rFonts w:cs="Times New Roman" w:asciiTheme="minorHAnsi" w:hAnsiTheme="minorHAnsi"/>
        </w:rPr>
        <w:t>0410</w:t>
      </w:r>
      <w:r>
        <w:rPr>
          <w:rFonts w:cs="Times New Roman" w:asciiTheme="minorHAnsi" w:hAnsiTheme="minorHAnsi"/>
        </w:rPr>
        <w:t>2022</w:t>
      </w:r>
    </w:p>
    <w:p w:rsidR="0050404C" w:rsidP="004D2A75" w:rsidRDefault="00DF1691" w14:paraId="34EF4C7F" w14:textId="4CBF8F18">
      <w:pPr>
        <w:rPr>
          <w:rFonts w:cs="Times New Roman" w:asciiTheme="minorHAnsi" w:hAnsiTheme="minorHAnsi"/>
        </w:rPr>
      </w:pPr>
      <w:r>
        <w:rPr>
          <w:rFonts w:cs="Times New Roman" w:asciiTheme="minorHAnsi" w:hAnsiTheme="minorHAnsi"/>
        </w:rPr>
        <w:t xml:space="preserve">Att. 3 </w:t>
      </w:r>
      <w:r w:rsidR="00956349">
        <w:rPr>
          <w:rFonts w:cs="Times New Roman" w:asciiTheme="minorHAnsi" w:hAnsiTheme="minorHAnsi"/>
        </w:rPr>
        <w:t>MEC Refusers_Letter_02242022</w:t>
      </w:r>
    </w:p>
    <w:p w:rsidRPr="00973677" w:rsidR="00956349" w:rsidP="004D2A75" w:rsidRDefault="00DF1691" w14:paraId="6E1A8615" w14:textId="1308DB86">
      <w:pPr>
        <w:rPr>
          <w:rFonts w:cs="Times New Roman" w:asciiTheme="minorHAnsi" w:hAnsiTheme="minorHAnsi"/>
        </w:rPr>
      </w:pPr>
      <w:r>
        <w:rPr>
          <w:rFonts w:cs="Times New Roman" w:asciiTheme="minorHAnsi" w:hAnsiTheme="minorHAnsi"/>
        </w:rPr>
        <w:t xml:space="preserve">Att. 4 </w:t>
      </w:r>
      <w:r w:rsidR="00956349">
        <w:rPr>
          <w:rFonts w:cs="Times New Roman" w:asciiTheme="minorHAnsi" w:hAnsiTheme="minorHAnsi"/>
        </w:rPr>
        <w:t>NHANES_Refuser_No_Show_v</w:t>
      </w:r>
      <w:r w:rsidR="007C5B9C">
        <w:rPr>
          <w:rFonts w:cs="Times New Roman" w:asciiTheme="minorHAnsi" w:hAnsiTheme="minorHAnsi"/>
        </w:rPr>
        <w:t>8</w:t>
      </w:r>
      <w:r w:rsidR="00956349">
        <w:rPr>
          <w:rFonts w:cs="Times New Roman" w:asciiTheme="minorHAnsi" w:hAnsiTheme="minorHAnsi"/>
        </w:rPr>
        <w:t>_</w:t>
      </w:r>
      <w:r w:rsidR="007C5B9C">
        <w:rPr>
          <w:rFonts w:cs="Times New Roman" w:asciiTheme="minorHAnsi" w:hAnsiTheme="minorHAnsi"/>
        </w:rPr>
        <w:t>0410</w:t>
      </w:r>
      <w:r w:rsidR="00956349">
        <w:rPr>
          <w:rFonts w:cs="Times New Roman" w:asciiTheme="minorHAnsi" w:hAnsiTheme="minorHAnsi"/>
        </w:rPr>
        <w:t>2022</w:t>
      </w:r>
    </w:p>
    <w:sectPr w:rsidRPr="00973677" w:rsidR="00956349" w:rsidSect="00A574B5">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7A4C" w14:textId="77777777" w:rsidR="00275699" w:rsidRDefault="00275699">
      <w:r>
        <w:separator/>
      </w:r>
    </w:p>
  </w:endnote>
  <w:endnote w:type="continuationSeparator" w:id="0">
    <w:p w14:paraId="6C96218E" w14:textId="77777777" w:rsidR="00275699" w:rsidRDefault="00275699">
      <w:r>
        <w:continuationSeparator/>
      </w:r>
    </w:p>
  </w:endnote>
  <w:endnote w:type="continuationNotice" w:id="1">
    <w:p w14:paraId="4174AD03" w14:textId="77777777" w:rsidR="00275699" w:rsidRDefault="00275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99D1" w14:textId="77777777" w:rsidR="006262AA" w:rsidRDefault="006262AA">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end"/>
    </w:r>
  </w:p>
  <w:p w14:paraId="6B21F1EA" w14:textId="77777777" w:rsidR="006262AA" w:rsidRDefault="006262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D2FD" w14:textId="2585D6F8" w:rsidR="006262AA" w:rsidRPr="00BA6BF0" w:rsidRDefault="006262AA">
    <w:pPr>
      <w:pStyle w:val="Footer"/>
      <w:framePr w:wrap="auto" w:vAnchor="text" w:hAnchor="margin" w:xAlign="right" w:y="1"/>
      <w:rPr>
        <w:rStyle w:val="PageNumber"/>
        <w:rFonts w:ascii="Times New Roman" w:hAnsi="Times New Roman" w:cs="Times New Roman"/>
        <w:sz w:val="24"/>
        <w:szCs w:val="24"/>
      </w:rPr>
    </w:pPr>
    <w:r w:rsidRPr="00BA6BF0">
      <w:rPr>
        <w:rStyle w:val="PageNumber"/>
        <w:rFonts w:ascii="Times New Roman" w:hAnsi="Times New Roman" w:cs="Times New Roman"/>
        <w:sz w:val="24"/>
        <w:szCs w:val="24"/>
      </w:rPr>
      <w:fldChar w:fldCharType="begin"/>
    </w:r>
    <w:r w:rsidRPr="00BA6BF0">
      <w:rPr>
        <w:rStyle w:val="PageNumber"/>
        <w:rFonts w:ascii="Times New Roman" w:hAnsi="Times New Roman" w:cs="Times New Roman"/>
        <w:sz w:val="24"/>
        <w:szCs w:val="24"/>
      </w:rPr>
      <w:instrText xml:space="preserve">PAGE  </w:instrText>
    </w:r>
    <w:r w:rsidRPr="00BA6BF0">
      <w:rPr>
        <w:rStyle w:val="PageNumber"/>
        <w:rFonts w:ascii="Times New Roman" w:hAnsi="Times New Roman" w:cs="Times New Roman"/>
        <w:sz w:val="24"/>
        <w:szCs w:val="24"/>
      </w:rPr>
      <w:fldChar w:fldCharType="separate"/>
    </w:r>
    <w:r w:rsidRPr="00BA6BF0">
      <w:rPr>
        <w:rStyle w:val="PageNumber"/>
        <w:rFonts w:ascii="Times New Roman" w:hAnsi="Times New Roman" w:cs="Times New Roman"/>
        <w:noProof/>
        <w:sz w:val="24"/>
        <w:szCs w:val="24"/>
      </w:rPr>
      <w:t>6</w:t>
    </w:r>
    <w:r w:rsidRPr="00BA6BF0">
      <w:rPr>
        <w:rStyle w:val="PageNumber"/>
        <w:rFonts w:ascii="Times New Roman" w:hAnsi="Times New Roman" w:cs="Times New Roman"/>
        <w:sz w:val="24"/>
        <w:szCs w:val="24"/>
      </w:rPr>
      <w:fldChar w:fldCharType="end"/>
    </w:r>
  </w:p>
  <w:p w14:paraId="3FD1EE34" w14:textId="77777777" w:rsidR="006262AA" w:rsidRDefault="006262AA" w:rsidP="001B64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31D3" w14:textId="77777777" w:rsidR="00A03639" w:rsidRDefault="00A03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1C1B" w14:textId="77777777" w:rsidR="00275699" w:rsidRDefault="00275699">
      <w:r>
        <w:separator/>
      </w:r>
    </w:p>
  </w:footnote>
  <w:footnote w:type="continuationSeparator" w:id="0">
    <w:p w14:paraId="4280CB87" w14:textId="77777777" w:rsidR="00275699" w:rsidRDefault="00275699">
      <w:r>
        <w:continuationSeparator/>
      </w:r>
    </w:p>
  </w:footnote>
  <w:footnote w:type="continuationNotice" w:id="1">
    <w:p w14:paraId="1E3DF867" w14:textId="77777777" w:rsidR="00275699" w:rsidRDefault="00275699"/>
  </w:footnote>
  <w:footnote w:id="2">
    <w:p w14:paraId="6CC62D3B" w14:textId="77777777" w:rsidR="00733506" w:rsidRPr="00030E39" w:rsidRDefault="00733506" w:rsidP="00733506">
      <w:pPr>
        <w:widowControl/>
        <w:autoSpaceDE/>
        <w:autoSpaceDN/>
        <w:adjustRightInd/>
        <w:rPr>
          <w:rFonts w:asciiTheme="minorHAnsi" w:hAnsiTheme="minorHAnsi" w:cstheme="minorHAnsi"/>
        </w:rPr>
      </w:pPr>
      <w:r w:rsidRPr="00080621">
        <w:rPr>
          <w:rStyle w:val="FootnoteReference"/>
          <w:rFonts w:asciiTheme="minorHAnsi" w:hAnsiTheme="minorHAnsi" w:cstheme="minorHAnsi"/>
        </w:rPr>
        <w:footnoteRef/>
      </w:r>
      <w:r w:rsidRPr="00080621">
        <w:rPr>
          <w:rFonts w:asciiTheme="minorHAnsi" w:hAnsiTheme="minorHAnsi" w:cstheme="minorHAnsi"/>
        </w:rPr>
        <w:t xml:space="preserve"> </w:t>
      </w:r>
      <w:r w:rsidRPr="00080621">
        <w:rPr>
          <w:rFonts w:asciiTheme="minorHAnsi" w:hAnsiTheme="minorHAnsi" w:cstheme="minorHAnsi"/>
          <w:sz w:val="22"/>
          <w:szCs w:val="22"/>
        </w:rPr>
        <w:t>Triplett, Timothy, Adam Safir, Kevin Wang, Rebecca Steinbach, and Simon Pratt 2002.</w:t>
      </w:r>
      <w:r>
        <w:rPr>
          <w:rFonts w:asciiTheme="minorHAnsi" w:hAnsiTheme="minorHAnsi" w:cstheme="minorHAnsi"/>
          <w:sz w:val="22"/>
          <w:szCs w:val="22"/>
        </w:rPr>
        <w:t xml:space="preserve"> </w:t>
      </w:r>
      <w:r w:rsidRPr="00080621">
        <w:rPr>
          <w:rFonts w:asciiTheme="minorHAnsi" w:hAnsiTheme="minorHAnsi" w:cstheme="minorHAnsi"/>
          <w:sz w:val="22"/>
          <w:szCs w:val="22"/>
        </w:rPr>
        <w:t>“Using a Short Follow-up Survey to Compare Respondents and Nonrespondents” Proceeding of the Joint Statistical Meetings, American Statistical Association.</w:t>
      </w:r>
    </w:p>
    <w:p w14:paraId="09C2343C" w14:textId="77777777" w:rsidR="00733506" w:rsidRPr="00080621" w:rsidRDefault="00733506" w:rsidP="00733506">
      <w:pPr>
        <w:pStyle w:val="FootnoteText"/>
        <w:rPr>
          <w:rFonts w:asciiTheme="minorHAnsi" w:hAnsiTheme="minorHAnsi" w:cstheme="minorHAnsi"/>
        </w:rPr>
      </w:pPr>
    </w:p>
  </w:footnote>
  <w:footnote w:id="3">
    <w:p w14:paraId="7A5AA8C0" w14:textId="77777777" w:rsidR="00733506" w:rsidRPr="00080621" w:rsidRDefault="00733506" w:rsidP="00733506">
      <w:pPr>
        <w:widowControl/>
        <w:autoSpaceDE/>
        <w:autoSpaceDN/>
        <w:adjustRightInd/>
        <w:rPr>
          <w:rFonts w:asciiTheme="minorHAnsi" w:hAnsiTheme="minorHAnsi" w:cstheme="minorHAnsi"/>
          <w:sz w:val="22"/>
          <w:szCs w:val="22"/>
        </w:rPr>
      </w:pPr>
      <w:r w:rsidRPr="00080621">
        <w:rPr>
          <w:rStyle w:val="FootnoteReference"/>
          <w:rFonts w:asciiTheme="minorHAnsi" w:hAnsiTheme="minorHAnsi" w:cstheme="minorHAnsi"/>
        </w:rPr>
        <w:footnoteRef/>
      </w:r>
      <w:r w:rsidRPr="00080621">
        <w:rPr>
          <w:rFonts w:asciiTheme="minorHAnsi" w:hAnsiTheme="minorHAnsi" w:cstheme="minorHAnsi"/>
        </w:rPr>
        <w:t xml:space="preserve"> </w:t>
      </w:r>
      <w:r w:rsidRPr="00080621">
        <w:rPr>
          <w:rFonts w:asciiTheme="minorHAnsi" w:hAnsiTheme="minorHAnsi" w:cstheme="minorHAnsi"/>
          <w:sz w:val="22"/>
          <w:szCs w:val="22"/>
        </w:rPr>
        <w:t>Stoop, Ineke, A.L. 2004.</w:t>
      </w:r>
      <w:r>
        <w:rPr>
          <w:rFonts w:asciiTheme="minorHAnsi" w:hAnsiTheme="minorHAnsi" w:cstheme="minorHAnsi"/>
          <w:sz w:val="22"/>
          <w:szCs w:val="22"/>
        </w:rPr>
        <w:t xml:space="preserve"> “</w:t>
      </w:r>
      <w:r w:rsidRPr="00080621">
        <w:rPr>
          <w:rFonts w:asciiTheme="minorHAnsi" w:hAnsiTheme="minorHAnsi" w:cstheme="minorHAnsi"/>
          <w:sz w:val="22"/>
          <w:szCs w:val="22"/>
        </w:rPr>
        <w:t>Surveying Nonrespondents.”</w:t>
      </w:r>
      <w:r w:rsidRPr="00030E39">
        <w:rPr>
          <w:rFonts w:asciiTheme="minorHAnsi" w:hAnsiTheme="minorHAnsi" w:cstheme="minorHAnsi"/>
          <w:sz w:val="22"/>
          <w:szCs w:val="22"/>
        </w:rPr>
        <w:t xml:space="preserve"> </w:t>
      </w:r>
      <w:r w:rsidRPr="00080621">
        <w:rPr>
          <w:rFonts w:asciiTheme="minorHAnsi" w:hAnsiTheme="minorHAnsi" w:cstheme="minorHAnsi"/>
          <w:sz w:val="22"/>
          <w:szCs w:val="22"/>
        </w:rPr>
        <w:t>Field Methods, Vol. 16, No. 1,23–54. DOI: 10.1177/1525822X03259479</w:t>
      </w:r>
    </w:p>
    <w:p w14:paraId="0308CE7B" w14:textId="77777777" w:rsidR="00733506" w:rsidRDefault="00733506" w:rsidP="007335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0D80" w14:textId="77777777" w:rsidR="00A03639" w:rsidRDefault="00A03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9C23" w14:textId="77777777" w:rsidR="00A03639" w:rsidRDefault="00A03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A8BD" w14:textId="77777777" w:rsidR="00A03639" w:rsidRDefault="00A03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4F4"/>
    <w:multiLevelType w:val="hybridMultilevel"/>
    <w:tmpl w:val="5338F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0C4C"/>
    <w:multiLevelType w:val="hybridMultilevel"/>
    <w:tmpl w:val="1836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C2CCC"/>
    <w:multiLevelType w:val="hybridMultilevel"/>
    <w:tmpl w:val="8218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528F3"/>
    <w:multiLevelType w:val="hybridMultilevel"/>
    <w:tmpl w:val="EB78165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1E1C5B58"/>
    <w:multiLevelType w:val="hybridMultilevel"/>
    <w:tmpl w:val="1840A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D900E4"/>
    <w:multiLevelType w:val="hybridMultilevel"/>
    <w:tmpl w:val="401E4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15EDE"/>
    <w:multiLevelType w:val="hybridMultilevel"/>
    <w:tmpl w:val="E8A6DC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1C72DA"/>
    <w:multiLevelType w:val="hybridMultilevel"/>
    <w:tmpl w:val="CC405E8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C7108E8"/>
    <w:multiLevelType w:val="hybridMultilevel"/>
    <w:tmpl w:val="0400B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A6F9D"/>
    <w:multiLevelType w:val="hybridMultilevel"/>
    <w:tmpl w:val="3F2AACB2"/>
    <w:lvl w:ilvl="0" w:tplc="CDE4349E">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920C9"/>
    <w:multiLevelType w:val="hybridMultilevel"/>
    <w:tmpl w:val="E79AB83C"/>
    <w:lvl w:ilvl="0" w:tplc="B6382F7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D72318"/>
    <w:multiLevelType w:val="hybridMultilevel"/>
    <w:tmpl w:val="1268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56D97"/>
    <w:multiLevelType w:val="hybridMultilevel"/>
    <w:tmpl w:val="EBD629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B14F0"/>
    <w:multiLevelType w:val="hybridMultilevel"/>
    <w:tmpl w:val="DF0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A5F38"/>
    <w:multiLevelType w:val="hybridMultilevel"/>
    <w:tmpl w:val="8604A758"/>
    <w:lvl w:ilvl="0" w:tplc="CDE4349E">
      <w:numFmt w:val="bullet"/>
      <w:lvlText w:val="•"/>
      <w:lvlJc w:val="left"/>
      <w:pPr>
        <w:ind w:left="720" w:hanging="360"/>
      </w:pPr>
      <w:rPr>
        <w:rFonts w:ascii="Courier New" w:eastAsia="Calibri"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40EC1"/>
    <w:multiLevelType w:val="hybridMultilevel"/>
    <w:tmpl w:val="60E00F8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55A43AD3"/>
    <w:multiLevelType w:val="hybridMultilevel"/>
    <w:tmpl w:val="659EF40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503F2"/>
    <w:multiLevelType w:val="hybridMultilevel"/>
    <w:tmpl w:val="B6E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647A4"/>
    <w:multiLevelType w:val="hybridMultilevel"/>
    <w:tmpl w:val="35067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D45FB"/>
    <w:multiLevelType w:val="hybridMultilevel"/>
    <w:tmpl w:val="11404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615B01"/>
    <w:multiLevelType w:val="hybridMultilevel"/>
    <w:tmpl w:val="C6AE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212AC"/>
    <w:multiLevelType w:val="hybridMultilevel"/>
    <w:tmpl w:val="19228E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7C07EF"/>
    <w:multiLevelType w:val="hybridMultilevel"/>
    <w:tmpl w:val="3664E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3609A"/>
    <w:multiLevelType w:val="hybridMultilevel"/>
    <w:tmpl w:val="DC36B9B2"/>
    <w:lvl w:ilvl="0" w:tplc="CDE4349E">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55DE8"/>
    <w:multiLevelType w:val="hybridMultilevel"/>
    <w:tmpl w:val="F27031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01C14"/>
    <w:multiLevelType w:val="hybridMultilevel"/>
    <w:tmpl w:val="D1740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814829"/>
    <w:multiLevelType w:val="hybridMultilevel"/>
    <w:tmpl w:val="8EACF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17"/>
  </w:num>
  <w:num w:numId="4">
    <w:abstractNumId w:val="13"/>
  </w:num>
  <w:num w:numId="5">
    <w:abstractNumId w:val="9"/>
  </w:num>
  <w:num w:numId="6">
    <w:abstractNumId w:val="14"/>
  </w:num>
  <w:num w:numId="7">
    <w:abstractNumId w:val="18"/>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5"/>
  </w:num>
  <w:num w:numId="13">
    <w:abstractNumId w:val="8"/>
  </w:num>
  <w:num w:numId="14">
    <w:abstractNumId w:val="2"/>
  </w:num>
  <w:num w:numId="15">
    <w:abstractNumId w:val="23"/>
  </w:num>
  <w:num w:numId="16">
    <w:abstractNumId w:val="7"/>
  </w:num>
  <w:num w:numId="17">
    <w:abstractNumId w:val="0"/>
  </w:num>
  <w:num w:numId="18">
    <w:abstractNumId w:val="6"/>
  </w:num>
  <w:num w:numId="19">
    <w:abstractNumId w:val="2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6"/>
  </w:num>
  <w:num w:numId="23">
    <w:abstractNumId w:val="15"/>
  </w:num>
  <w:num w:numId="24">
    <w:abstractNumId w:val="20"/>
  </w:num>
  <w:num w:numId="25">
    <w:abstractNumId w:val="1"/>
  </w:num>
  <w:num w:numId="26">
    <w:abstractNumId w:val="12"/>
  </w:num>
  <w:num w:numId="27">
    <w:abstractNumId w:val="24"/>
  </w:num>
  <w:num w:numId="28">
    <w:abstractNumId w:val="16"/>
  </w:num>
  <w:num w:numId="2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drawingGridHorizontalOrigin w:val="1440"/>
  <w:drawingGridVerticalOrigin w:val="1440"/>
  <w:characterSpacingControl w:val="compressPunctuation"/>
  <w:doNotValidateAgainstSchema/>
  <w:doNotDemarcateInvalidXml/>
  <w:hdrShapeDefaults>
    <o:shapedefaults v:ext="edit" spidmax="14337"/>
  </w:hdrShapeDefaults>
  <w:footnotePr>
    <w:numFmt w:val="lowerLette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70"/>
    <w:rsid w:val="00003FFA"/>
    <w:rsid w:val="000078F1"/>
    <w:rsid w:val="00010E34"/>
    <w:rsid w:val="000126AF"/>
    <w:rsid w:val="000132B8"/>
    <w:rsid w:val="00014844"/>
    <w:rsid w:val="00016F2F"/>
    <w:rsid w:val="00017634"/>
    <w:rsid w:val="000177E5"/>
    <w:rsid w:val="000203B7"/>
    <w:rsid w:val="00020F8E"/>
    <w:rsid w:val="000216F8"/>
    <w:rsid w:val="000226BB"/>
    <w:rsid w:val="00022CC2"/>
    <w:rsid w:val="00024290"/>
    <w:rsid w:val="00025DF8"/>
    <w:rsid w:val="00025F11"/>
    <w:rsid w:val="00025F62"/>
    <w:rsid w:val="00027081"/>
    <w:rsid w:val="00027D77"/>
    <w:rsid w:val="00030E39"/>
    <w:rsid w:val="00031284"/>
    <w:rsid w:val="00031C53"/>
    <w:rsid w:val="00031D85"/>
    <w:rsid w:val="00032111"/>
    <w:rsid w:val="000338B8"/>
    <w:rsid w:val="00036071"/>
    <w:rsid w:val="000370D5"/>
    <w:rsid w:val="000373EA"/>
    <w:rsid w:val="00037973"/>
    <w:rsid w:val="00037ACD"/>
    <w:rsid w:val="00040B42"/>
    <w:rsid w:val="000410D7"/>
    <w:rsid w:val="000415C6"/>
    <w:rsid w:val="0004251E"/>
    <w:rsid w:val="00042878"/>
    <w:rsid w:val="00042BC4"/>
    <w:rsid w:val="00043E3E"/>
    <w:rsid w:val="0004519E"/>
    <w:rsid w:val="00047475"/>
    <w:rsid w:val="000474CE"/>
    <w:rsid w:val="000505F9"/>
    <w:rsid w:val="00050823"/>
    <w:rsid w:val="00051E61"/>
    <w:rsid w:val="00052897"/>
    <w:rsid w:val="00052B25"/>
    <w:rsid w:val="00052B38"/>
    <w:rsid w:val="00054039"/>
    <w:rsid w:val="00055233"/>
    <w:rsid w:val="0005599E"/>
    <w:rsid w:val="0005660D"/>
    <w:rsid w:val="00060B59"/>
    <w:rsid w:val="000613D2"/>
    <w:rsid w:val="00062A6F"/>
    <w:rsid w:val="00063B8B"/>
    <w:rsid w:val="000640BC"/>
    <w:rsid w:val="00064CB7"/>
    <w:rsid w:val="00064D67"/>
    <w:rsid w:val="00065AC5"/>
    <w:rsid w:val="00066983"/>
    <w:rsid w:val="00066D20"/>
    <w:rsid w:val="00067E21"/>
    <w:rsid w:val="00071381"/>
    <w:rsid w:val="000737D4"/>
    <w:rsid w:val="000739EA"/>
    <w:rsid w:val="00075957"/>
    <w:rsid w:val="00076EFB"/>
    <w:rsid w:val="00077FDD"/>
    <w:rsid w:val="0008049D"/>
    <w:rsid w:val="00080621"/>
    <w:rsid w:val="000836CC"/>
    <w:rsid w:val="00083A0C"/>
    <w:rsid w:val="00084381"/>
    <w:rsid w:val="0008584D"/>
    <w:rsid w:val="000868D0"/>
    <w:rsid w:val="0009128F"/>
    <w:rsid w:val="00091F33"/>
    <w:rsid w:val="00093023"/>
    <w:rsid w:val="00094388"/>
    <w:rsid w:val="000960D7"/>
    <w:rsid w:val="000966F9"/>
    <w:rsid w:val="00097E59"/>
    <w:rsid w:val="00097F6B"/>
    <w:rsid w:val="000A03A3"/>
    <w:rsid w:val="000A0E26"/>
    <w:rsid w:val="000A2DBA"/>
    <w:rsid w:val="000A5C5C"/>
    <w:rsid w:val="000A6715"/>
    <w:rsid w:val="000A686B"/>
    <w:rsid w:val="000A7333"/>
    <w:rsid w:val="000B2AA9"/>
    <w:rsid w:val="000B619D"/>
    <w:rsid w:val="000B6BC2"/>
    <w:rsid w:val="000C031D"/>
    <w:rsid w:val="000C06CD"/>
    <w:rsid w:val="000C0C67"/>
    <w:rsid w:val="000C0F5F"/>
    <w:rsid w:val="000C3FB6"/>
    <w:rsid w:val="000C419C"/>
    <w:rsid w:val="000C479B"/>
    <w:rsid w:val="000C6F22"/>
    <w:rsid w:val="000C7D93"/>
    <w:rsid w:val="000C7F6C"/>
    <w:rsid w:val="000D04FF"/>
    <w:rsid w:val="000D08C5"/>
    <w:rsid w:val="000D0F43"/>
    <w:rsid w:val="000D105D"/>
    <w:rsid w:val="000D1074"/>
    <w:rsid w:val="000D2FD2"/>
    <w:rsid w:val="000D43D4"/>
    <w:rsid w:val="000D45B2"/>
    <w:rsid w:val="000D503C"/>
    <w:rsid w:val="000D5400"/>
    <w:rsid w:val="000D5541"/>
    <w:rsid w:val="000D6889"/>
    <w:rsid w:val="000D6F80"/>
    <w:rsid w:val="000D74A6"/>
    <w:rsid w:val="000E0A30"/>
    <w:rsid w:val="000E334C"/>
    <w:rsid w:val="000E349C"/>
    <w:rsid w:val="000E3EF9"/>
    <w:rsid w:val="000E3FDA"/>
    <w:rsid w:val="000E631E"/>
    <w:rsid w:val="000E668E"/>
    <w:rsid w:val="000E7FEC"/>
    <w:rsid w:val="000F20B3"/>
    <w:rsid w:val="000F3538"/>
    <w:rsid w:val="000F41E8"/>
    <w:rsid w:val="000F4883"/>
    <w:rsid w:val="000F5491"/>
    <w:rsid w:val="000F6646"/>
    <w:rsid w:val="000F66FB"/>
    <w:rsid w:val="000F7264"/>
    <w:rsid w:val="000F765D"/>
    <w:rsid w:val="00100D53"/>
    <w:rsid w:val="00101A9A"/>
    <w:rsid w:val="00102B9C"/>
    <w:rsid w:val="00104D81"/>
    <w:rsid w:val="00107639"/>
    <w:rsid w:val="0011271A"/>
    <w:rsid w:val="00115190"/>
    <w:rsid w:val="0011711C"/>
    <w:rsid w:val="001171C6"/>
    <w:rsid w:val="00117CFE"/>
    <w:rsid w:val="001205DF"/>
    <w:rsid w:val="00121C73"/>
    <w:rsid w:val="00122564"/>
    <w:rsid w:val="00123155"/>
    <w:rsid w:val="0012317F"/>
    <w:rsid w:val="001241C6"/>
    <w:rsid w:val="00125DC5"/>
    <w:rsid w:val="00125E70"/>
    <w:rsid w:val="0012693E"/>
    <w:rsid w:val="001277FD"/>
    <w:rsid w:val="0013043C"/>
    <w:rsid w:val="00131670"/>
    <w:rsid w:val="00132CF7"/>
    <w:rsid w:val="00133655"/>
    <w:rsid w:val="00133A19"/>
    <w:rsid w:val="00134CCD"/>
    <w:rsid w:val="00135C37"/>
    <w:rsid w:val="001369D6"/>
    <w:rsid w:val="00140969"/>
    <w:rsid w:val="00141717"/>
    <w:rsid w:val="0014246F"/>
    <w:rsid w:val="00143698"/>
    <w:rsid w:val="00144866"/>
    <w:rsid w:val="00144E1D"/>
    <w:rsid w:val="00144E97"/>
    <w:rsid w:val="0014504B"/>
    <w:rsid w:val="00146749"/>
    <w:rsid w:val="00147FEF"/>
    <w:rsid w:val="00152C4B"/>
    <w:rsid w:val="00153346"/>
    <w:rsid w:val="001565F6"/>
    <w:rsid w:val="00156AAA"/>
    <w:rsid w:val="00157472"/>
    <w:rsid w:val="00157988"/>
    <w:rsid w:val="00157DC1"/>
    <w:rsid w:val="001608BC"/>
    <w:rsid w:val="00161F7A"/>
    <w:rsid w:val="0016226D"/>
    <w:rsid w:val="00162878"/>
    <w:rsid w:val="00162E93"/>
    <w:rsid w:val="00164F0F"/>
    <w:rsid w:val="0016601C"/>
    <w:rsid w:val="001663F8"/>
    <w:rsid w:val="001674ED"/>
    <w:rsid w:val="00167C65"/>
    <w:rsid w:val="001711EE"/>
    <w:rsid w:val="00171ED0"/>
    <w:rsid w:val="0017205E"/>
    <w:rsid w:val="001722FA"/>
    <w:rsid w:val="001726B0"/>
    <w:rsid w:val="00172CF9"/>
    <w:rsid w:val="00172DB2"/>
    <w:rsid w:val="001730A4"/>
    <w:rsid w:val="00173312"/>
    <w:rsid w:val="00173710"/>
    <w:rsid w:val="00174FAD"/>
    <w:rsid w:val="001753B0"/>
    <w:rsid w:val="001754D3"/>
    <w:rsid w:val="00180AAA"/>
    <w:rsid w:val="00180C16"/>
    <w:rsid w:val="00180E28"/>
    <w:rsid w:val="00182662"/>
    <w:rsid w:val="00182C8C"/>
    <w:rsid w:val="00182CAC"/>
    <w:rsid w:val="001831B1"/>
    <w:rsid w:val="00185A9F"/>
    <w:rsid w:val="001860BE"/>
    <w:rsid w:val="001861A9"/>
    <w:rsid w:val="00186404"/>
    <w:rsid w:val="00187ADB"/>
    <w:rsid w:val="001902AD"/>
    <w:rsid w:val="00190A5A"/>
    <w:rsid w:val="00190EDE"/>
    <w:rsid w:val="00191191"/>
    <w:rsid w:val="00192F8E"/>
    <w:rsid w:val="001931BC"/>
    <w:rsid w:val="00193946"/>
    <w:rsid w:val="00193EE6"/>
    <w:rsid w:val="00194735"/>
    <w:rsid w:val="00194C9B"/>
    <w:rsid w:val="001951CD"/>
    <w:rsid w:val="001970F4"/>
    <w:rsid w:val="00197D6F"/>
    <w:rsid w:val="001A0ECB"/>
    <w:rsid w:val="001A1013"/>
    <w:rsid w:val="001A2907"/>
    <w:rsid w:val="001A2B45"/>
    <w:rsid w:val="001A39FD"/>
    <w:rsid w:val="001A3EB6"/>
    <w:rsid w:val="001A5019"/>
    <w:rsid w:val="001A5F6B"/>
    <w:rsid w:val="001A710D"/>
    <w:rsid w:val="001A7EC7"/>
    <w:rsid w:val="001B036F"/>
    <w:rsid w:val="001B2A18"/>
    <w:rsid w:val="001B3356"/>
    <w:rsid w:val="001B35F2"/>
    <w:rsid w:val="001B3B38"/>
    <w:rsid w:val="001B3F59"/>
    <w:rsid w:val="001B45AA"/>
    <w:rsid w:val="001B5AB3"/>
    <w:rsid w:val="001B64E8"/>
    <w:rsid w:val="001B69D0"/>
    <w:rsid w:val="001B7196"/>
    <w:rsid w:val="001B7619"/>
    <w:rsid w:val="001B7E98"/>
    <w:rsid w:val="001C137E"/>
    <w:rsid w:val="001C17E8"/>
    <w:rsid w:val="001C1F01"/>
    <w:rsid w:val="001C36A8"/>
    <w:rsid w:val="001C5696"/>
    <w:rsid w:val="001C5DDA"/>
    <w:rsid w:val="001C5FB8"/>
    <w:rsid w:val="001C7E0C"/>
    <w:rsid w:val="001C7FAB"/>
    <w:rsid w:val="001D25C2"/>
    <w:rsid w:val="001D5841"/>
    <w:rsid w:val="001D5F83"/>
    <w:rsid w:val="001D71BC"/>
    <w:rsid w:val="001D7586"/>
    <w:rsid w:val="001D78F1"/>
    <w:rsid w:val="001E0C41"/>
    <w:rsid w:val="001E1846"/>
    <w:rsid w:val="001E3294"/>
    <w:rsid w:val="001E32AD"/>
    <w:rsid w:val="001E3B77"/>
    <w:rsid w:val="001E4175"/>
    <w:rsid w:val="001E484F"/>
    <w:rsid w:val="001E59AF"/>
    <w:rsid w:val="001E6BF5"/>
    <w:rsid w:val="001E77DC"/>
    <w:rsid w:val="001F1A20"/>
    <w:rsid w:val="001F2D7A"/>
    <w:rsid w:val="001F54FE"/>
    <w:rsid w:val="00200EFD"/>
    <w:rsid w:val="00201673"/>
    <w:rsid w:val="00202F40"/>
    <w:rsid w:val="002036D3"/>
    <w:rsid w:val="00204B21"/>
    <w:rsid w:val="00205965"/>
    <w:rsid w:val="00206E8E"/>
    <w:rsid w:val="00207412"/>
    <w:rsid w:val="00211840"/>
    <w:rsid w:val="00213619"/>
    <w:rsid w:val="002152AF"/>
    <w:rsid w:val="0022295A"/>
    <w:rsid w:val="0022313A"/>
    <w:rsid w:val="00223354"/>
    <w:rsid w:val="00223F0E"/>
    <w:rsid w:val="00225121"/>
    <w:rsid w:val="002254FF"/>
    <w:rsid w:val="00226F56"/>
    <w:rsid w:val="00227ABD"/>
    <w:rsid w:val="00227EEE"/>
    <w:rsid w:val="00230B59"/>
    <w:rsid w:val="00230CBD"/>
    <w:rsid w:val="0023324D"/>
    <w:rsid w:val="00233D0E"/>
    <w:rsid w:val="002347FC"/>
    <w:rsid w:val="00235695"/>
    <w:rsid w:val="00235B0A"/>
    <w:rsid w:val="002362B6"/>
    <w:rsid w:val="00240DD2"/>
    <w:rsid w:val="00241273"/>
    <w:rsid w:val="002426D6"/>
    <w:rsid w:val="00245BC1"/>
    <w:rsid w:val="00247FC6"/>
    <w:rsid w:val="002509B7"/>
    <w:rsid w:val="00251029"/>
    <w:rsid w:val="00251079"/>
    <w:rsid w:val="00251346"/>
    <w:rsid w:val="002526ED"/>
    <w:rsid w:val="00252850"/>
    <w:rsid w:val="00254782"/>
    <w:rsid w:val="002558CA"/>
    <w:rsid w:val="00256D2B"/>
    <w:rsid w:val="002575A8"/>
    <w:rsid w:val="00260578"/>
    <w:rsid w:val="00260B43"/>
    <w:rsid w:val="00261B86"/>
    <w:rsid w:val="002629AF"/>
    <w:rsid w:val="002679EE"/>
    <w:rsid w:val="00270676"/>
    <w:rsid w:val="00270737"/>
    <w:rsid w:val="00270D55"/>
    <w:rsid w:val="00270E42"/>
    <w:rsid w:val="002711C8"/>
    <w:rsid w:val="0027133A"/>
    <w:rsid w:val="00271808"/>
    <w:rsid w:val="00273463"/>
    <w:rsid w:val="002755FC"/>
    <w:rsid w:val="00275699"/>
    <w:rsid w:val="00275CCC"/>
    <w:rsid w:val="00277E16"/>
    <w:rsid w:val="002810FF"/>
    <w:rsid w:val="00281700"/>
    <w:rsid w:val="0028321F"/>
    <w:rsid w:val="00285820"/>
    <w:rsid w:val="002872F9"/>
    <w:rsid w:val="00291ECD"/>
    <w:rsid w:val="00295141"/>
    <w:rsid w:val="002951A7"/>
    <w:rsid w:val="002951C1"/>
    <w:rsid w:val="002972DC"/>
    <w:rsid w:val="002978B4"/>
    <w:rsid w:val="002A06C0"/>
    <w:rsid w:val="002A109B"/>
    <w:rsid w:val="002A13B5"/>
    <w:rsid w:val="002A29A8"/>
    <w:rsid w:val="002A6CA4"/>
    <w:rsid w:val="002A7F32"/>
    <w:rsid w:val="002B0764"/>
    <w:rsid w:val="002B3280"/>
    <w:rsid w:val="002B3B7B"/>
    <w:rsid w:val="002B4399"/>
    <w:rsid w:val="002B5A65"/>
    <w:rsid w:val="002B6598"/>
    <w:rsid w:val="002C0AE2"/>
    <w:rsid w:val="002C0B1C"/>
    <w:rsid w:val="002C299D"/>
    <w:rsid w:val="002C2A68"/>
    <w:rsid w:val="002C3FAA"/>
    <w:rsid w:val="002C58C9"/>
    <w:rsid w:val="002C7D56"/>
    <w:rsid w:val="002D1B14"/>
    <w:rsid w:val="002D3A2E"/>
    <w:rsid w:val="002D4EC6"/>
    <w:rsid w:val="002D572A"/>
    <w:rsid w:val="002D5C1D"/>
    <w:rsid w:val="002D73B9"/>
    <w:rsid w:val="002E03A5"/>
    <w:rsid w:val="002E2220"/>
    <w:rsid w:val="002E3D06"/>
    <w:rsid w:val="002E5561"/>
    <w:rsid w:val="002E57AF"/>
    <w:rsid w:val="002F2684"/>
    <w:rsid w:val="002F2B46"/>
    <w:rsid w:val="002F2B85"/>
    <w:rsid w:val="002F50CD"/>
    <w:rsid w:val="0030001D"/>
    <w:rsid w:val="00301A16"/>
    <w:rsid w:val="00302C61"/>
    <w:rsid w:val="0030511D"/>
    <w:rsid w:val="00305203"/>
    <w:rsid w:val="00305EF0"/>
    <w:rsid w:val="00306209"/>
    <w:rsid w:val="00306269"/>
    <w:rsid w:val="003063A7"/>
    <w:rsid w:val="00307399"/>
    <w:rsid w:val="00307B60"/>
    <w:rsid w:val="003104CF"/>
    <w:rsid w:val="0031095A"/>
    <w:rsid w:val="00311FC1"/>
    <w:rsid w:val="00312A7E"/>
    <w:rsid w:val="0031487F"/>
    <w:rsid w:val="003148CE"/>
    <w:rsid w:val="00315356"/>
    <w:rsid w:val="00315B6D"/>
    <w:rsid w:val="00316F56"/>
    <w:rsid w:val="00317869"/>
    <w:rsid w:val="003179E8"/>
    <w:rsid w:val="00322A09"/>
    <w:rsid w:val="003259C0"/>
    <w:rsid w:val="00325BAB"/>
    <w:rsid w:val="003264B9"/>
    <w:rsid w:val="00332096"/>
    <w:rsid w:val="00332A94"/>
    <w:rsid w:val="00332E7F"/>
    <w:rsid w:val="0033387E"/>
    <w:rsid w:val="00334547"/>
    <w:rsid w:val="00334C55"/>
    <w:rsid w:val="00336D89"/>
    <w:rsid w:val="00337214"/>
    <w:rsid w:val="00337CBD"/>
    <w:rsid w:val="00337EFB"/>
    <w:rsid w:val="00340260"/>
    <w:rsid w:val="003410C7"/>
    <w:rsid w:val="00341B4E"/>
    <w:rsid w:val="00341CC6"/>
    <w:rsid w:val="00347338"/>
    <w:rsid w:val="00347B96"/>
    <w:rsid w:val="00347CCB"/>
    <w:rsid w:val="00350615"/>
    <w:rsid w:val="003512C3"/>
    <w:rsid w:val="00351990"/>
    <w:rsid w:val="003533D1"/>
    <w:rsid w:val="003536F6"/>
    <w:rsid w:val="00353AAD"/>
    <w:rsid w:val="003541CF"/>
    <w:rsid w:val="003544D5"/>
    <w:rsid w:val="00354D79"/>
    <w:rsid w:val="00355E47"/>
    <w:rsid w:val="00356108"/>
    <w:rsid w:val="0035685B"/>
    <w:rsid w:val="003601EA"/>
    <w:rsid w:val="00360F40"/>
    <w:rsid w:val="00361349"/>
    <w:rsid w:val="00361609"/>
    <w:rsid w:val="00361ECE"/>
    <w:rsid w:val="003626E8"/>
    <w:rsid w:val="003627A5"/>
    <w:rsid w:val="00363155"/>
    <w:rsid w:val="00364115"/>
    <w:rsid w:val="003646A5"/>
    <w:rsid w:val="00364A99"/>
    <w:rsid w:val="003655EC"/>
    <w:rsid w:val="0036564B"/>
    <w:rsid w:val="00367CB9"/>
    <w:rsid w:val="00370655"/>
    <w:rsid w:val="00370FB4"/>
    <w:rsid w:val="00371C08"/>
    <w:rsid w:val="00372E5A"/>
    <w:rsid w:val="00373728"/>
    <w:rsid w:val="00373CFF"/>
    <w:rsid w:val="00374573"/>
    <w:rsid w:val="003747A0"/>
    <w:rsid w:val="00376520"/>
    <w:rsid w:val="003806CD"/>
    <w:rsid w:val="00381019"/>
    <w:rsid w:val="00382220"/>
    <w:rsid w:val="0038274B"/>
    <w:rsid w:val="0038422C"/>
    <w:rsid w:val="0038457F"/>
    <w:rsid w:val="0038685F"/>
    <w:rsid w:val="00387ADB"/>
    <w:rsid w:val="00390456"/>
    <w:rsid w:val="00391A1A"/>
    <w:rsid w:val="00391C71"/>
    <w:rsid w:val="00392CB9"/>
    <w:rsid w:val="00393EAB"/>
    <w:rsid w:val="00395A03"/>
    <w:rsid w:val="00397ACA"/>
    <w:rsid w:val="003A0C47"/>
    <w:rsid w:val="003A2B1C"/>
    <w:rsid w:val="003A2C67"/>
    <w:rsid w:val="003A2DAC"/>
    <w:rsid w:val="003A6F32"/>
    <w:rsid w:val="003A7AC5"/>
    <w:rsid w:val="003B10FF"/>
    <w:rsid w:val="003B2811"/>
    <w:rsid w:val="003B6DD4"/>
    <w:rsid w:val="003C06F5"/>
    <w:rsid w:val="003C0E60"/>
    <w:rsid w:val="003C2F59"/>
    <w:rsid w:val="003C3C69"/>
    <w:rsid w:val="003C4464"/>
    <w:rsid w:val="003C628A"/>
    <w:rsid w:val="003D10F4"/>
    <w:rsid w:val="003D15F4"/>
    <w:rsid w:val="003D4119"/>
    <w:rsid w:val="003D434C"/>
    <w:rsid w:val="003D531B"/>
    <w:rsid w:val="003D670C"/>
    <w:rsid w:val="003D7015"/>
    <w:rsid w:val="003E13AD"/>
    <w:rsid w:val="003E2135"/>
    <w:rsid w:val="003E5B76"/>
    <w:rsid w:val="003E64F6"/>
    <w:rsid w:val="003E6BD5"/>
    <w:rsid w:val="003E7AA6"/>
    <w:rsid w:val="003E7BA3"/>
    <w:rsid w:val="003F236F"/>
    <w:rsid w:val="003F3D0C"/>
    <w:rsid w:val="003F5E6B"/>
    <w:rsid w:val="003F6461"/>
    <w:rsid w:val="004009FC"/>
    <w:rsid w:val="004017C8"/>
    <w:rsid w:val="004021D3"/>
    <w:rsid w:val="004030B4"/>
    <w:rsid w:val="004053DD"/>
    <w:rsid w:val="00406AB5"/>
    <w:rsid w:val="00406BCC"/>
    <w:rsid w:val="00410BC7"/>
    <w:rsid w:val="00412443"/>
    <w:rsid w:val="00412A16"/>
    <w:rsid w:val="00412F8A"/>
    <w:rsid w:val="0041387F"/>
    <w:rsid w:val="00413BDB"/>
    <w:rsid w:val="0041555E"/>
    <w:rsid w:val="0041567B"/>
    <w:rsid w:val="00415D49"/>
    <w:rsid w:val="00417B14"/>
    <w:rsid w:val="00420C68"/>
    <w:rsid w:val="004219C6"/>
    <w:rsid w:val="004221EE"/>
    <w:rsid w:val="00422F02"/>
    <w:rsid w:val="00423117"/>
    <w:rsid w:val="0042315E"/>
    <w:rsid w:val="00423A25"/>
    <w:rsid w:val="00424886"/>
    <w:rsid w:val="00425C94"/>
    <w:rsid w:val="00425F2D"/>
    <w:rsid w:val="004262F7"/>
    <w:rsid w:val="004267E3"/>
    <w:rsid w:val="004279A0"/>
    <w:rsid w:val="00430947"/>
    <w:rsid w:val="00430D6D"/>
    <w:rsid w:val="00431771"/>
    <w:rsid w:val="00432E62"/>
    <w:rsid w:val="00433FEF"/>
    <w:rsid w:val="004343D0"/>
    <w:rsid w:val="00435D44"/>
    <w:rsid w:val="004362CD"/>
    <w:rsid w:val="00437092"/>
    <w:rsid w:val="004379E8"/>
    <w:rsid w:val="00437A99"/>
    <w:rsid w:val="004409AE"/>
    <w:rsid w:val="00443D1B"/>
    <w:rsid w:val="00445BD3"/>
    <w:rsid w:val="00447003"/>
    <w:rsid w:val="004473C8"/>
    <w:rsid w:val="00450DA4"/>
    <w:rsid w:val="00452C81"/>
    <w:rsid w:val="00453168"/>
    <w:rsid w:val="0045372C"/>
    <w:rsid w:val="00454411"/>
    <w:rsid w:val="004549B2"/>
    <w:rsid w:val="0045512B"/>
    <w:rsid w:val="0045626B"/>
    <w:rsid w:val="00456741"/>
    <w:rsid w:val="004576D8"/>
    <w:rsid w:val="00457B4D"/>
    <w:rsid w:val="0046184A"/>
    <w:rsid w:val="00461C75"/>
    <w:rsid w:val="00462145"/>
    <w:rsid w:val="00464A5D"/>
    <w:rsid w:val="00464ADC"/>
    <w:rsid w:val="00465539"/>
    <w:rsid w:val="0046690B"/>
    <w:rsid w:val="00466F53"/>
    <w:rsid w:val="004672EF"/>
    <w:rsid w:val="0046736F"/>
    <w:rsid w:val="004675F0"/>
    <w:rsid w:val="00467690"/>
    <w:rsid w:val="00467BEE"/>
    <w:rsid w:val="0047121F"/>
    <w:rsid w:val="00473A63"/>
    <w:rsid w:val="0047511F"/>
    <w:rsid w:val="00475F44"/>
    <w:rsid w:val="00477037"/>
    <w:rsid w:val="00477127"/>
    <w:rsid w:val="00477144"/>
    <w:rsid w:val="00480082"/>
    <w:rsid w:val="0048140B"/>
    <w:rsid w:val="004832B4"/>
    <w:rsid w:val="00484892"/>
    <w:rsid w:val="00485C65"/>
    <w:rsid w:val="004868DF"/>
    <w:rsid w:val="00487FC3"/>
    <w:rsid w:val="00490505"/>
    <w:rsid w:val="00493C79"/>
    <w:rsid w:val="00495EE4"/>
    <w:rsid w:val="004961C8"/>
    <w:rsid w:val="00497915"/>
    <w:rsid w:val="004A1226"/>
    <w:rsid w:val="004A22DF"/>
    <w:rsid w:val="004A2ABA"/>
    <w:rsid w:val="004A328E"/>
    <w:rsid w:val="004A50D3"/>
    <w:rsid w:val="004A518D"/>
    <w:rsid w:val="004A5231"/>
    <w:rsid w:val="004A58E8"/>
    <w:rsid w:val="004A5D74"/>
    <w:rsid w:val="004A7593"/>
    <w:rsid w:val="004B0175"/>
    <w:rsid w:val="004B022F"/>
    <w:rsid w:val="004B0843"/>
    <w:rsid w:val="004B2C5A"/>
    <w:rsid w:val="004B340C"/>
    <w:rsid w:val="004B472E"/>
    <w:rsid w:val="004B4DE9"/>
    <w:rsid w:val="004B7F59"/>
    <w:rsid w:val="004C1EE8"/>
    <w:rsid w:val="004C2ABA"/>
    <w:rsid w:val="004C3E62"/>
    <w:rsid w:val="004C672D"/>
    <w:rsid w:val="004C6C68"/>
    <w:rsid w:val="004C7A7C"/>
    <w:rsid w:val="004D04F8"/>
    <w:rsid w:val="004D0809"/>
    <w:rsid w:val="004D0F1C"/>
    <w:rsid w:val="004D18EA"/>
    <w:rsid w:val="004D1CDB"/>
    <w:rsid w:val="004D1D75"/>
    <w:rsid w:val="004D2A75"/>
    <w:rsid w:val="004D4128"/>
    <w:rsid w:val="004D6D46"/>
    <w:rsid w:val="004D75E7"/>
    <w:rsid w:val="004E0FA9"/>
    <w:rsid w:val="004E11D4"/>
    <w:rsid w:val="004E210E"/>
    <w:rsid w:val="004E22FE"/>
    <w:rsid w:val="004E3164"/>
    <w:rsid w:val="004E38BB"/>
    <w:rsid w:val="004E5554"/>
    <w:rsid w:val="004E68A6"/>
    <w:rsid w:val="004E6DDA"/>
    <w:rsid w:val="004F0398"/>
    <w:rsid w:val="004F1937"/>
    <w:rsid w:val="004F197F"/>
    <w:rsid w:val="004F2295"/>
    <w:rsid w:val="004F316F"/>
    <w:rsid w:val="004F4F6B"/>
    <w:rsid w:val="004F540E"/>
    <w:rsid w:val="004F5466"/>
    <w:rsid w:val="004F578E"/>
    <w:rsid w:val="004F5D8D"/>
    <w:rsid w:val="004F771A"/>
    <w:rsid w:val="00500846"/>
    <w:rsid w:val="00500F0D"/>
    <w:rsid w:val="00501864"/>
    <w:rsid w:val="00501CE0"/>
    <w:rsid w:val="00502146"/>
    <w:rsid w:val="005022BB"/>
    <w:rsid w:val="005025D1"/>
    <w:rsid w:val="005029B6"/>
    <w:rsid w:val="00502DC3"/>
    <w:rsid w:val="0050404C"/>
    <w:rsid w:val="00504BDA"/>
    <w:rsid w:val="00507B65"/>
    <w:rsid w:val="00507D1E"/>
    <w:rsid w:val="0051037E"/>
    <w:rsid w:val="00510C9F"/>
    <w:rsid w:val="005110F6"/>
    <w:rsid w:val="00511E96"/>
    <w:rsid w:val="00514106"/>
    <w:rsid w:val="00514CF9"/>
    <w:rsid w:val="00515822"/>
    <w:rsid w:val="00515F21"/>
    <w:rsid w:val="005168D6"/>
    <w:rsid w:val="00516A2C"/>
    <w:rsid w:val="0051737F"/>
    <w:rsid w:val="00517791"/>
    <w:rsid w:val="005209C8"/>
    <w:rsid w:val="00520FBD"/>
    <w:rsid w:val="00521855"/>
    <w:rsid w:val="00521D1C"/>
    <w:rsid w:val="00521F0D"/>
    <w:rsid w:val="00523DB4"/>
    <w:rsid w:val="00526125"/>
    <w:rsid w:val="0052634F"/>
    <w:rsid w:val="00527651"/>
    <w:rsid w:val="005278B0"/>
    <w:rsid w:val="00527BD6"/>
    <w:rsid w:val="00527C35"/>
    <w:rsid w:val="00527FEC"/>
    <w:rsid w:val="005300F2"/>
    <w:rsid w:val="00530D77"/>
    <w:rsid w:val="00531413"/>
    <w:rsid w:val="00533213"/>
    <w:rsid w:val="00533B65"/>
    <w:rsid w:val="00534529"/>
    <w:rsid w:val="00534FCC"/>
    <w:rsid w:val="0054067F"/>
    <w:rsid w:val="005406D7"/>
    <w:rsid w:val="00540A8E"/>
    <w:rsid w:val="00541A9B"/>
    <w:rsid w:val="00542672"/>
    <w:rsid w:val="00542B7F"/>
    <w:rsid w:val="00543E10"/>
    <w:rsid w:val="00543EDA"/>
    <w:rsid w:val="005441F3"/>
    <w:rsid w:val="005449E2"/>
    <w:rsid w:val="005452A9"/>
    <w:rsid w:val="005455E3"/>
    <w:rsid w:val="005457BD"/>
    <w:rsid w:val="00547C05"/>
    <w:rsid w:val="0055025C"/>
    <w:rsid w:val="005507B2"/>
    <w:rsid w:val="00551507"/>
    <w:rsid w:val="005522BB"/>
    <w:rsid w:val="00553650"/>
    <w:rsid w:val="005556FC"/>
    <w:rsid w:val="005569FB"/>
    <w:rsid w:val="00557CB4"/>
    <w:rsid w:val="00562EB7"/>
    <w:rsid w:val="00563BA8"/>
    <w:rsid w:val="0056438B"/>
    <w:rsid w:val="00564862"/>
    <w:rsid w:val="00564F62"/>
    <w:rsid w:val="00565261"/>
    <w:rsid w:val="005665C7"/>
    <w:rsid w:val="00567D24"/>
    <w:rsid w:val="005703EA"/>
    <w:rsid w:val="00571186"/>
    <w:rsid w:val="00571529"/>
    <w:rsid w:val="005719F9"/>
    <w:rsid w:val="0057494C"/>
    <w:rsid w:val="005749FF"/>
    <w:rsid w:val="00574B71"/>
    <w:rsid w:val="00576164"/>
    <w:rsid w:val="0058265A"/>
    <w:rsid w:val="00582807"/>
    <w:rsid w:val="00582D62"/>
    <w:rsid w:val="005842FC"/>
    <w:rsid w:val="00585F85"/>
    <w:rsid w:val="005864F9"/>
    <w:rsid w:val="005922E2"/>
    <w:rsid w:val="00593433"/>
    <w:rsid w:val="00593E67"/>
    <w:rsid w:val="00594ED3"/>
    <w:rsid w:val="00594EF6"/>
    <w:rsid w:val="00594FD7"/>
    <w:rsid w:val="00595877"/>
    <w:rsid w:val="005958B3"/>
    <w:rsid w:val="00596B09"/>
    <w:rsid w:val="005A039E"/>
    <w:rsid w:val="005A042D"/>
    <w:rsid w:val="005A0BC3"/>
    <w:rsid w:val="005A10EE"/>
    <w:rsid w:val="005A2BB0"/>
    <w:rsid w:val="005A312C"/>
    <w:rsid w:val="005A36ED"/>
    <w:rsid w:val="005A39A4"/>
    <w:rsid w:val="005A3AB0"/>
    <w:rsid w:val="005A3FC3"/>
    <w:rsid w:val="005A7D30"/>
    <w:rsid w:val="005B1434"/>
    <w:rsid w:val="005B4099"/>
    <w:rsid w:val="005B510D"/>
    <w:rsid w:val="005C0256"/>
    <w:rsid w:val="005C047C"/>
    <w:rsid w:val="005C0DC8"/>
    <w:rsid w:val="005C1404"/>
    <w:rsid w:val="005C17CE"/>
    <w:rsid w:val="005C1B5D"/>
    <w:rsid w:val="005C242E"/>
    <w:rsid w:val="005C25DD"/>
    <w:rsid w:val="005C2847"/>
    <w:rsid w:val="005C3A84"/>
    <w:rsid w:val="005C4209"/>
    <w:rsid w:val="005C61D0"/>
    <w:rsid w:val="005C63DE"/>
    <w:rsid w:val="005C645E"/>
    <w:rsid w:val="005C76F0"/>
    <w:rsid w:val="005D093D"/>
    <w:rsid w:val="005D0F66"/>
    <w:rsid w:val="005D46D3"/>
    <w:rsid w:val="005D57F9"/>
    <w:rsid w:val="005D7129"/>
    <w:rsid w:val="005E0792"/>
    <w:rsid w:val="005E0820"/>
    <w:rsid w:val="005E1825"/>
    <w:rsid w:val="005E336F"/>
    <w:rsid w:val="005E343C"/>
    <w:rsid w:val="005E3FCA"/>
    <w:rsid w:val="005E4C79"/>
    <w:rsid w:val="005E608C"/>
    <w:rsid w:val="005E739D"/>
    <w:rsid w:val="005F0BC4"/>
    <w:rsid w:val="005F2AF5"/>
    <w:rsid w:val="005F463D"/>
    <w:rsid w:val="005F48CE"/>
    <w:rsid w:val="005F57ED"/>
    <w:rsid w:val="005F730D"/>
    <w:rsid w:val="005F781C"/>
    <w:rsid w:val="00604660"/>
    <w:rsid w:val="00604FB6"/>
    <w:rsid w:val="00605070"/>
    <w:rsid w:val="0060507A"/>
    <w:rsid w:val="00605140"/>
    <w:rsid w:val="00606184"/>
    <w:rsid w:val="00607EF7"/>
    <w:rsid w:val="00610BC3"/>
    <w:rsid w:val="00612AAA"/>
    <w:rsid w:val="006139CE"/>
    <w:rsid w:val="00613F7F"/>
    <w:rsid w:val="0061541E"/>
    <w:rsid w:val="00615922"/>
    <w:rsid w:val="00617422"/>
    <w:rsid w:val="0062087E"/>
    <w:rsid w:val="00620A20"/>
    <w:rsid w:val="00621327"/>
    <w:rsid w:val="00621CC3"/>
    <w:rsid w:val="00622DCA"/>
    <w:rsid w:val="00624862"/>
    <w:rsid w:val="00624902"/>
    <w:rsid w:val="00624A47"/>
    <w:rsid w:val="00625243"/>
    <w:rsid w:val="006258A0"/>
    <w:rsid w:val="00625988"/>
    <w:rsid w:val="00625C1B"/>
    <w:rsid w:val="00625DAE"/>
    <w:rsid w:val="006262AA"/>
    <w:rsid w:val="00626F7E"/>
    <w:rsid w:val="00626FE5"/>
    <w:rsid w:val="0062798C"/>
    <w:rsid w:val="00631323"/>
    <w:rsid w:val="0063171D"/>
    <w:rsid w:val="00632555"/>
    <w:rsid w:val="00632AC4"/>
    <w:rsid w:val="006333B6"/>
    <w:rsid w:val="00635782"/>
    <w:rsid w:val="00635F61"/>
    <w:rsid w:val="006368BE"/>
    <w:rsid w:val="00636CC9"/>
    <w:rsid w:val="006435A5"/>
    <w:rsid w:val="006437E6"/>
    <w:rsid w:val="00643A95"/>
    <w:rsid w:val="00644BF4"/>
    <w:rsid w:val="00646299"/>
    <w:rsid w:val="00646EFF"/>
    <w:rsid w:val="00647B72"/>
    <w:rsid w:val="00650ACB"/>
    <w:rsid w:val="00651D21"/>
    <w:rsid w:val="006541AE"/>
    <w:rsid w:val="00654AB7"/>
    <w:rsid w:val="00654AED"/>
    <w:rsid w:val="006554EA"/>
    <w:rsid w:val="00657909"/>
    <w:rsid w:val="00661250"/>
    <w:rsid w:val="006615A8"/>
    <w:rsid w:val="00661E9A"/>
    <w:rsid w:val="00663493"/>
    <w:rsid w:val="006650B2"/>
    <w:rsid w:val="006701B9"/>
    <w:rsid w:val="00670673"/>
    <w:rsid w:val="006712E2"/>
    <w:rsid w:val="0067291B"/>
    <w:rsid w:val="0067373B"/>
    <w:rsid w:val="006746FA"/>
    <w:rsid w:val="006747CF"/>
    <w:rsid w:val="00674C99"/>
    <w:rsid w:val="006752C3"/>
    <w:rsid w:val="0067585B"/>
    <w:rsid w:val="00676CF8"/>
    <w:rsid w:val="00677690"/>
    <w:rsid w:val="006777E3"/>
    <w:rsid w:val="0068013C"/>
    <w:rsid w:val="00681A71"/>
    <w:rsid w:val="00683074"/>
    <w:rsid w:val="00683CD0"/>
    <w:rsid w:val="006847BC"/>
    <w:rsid w:val="00685373"/>
    <w:rsid w:val="00685853"/>
    <w:rsid w:val="006858C0"/>
    <w:rsid w:val="00685DD1"/>
    <w:rsid w:val="00687B78"/>
    <w:rsid w:val="0069191C"/>
    <w:rsid w:val="006931DD"/>
    <w:rsid w:val="00695623"/>
    <w:rsid w:val="006960C9"/>
    <w:rsid w:val="0069656D"/>
    <w:rsid w:val="006A0F96"/>
    <w:rsid w:val="006A186F"/>
    <w:rsid w:val="006A2CC6"/>
    <w:rsid w:val="006A3723"/>
    <w:rsid w:val="006A3927"/>
    <w:rsid w:val="006A4CD7"/>
    <w:rsid w:val="006A52A3"/>
    <w:rsid w:val="006A5761"/>
    <w:rsid w:val="006A6F93"/>
    <w:rsid w:val="006B2002"/>
    <w:rsid w:val="006B23E9"/>
    <w:rsid w:val="006B3415"/>
    <w:rsid w:val="006B3D3A"/>
    <w:rsid w:val="006B4188"/>
    <w:rsid w:val="006B451B"/>
    <w:rsid w:val="006B568A"/>
    <w:rsid w:val="006B5D83"/>
    <w:rsid w:val="006B61E0"/>
    <w:rsid w:val="006B66A6"/>
    <w:rsid w:val="006B66D4"/>
    <w:rsid w:val="006B6D31"/>
    <w:rsid w:val="006B795C"/>
    <w:rsid w:val="006C0F21"/>
    <w:rsid w:val="006C3301"/>
    <w:rsid w:val="006C3326"/>
    <w:rsid w:val="006C4F0B"/>
    <w:rsid w:val="006C7437"/>
    <w:rsid w:val="006D1049"/>
    <w:rsid w:val="006D1196"/>
    <w:rsid w:val="006D2C52"/>
    <w:rsid w:val="006D3B00"/>
    <w:rsid w:val="006D53CD"/>
    <w:rsid w:val="006D5421"/>
    <w:rsid w:val="006D6294"/>
    <w:rsid w:val="006D6B7C"/>
    <w:rsid w:val="006E0210"/>
    <w:rsid w:val="006E1530"/>
    <w:rsid w:val="006E1682"/>
    <w:rsid w:val="006E4670"/>
    <w:rsid w:val="006E4742"/>
    <w:rsid w:val="006E4B76"/>
    <w:rsid w:val="006E64D4"/>
    <w:rsid w:val="006E76EA"/>
    <w:rsid w:val="006E7F72"/>
    <w:rsid w:val="006F1B2F"/>
    <w:rsid w:val="006F2B17"/>
    <w:rsid w:val="006F3785"/>
    <w:rsid w:val="006F3960"/>
    <w:rsid w:val="006F4B4E"/>
    <w:rsid w:val="006F7AFD"/>
    <w:rsid w:val="006F7BB8"/>
    <w:rsid w:val="007009E8"/>
    <w:rsid w:val="0070494E"/>
    <w:rsid w:val="00705691"/>
    <w:rsid w:val="00705E26"/>
    <w:rsid w:val="00707437"/>
    <w:rsid w:val="00707586"/>
    <w:rsid w:val="00707B46"/>
    <w:rsid w:val="00710272"/>
    <w:rsid w:val="007136CD"/>
    <w:rsid w:val="0071394A"/>
    <w:rsid w:val="00713C84"/>
    <w:rsid w:val="00714294"/>
    <w:rsid w:val="00715897"/>
    <w:rsid w:val="00716197"/>
    <w:rsid w:val="0071632D"/>
    <w:rsid w:val="0072198D"/>
    <w:rsid w:val="00722BAC"/>
    <w:rsid w:val="007238C2"/>
    <w:rsid w:val="00724A26"/>
    <w:rsid w:val="00725475"/>
    <w:rsid w:val="007259A5"/>
    <w:rsid w:val="00732EEC"/>
    <w:rsid w:val="00733395"/>
    <w:rsid w:val="00733506"/>
    <w:rsid w:val="007338E2"/>
    <w:rsid w:val="007339CC"/>
    <w:rsid w:val="00734180"/>
    <w:rsid w:val="00736513"/>
    <w:rsid w:val="00736658"/>
    <w:rsid w:val="00736FE4"/>
    <w:rsid w:val="00737E0C"/>
    <w:rsid w:val="0074031A"/>
    <w:rsid w:val="0074163E"/>
    <w:rsid w:val="00742409"/>
    <w:rsid w:val="00742D14"/>
    <w:rsid w:val="00742E20"/>
    <w:rsid w:val="007431B9"/>
    <w:rsid w:val="007466D3"/>
    <w:rsid w:val="00746A21"/>
    <w:rsid w:val="00746F48"/>
    <w:rsid w:val="00750DD3"/>
    <w:rsid w:val="00752581"/>
    <w:rsid w:val="00752845"/>
    <w:rsid w:val="00752DC7"/>
    <w:rsid w:val="00753C1F"/>
    <w:rsid w:val="0075448E"/>
    <w:rsid w:val="0075484A"/>
    <w:rsid w:val="00754985"/>
    <w:rsid w:val="007550DD"/>
    <w:rsid w:val="00756C6B"/>
    <w:rsid w:val="00756F58"/>
    <w:rsid w:val="00756F5F"/>
    <w:rsid w:val="007574AB"/>
    <w:rsid w:val="007624AA"/>
    <w:rsid w:val="00762C2E"/>
    <w:rsid w:val="00763B6E"/>
    <w:rsid w:val="00766E76"/>
    <w:rsid w:val="00770345"/>
    <w:rsid w:val="007712EE"/>
    <w:rsid w:val="00772055"/>
    <w:rsid w:val="007722F8"/>
    <w:rsid w:val="00772EB8"/>
    <w:rsid w:val="00773744"/>
    <w:rsid w:val="00773F01"/>
    <w:rsid w:val="00774AE8"/>
    <w:rsid w:val="0077698D"/>
    <w:rsid w:val="0077717D"/>
    <w:rsid w:val="007772FA"/>
    <w:rsid w:val="00780C19"/>
    <w:rsid w:val="007817D3"/>
    <w:rsid w:val="00781E79"/>
    <w:rsid w:val="0078472E"/>
    <w:rsid w:val="0078508E"/>
    <w:rsid w:val="007851AE"/>
    <w:rsid w:val="00785E64"/>
    <w:rsid w:val="0078747F"/>
    <w:rsid w:val="00787B1D"/>
    <w:rsid w:val="00791448"/>
    <w:rsid w:val="007921CF"/>
    <w:rsid w:val="00792393"/>
    <w:rsid w:val="00792860"/>
    <w:rsid w:val="00792909"/>
    <w:rsid w:val="00792C2E"/>
    <w:rsid w:val="00793925"/>
    <w:rsid w:val="007940CA"/>
    <w:rsid w:val="0079481F"/>
    <w:rsid w:val="00794CD3"/>
    <w:rsid w:val="0079581F"/>
    <w:rsid w:val="00795FE6"/>
    <w:rsid w:val="007A0A04"/>
    <w:rsid w:val="007A0B54"/>
    <w:rsid w:val="007A2A83"/>
    <w:rsid w:val="007A2DF4"/>
    <w:rsid w:val="007A5CE2"/>
    <w:rsid w:val="007A7B7B"/>
    <w:rsid w:val="007A7CC4"/>
    <w:rsid w:val="007B2164"/>
    <w:rsid w:val="007B3798"/>
    <w:rsid w:val="007B4DD8"/>
    <w:rsid w:val="007C10DA"/>
    <w:rsid w:val="007C1482"/>
    <w:rsid w:val="007C260D"/>
    <w:rsid w:val="007C2DE2"/>
    <w:rsid w:val="007C38E5"/>
    <w:rsid w:val="007C5B9C"/>
    <w:rsid w:val="007C670F"/>
    <w:rsid w:val="007D1A3F"/>
    <w:rsid w:val="007D307B"/>
    <w:rsid w:val="007D31B7"/>
    <w:rsid w:val="007D3FF2"/>
    <w:rsid w:val="007D539E"/>
    <w:rsid w:val="007D6154"/>
    <w:rsid w:val="007D7580"/>
    <w:rsid w:val="007E0F18"/>
    <w:rsid w:val="007E1305"/>
    <w:rsid w:val="007E29F8"/>
    <w:rsid w:val="007E489B"/>
    <w:rsid w:val="007E6ED1"/>
    <w:rsid w:val="007F02AA"/>
    <w:rsid w:val="007F047E"/>
    <w:rsid w:val="007F2843"/>
    <w:rsid w:val="007F2C14"/>
    <w:rsid w:val="007F31E7"/>
    <w:rsid w:val="007F34B6"/>
    <w:rsid w:val="007F3717"/>
    <w:rsid w:val="007F3B7F"/>
    <w:rsid w:val="007F4F4B"/>
    <w:rsid w:val="007F543B"/>
    <w:rsid w:val="007F58CA"/>
    <w:rsid w:val="007F6245"/>
    <w:rsid w:val="007F7831"/>
    <w:rsid w:val="00800726"/>
    <w:rsid w:val="00800A7A"/>
    <w:rsid w:val="00800CD3"/>
    <w:rsid w:val="00800E94"/>
    <w:rsid w:val="008012CC"/>
    <w:rsid w:val="008017A6"/>
    <w:rsid w:val="008017C8"/>
    <w:rsid w:val="008021F8"/>
    <w:rsid w:val="0080291F"/>
    <w:rsid w:val="008037EF"/>
    <w:rsid w:val="008042EE"/>
    <w:rsid w:val="00805814"/>
    <w:rsid w:val="008058D6"/>
    <w:rsid w:val="00805CDE"/>
    <w:rsid w:val="00805D31"/>
    <w:rsid w:val="00806C72"/>
    <w:rsid w:val="00810011"/>
    <w:rsid w:val="00814446"/>
    <w:rsid w:val="0081710F"/>
    <w:rsid w:val="008200B0"/>
    <w:rsid w:val="00821916"/>
    <w:rsid w:val="00821B23"/>
    <w:rsid w:val="00822D74"/>
    <w:rsid w:val="008236DD"/>
    <w:rsid w:val="008260E7"/>
    <w:rsid w:val="008274B2"/>
    <w:rsid w:val="00831F60"/>
    <w:rsid w:val="008333C9"/>
    <w:rsid w:val="00834DD1"/>
    <w:rsid w:val="00835544"/>
    <w:rsid w:val="00835F67"/>
    <w:rsid w:val="00842929"/>
    <w:rsid w:val="0084319D"/>
    <w:rsid w:val="00843778"/>
    <w:rsid w:val="00843BBA"/>
    <w:rsid w:val="008441BB"/>
    <w:rsid w:val="008455E4"/>
    <w:rsid w:val="008463F4"/>
    <w:rsid w:val="00846597"/>
    <w:rsid w:val="00847B29"/>
    <w:rsid w:val="0085234A"/>
    <w:rsid w:val="00852871"/>
    <w:rsid w:val="00854982"/>
    <w:rsid w:val="008551EF"/>
    <w:rsid w:val="00857FA6"/>
    <w:rsid w:val="008603D6"/>
    <w:rsid w:val="008622A8"/>
    <w:rsid w:val="0086244E"/>
    <w:rsid w:val="0086283E"/>
    <w:rsid w:val="00862EDE"/>
    <w:rsid w:val="00862F87"/>
    <w:rsid w:val="00863B61"/>
    <w:rsid w:val="008643E5"/>
    <w:rsid w:val="00864B9F"/>
    <w:rsid w:val="00864D89"/>
    <w:rsid w:val="00865AC7"/>
    <w:rsid w:val="00866C0A"/>
    <w:rsid w:val="00867B62"/>
    <w:rsid w:val="00867F1D"/>
    <w:rsid w:val="00870044"/>
    <w:rsid w:val="00870B11"/>
    <w:rsid w:val="0087371C"/>
    <w:rsid w:val="00873F90"/>
    <w:rsid w:val="00874F26"/>
    <w:rsid w:val="008766E8"/>
    <w:rsid w:val="0088020A"/>
    <w:rsid w:val="008802DF"/>
    <w:rsid w:val="00880989"/>
    <w:rsid w:val="00881FEC"/>
    <w:rsid w:val="0088209E"/>
    <w:rsid w:val="008825B9"/>
    <w:rsid w:val="00882AA6"/>
    <w:rsid w:val="0088350A"/>
    <w:rsid w:val="0088368B"/>
    <w:rsid w:val="0088528A"/>
    <w:rsid w:val="00887C45"/>
    <w:rsid w:val="0089172C"/>
    <w:rsid w:val="008921E1"/>
    <w:rsid w:val="008930D1"/>
    <w:rsid w:val="00893718"/>
    <w:rsid w:val="008941C0"/>
    <w:rsid w:val="00894203"/>
    <w:rsid w:val="0089448D"/>
    <w:rsid w:val="00894F48"/>
    <w:rsid w:val="008952BE"/>
    <w:rsid w:val="00895725"/>
    <w:rsid w:val="00895C4D"/>
    <w:rsid w:val="00895D3D"/>
    <w:rsid w:val="008960EF"/>
    <w:rsid w:val="008A065B"/>
    <w:rsid w:val="008A2609"/>
    <w:rsid w:val="008A2BFE"/>
    <w:rsid w:val="008A7E1D"/>
    <w:rsid w:val="008B04E9"/>
    <w:rsid w:val="008B06EF"/>
    <w:rsid w:val="008B1605"/>
    <w:rsid w:val="008B269E"/>
    <w:rsid w:val="008B466A"/>
    <w:rsid w:val="008B50B7"/>
    <w:rsid w:val="008B5518"/>
    <w:rsid w:val="008B62D8"/>
    <w:rsid w:val="008B7FE5"/>
    <w:rsid w:val="008C3082"/>
    <w:rsid w:val="008C3D10"/>
    <w:rsid w:val="008C5244"/>
    <w:rsid w:val="008C5AB7"/>
    <w:rsid w:val="008C6876"/>
    <w:rsid w:val="008C6D0A"/>
    <w:rsid w:val="008C6E6E"/>
    <w:rsid w:val="008C721F"/>
    <w:rsid w:val="008C73EC"/>
    <w:rsid w:val="008D0873"/>
    <w:rsid w:val="008D0B90"/>
    <w:rsid w:val="008D1A5B"/>
    <w:rsid w:val="008D330E"/>
    <w:rsid w:val="008D365A"/>
    <w:rsid w:val="008D3A8F"/>
    <w:rsid w:val="008D4044"/>
    <w:rsid w:val="008D4803"/>
    <w:rsid w:val="008D66B4"/>
    <w:rsid w:val="008E0265"/>
    <w:rsid w:val="008E0726"/>
    <w:rsid w:val="008E288E"/>
    <w:rsid w:val="008E2D3E"/>
    <w:rsid w:val="008E313A"/>
    <w:rsid w:val="008E55EE"/>
    <w:rsid w:val="008E5767"/>
    <w:rsid w:val="008F119A"/>
    <w:rsid w:val="008F2253"/>
    <w:rsid w:val="008F2CD5"/>
    <w:rsid w:val="008F302A"/>
    <w:rsid w:val="008F34A7"/>
    <w:rsid w:val="008F3E36"/>
    <w:rsid w:val="008F4BDB"/>
    <w:rsid w:val="008F4C76"/>
    <w:rsid w:val="008F515C"/>
    <w:rsid w:val="008F5551"/>
    <w:rsid w:val="008F5A2A"/>
    <w:rsid w:val="008F60F4"/>
    <w:rsid w:val="008F6E1B"/>
    <w:rsid w:val="00902436"/>
    <w:rsid w:val="0090263E"/>
    <w:rsid w:val="0090446C"/>
    <w:rsid w:val="009045BA"/>
    <w:rsid w:val="0091061B"/>
    <w:rsid w:val="00912B67"/>
    <w:rsid w:val="00913801"/>
    <w:rsid w:val="0091557A"/>
    <w:rsid w:val="00921F1D"/>
    <w:rsid w:val="009244CA"/>
    <w:rsid w:val="00925B13"/>
    <w:rsid w:val="00925BB0"/>
    <w:rsid w:val="009276B1"/>
    <w:rsid w:val="00927829"/>
    <w:rsid w:val="00930515"/>
    <w:rsid w:val="00931106"/>
    <w:rsid w:val="009316F0"/>
    <w:rsid w:val="00931F46"/>
    <w:rsid w:val="0093292B"/>
    <w:rsid w:val="00932D6D"/>
    <w:rsid w:val="00933D22"/>
    <w:rsid w:val="00934CFA"/>
    <w:rsid w:val="00935420"/>
    <w:rsid w:val="009361F9"/>
    <w:rsid w:val="00937834"/>
    <w:rsid w:val="0094007E"/>
    <w:rsid w:val="00940470"/>
    <w:rsid w:val="009418C9"/>
    <w:rsid w:val="009427FF"/>
    <w:rsid w:val="00942C85"/>
    <w:rsid w:val="00944F3F"/>
    <w:rsid w:val="009503E7"/>
    <w:rsid w:val="009507B5"/>
    <w:rsid w:val="00951504"/>
    <w:rsid w:val="00952C96"/>
    <w:rsid w:val="00954282"/>
    <w:rsid w:val="0095458B"/>
    <w:rsid w:val="009548FF"/>
    <w:rsid w:val="00955899"/>
    <w:rsid w:val="00956349"/>
    <w:rsid w:val="0095780E"/>
    <w:rsid w:val="00957FB0"/>
    <w:rsid w:val="009601C8"/>
    <w:rsid w:val="00960594"/>
    <w:rsid w:val="00960B8C"/>
    <w:rsid w:val="0096125D"/>
    <w:rsid w:val="00961FB4"/>
    <w:rsid w:val="00962234"/>
    <w:rsid w:val="00962B5C"/>
    <w:rsid w:val="0096372E"/>
    <w:rsid w:val="00963739"/>
    <w:rsid w:val="00964F3D"/>
    <w:rsid w:val="0096652A"/>
    <w:rsid w:val="00966816"/>
    <w:rsid w:val="00967241"/>
    <w:rsid w:val="0096727B"/>
    <w:rsid w:val="00967EB6"/>
    <w:rsid w:val="0097016E"/>
    <w:rsid w:val="0097064A"/>
    <w:rsid w:val="0097119E"/>
    <w:rsid w:val="00971AC6"/>
    <w:rsid w:val="009723F9"/>
    <w:rsid w:val="00972F7A"/>
    <w:rsid w:val="00973677"/>
    <w:rsid w:val="00974B9D"/>
    <w:rsid w:val="009775B7"/>
    <w:rsid w:val="00977938"/>
    <w:rsid w:val="009803CF"/>
    <w:rsid w:val="0098125F"/>
    <w:rsid w:val="009812F2"/>
    <w:rsid w:val="009816A9"/>
    <w:rsid w:val="009833EF"/>
    <w:rsid w:val="0098572D"/>
    <w:rsid w:val="00985AAB"/>
    <w:rsid w:val="00992C7E"/>
    <w:rsid w:val="00993603"/>
    <w:rsid w:val="009950CE"/>
    <w:rsid w:val="00995365"/>
    <w:rsid w:val="00995F7E"/>
    <w:rsid w:val="00996DD3"/>
    <w:rsid w:val="009971AE"/>
    <w:rsid w:val="00997BB1"/>
    <w:rsid w:val="00997E25"/>
    <w:rsid w:val="009A1D33"/>
    <w:rsid w:val="009A2190"/>
    <w:rsid w:val="009A3501"/>
    <w:rsid w:val="009A4736"/>
    <w:rsid w:val="009A4DFE"/>
    <w:rsid w:val="009A537B"/>
    <w:rsid w:val="009A5BE2"/>
    <w:rsid w:val="009A6216"/>
    <w:rsid w:val="009A69A7"/>
    <w:rsid w:val="009A74A9"/>
    <w:rsid w:val="009A74C3"/>
    <w:rsid w:val="009B15FD"/>
    <w:rsid w:val="009B3E66"/>
    <w:rsid w:val="009B4051"/>
    <w:rsid w:val="009B742D"/>
    <w:rsid w:val="009C0784"/>
    <w:rsid w:val="009C0A47"/>
    <w:rsid w:val="009C2070"/>
    <w:rsid w:val="009C236C"/>
    <w:rsid w:val="009C2DEA"/>
    <w:rsid w:val="009C3769"/>
    <w:rsid w:val="009C39E9"/>
    <w:rsid w:val="009C3C36"/>
    <w:rsid w:val="009C4167"/>
    <w:rsid w:val="009C4A7B"/>
    <w:rsid w:val="009C5964"/>
    <w:rsid w:val="009D0F29"/>
    <w:rsid w:val="009D166C"/>
    <w:rsid w:val="009D1AF7"/>
    <w:rsid w:val="009D323D"/>
    <w:rsid w:val="009D34B0"/>
    <w:rsid w:val="009D3571"/>
    <w:rsid w:val="009D3A54"/>
    <w:rsid w:val="009D5321"/>
    <w:rsid w:val="009D5A72"/>
    <w:rsid w:val="009D646B"/>
    <w:rsid w:val="009D6B58"/>
    <w:rsid w:val="009D78DA"/>
    <w:rsid w:val="009D7928"/>
    <w:rsid w:val="009E1BAA"/>
    <w:rsid w:val="009E21D2"/>
    <w:rsid w:val="009E2335"/>
    <w:rsid w:val="009E2AD4"/>
    <w:rsid w:val="009E2F33"/>
    <w:rsid w:val="009E3799"/>
    <w:rsid w:val="009E50D5"/>
    <w:rsid w:val="009E57C4"/>
    <w:rsid w:val="009E604A"/>
    <w:rsid w:val="009E6291"/>
    <w:rsid w:val="009E64B9"/>
    <w:rsid w:val="009F0651"/>
    <w:rsid w:val="009F0714"/>
    <w:rsid w:val="009F2EF1"/>
    <w:rsid w:val="009F54DF"/>
    <w:rsid w:val="00A016FE"/>
    <w:rsid w:val="00A02232"/>
    <w:rsid w:val="00A027C4"/>
    <w:rsid w:val="00A032BC"/>
    <w:rsid w:val="00A0336A"/>
    <w:rsid w:val="00A03639"/>
    <w:rsid w:val="00A03FF1"/>
    <w:rsid w:val="00A066CD"/>
    <w:rsid w:val="00A069F3"/>
    <w:rsid w:val="00A06B56"/>
    <w:rsid w:val="00A06CA7"/>
    <w:rsid w:val="00A101C8"/>
    <w:rsid w:val="00A10478"/>
    <w:rsid w:val="00A11850"/>
    <w:rsid w:val="00A12168"/>
    <w:rsid w:val="00A12326"/>
    <w:rsid w:val="00A12953"/>
    <w:rsid w:val="00A14BA8"/>
    <w:rsid w:val="00A14D3C"/>
    <w:rsid w:val="00A15775"/>
    <w:rsid w:val="00A20B4F"/>
    <w:rsid w:val="00A2536A"/>
    <w:rsid w:val="00A25F64"/>
    <w:rsid w:val="00A262C9"/>
    <w:rsid w:val="00A2662F"/>
    <w:rsid w:val="00A273E2"/>
    <w:rsid w:val="00A2795B"/>
    <w:rsid w:val="00A27CA1"/>
    <w:rsid w:val="00A27FF5"/>
    <w:rsid w:val="00A3034D"/>
    <w:rsid w:val="00A30AF0"/>
    <w:rsid w:val="00A31BE9"/>
    <w:rsid w:val="00A3315D"/>
    <w:rsid w:val="00A337F4"/>
    <w:rsid w:val="00A357F7"/>
    <w:rsid w:val="00A36476"/>
    <w:rsid w:val="00A36E1C"/>
    <w:rsid w:val="00A3757F"/>
    <w:rsid w:val="00A375CC"/>
    <w:rsid w:val="00A37DB9"/>
    <w:rsid w:val="00A37F4E"/>
    <w:rsid w:val="00A40976"/>
    <w:rsid w:val="00A40ADD"/>
    <w:rsid w:val="00A40EB9"/>
    <w:rsid w:val="00A417BE"/>
    <w:rsid w:val="00A429D4"/>
    <w:rsid w:val="00A42E6E"/>
    <w:rsid w:val="00A43674"/>
    <w:rsid w:val="00A44660"/>
    <w:rsid w:val="00A458DC"/>
    <w:rsid w:val="00A4673A"/>
    <w:rsid w:val="00A46C65"/>
    <w:rsid w:val="00A51171"/>
    <w:rsid w:val="00A52428"/>
    <w:rsid w:val="00A524FD"/>
    <w:rsid w:val="00A52A78"/>
    <w:rsid w:val="00A54977"/>
    <w:rsid w:val="00A5526D"/>
    <w:rsid w:val="00A55B43"/>
    <w:rsid w:val="00A562F7"/>
    <w:rsid w:val="00A574B5"/>
    <w:rsid w:val="00A57512"/>
    <w:rsid w:val="00A57B51"/>
    <w:rsid w:val="00A62422"/>
    <w:rsid w:val="00A72E55"/>
    <w:rsid w:val="00A73F3E"/>
    <w:rsid w:val="00A74D75"/>
    <w:rsid w:val="00A7711B"/>
    <w:rsid w:val="00A77230"/>
    <w:rsid w:val="00A77790"/>
    <w:rsid w:val="00A777BE"/>
    <w:rsid w:val="00A7793A"/>
    <w:rsid w:val="00A779AE"/>
    <w:rsid w:val="00A8027B"/>
    <w:rsid w:val="00A814B3"/>
    <w:rsid w:val="00A81AF1"/>
    <w:rsid w:val="00A8245B"/>
    <w:rsid w:val="00A834F2"/>
    <w:rsid w:val="00A849F5"/>
    <w:rsid w:val="00A84B4C"/>
    <w:rsid w:val="00A84EA4"/>
    <w:rsid w:val="00A85A20"/>
    <w:rsid w:val="00A85E8D"/>
    <w:rsid w:val="00A86DF1"/>
    <w:rsid w:val="00A903A5"/>
    <w:rsid w:val="00A91493"/>
    <w:rsid w:val="00A91EB8"/>
    <w:rsid w:val="00A925E9"/>
    <w:rsid w:val="00A940C2"/>
    <w:rsid w:val="00A953A8"/>
    <w:rsid w:val="00A96142"/>
    <w:rsid w:val="00A97518"/>
    <w:rsid w:val="00AA02C1"/>
    <w:rsid w:val="00AA23D6"/>
    <w:rsid w:val="00AA34EB"/>
    <w:rsid w:val="00AA3570"/>
    <w:rsid w:val="00AA4FF0"/>
    <w:rsid w:val="00AA5F0C"/>
    <w:rsid w:val="00AA6D62"/>
    <w:rsid w:val="00AA7C4B"/>
    <w:rsid w:val="00AB09F8"/>
    <w:rsid w:val="00AB0B9C"/>
    <w:rsid w:val="00AB0ED0"/>
    <w:rsid w:val="00AB18B1"/>
    <w:rsid w:val="00AB1D4E"/>
    <w:rsid w:val="00AB2AE4"/>
    <w:rsid w:val="00AB6004"/>
    <w:rsid w:val="00AC01E9"/>
    <w:rsid w:val="00AC0557"/>
    <w:rsid w:val="00AC27D8"/>
    <w:rsid w:val="00AC3C51"/>
    <w:rsid w:val="00AC4A07"/>
    <w:rsid w:val="00AC51BC"/>
    <w:rsid w:val="00AD01DE"/>
    <w:rsid w:val="00AD2A1E"/>
    <w:rsid w:val="00AD553B"/>
    <w:rsid w:val="00AD5735"/>
    <w:rsid w:val="00AD5E0F"/>
    <w:rsid w:val="00AD6CAA"/>
    <w:rsid w:val="00AD7646"/>
    <w:rsid w:val="00AE4730"/>
    <w:rsid w:val="00AF0496"/>
    <w:rsid w:val="00AF1842"/>
    <w:rsid w:val="00AF20DC"/>
    <w:rsid w:val="00AF28AD"/>
    <w:rsid w:val="00AF3509"/>
    <w:rsid w:val="00AF4014"/>
    <w:rsid w:val="00AF5611"/>
    <w:rsid w:val="00AF576A"/>
    <w:rsid w:val="00AF6ECB"/>
    <w:rsid w:val="00AF6FF3"/>
    <w:rsid w:val="00AF7A06"/>
    <w:rsid w:val="00B00783"/>
    <w:rsid w:val="00B00EDC"/>
    <w:rsid w:val="00B01254"/>
    <w:rsid w:val="00B0127A"/>
    <w:rsid w:val="00B01DFC"/>
    <w:rsid w:val="00B025CD"/>
    <w:rsid w:val="00B03671"/>
    <w:rsid w:val="00B04643"/>
    <w:rsid w:val="00B04FA0"/>
    <w:rsid w:val="00B054FE"/>
    <w:rsid w:val="00B05651"/>
    <w:rsid w:val="00B05FCB"/>
    <w:rsid w:val="00B06BC6"/>
    <w:rsid w:val="00B06E15"/>
    <w:rsid w:val="00B07AFF"/>
    <w:rsid w:val="00B10164"/>
    <w:rsid w:val="00B10FE5"/>
    <w:rsid w:val="00B11A87"/>
    <w:rsid w:val="00B12A0B"/>
    <w:rsid w:val="00B136E9"/>
    <w:rsid w:val="00B14037"/>
    <w:rsid w:val="00B148AF"/>
    <w:rsid w:val="00B14C02"/>
    <w:rsid w:val="00B14D56"/>
    <w:rsid w:val="00B15233"/>
    <w:rsid w:val="00B159B7"/>
    <w:rsid w:val="00B1630F"/>
    <w:rsid w:val="00B16A9A"/>
    <w:rsid w:val="00B16C3F"/>
    <w:rsid w:val="00B17A7C"/>
    <w:rsid w:val="00B215A2"/>
    <w:rsid w:val="00B216D2"/>
    <w:rsid w:val="00B24C96"/>
    <w:rsid w:val="00B24CBA"/>
    <w:rsid w:val="00B24F73"/>
    <w:rsid w:val="00B25672"/>
    <w:rsid w:val="00B257C2"/>
    <w:rsid w:val="00B25929"/>
    <w:rsid w:val="00B272C8"/>
    <w:rsid w:val="00B311C4"/>
    <w:rsid w:val="00B31E25"/>
    <w:rsid w:val="00B325AF"/>
    <w:rsid w:val="00B331D1"/>
    <w:rsid w:val="00B3334C"/>
    <w:rsid w:val="00B3787C"/>
    <w:rsid w:val="00B410D2"/>
    <w:rsid w:val="00B410E7"/>
    <w:rsid w:val="00B413A5"/>
    <w:rsid w:val="00B415B9"/>
    <w:rsid w:val="00B434C7"/>
    <w:rsid w:val="00B43672"/>
    <w:rsid w:val="00B465E6"/>
    <w:rsid w:val="00B46F31"/>
    <w:rsid w:val="00B46FB5"/>
    <w:rsid w:val="00B475AF"/>
    <w:rsid w:val="00B50E4C"/>
    <w:rsid w:val="00B51CB3"/>
    <w:rsid w:val="00B53C76"/>
    <w:rsid w:val="00B54281"/>
    <w:rsid w:val="00B553E2"/>
    <w:rsid w:val="00B55634"/>
    <w:rsid w:val="00B56390"/>
    <w:rsid w:val="00B565EC"/>
    <w:rsid w:val="00B56C4D"/>
    <w:rsid w:val="00B56FF4"/>
    <w:rsid w:val="00B61558"/>
    <w:rsid w:val="00B61A25"/>
    <w:rsid w:val="00B621FB"/>
    <w:rsid w:val="00B6304C"/>
    <w:rsid w:val="00B66E02"/>
    <w:rsid w:val="00B67150"/>
    <w:rsid w:val="00B67FAF"/>
    <w:rsid w:val="00B700F1"/>
    <w:rsid w:val="00B702E6"/>
    <w:rsid w:val="00B70A34"/>
    <w:rsid w:val="00B7204F"/>
    <w:rsid w:val="00B736C7"/>
    <w:rsid w:val="00B76E9D"/>
    <w:rsid w:val="00B8053A"/>
    <w:rsid w:val="00B80661"/>
    <w:rsid w:val="00B8103B"/>
    <w:rsid w:val="00B814E1"/>
    <w:rsid w:val="00B82D9B"/>
    <w:rsid w:val="00B830B7"/>
    <w:rsid w:val="00B844F0"/>
    <w:rsid w:val="00B87330"/>
    <w:rsid w:val="00B90FE4"/>
    <w:rsid w:val="00B9117B"/>
    <w:rsid w:val="00B930B7"/>
    <w:rsid w:val="00B952D6"/>
    <w:rsid w:val="00B9551A"/>
    <w:rsid w:val="00B95B50"/>
    <w:rsid w:val="00B95CD7"/>
    <w:rsid w:val="00B95F4D"/>
    <w:rsid w:val="00B966AE"/>
    <w:rsid w:val="00BA059B"/>
    <w:rsid w:val="00BA064C"/>
    <w:rsid w:val="00BA1CA5"/>
    <w:rsid w:val="00BA2194"/>
    <w:rsid w:val="00BA231C"/>
    <w:rsid w:val="00BA5005"/>
    <w:rsid w:val="00BA54B6"/>
    <w:rsid w:val="00BA66BF"/>
    <w:rsid w:val="00BA6BF0"/>
    <w:rsid w:val="00BA6DC2"/>
    <w:rsid w:val="00BB0FE7"/>
    <w:rsid w:val="00BB44C7"/>
    <w:rsid w:val="00BB45DD"/>
    <w:rsid w:val="00BB46C4"/>
    <w:rsid w:val="00BB5D69"/>
    <w:rsid w:val="00BB6F53"/>
    <w:rsid w:val="00BC17B2"/>
    <w:rsid w:val="00BC40EF"/>
    <w:rsid w:val="00BC4A5C"/>
    <w:rsid w:val="00BC4AE4"/>
    <w:rsid w:val="00BC4E31"/>
    <w:rsid w:val="00BC510E"/>
    <w:rsid w:val="00BC596A"/>
    <w:rsid w:val="00BC5EB0"/>
    <w:rsid w:val="00BC74D2"/>
    <w:rsid w:val="00BC7AEA"/>
    <w:rsid w:val="00BD06FA"/>
    <w:rsid w:val="00BD1D53"/>
    <w:rsid w:val="00BD27FD"/>
    <w:rsid w:val="00BD5C2B"/>
    <w:rsid w:val="00BD7FC1"/>
    <w:rsid w:val="00BE034D"/>
    <w:rsid w:val="00BE0600"/>
    <w:rsid w:val="00BE1FC8"/>
    <w:rsid w:val="00BE2308"/>
    <w:rsid w:val="00BE67CE"/>
    <w:rsid w:val="00BE7C43"/>
    <w:rsid w:val="00BF0997"/>
    <w:rsid w:val="00BF1FC0"/>
    <w:rsid w:val="00BF34DE"/>
    <w:rsid w:val="00BF3C9D"/>
    <w:rsid w:val="00BF434F"/>
    <w:rsid w:val="00BF4ACC"/>
    <w:rsid w:val="00BF606F"/>
    <w:rsid w:val="00BF6E7C"/>
    <w:rsid w:val="00BF6FB7"/>
    <w:rsid w:val="00C002E6"/>
    <w:rsid w:val="00C02550"/>
    <w:rsid w:val="00C02B00"/>
    <w:rsid w:val="00C036BA"/>
    <w:rsid w:val="00C0659B"/>
    <w:rsid w:val="00C0730F"/>
    <w:rsid w:val="00C0740D"/>
    <w:rsid w:val="00C07B13"/>
    <w:rsid w:val="00C10960"/>
    <w:rsid w:val="00C1173F"/>
    <w:rsid w:val="00C117A3"/>
    <w:rsid w:val="00C11CC9"/>
    <w:rsid w:val="00C1268E"/>
    <w:rsid w:val="00C12F0F"/>
    <w:rsid w:val="00C1317F"/>
    <w:rsid w:val="00C13F6E"/>
    <w:rsid w:val="00C14AC4"/>
    <w:rsid w:val="00C14B93"/>
    <w:rsid w:val="00C14DA6"/>
    <w:rsid w:val="00C158B9"/>
    <w:rsid w:val="00C161A8"/>
    <w:rsid w:val="00C16678"/>
    <w:rsid w:val="00C16DA0"/>
    <w:rsid w:val="00C1735F"/>
    <w:rsid w:val="00C17710"/>
    <w:rsid w:val="00C21E0A"/>
    <w:rsid w:val="00C2301B"/>
    <w:rsid w:val="00C234F8"/>
    <w:rsid w:val="00C23A3A"/>
    <w:rsid w:val="00C2480F"/>
    <w:rsid w:val="00C255E2"/>
    <w:rsid w:val="00C26E09"/>
    <w:rsid w:val="00C26FE6"/>
    <w:rsid w:val="00C305CE"/>
    <w:rsid w:val="00C32682"/>
    <w:rsid w:val="00C335C0"/>
    <w:rsid w:val="00C344B8"/>
    <w:rsid w:val="00C347B2"/>
    <w:rsid w:val="00C35272"/>
    <w:rsid w:val="00C3668F"/>
    <w:rsid w:val="00C367A8"/>
    <w:rsid w:val="00C369D0"/>
    <w:rsid w:val="00C36A86"/>
    <w:rsid w:val="00C36FAB"/>
    <w:rsid w:val="00C37BF0"/>
    <w:rsid w:val="00C42F8D"/>
    <w:rsid w:val="00C445EA"/>
    <w:rsid w:val="00C44FA9"/>
    <w:rsid w:val="00C46A66"/>
    <w:rsid w:val="00C4737E"/>
    <w:rsid w:val="00C50229"/>
    <w:rsid w:val="00C52E9D"/>
    <w:rsid w:val="00C530BF"/>
    <w:rsid w:val="00C543CF"/>
    <w:rsid w:val="00C54424"/>
    <w:rsid w:val="00C54C96"/>
    <w:rsid w:val="00C57608"/>
    <w:rsid w:val="00C57BF4"/>
    <w:rsid w:val="00C60A83"/>
    <w:rsid w:val="00C60D47"/>
    <w:rsid w:val="00C625F7"/>
    <w:rsid w:val="00C62B81"/>
    <w:rsid w:val="00C67279"/>
    <w:rsid w:val="00C7131D"/>
    <w:rsid w:val="00C7365B"/>
    <w:rsid w:val="00C73E85"/>
    <w:rsid w:val="00C7488A"/>
    <w:rsid w:val="00C75498"/>
    <w:rsid w:val="00C76B43"/>
    <w:rsid w:val="00C77A81"/>
    <w:rsid w:val="00C802EA"/>
    <w:rsid w:val="00C803EB"/>
    <w:rsid w:val="00C809E1"/>
    <w:rsid w:val="00C81D81"/>
    <w:rsid w:val="00C81FFA"/>
    <w:rsid w:val="00C83BC6"/>
    <w:rsid w:val="00C841B1"/>
    <w:rsid w:val="00C87EEF"/>
    <w:rsid w:val="00C87F13"/>
    <w:rsid w:val="00C907A0"/>
    <w:rsid w:val="00C914C5"/>
    <w:rsid w:val="00C91CCD"/>
    <w:rsid w:val="00C92723"/>
    <w:rsid w:val="00C935F0"/>
    <w:rsid w:val="00C94665"/>
    <w:rsid w:val="00C96192"/>
    <w:rsid w:val="00C961D6"/>
    <w:rsid w:val="00C963A9"/>
    <w:rsid w:val="00C97B31"/>
    <w:rsid w:val="00C97F48"/>
    <w:rsid w:val="00CA0D0E"/>
    <w:rsid w:val="00CA413A"/>
    <w:rsid w:val="00CA47D0"/>
    <w:rsid w:val="00CA4D38"/>
    <w:rsid w:val="00CA4E7D"/>
    <w:rsid w:val="00CA648B"/>
    <w:rsid w:val="00CA7305"/>
    <w:rsid w:val="00CA742F"/>
    <w:rsid w:val="00CB4F55"/>
    <w:rsid w:val="00CB5278"/>
    <w:rsid w:val="00CB5523"/>
    <w:rsid w:val="00CB66E8"/>
    <w:rsid w:val="00CC19A4"/>
    <w:rsid w:val="00CC2AAD"/>
    <w:rsid w:val="00CC3857"/>
    <w:rsid w:val="00CC4978"/>
    <w:rsid w:val="00CC5038"/>
    <w:rsid w:val="00CC5274"/>
    <w:rsid w:val="00CD46D6"/>
    <w:rsid w:val="00CD5118"/>
    <w:rsid w:val="00CE03DE"/>
    <w:rsid w:val="00CE047B"/>
    <w:rsid w:val="00CE1413"/>
    <w:rsid w:val="00CE1604"/>
    <w:rsid w:val="00CE3537"/>
    <w:rsid w:val="00CE35A3"/>
    <w:rsid w:val="00CE4461"/>
    <w:rsid w:val="00CE455C"/>
    <w:rsid w:val="00CE4AB6"/>
    <w:rsid w:val="00CE5394"/>
    <w:rsid w:val="00CF3F61"/>
    <w:rsid w:val="00CF422F"/>
    <w:rsid w:val="00CF47F2"/>
    <w:rsid w:val="00CF7492"/>
    <w:rsid w:val="00D00AA8"/>
    <w:rsid w:val="00D01C66"/>
    <w:rsid w:val="00D047FC"/>
    <w:rsid w:val="00D06F3C"/>
    <w:rsid w:val="00D06F3F"/>
    <w:rsid w:val="00D11684"/>
    <w:rsid w:val="00D11B8C"/>
    <w:rsid w:val="00D135D3"/>
    <w:rsid w:val="00D13C76"/>
    <w:rsid w:val="00D140EB"/>
    <w:rsid w:val="00D14283"/>
    <w:rsid w:val="00D1508B"/>
    <w:rsid w:val="00D153AE"/>
    <w:rsid w:val="00D16F2F"/>
    <w:rsid w:val="00D20704"/>
    <w:rsid w:val="00D2126D"/>
    <w:rsid w:val="00D21FF9"/>
    <w:rsid w:val="00D22260"/>
    <w:rsid w:val="00D22488"/>
    <w:rsid w:val="00D2292F"/>
    <w:rsid w:val="00D23074"/>
    <w:rsid w:val="00D23180"/>
    <w:rsid w:val="00D235D2"/>
    <w:rsid w:val="00D24B8B"/>
    <w:rsid w:val="00D3240B"/>
    <w:rsid w:val="00D3302B"/>
    <w:rsid w:val="00D3386B"/>
    <w:rsid w:val="00D354C8"/>
    <w:rsid w:val="00D37602"/>
    <w:rsid w:val="00D40203"/>
    <w:rsid w:val="00D43F5C"/>
    <w:rsid w:val="00D45CFD"/>
    <w:rsid w:val="00D4600C"/>
    <w:rsid w:val="00D4671E"/>
    <w:rsid w:val="00D47602"/>
    <w:rsid w:val="00D47F09"/>
    <w:rsid w:val="00D50578"/>
    <w:rsid w:val="00D520BB"/>
    <w:rsid w:val="00D520C5"/>
    <w:rsid w:val="00D52320"/>
    <w:rsid w:val="00D524C2"/>
    <w:rsid w:val="00D5273B"/>
    <w:rsid w:val="00D53772"/>
    <w:rsid w:val="00D53AC8"/>
    <w:rsid w:val="00D55E6B"/>
    <w:rsid w:val="00D5718B"/>
    <w:rsid w:val="00D577BE"/>
    <w:rsid w:val="00D57FA0"/>
    <w:rsid w:val="00D60073"/>
    <w:rsid w:val="00D601C6"/>
    <w:rsid w:val="00D61468"/>
    <w:rsid w:val="00D61C50"/>
    <w:rsid w:val="00D63ED8"/>
    <w:rsid w:val="00D663EA"/>
    <w:rsid w:val="00D71546"/>
    <w:rsid w:val="00D73D27"/>
    <w:rsid w:val="00D743BB"/>
    <w:rsid w:val="00D77E16"/>
    <w:rsid w:val="00D80F7A"/>
    <w:rsid w:val="00D8178C"/>
    <w:rsid w:val="00D840BE"/>
    <w:rsid w:val="00D843C4"/>
    <w:rsid w:val="00D8530C"/>
    <w:rsid w:val="00D85BE1"/>
    <w:rsid w:val="00D87678"/>
    <w:rsid w:val="00D91718"/>
    <w:rsid w:val="00D91B1B"/>
    <w:rsid w:val="00D91CA1"/>
    <w:rsid w:val="00D91D2B"/>
    <w:rsid w:val="00D92CBD"/>
    <w:rsid w:val="00D93200"/>
    <w:rsid w:val="00D93ED6"/>
    <w:rsid w:val="00D94247"/>
    <w:rsid w:val="00D958A4"/>
    <w:rsid w:val="00D95F04"/>
    <w:rsid w:val="00D97ED3"/>
    <w:rsid w:val="00DA10D6"/>
    <w:rsid w:val="00DA217C"/>
    <w:rsid w:val="00DA2AF1"/>
    <w:rsid w:val="00DA5660"/>
    <w:rsid w:val="00DA7C08"/>
    <w:rsid w:val="00DB08E2"/>
    <w:rsid w:val="00DB29EE"/>
    <w:rsid w:val="00DB31A4"/>
    <w:rsid w:val="00DB3817"/>
    <w:rsid w:val="00DB4AE5"/>
    <w:rsid w:val="00DB6611"/>
    <w:rsid w:val="00DB6709"/>
    <w:rsid w:val="00DB7DF7"/>
    <w:rsid w:val="00DB7E6F"/>
    <w:rsid w:val="00DC0094"/>
    <w:rsid w:val="00DC0682"/>
    <w:rsid w:val="00DC1350"/>
    <w:rsid w:val="00DC1E0F"/>
    <w:rsid w:val="00DC2239"/>
    <w:rsid w:val="00DC343A"/>
    <w:rsid w:val="00DC467E"/>
    <w:rsid w:val="00DC4C65"/>
    <w:rsid w:val="00DC611F"/>
    <w:rsid w:val="00DC7281"/>
    <w:rsid w:val="00DD04AA"/>
    <w:rsid w:val="00DD3362"/>
    <w:rsid w:val="00DD4CAB"/>
    <w:rsid w:val="00DD564D"/>
    <w:rsid w:val="00DD5934"/>
    <w:rsid w:val="00DD6ADA"/>
    <w:rsid w:val="00DD6E50"/>
    <w:rsid w:val="00DD783B"/>
    <w:rsid w:val="00DD7904"/>
    <w:rsid w:val="00DD7FA7"/>
    <w:rsid w:val="00DE04A2"/>
    <w:rsid w:val="00DE12B3"/>
    <w:rsid w:val="00DE1D5F"/>
    <w:rsid w:val="00DE2AD5"/>
    <w:rsid w:val="00DE5765"/>
    <w:rsid w:val="00DE600B"/>
    <w:rsid w:val="00DE6380"/>
    <w:rsid w:val="00DE67CE"/>
    <w:rsid w:val="00DE6C79"/>
    <w:rsid w:val="00DE7A62"/>
    <w:rsid w:val="00DE7C56"/>
    <w:rsid w:val="00DF0112"/>
    <w:rsid w:val="00DF0967"/>
    <w:rsid w:val="00DF0E79"/>
    <w:rsid w:val="00DF1691"/>
    <w:rsid w:val="00DF2E2D"/>
    <w:rsid w:val="00DF373A"/>
    <w:rsid w:val="00DF3796"/>
    <w:rsid w:val="00DF6391"/>
    <w:rsid w:val="00DF76CB"/>
    <w:rsid w:val="00E0189F"/>
    <w:rsid w:val="00E01F09"/>
    <w:rsid w:val="00E0252C"/>
    <w:rsid w:val="00E03461"/>
    <w:rsid w:val="00E049AE"/>
    <w:rsid w:val="00E04D5E"/>
    <w:rsid w:val="00E04D70"/>
    <w:rsid w:val="00E04EFD"/>
    <w:rsid w:val="00E06809"/>
    <w:rsid w:val="00E075CF"/>
    <w:rsid w:val="00E13898"/>
    <w:rsid w:val="00E142A7"/>
    <w:rsid w:val="00E14C8E"/>
    <w:rsid w:val="00E154E8"/>
    <w:rsid w:val="00E15B35"/>
    <w:rsid w:val="00E15D4D"/>
    <w:rsid w:val="00E175C4"/>
    <w:rsid w:val="00E20579"/>
    <w:rsid w:val="00E20C07"/>
    <w:rsid w:val="00E2124E"/>
    <w:rsid w:val="00E219AD"/>
    <w:rsid w:val="00E21EA2"/>
    <w:rsid w:val="00E22370"/>
    <w:rsid w:val="00E22A75"/>
    <w:rsid w:val="00E24A07"/>
    <w:rsid w:val="00E26126"/>
    <w:rsid w:val="00E26357"/>
    <w:rsid w:val="00E27AD0"/>
    <w:rsid w:val="00E308D6"/>
    <w:rsid w:val="00E30D1B"/>
    <w:rsid w:val="00E32FCB"/>
    <w:rsid w:val="00E335B5"/>
    <w:rsid w:val="00E337B4"/>
    <w:rsid w:val="00E339D2"/>
    <w:rsid w:val="00E33AF7"/>
    <w:rsid w:val="00E34D9E"/>
    <w:rsid w:val="00E35C25"/>
    <w:rsid w:val="00E36B12"/>
    <w:rsid w:val="00E3709A"/>
    <w:rsid w:val="00E40B71"/>
    <w:rsid w:val="00E41495"/>
    <w:rsid w:val="00E42128"/>
    <w:rsid w:val="00E423B0"/>
    <w:rsid w:val="00E42C20"/>
    <w:rsid w:val="00E447E7"/>
    <w:rsid w:val="00E47134"/>
    <w:rsid w:val="00E4773C"/>
    <w:rsid w:val="00E47B61"/>
    <w:rsid w:val="00E52043"/>
    <w:rsid w:val="00E524A2"/>
    <w:rsid w:val="00E5269F"/>
    <w:rsid w:val="00E52D24"/>
    <w:rsid w:val="00E52D79"/>
    <w:rsid w:val="00E534E2"/>
    <w:rsid w:val="00E5390D"/>
    <w:rsid w:val="00E539E6"/>
    <w:rsid w:val="00E54003"/>
    <w:rsid w:val="00E54312"/>
    <w:rsid w:val="00E546FD"/>
    <w:rsid w:val="00E5525C"/>
    <w:rsid w:val="00E5678A"/>
    <w:rsid w:val="00E57A9C"/>
    <w:rsid w:val="00E61017"/>
    <w:rsid w:val="00E614B9"/>
    <w:rsid w:val="00E62AC1"/>
    <w:rsid w:val="00E62B92"/>
    <w:rsid w:val="00E6430B"/>
    <w:rsid w:val="00E64579"/>
    <w:rsid w:val="00E65528"/>
    <w:rsid w:val="00E670BA"/>
    <w:rsid w:val="00E70547"/>
    <w:rsid w:val="00E71295"/>
    <w:rsid w:val="00E728CD"/>
    <w:rsid w:val="00E73258"/>
    <w:rsid w:val="00E75D21"/>
    <w:rsid w:val="00E76534"/>
    <w:rsid w:val="00E774DB"/>
    <w:rsid w:val="00E80F52"/>
    <w:rsid w:val="00E81DB8"/>
    <w:rsid w:val="00E82D0E"/>
    <w:rsid w:val="00E82DAD"/>
    <w:rsid w:val="00E830CE"/>
    <w:rsid w:val="00E84C85"/>
    <w:rsid w:val="00E8567B"/>
    <w:rsid w:val="00E86DE5"/>
    <w:rsid w:val="00E907E8"/>
    <w:rsid w:val="00E90826"/>
    <w:rsid w:val="00E90E90"/>
    <w:rsid w:val="00E919E5"/>
    <w:rsid w:val="00E935CA"/>
    <w:rsid w:val="00E936C4"/>
    <w:rsid w:val="00E97374"/>
    <w:rsid w:val="00E97E83"/>
    <w:rsid w:val="00EA2FFE"/>
    <w:rsid w:val="00EA35F3"/>
    <w:rsid w:val="00EA3A53"/>
    <w:rsid w:val="00EA4471"/>
    <w:rsid w:val="00EA63EE"/>
    <w:rsid w:val="00EA6D63"/>
    <w:rsid w:val="00EA759B"/>
    <w:rsid w:val="00EB0056"/>
    <w:rsid w:val="00EB11DF"/>
    <w:rsid w:val="00EB4CAD"/>
    <w:rsid w:val="00EB5003"/>
    <w:rsid w:val="00EB61B4"/>
    <w:rsid w:val="00EB77D3"/>
    <w:rsid w:val="00EC1450"/>
    <w:rsid w:val="00EC1630"/>
    <w:rsid w:val="00EC18E5"/>
    <w:rsid w:val="00EC1E63"/>
    <w:rsid w:val="00EC3CE0"/>
    <w:rsid w:val="00EC41A9"/>
    <w:rsid w:val="00EC454F"/>
    <w:rsid w:val="00EC474E"/>
    <w:rsid w:val="00EC4CF5"/>
    <w:rsid w:val="00EC5333"/>
    <w:rsid w:val="00EC6188"/>
    <w:rsid w:val="00EC6C85"/>
    <w:rsid w:val="00ED0401"/>
    <w:rsid w:val="00ED0645"/>
    <w:rsid w:val="00ED0F38"/>
    <w:rsid w:val="00ED21BB"/>
    <w:rsid w:val="00ED2260"/>
    <w:rsid w:val="00ED23DA"/>
    <w:rsid w:val="00ED2944"/>
    <w:rsid w:val="00ED2F8B"/>
    <w:rsid w:val="00ED6EC4"/>
    <w:rsid w:val="00ED7690"/>
    <w:rsid w:val="00EE0E87"/>
    <w:rsid w:val="00EE35E8"/>
    <w:rsid w:val="00EE4FDE"/>
    <w:rsid w:val="00EE55A4"/>
    <w:rsid w:val="00EE5AB3"/>
    <w:rsid w:val="00EE723B"/>
    <w:rsid w:val="00EE7928"/>
    <w:rsid w:val="00EF0F88"/>
    <w:rsid w:val="00EF1150"/>
    <w:rsid w:val="00EF6506"/>
    <w:rsid w:val="00EF687C"/>
    <w:rsid w:val="00EF6CE4"/>
    <w:rsid w:val="00EF7175"/>
    <w:rsid w:val="00F0052E"/>
    <w:rsid w:val="00F009F5"/>
    <w:rsid w:val="00F00AFC"/>
    <w:rsid w:val="00F01CAE"/>
    <w:rsid w:val="00F05C0A"/>
    <w:rsid w:val="00F0679C"/>
    <w:rsid w:val="00F07795"/>
    <w:rsid w:val="00F11505"/>
    <w:rsid w:val="00F11EAF"/>
    <w:rsid w:val="00F120FE"/>
    <w:rsid w:val="00F137F2"/>
    <w:rsid w:val="00F14FCC"/>
    <w:rsid w:val="00F15F3F"/>
    <w:rsid w:val="00F16887"/>
    <w:rsid w:val="00F16A5A"/>
    <w:rsid w:val="00F17528"/>
    <w:rsid w:val="00F17DCD"/>
    <w:rsid w:val="00F2222F"/>
    <w:rsid w:val="00F22395"/>
    <w:rsid w:val="00F22FE8"/>
    <w:rsid w:val="00F26023"/>
    <w:rsid w:val="00F27340"/>
    <w:rsid w:val="00F31A24"/>
    <w:rsid w:val="00F31A3D"/>
    <w:rsid w:val="00F327F7"/>
    <w:rsid w:val="00F33A2B"/>
    <w:rsid w:val="00F33E0E"/>
    <w:rsid w:val="00F35F7B"/>
    <w:rsid w:val="00F409EF"/>
    <w:rsid w:val="00F420AC"/>
    <w:rsid w:val="00F42417"/>
    <w:rsid w:val="00F42660"/>
    <w:rsid w:val="00F42C71"/>
    <w:rsid w:val="00F436F6"/>
    <w:rsid w:val="00F437DA"/>
    <w:rsid w:val="00F4408C"/>
    <w:rsid w:val="00F445A2"/>
    <w:rsid w:val="00F45518"/>
    <w:rsid w:val="00F45F0D"/>
    <w:rsid w:val="00F4744D"/>
    <w:rsid w:val="00F47A4F"/>
    <w:rsid w:val="00F501D5"/>
    <w:rsid w:val="00F51636"/>
    <w:rsid w:val="00F51694"/>
    <w:rsid w:val="00F53E74"/>
    <w:rsid w:val="00F549DC"/>
    <w:rsid w:val="00F56149"/>
    <w:rsid w:val="00F5675C"/>
    <w:rsid w:val="00F5690F"/>
    <w:rsid w:val="00F57B39"/>
    <w:rsid w:val="00F6095B"/>
    <w:rsid w:val="00F635AB"/>
    <w:rsid w:val="00F63FF3"/>
    <w:rsid w:val="00F647BF"/>
    <w:rsid w:val="00F672ED"/>
    <w:rsid w:val="00F67B1D"/>
    <w:rsid w:val="00F700DC"/>
    <w:rsid w:val="00F7088E"/>
    <w:rsid w:val="00F71BA2"/>
    <w:rsid w:val="00F71DF3"/>
    <w:rsid w:val="00F72641"/>
    <w:rsid w:val="00F72EE3"/>
    <w:rsid w:val="00F73E66"/>
    <w:rsid w:val="00F74797"/>
    <w:rsid w:val="00F77279"/>
    <w:rsid w:val="00F778C3"/>
    <w:rsid w:val="00F77A3D"/>
    <w:rsid w:val="00F806AB"/>
    <w:rsid w:val="00F81B4F"/>
    <w:rsid w:val="00F82736"/>
    <w:rsid w:val="00F831F3"/>
    <w:rsid w:val="00F83354"/>
    <w:rsid w:val="00F83D10"/>
    <w:rsid w:val="00F83E81"/>
    <w:rsid w:val="00F87392"/>
    <w:rsid w:val="00F9066A"/>
    <w:rsid w:val="00F91679"/>
    <w:rsid w:val="00F93582"/>
    <w:rsid w:val="00F9358F"/>
    <w:rsid w:val="00F951FA"/>
    <w:rsid w:val="00F95B9B"/>
    <w:rsid w:val="00F95C08"/>
    <w:rsid w:val="00F96706"/>
    <w:rsid w:val="00F96B7F"/>
    <w:rsid w:val="00F96D00"/>
    <w:rsid w:val="00F9772E"/>
    <w:rsid w:val="00F97F65"/>
    <w:rsid w:val="00F97FE7"/>
    <w:rsid w:val="00FA0A05"/>
    <w:rsid w:val="00FA1669"/>
    <w:rsid w:val="00FA21DB"/>
    <w:rsid w:val="00FA47E4"/>
    <w:rsid w:val="00FA4A74"/>
    <w:rsid w:val="00FA5796"/>
    <w:rsid w:val="00FA5B54"/>
    <w:rsid w:val="00FA6D40"/>
    <w:rsid w:val="00FA6E2E"/>
    <w:rsid w:val="00FA76F6"/>
    <w:rsid w:val="00FA7B0B"/>
    <w:rsid w:val="00FB103C"/>
    <w:rsid w:val="00FB14EC"/>
    <w:rsid w:val="00FB166D"/>
    <w:rsid w:val="00FB2296"/>
    <w:rsid w:val="00FB2438"/>
    <w:rsid w:val="00FB2444"/>
    <w:rsid w:val="00FB24EE"/>
    <w:rsid w:val="00FB70F7"/>
    <w:rsid w:val="00FC4F17"/>
    <w:rsid w:val="00FC5634"/>
    <w:rsid w:val="00FC7472"/>
    <w:rsid w:val="00FC7501"/>
    <w:rsid w:val="00FD1AE5"/>
    <w:rsid w:val="00FD1CE4"/>
    <w:rsid w:val="00FD27A2"/>
    <w:rsid w:val="00FD3A9F"/>
    <w:rsid w:val="00FD576B"/>
    <w:rsid w:val="00FD60F5"/>
    <w:rsid w:val="00FD695A"/>
    <w:rsid w:val="00FD76DD"/>
    <w:rsid w:val="00FE005C"/>
    <w:rsid w:val="00FE0AF9"/>
    <w:rsid w:val="00FE1C59"/>
    <w:rsid w:val="00FE205E"/>
    <w:rsid w:val="00FE24D2"/>
    <w:rsid w:val="00FE2779"/>
    <w:rsid w:val="00FE2AE6"/>
    <w:rsid w:val="00FE3CE9"/>
    <w:rsid w:val="00FE3E6E"/>
    <w:rsid w:val="00FE4958"/>
    <w:rsid w:val="00FE49BF"/>
    <w:rsid w:val="00FE4DFB"/>
    <w:rsid w:val="00FE524C"/>
    <w:rsid w:val="00FE54E1"/>
    <w:rsid w:val="00FE7355"/>
    <w:rsid w:val="00FE7470"/>
    <w:rsid w:val="00FE7790"/>
    <w:rsid w:val="00FE7CCB"/>
    <w:rsid w:val="00FF0546"/>
    <w:rsid w:val="00FF3B0F"/>
    <w:rsid w:val="00FF3CB2"/>
    <w:rsid w:val="00FF4F59"/>
    <w:rsid w:val="00FF6E6B"/>
    <w:rsid w:val="00FF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D79A19"/>
  <w15:docId w15:val="{FE48A02A-9A8A-4A6B-B3BD-AB3C7278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EEF"/>
    <w:pPr>
      <w:widowControl w:val="0"/>
      <w:autoSpaceDE w:val="0"/>
      <w:autoSpaceDN w:val="0"/>
      <w:adjustRightInd w:val="0"/>
    </w:pPr>
    <w:rPr>
      <w:rFonts w:ascii="Courier" w:hAnsi="Courier" w:cs="Courier"/>
      <w:sz w:val="24"/>
      <w:szCs w:val="24"/>
    </w:rPr>
  </w:style>
  <w:style w:type="paragraph" w:styleId="Heading2">
    <w:name w:val="heading 2"/>
    <w:basedOn w:val="Normal"/>
    <w:next w:val="Normal"/>
    <w:link w:val="Heading2Char"/>
    <w:semiHidden/>
    <w:unhideWhenUsed/>
    <w:qFormat/>
    <w:rsid w:val="00D601C6"/>
    <w:pPr>
      <w:keepNext/>
      <w:widowControl/>
      <w:autoSpaceDE/>
      <w:autoSpaceDN/>
      <w:adjustRightInd/>
      <w:spacing w:before="240" w:after="60" w:line="360" w:lineRule="auto"/>
      <w:outlineLvl w:val="1"/>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sz w:val="20"/>
      <w:szCs w:val="20"/>
    </w:rPr>
  </w:style>
  <w:style w:type="paragraph" w:styleId="BalloonText">
    <w:name w:val="Balloon Text"/>
    <w:basedOn w:val="Normal"/>
    <w:semiHidden/>
    <w:rsid w:val="00DE67CE"/>
    <w:rPr>
      <w:rFonts w:ascii="Tahoma" w:hAnsi="Tahoma" w:cs="Tahoma"/>
      <w:sz w:val="16"/>
      <w:szCs w:val="16"/>
    </w:rPr>
  </w:style>
  <w:style w:type="character" w:styleId="CommentReference">
    <w:name w:val="annotation reference"/>
    <w:rsid w:val="00DE67CE"/>
    <w:rPr>
      <w:sz w:val="16"/>
      <w:szCs w:val="16"/>
    </w:rPr>
  </w:style>
  <w:style w:type="paragraph" w:styleId="CommentText">
    <w:name w:val="annotation text"/>
    <w:basedOn w:val="Normal"/>
    <w:link w:val="CommentTextChar"/>
    <w:rsid w:val="00DE67CE"/>
    <w:rPr>
      <w:sz w:val="20"/>
      <w:szCs w:val="20"/>
    </w:rPr>
  </w:style>
  <w:style w:type="paragraph" w:styleId="CommentSubject">
    <w:name w:val="annotation subject"/>
    <w:basedOn w:val="CommentText"/>
    <w:next w:val="CommentText"/>
    <w:semiHidden/>
    <w:rsid w:val="00DE67CE"/>
    <w:rPr>
      <w:b/>
      <w:bCs/>
    </w:rPr>
  </w:style>
  <w:style w:type="table" w:styleId="TableGrid">
    <w:name w:val="Table Grid"/>
    <w:basedOn w:val="TableNormal"/>
    <w:rsid w:val="0057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052E"/>
    <w:pPr>
      <w:tabs>
        <w:tab w:val="center" w:pos="4320"/>
        <w:tab w:val="right" w:pos="8640"/>
      </w:tabs>
    </w:pPr>
  </w:style>
  <w:style w:type="paragraph" w:styleId="DocumentMap">
    <w:name w:val="Document Map"/>
    <w:basedOn w:val="Normal"/>
    <w:semiHidden/>
    <w:rsid w:val="00F0052E"/>
    <w:pPr>
      <w:shd w:val="clear" w:color="auto" w:fill="000080"/>
    </w:pPr>
    <w:rPr>
      <w:rFonts w:ascii="Tahoma" w:hAnsi="Tahoma" w:cs="Tahoma"/>
      <w:sz w:val="20"/>
      <w:szCs w:val="20"/>
    </w:rPr>
  </w:style>
  <w:style w:type="paragraph" w:styleId="Revision">
    <w:name w:val="Revision"/>
    <w:hidden/>
    <w:uiPriority w:val="99"/>
    <w:semiHidden/>
    <w:rsid w:val="006B2002"/>
    <w:rPr>
      <w:rFonts w:ascii="Courier" w:hAnsi="Courier" w:cs="Courier"/>
      <w:sz w:val="24"/>
      <w:szCs w:val="24"/>
    </w:rPr>
  </w:style>
  <w:style w:type="character" w:styleId="Hyperlink">
    <w:name w:val="Hyperlink"/>
    <w:rsid w:val="00016F2F"/>
    <w:rPr>
      <w:color w:val="0000FF"/>
      <w:u w:val="single"/>
    </w:rPr>
  </w:style>
  <w:style w:type="paragraph" w:styleId="ListParagraph">
    <w:name w:val="List Paragraph"/>
    <w:basedOn w:val="Normal"/>
    <w:uiPriority w:val="34"/>
    <w:qFormat/>
    <w:rsid w:val="00213619"/>
    <w:pPr>
      <w:ind w:left="720"/>
      <w:contextualSpacing/>
    </w:pPr>
  </w:style>
  <w:style w:type="paragraph" w:styleId="FootnoteText">
    <w:name w:val="footnote text"/>
    <w:basedOn w:val="Normal"/>
    <w:link w:val="FootnoteTextChar"/>
    <w:uiPriority w:val="99"/>
    <w:unhideWhenUsed/>
    <w:rsid w:val="005922E2"/>
    <w:rPr>
      <w:sz w:val="20"/>
      <w:szCs w:val="20"/>
    </w:rPr>
  </w:style>
  <w:style w:type="character" w:customStyle="1" w:styleId="FootnoteTextChar">
    <w:name w:val="Footnote Text Char"/>
    <w:basedOn w:val="DefaultParagraphFont"/>
    <w:link w:val="FootnoteText"/>
    <w:uiPriority w:val="99"/>
    <w:rsid w:val="005922E2"/>
    <w:rPr>
      <w:rFonts w:ascii="Courier" w:hAnsi="Courier" w:cs="Courier"/>
    </w:rPr>
  </w:style>
  <w:style w:type="character" w:styleId="FootnoteReference">
    <w:name w:val="footnote reference"/>
    <w:basedOn w:val="DefaultParagraphFont"/>
    <w:uiPriority w:val="99"/>
    <w:unhideWhenUsed/>
    <w:rsid w:val="005922E2"/>
    <w:rPr>
      <w:vertAlign w:val="superscript"/>
    </w:rPr>
  </w:style>
  <w:style w:type="character" w:customStyle="1" w:styleId="CommentTextChar">
    <w:name w:val="Comment Text Char"/>
    <w:basedOn w:val="DefaultParagraphFont"/>
    <w:link w:val="CommentText"/>
    <w:rsid w:val="003D434C"/>
    <w:rPr>
      <w:rFonts w:ascii="Courier" w:hAnsi="Courier" w:cs="Courier"/>
    </w:rPr>
  </w:style>
  <w:style w:type="character" w:customStyle="1" w:styleId="Heading2Char">
    <w:name w:val="Heading 2 Char"/>
    <w:basedOn w:val="DefaultParagraphFont"/>
    <w:link w:val="Heading2"/>
    <w:semiHidden/>
    <w:rsid w:val="00D601C6"/>
    <w:rPr>
      <w:b/>
      <w:sz w:val="24"/>
    </w:rPr>
  </w:style>
  <w:style w:type="paragraph" w:customStyle="1" w:styleId="Level1">
    <w:name w:val="Level 1"/>
    <w:rsid w:val="00D601C6"/>
    <w:pPr>
      <w:autoSpaceDE w:val="0"/>
      <w:autoSpaceDN w:val="0"/>
      <w:adjustRightInd w:val="0"/>
      <w:ind w:left="720"/>
    </w:pPr>
    <w:rPr>
      <w:szCs w:val="24"/>
    </w:rPr>
  </w:style>
  <w:style w:type="paragraph" w:customStyle="1" w:styleId="NoSpacing1">
    <w:name w:val="No Spacing1"/>
    <w:uiPriority w:val="1"/>
    <w:qFormat/>
    <w:rsid w:val="00D601C6"/>
    <w:rPr>
      <w:rFonts w:ascii="Calibri" w:eastAsia="Calibri" w:hAnsi="Calibri"/>
      <w:sz w:val="22"/>
      <w:szCs w:val="22"/>
    </w:rPr>
  </w:style>
  <w:style w:type="character" w:customStyle="1" w:styleId="cit">
    <w:name w:val="cit"/>
    <w:basedOn w:val="DefaultParagraphFont"/>
    <w:rsid w:val="00EF6CE4"/>
  </w:style>
  <w:style w:type="character" w:customStyle="1" w:styleId="fm-citation-ids-label">
    <w:name w:val="fm-citation-ids-label"/>
    <w:basedOn w:val="DefaultParagraphFont"/>
    <w:rsid w:val="00EF6CE4"/>
  </w:style>
  <w:style w:type="paragraph" w:styleId="EndnoteText">
    <w:name w:val="endnote text"/>
    <w:basedOn w:val="Normal"/>
    <w:link w:val="EndnoteTextChar"/>
    <w:uiPriority w:val="99"/>
    <w:unhideWhenUsed/>
    <w:rsid w:val="003A7AC5"/>
    <w:pPr>
      <w:widowControl/>
      <w:autoSpaceDE/>
      <w:autoSpaceDN/>
      <w:adjustRightInd/>
    </w:pPr>
    <w:rPr>
      <w:rFonts w:ascii="Times New Roman" w:eastAsiaTheme="minorHAnsi" w:hAnsi="Times New Roman" w:cs="Times New Roman"/>
      <w:sz w:val="20"/>
      <w:szCs w:val="20"/>
    </w:rPr>
  </w:style>
  <w:style w:type="character" w:customStyle="1" w:styleId="EndnoteTextChar">
    <w:name w:val="Endnote Text Char"/>
    <w:basedOn w:val="DefaultParagraphFont"/>
    <w:link w:val="EndnoteText"/>
    <w:uiPriority w:val="99"/>
    <w:rsid w:val="003A7AC5"/>
    <w:rPr>
      <w:rFonts w:eastAsiaTheme="minorHAnsi"/>
    </w:rPr>
  </w:style>
  <w:style w:type="paragraph" w:customStyle="1" w:styleId="N2-2ndBullet">
    <w:name w:val="N2-2nd Bullet"/>
    <w:basedOn w:val="Normal"/>
    <w:rsid w:val="00B14D56"/>
    <w:pPr>
      <w:widowControl/>
      <w:tabs>
        <w:tab w:val="left" w:pos="1728"/>
      </w:tabs>
      <w:autoSpaceDE/>
      <w:autoSpaceDN/>
      <w:adjustRightInd/>
      <w:spacing w:after="240" w:line="240" w:lineRule="atLeast"/>
      <w:jc w:val="both"/>
    </w:pPr>
    <w:rPr>
      <w:rFonts w:ascii="Times New Roman" w:hAnsi="Times New Roman" w:cs="Times New Roman"/>
      <w:sz w:val="22"/>
      <w:szCs w:val="20"/>
    </w:rPr>
  </w:style>
  <w:style w:type="character" w:styleId="EndnoteReference">
    <w:name w:val="endnote reference"/>
    <w:basedOn w:val="DefaultParagraphFont"/>
    <w:rsid w:val="007F7831"/>
    <w:rPr>
      <w:vertAlign w:val="superscript"/>
    </w:rPr>
  </w:style>
  <w:style w:type="character" w:styleId="UnresolvedMention">
    <w:name w:val="Unresolved Mention"/>
    <w:basedOn w:val="DefaultParagraphFont"/>
    <w:uiPriority w:val="99"/>
    <w:semiHidden/>
    <w:unhideWhenUsed/>
    <w:rsid w:val="00332096"/>
    <w:rPr>
      <w:color w:val="605E5C"/>
      <w:shd w:val="clear" w:color="auto" w:fill="E1DFDD"/>
    </w:rPr>
  </w:style>
  <w:style w:type="paragraph" w:customStyle="1" w:styleId="Style0">
    <w:name w:val="Style0"/>
    <w:rsid w:val="008042EE"/>
    <w:pPr>
      <w:autoSpaceDE w:val="0"/>
      <w:autoSpaceDN w:val="0"/>
      <w:adjustRightInd w:val="0"/>
    </w:pPr>
    <w:rPr>
      <w:rFonts w:ascii="Arial" w:hAnsi="Arial"/>
      <w:sz w:val="24"/>
      <w:szCs w:val="24"/>
    </w:rPr>
  </w:style>
  <w:style w:type="paragraph" w:styleId="BodyText">
    <w:name w:val="Body Text"/>
    <w:basedOn w:val="Normal"/>
    <w:link w:val="BodyTextChar"/>
    <w:uiPriority w:val="99"/>
    <w:rsid w:val="00B15233"/>
    <w:pPr>
      <w:keepLines/>
      <w:widowControl/>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pPr>
    <w:rPr>
      <w:rFonts w:ascii="Arial" w:hAnsi="Arial" w:cs="Times New Roman"/>
      <w:sz w:val="22"/>
      <w:szCs w:val="22"/>
    </w:rPr>
  </w:style>
  <w:style w:type="character" w:customStyle="1" w:styleId="BodyTextChar">
    <w:name w:val="Body Text Char"/>
    <w:basedOn w:val="DefaultParagraphFont"/>
    <w:link w:val="BodyText"/>
    <w:uiPriority w:val="99"/>
    <w:rsid w:val="00B15233"/>
    <w:rPr>
      <w:rFonts w:ascii="Arial" w:hAnsi="Arial"/>
      <w:sz w:val="22"/>
      <w:szCs w:val="22"/>
    </w:rPr>
  </w:style>
  <w:style w:type="character" w:customStyle="1" w:styleId="hvr">
    <w:name w:val="hvr"/>
    <w:basedOn w:val="DefaultParagraphFont"/>
    <w:rsid w:val="00F83354"/>
  </w:style>
  <w:style w:type="paragraph" w:customStyle="1" w:styleId="Default">
    <w:name w:val="Default"/>
    <w:basedOn w:val="Normal"/>
    <w:rsid w:val="001861A9"/>
    <w:pPr>
      <w:widowControl/>
      <w:adjustRightInd/>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1179">
      <w:bodyDiv w:val="1"/>
      <w:marLeft w:val="0"/>
      <w:marRight w:val="0"/>
      <w:marTop w:val="0"/>
      <w:marBottom w:val="0"/>
      <w:divBdr>
        <w:top w:val="none" w:sz="0" w:space="0" w:color="auto"/>
        <w:left w:val="none" w:sz="0" w:space="0" w:color="auto"/>
        <w:bottom w:val="none" w:sz="0" w:space="0" w:color="auto"/>
        <w:right w:val="none" w:sz="0" w:space="0" w:color="auto"/>
      </w:divBdr>
    </w:div>
    <w:div w:id="187109064">
      <w:bodyDiv w:val="1"/>
      <w:marLeft w:val="0"/>
      <w:marRight w:val="0"/>
      <w:marTop w:val="0"/>
      <w:marBottom w:val="0"/>
      <w:divBdr>
        <w:top w:val="none" w:sz="0" w:space="0" w:color="auto"/>
        <w:left w:val="none" w:sz="0" w:space="0" w:color="auto"/>
        <w:bottom w:val="none" w:sz="0" w:space="0" w:color="auto"/>
        <w:right w:val="none" w:sz="0" w:space="0" w:color="auto"/>
      </w:divBdr>
    </w:div>
    <w:div w:id="296180329">
      <w:bodyDiv w:val="1"/>
      <w:marLeft w:val="0"/>
      <w:marRight w:val="0"/>
      <w:marTop w:val="0"/>
      <w:marBottom w:val="0"/>
      <w:divBdr>
        <w:top w:val="none" w:sz="0" w:space="0" w:color="auto"/>
        <w:left w:val="none" w:sz="0" w:space="0" w:color="auto"/>
        <w:bottom w:val="none" w:sz="0" w:space="0" w:color="auto"/>
        <w:right w:val="none" w:sz="0" w:space="0" w:color="auto"/>
      </w:divBdr>
    </w:div>
    <w:div w:id="309870717">
      <w:bodyDiv w:val="1"/>
      <w:marLeft w:val="0"/>
      <w:marRight w:val="0"/>
      <w:marTop w:val="0"/>
      <w:marBottom w:val="0"/>
      <w:divBdr>
        <w:top w:val="none" w:sz="0" w:space="0" w:color="auto"/>
        <w:left w:val="none" w:sz="0" w:space="0" w:color="auto"/>
        <w:bottom w:val="none" w:sz="0" w:space="0" w:color="auto"/>
        <w:right w:val="none" w:sz="0" w:space="0" w:color="auto"/>
      </w:divBdr>
    </w:div>
    <w:div w:id="516695243">
      <w:bodyDiv w:val="1"/>
      <w:marLeft w:val="0"/>
      <w:marRight w:val="0"/>
      <w:marTop w:val="0"/>
      <w:marBottom w:val="0"/>
      <w:divBdr>
        <w:top w:val="none" w:sz="0" w:space="0" w:color="auto"/>
        <w:left w:val="none" w:sz="0" w:space="0" w:color="auto"/>
        <w:bottom w:val="none" w:sz="0" w:space="0" w:color="auto"/>
        <w:right w:val="none" w:sz="0" w:space="0" w:color="auto"/>
      </w:divBdr>
    </w:div>
    <w:div w:id="516817678">
      <w:bodyDiv w:val="1"/>
      <w:marLeft w:val="0"/>
      <w:marRight w:val="0"/>
      <w:marTop w:val="0"/>
      <w:marBottom w:val="0"/>
      <w:divBdr>
        <w:top w:val="none" w:sz="0" w:space="0" w:color="auto"/>
        <w:left w:val="none" w:sz="0" w:space="0" w:color="auto"/>
        <w:bottom w:val="none" w:sz="0" w:space="0" w:color="auto"/>
        <w:right w:val="none" w:sz="0" w:space="0" w:color="auto"/>
      </w:divBdr>
    </w:div>
    <w:div w:id="575097153">
      <w:bodyDiv w:val="1"/>
      <w:marLeft w:val="0"/>
      <w:marRight w:val="0"/>
      <w:marTop w:val="0"/>
      <w:marBottom w:val="0"/>
      <w:divBdr>
        <w:top w:val="none" w:sz="0" w:space="0" w:color="auto"/>
        <w:left w:val="none" w:sz="0" w:space="0" w:color="auto"/>
        <w:bottom w:val="none" w:sz="0" w:space="0" w:color="auto"/>
        <w:right w:val="none" w:sz="0" w:space="0" w:color="auto"/>
      </w:divBdr>
    </w:div>
    <w:div w:id="619453448">
      <w:bodyDiv w:val="1"/>
      <w:marLeft w:val="0"/>
      <w:marRight w:val="0"/>
      <w:marTop w:val="0"/>
      <w:marBottom w:val="0"/>
      <w:divBdr>
        <w:top w:val="none" w:sz="0" w:space="0" w:color="auto"/>
        <w:left w:val="none" w:sz="0" w:space="0" w:color="auto"/>
        <w:bottom w:val="none" w:sz="0" w:space="0" w:color="auto"/>
        <w:right w:val="none" w:sz="0" w:space="0" w:color="auto"/>
      </w:divBdr>
    </w:div>
    <w:div w:id="899173966">
      <w:bodyDiv w:val="1"/>
      <w:marLeft w:val="0"/>
      <w:marRight w:val="0"/>
      <w:marTop w:val="0"/>
      <w:marBottom w:val="0"/>
      <w:divBdr>
        <w:top w:val="none" w:sz="0" w:space="0" w:color="auto"/>
        <w:left w:val="none" w:sz="0" w:space="0" w:color="auto"/>
        <w:bottom w:val="none" w:sz="0" w:space="0" w:color="auto"/>
        <w:right w:val="none" w:sz="0" w:space="0" w:color="auto"/>
      </w:divBdr>
    </w:div>
    <w:div w:id="955913639">
      <w:bodyDiv w:val="1"/>
      <w:marLeft w:val="0"/>
      <w:marRight w:val="0"/>
      <w:marTop w:val="0"/>
      <w:marBottom w:val="0"/>
      <w:divBdr>
        <w:top w:val="none" w:sz="0" w:space="0" w:color="auto"/>
        <w:left w:val="none" w:sz="0" w:space="0" w:color="auto"/>
        <w:bottom w:val="none" w:sz="0" w:space="0" w:color="auto"/>
        <w:right w:val="none" w:sz="0" w:space="0" w:color="auto"/>
      </w:divBdr>
    </w:div>
    <w:div w:id="1151796516">
      <w:bodyDiv w:val="1"/>
      <w:marLeft w:val="0"/>
      <w:marRight w:val="0"/>
      <w:marTop w:val="0"/>
      <w:marBottom w:val="0"/>
      <w:divBdr>
        <w:top w:val="none" w:sz="0" w:space="0" w:color="auto"/>
        <w:left w:val="none" w:sz="0" w:space="0" w:color="auto"/>
        <w:bottom w:val="none" w:sz="0" w:space="0" w:color="auto"/>
        <w:right w:val="none" w:sz="0" w:space="0" w:color="auto"/>
      </w:divBdr>
    </w:div>
    <w:div w:id="1202204424">
      <w:bodyDiv w:val="1"/>
      <w:marLeft w:val="0"/>
      <w:marRight w:val="0"/>
      <w:marTop w:val="0"/>
      <w:marBottom w:val="0"/>
      <w:divBdr>
        <w:top w:val="none" w:sz="0" w:space="0" w:color="auto"/>
        <w:left w:val="none" w:sz="0" w:space="0" w:color="auto"/>
        <w:bottom w:val="none" w:sz="0" w:space="0" w:color="auto"/>
        <w:right w:val="none" w:sz="0" w:space="0" w:color="auto"/>
      </w:divBdr>
    </w:div>
    <w:div w:id="1362780223">
      <w:bodyDiv w:val="1"/>
      <w:marLeft w:val="0"/>
      <w:marRight w:val="0"/>
      <w:marTop w:val="0"/>
      <w:marBottom w:val="0"/>
      <w:divBdr>
        <w:top w:val="none" w:sz="0" w:space="0" w:color="auto"/>
        <w:left w:val="none" w:sz="0" w:space="0" w:color="auto"/>
        <w:bottom w:val="none" w:sz="0" w:space="0" w:color="auto"/>
        <w:right w:val="none" w:sz="0" w:space="0" w:color="auto"/>
      </w:divBdr>
    </w:div>
    <w:div w:id="1391226650">
      <w:bodyDiv w:val="1"/>
      <w:marLeft w:val="0"/>
      <w:marRight w:val="0"/>
      <w:marTop w:val="0"/>
      <w:marBottom w:val="0"/>
      <w:divBdr>
        <w:top w:val="none" w:sz="0" w:space="0" w:color="auto"/>
        <w:left w:val="none" w:sz="0" w:space="0" w:color="auto"/>
        <w:bottom w:val="none" w:sz="0" w:space="0" w:color="auto"/>
        <w:right w:val="none" w:sz="0" w:space="0" w:color="auto"/>
      </w:divBdr>
    </w:div>
    <w:div w:id="1480807155">
      <w:bodyDiv w:val="1"/>
      <w:marLeft w:val="0"/>
      <w:marRight w:val="0"/>
      <w:marTop w:val="0"/>
      <w:marBottom w:val="0"/>
      <w:divBdr>
        <w:top w:val="none" w:sz="0" w:space="0" w:color="auto"/>
        <w:left w:val="none" w:sz="0" w:space="0" w:color="auto"/>
        <w:bottom w:val="none" w:sz="0" w:space="0" w:color="auto"/>
        <w:right w:val="none" w:sz="0" w:space="0" w:color="auto"/>
      </w:divBdr>
    </w:div>
    <w:div w:id="1538086246">
      <w:bodyDiv w:val="1"/>
      <w:marLeft w:val="0"/>
      <w:marRight w:val="0"/>
      <w:marTop w:val="0"/>
      <w:marBottom w:val="0"/>
      <w:divBdr>
        <w:top w:val="none" w:sz="0" w:space="0" w:color="auto"/>
        <w:left w:val="none" w:sz="0" w:space="0" w:color="auto"/>
        <w:bottom w:val="none" w:sz="0" w:space="0" w:color="auto"/>
        <w:right w:val="none" w:sz="0" w:space="0" w:color="auto"/>
      </w:divBdr>
    </w:div>
    <w:div w:id="1619874625">
      <w:bodyDiv w:val="1"/>
      <w:marLeft w:val="0"/>
      <w:marRight w:val="0"/>
      <w:marTop w:val="0"/>
      <w:marBottom w:val="0"/>
      <w:divBdr>
        <w:top w:val="none" w:sz="0" w:space="0" w:color="auto"/>
        <w:left w:val="none" w:sz="0" w:space="0" w:color="auto"/>
        <w:bottom w:val="none" w:sz="0" w:space="0" w:color="auto"/>
        <w:right w:val="none" w:sz="0" w:space="0" w:color="auto"/>
      </w:divBdr>
      <w:divsChild>
        <w:div w:id="532308728">
          <w:marLeft w:val="0"/>
          <w:marRight w:val="0"/>
          <w:marTop w:val="150"/>
          <w:marBottom w:val="0"/>
          <w:divBdr>
            <w:top w:val="none" w:sz="0" w:space="0" w:color="auto"/>
            <w:left w:val="single" w:sz="6" w:space="0" w:color="999999"/>
            <w:bottom w:val="none" w:sz="0" w:space="0" w:color="auto"/>
            <w:right w:val="single" w:sz="6" w:space="0" w:color="999999"/>
          </w:divBdr>
          <w:divsChild>
            <w:div w:id="781804905">
              <w:marLeft w:val="0"/>
              <w:marRight w:val="0"/>
              <w:marTop w:val="0"/>
              <w:marBottom w:val="0"/>
              <w:divBdr>
                <w:top w:val="single" w:sz="6" w:space="0" w:color="999999"/>
                <w:left w:val="none" w:sz="0" w:space="0" w:color="auto"/>
                <w:bottom w:val="single" w:sz="6" w:space="0" w:color="999999"/>
                <w:right w:val="none" w:sz="0" w:space="0" w:color="auto"/>
              </w:divBdr>
              <w:divsChild>
                <w:div w:id="2124612946">
                  <w:marLeft w:val="0"/>
                  <w:marRight w:val="0"/>
                  <w:marTop w:val="0"/>
                  <w:marBottom w:val="0"/>
                  <w:divBdr>
                    <w:top w:val="none" w:sz="0" w:space="0" w:color="auto"/>
                    <w:left w:val="none" w:sz="0" w:space="0" w:color="auto"/>
                    <w:bottom w:val="none" w:sz="0" w:space="0" w:color="auto"/>
                    <w:right w:val="none" w:sz="0" w:space="0" w:color="auto"/>
                  </w:divBdr>
                  <w:divsChild>
                    <w:div w:id="275794776">
                      <w:marLeft w:val="0"/>
                      <w:marRight w:val="0"/>
                      <w:marTop w:val="0"/>
                      <w:marBottom w:val="0"/>
                      <w:divBdr>
                        <w:top w:val="none" w:sz="0" w:space="0" w:color="auto"/>
                        <w:left w:val="none" w:sz="0" w:space="0" w:color="auto"/>
                        <w:bottom w:val="none" w:sz="0" w:space="0" w:color="auto"/>
                        <w:right w:val="none" w:sz="0" w:space="0" w:color="auto"/>
                      </w:divBdr>
                      <w:divsChild>
                        <w:div w:id="1413548960">
                          <w:marLeft w:val="600"/>
                          <w:marRight w:val="0"/>
                          <w:marTop w:val="150"/>
                          <w:marBottom w:val="375"/>
                          <w:divBdr>
                            <w:top w:val="none" w:sz="0" w:space="0" w:color="auto"/>
                            <w:left w:val="none" w:sz="0" w:space="0" w:color="auto"/>
                            <w:bottom w:val="none" w:sz="0" w:space="0" w:color="auto"/>
                            <w:right w:val="none" w:sz="0" w:space="0" w:color="auto"/>
                          </w:divBdr>
                          <w:divsChild>
                            <w:div w:id="518663567">
                              <w:marLeft w:val="0"/>
                              <w:marRight w:val="0"/>
                              <w:marTop w:val="0"/>
                              <w:marBottom w:val="0"/>
                              <w:divBdr>
                                <w:top w:val="none" w:sz="0" w:space="0" w:color="auto"/>
                                <w:left w:val="none" w:sz="0" w:space="0" w:color="auto"/>
                                <w:bottom w:val="none" w:sz="0" w:space="0" w:color="auto"/>
                                <w:right w:val="none" w:sz="0" w:space="0" w:color="auto"/>
                              </w:divBdr>
                              <w:divsChild>
                                <w:div w:id="1615408544">
                                  <w:marLeft w:val="0"/>
                                  <w:marRight w:val="450"/>
                                  <w:marTop w:val="0"/>
                                  <w:marBottom w:val="0"/>
                                  <w:divBdr>
                                    <w:top w:val="none" w:sz="0" w:space="0" w:color="auto"/>
                                    <w:left w:val="none" w:sz="0" w:space="0" w:color="auto"/>
                                    <w:bottom w:val="none" w:sz="0" w:space="0" w:color="auto"/>
                                    <w:right w:val="none" w:sz="0" w:space="0" w:color="auto"/>
                                  </w:divBdr>
                                  <w:divsChild>
                                    <w:div w:id="512189973">
                                      <w:marLeft w:val="0"/>
                                      <w:marRight w:val="0"/>
                                      <w:marTop w:val="0"/>
                                      <w:marBottom w:val="0"/>
                                      <w:divBdr>
                                        <w:top w:val="none" w:sz="0" w:space="0" w:color="auto"/>
                                        <w:left w:val="none" w:sz="0" w:space="0" w:color="auto"/>
                                        <w:bottom w:val="none" w:sz="0" w:space="0" w:color="auto"/>
                                        <w:right w:val="none" w:sz="0" w:space="0" w:color="auto"/>
                                      </w:divBdr>
                                      <w:divsChild>
                                        <w:div w:id="550772892">
                                          <w:marLeft w:val="0"/>
                                          <w:marRight w:val="0"/>
                                          <w:marTop w:val="0"/>
                                          <w:marBottom w:val="0"/>
                                          <w:divBdr>
                                            <w:top w:val="none" w:sz="0" w:space="0" w:color="auto"/>
                                            <w:left w:val="none" w:sz="0" w:space="0" w:color="auto"/>
                                            <w:bottom w:val="none" w:sz="0" w:space="0" w:color="auto"/>
                                            <w:right w:val="none" w:sz="0" w:space="0" w:color="auto"/>
                                          </w:divBdr>
                                          <w:divsChild>
                                            <w:div w:id="456338055">
                                              <w:marLeft w:val="0"/>
                                              <w:marRight w:val="0"/>
                                              <w:marTop w:val="0"/>
                                              <w:marBottom w:val="0"/>
                                              <w:divBdr>
                                                <w:top w:val="none" w:sz="0" w:space="0" w:color="auto"/>
                                                <w:left w:val="none" w:sz="0" w:space="0" w:color="auto"/>
                                                <w:bottom w:val="none" w:sz="0" w:space="0" w:color="auto"/>
                                                <w:right w:val="none" w:sz="0" w:space="0" w:color="auto"/>
                                              </w:divBdr>
                                              <w:divsChild>
                                                <w:div w:id="886255700">
                                                  <w:marLeft w:val="0"/>
                                                  <w:marRight w:val="0"/>
                                                  <w:marTop w:val="0"/>
                                                  <w:marBottom w:val="0"/>
                                                  <w:divBdr>
                                                    <w:top w:val="none" w:sz="0" w:space="0" w:color="auto"/>
                                                    <w:left w:val="none" w:sz="0" w:space="0" w:color="auto"/>
                                                    <w:bottom w:val="none" w:sz="0" w:space="0" w:color="auto"/>
                                                    <w:right w:val="none" w:sz="0" w:space="0" w:color="auto"/>
                                                  </w:divBdr>
                                                  <w:divsChild>
                                                    <w:div w:id="1873958806">
                                                      <w:marLeft w:val="0"/>
                                                      <w:marRight w:val="0"/>
                                                      <w:marTop w:val="0"/>
                                                      <w:marBottom w:val="0"/>
                                                      <w:divBdr>
                                                        <w:top w:val="none" w:sz="0" w:space="0" w:color="auto"/>
                                                        <w:left w:val="none" w:sz="0" w:space="0" w:color="auto"/>
                                                        <w:bottom w:val="none" w:sz="0" w:space="0" w:color="auto"/>
                                                        <w:right w:val="none" w:sz="0" w:space="0" w:color="auto"/>
                                                      </w:divBdr>
                                                      <w:divsChild>
                                                        <w:div w:id="166747736">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sChild>
                                                                <w:div w:id="1174342485">
                                                                  <w:marLeft w:val="-150"/>
                                                                  <w:marRight w:val="0"/>
                                                                  <w:marTop w:val="0"/>
                                                                  <w:marBottom w:val="225"/>
                                                                  <w:divBdr>
                                                                    <w:top w:val="dashed" w:sz="6" w:space="4" w:color="666666"/>
                                                                    <w:left w:val="none" w:sz="0" w:space="0" w:color="auto"/>
                                                                    <w:bottom w:val="dashed" w:sz="6" w:space="8" w:color="666666"/>
                                                                    <w:right w:val="none" w:sz="0" w:space="0" w:color="auto"/>
                                                                  </w:divBdr>
                                                                  <w:divsChild>
                                                                    <w:div w:id="1321233546">
                                                                      <w:marLeft w:val="0"/>
                                                                      <w:marRight w:val="0"/>
                                                                      <w:marTop w:val="0"/>
                                                                      <w:marBottom w:val="0"/>
                                                                      <w:divBdr>
                                                                        <w:top w:val="none" w:sz="0" w:space="0" w:color="auto"/>
                                                                        <w:left w:val="none" w:sz="0" w:space="0" w:color="auto"/>
                                                                        <w:bottom w:val="none" w:sz="0" w:space="0" w:color="auto"/>
                                                                        <w:right w:val="none" w:sz="0" w:space="0" w:color="auto"/>
                                                                      </w:divBdr>
                                                                    </w:div>
                                                                    <w:div w:id="16123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56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7987-C891-4838-9554-2D7D21BF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2647</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National Health and Nutrition Examination Survey</vt:lpstr>
    </vt:vector>
  </TitlesOfParts>
  <Company>ITSO</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and Nutrition Examination Survey</dc:title>
  <dc:subject/>
  <dc:creator>vlb2</dc:creator>
  <cp:keywords/>
  <cp:lastModifiedBy>King, Summer (CDC/DDPHSS/NCHS/OD)</cp:lastModifiedBy>
  <cp:revision>7</cp:revision>
  <cp:lastPrinted>2019-06-04T12:16:00Z</cp:lastPrinted>
  <dcterms:created xsi:type="dcterms:W3CDTF">2022-04-19T18:24:00Z</dcterms:created>
  <dcterms:modified xsi:type="dcterms:W3CDTF">2022-05-11T14:38:00Z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2021-12-01T19:07:50Z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0e4a4645-4d5d-4341-8654-7ab6750ce1b0</vt:lpwstr>
  </property>
  <property fmtid="{D5CDD505-2E9C-101B-9397-08002B2CF9AE}" pid="8" name="MSIP_Label_7b94a7b8-f06c-4dfe-bdcc-9b548fd58c31_ContentBits">
    <vt:lpwstr>0</vt:lpwstr>
  </property>
</Properties>
</file>